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8" w:rsidRDefault="00104128"/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B017E6">
        <w:rPr>
          <w:sz w:val="28"/>
          <w:szCs w:val="28"/>
        </w:rPr>
        <w:t>Contábeis</w:t>
      </w:r>
      <w:r w:rsidRPr="00FD7B48">
        <w:rPr>
          <w:sz w:val="28"/>
          <w:szCs w:val="28"/>
        </w:rPr>
        <w:t xml:space="preserve">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proofErr w:type="gramStart"/>
      <w:r w:rsidRPr="00FD7B48">
        <w:rPr>
          <w:sz w:val="28"/>
          <w:szCs w:val="28"/>
        </w:rPr>
        <w:t>adotadas</w:t>
      </w:r>
      <w:proofErr w:type="gramEnd"/>
      <w:r w:rsidRPr="00FD7B48">
        <w:rPr>
          <w:sz w:val="28"/>
          <w:szCs w:val="28"/>
        </w:rPr>
        <w:t xml:space="preserve"> no Brasil em </w:t>
      </w:r>
      <w:r w:rsidR="00AF3F1E">
        <w:rPr>
          <w:sz w:val="28"/>
          <w:szCs w:val="28"/>
        </w:rPr>
        <w:t>31</w:t>
      </w:r>
      <w:r w:rsidRPr="00FD7B48">
        <w:rPr>
          <w:sz w:val="28"/>
          <w:szCs w:val="28"/>
        </w:rPr>
        <w:t xml:space="preserve"> de </w:t>
      </w:r>
      <w:r w:rsidR="00AF3F1E">
        <w:rPr>
          <w:sz w:val="28"/>
          <w:szCs w:val="28"/>
        </w:rPr>
        <w:t>dezem</w:t>
      </w:r>
      <w:r w:rsidR="00F4157C">
        <w:rPr>
          <w:sz w:val="28"/>
          <w:szCs w:val="28"/>
        </w:rPr>
        <w:t>bro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</w:t>
      </w:r>
      <w:r w:rsidR="00CD7B5D">
        <w:rPr>
          <w:sz w:val="28"/>
          <w:szCs w:val="28"/>
        </w:rPr>
        <w:t>20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E629F2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65061162" w:history="1">
            <w:r w:rsidR="00E629F2" w:rsidRPr="00537193">
              <w:rPr>
                <w:rStyle w:val="Hyperlink"/>
              </w:rPr>
              <w:t>Balanço Patrimonial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_Toc65061162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4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63" w:history="1">
            <w:r w:rsidR="00E629F2" w:rsidRPr="00537193">
              <w:rPr>
                <w:rStyle w:val="Hyperlink"/>
              </w:rPr>
              <w:t>Notas Explicativas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_Toc65061163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10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64" w:history="1">
            <w:r w:rsidR="00E629F2" w:rsidRPr="00537193">
              <w:rPr>
                <w:rStyle w:val="Hyperlink"/>
              </w:rPr>
              <w:t>01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Contexto Operacional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_Toc65061164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10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65" w:history="1">
            <w:r w:rsidR="00E629F2" w:rsidRPr="00537193">
              <w:rPr>
                <w:rStyle w:val="Hyperlink"/>
              </w:rPr>
              <w:t>02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Principais Políticas Contábeis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_Toc65061165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10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66" w:history="1">
            <w:r w:rsidR="00E629F2" w:rsidRPr="00537193">
              <w:rPr>
                <w:rStyle w:val="Hyperlink"/>
              </w:rPr>
              <w:t>03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Estimativas e Julgamentos Contábeis Críticos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_Toc65061166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14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67" w:history="1">
            <w:r w:rsidR="00E629F2" w:rsidRPr="00537193">
              <w:rPr>
                <w:rStyle w:val="Hyperlink"/>
              </w:rPr>
              <w:t>04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Gestão de Risco Financeiro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_Toc65061167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14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68" w:history="1">
            <w:r w:rsidR="00E629F2" w:rsidRPr="00537193">
              <w:rPr>
                <w:rStyle w:val="Hyperlink"/>
              </w:rPr>
              <w:t>05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Caixa e Equivalentes de Caixa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_Toc65061168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15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69" w:history="1">
            <w:r w:rsidR="00E629F2" w:rsidRPr="00537193">
              <w:rPr>
                <w:rStyle w:val="Hyperlink"/>
              </w:rPr>
              <w:t>06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Créditos de Fornecimento de Serviços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_Toc65061169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15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0" w:history="1">
            <w:r w:rsidR="00E629F2" w:rsidRPr="00537193">
              <w:rPr>
                <w:rStyle w:val="Hyperlink"/>
              </w:rPr>
              <w:t>07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Adiantamentos de Pessoal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_Toc65061170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16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1" w:history="1">
            <w:r w:rsidR="00E629F2" w:rsidRPr="00537193">
              <w:rPr>
                <w:rStyle w:val="Hyperlink"/>
              </w:rPr>
              <w:t>08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Estoques de Materiais de Consumo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_Toc65061171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16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2" w:history="1">
            <w:r w:rsidR="00E629F2" w:rsidRPr="00537193">
              <w:rPr>
                <w:rStyle w:val="Hyperlink"/>
              </w:rPr>
              <w:t>09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Imobilizado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_Toc65061172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16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3" w:history="1">
            <w:r w:rsidR="00E629F2" w:rsidRPr="00537193">
              <w:rPr>
                <w:rStyle w:val="Hyperlink"/>
              </w:rPr>
              <w:t>10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Intangível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_Toc65061173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17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4" w:history="1">
            <w:r w:rsidR="00E629F2" w:rsidRPr="00537193">
              <w:rPr>
                <w:rStyle w:val="Hyperlink"/>
              </w:rPr>
              <w:t>11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Fornecedores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_Toc65061174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17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5" w:history="1">
            <w:r w:rsidR="00E629F2" w:rsidRPr="00537193">
              <w:rPr>
                <w:rStyle w:val="Hyperlink"/>
              </w:rPr>
              <w:t>12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Obrigações Tributárias e Sociais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_Toc65061175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18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6" w:history="1">
            <w:r w:rsidR="00E629F2" w:rsidRPr="00537193">
              <w:rPr>
                <w:rStyle w:val="Hyperlink"/>
              </w:rPr>
              <w:t>13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Obrigações com Pessoal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_Toc65061176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18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7" w:history="1">
            <w:r w:rsidR="00E629F2" w:rsidRPr="00537193">
              <w:rPr>
                <w:rStyle w:val="Hyperlink"/>
              </w:rPr>
              <w:t>14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Contingências Passivas e Apropriações de Despesas de Pessoal por Competência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_Toc65061177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18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8" w:history="1">
            <w:r w:rsidR="00E629F2" w:rsidRPr="00537193">
              <w:rPr>
                <w:rStyle w:val="Hyperlink"/>
              </w:rPr>
              <w:t>15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Obrigações com o Plano de Previdência Complementar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_Toc65061178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20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79" w:history="1">
            <w:r w:rsidR="00E629F2" w:rsidRPr="00537193">
              <w:rPr>
                <w:rStyle w:val="Hyperlink"/>
              </w:rPr>
              <w:t>16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Capital Social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_Toc65061179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21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0" w:history="1">
            <w:r w:rsidR="00E629F2" w:rsidRPr="00537193">
              <w:rPr>
                <w:rStyle w:val="Hyperlink"/>
              </w:rPr>
              <w:t>17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Ajuste de Avaliação Patrimonial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_Toc65061180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21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1" w:history="1">
            <w:r w:rsidR="00E629F2" w:rsidRPr="00537193">
              <w:rPr>
                <w:rStyle w:val="Hyperlink"/>
              </w:rPr>
              <w:t>18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Receita Operacional Líquida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_Toc65061181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22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2" w:history="1">
            <w:r w:rsidR="00E629F2" w:rsidRPr="00537193">
              <w:rPr>
                <w:rStyle w:val="Hyperlink"/>
              </w:rPr>
              <w:t>19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Custos dos Serviços e Despesas Operacionais por Natureza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_Toc65061182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22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3" w:history="1">
            <w:r w:rsidR="00E629F2" w:rsidRPr="00537193">
              <w:rPr>
                <w:rStyle w:val="Hyperlink"/>
              </w:rPr>
              <w:t>20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Despesas de Benefícios a Empregados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_Toc65061183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23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4" w:history="1">
            <w:r w:rsidR="00E629F2" w:rsidRPr="00537193">
              <w:rPr>
                <w:rStyle w:val="Hyperlink"/>
              </w:rPr>
              <w:t>21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Outras Receitas e Despesas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_Toc65061184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23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5" w:history="1">
            <w:r w:rsidR="00E629F2" w:rsidRPr="00537193">
              <w:rPr>
                <w:rStyle w:val="Hyperlink"/>
              </w:rPr>
              <w:t>22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Resultado Financeiro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_Toc65061185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23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6" w:history="1">
            <w:r w:rsidR="00E629F2" w:rsidRPr="00537193">
              <w:rPr>
                <w:rStyle w:val="Hyperlink"/>
              </w:rPr>
              <w:t>23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Partes Relacionadas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_Toc65061186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24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7" w:history="1">
            <w:r w:rsidR="00E629F2" w:rsidRPr="00537193">
              <w:rPr>
                <w:rStyle w:val="Hyperlink"/>
              </w:rPr>
              <w:t>24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Seguros de Riscos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_Toc65061187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24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8" w:history="1">
            <w:r w:rsidR="00E629F2" w:rsidRPr="00537193">
              <w:rPr>
                <w:rStyle w:val="Hyperlink"/>
              </w:rPr>
              <w:t>25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Conciliação das Demonstrações Financeiras com Base na Lei nº 6.404/76 e Lei nº 4.320/64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_Toc65061188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24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89" w:history="1">
            <w:r w:rsidR="00E629F2" w:rsidRPr="00537193">
              <w:rPr>
                <w:rStyle w:val="Hyperlink"/>
              </w:rPr>
              <w:t>26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Remunerações Pagas a Empregados e Administradores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_Toc65061189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26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90" w:history="1">
            <w:r w:rsidR="00E629F2" w:rsidRPr="00537193">
              <w:rPr>
                <w:rStyle w:val="Hyperlink"/>
              </w:rPr>
              <w:t>27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Impactos – COVID 19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_Toc65061190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27</w:t>
            </w:r>
            <w:r w:rsidR="00E629F2">
              <w:rPr>
                <w:webHidden/>
              </w:rPr>
              <w:fldChar w:fldCharType="end"/>
            </w:r>
          </w:hyperlink>
        </w:p>
        <w:p w:rsidR="00E629F2" w:rsidRDefault="00ED002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65061191" w:history="1">
            <w:r w:rsidR="00E629F2" w:rsidRPr="00537193">
              <w:rPr>
                <w:rStyle w:val="Hyperlink"/>
              </w:rPr>
              <w:t>28</w:t>
            </w:r>
            <w:r w:rsidR="00E629F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E629F2" w:rsidRPr="00537193">
              <w:rPr>
                <w:rStyle w:val="Hyperlink"/>
              </w:rPr>
              <w:t>Eventos Subsequentes</w:t>
            </w:r>
            <w:r w:rsidR="00E629F2">
              <w:rPr>
                <w:webHidden/>
              </w:rPr>
              <w:tab/>
            </w:r>
            <w:r w:rsidR="00E629F2">
              <w:rPr>
                <w:webHidden/>
              </w:rPr>
              <w:fldChar w:fldCharType="begin"/>
            </w:r>
            <w:r w:rsidR="00E629F2">
              <w:rPr>
                <w:webHidden/>
              </w:rPr>
              <w:instrText xml:space="preserve"> PAGEREF _Toc65061191 \h </w:instrText>
            </w:r>
            <w:r w:rsidR="00E629F2">
              <w:rPr>
                <w:webHidden/>
              </w:rPr>
            </w:r>
            <w:r w:rsidR="00E629F2">
              <w:rPr>
                <w:webHidden/>
              </w:rPr>
              <w:fldChar w:fldCharType="separate"/>
            </w:r>
            <w:r w:rsidR="002F6596">
              <w:rPr>
                <w:webHidden/>
              </w:rPr>
              <w:t>28</w:t>
            </w:r>
            <w:r w:rsidR="00E629F2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892A00" w:rsidRDefault="00892A00" w:rsidP="00892A00">
      <w:pPr>
        <w:shd w:val="clear" w:color="auto" w:fill="FFFFFF"/>
        <w:jc w:val="center"/>
        <w:rPr>
          <w:b/>
          <w:bCs/>
          <w:color w:val="000000"/>
        </w:rPr>
      </w:pPr>
      <w:bookmarkStart w:id="0" w:name="OLE_LINK1"/>
      <w:r w:rsidRPr="00892A00">
        <w:rPr>
          <w:b/>
          <w:bCs/>
          <w:color w:val="000000"/>
        </w:rPr>
        <w:lastRenderedPageBreak/>
        <w:t>RELATÓRIO DE ADMINISTRAÇÃO 2020</w:t>
      </w:r>
    </w:p>
    <w:p w:rsidR="00892A00" w:rsidRPr="00892A00" w:rsidRDefault="00892A00" w:rsidP="00892A00">
      <w:pPr>
        <w:shd w:val="clear" w:color="auto" w:fill="FFFFFF"/>
        <w:jc w:val="center"/>
        <w:rPr>
          <w:color w:val="222222"/>
        </w:rPr>
      </w:pP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O Hospital de Clínicas de Porto Alegre (HCPA) é uma instituição pública e universitária, integrante da rede de hospitais universitários do Ministério da Educação (MEC) e vinculada academicamente à Universidade Federal do Rio Grande do Sul (UFRGS). Todas as ações desenvolvidas são integradas e focadas na transformação de realidades, contribuindo para a qualidade de vida da população, o aprimoramento da rede pública de saúde e a evolução do conhecimento na área.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 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Atuando desde 1971, é um dos principais esteios da assistência pública à saúde da população gaúcha, oferecendo atendimento de excelência e alta complexidade em amplo rol de especialidades. As atividades de ensino de graduação e pós-graduação, lado a lado com a UFRGS, formam gerações de profissionais familiarizados e comprometidos com as melhores práticas e a humanização da assistência. A pesquisa produzida no HCPA, por sua vez, introduz novos conhecimentos, técnicas e tecnologias que beneficiam toda a sociedade.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 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 xml:space="preserve">Em 2020 foi marcado pelo enfrentamento da pandemia. Foram realizadas na instituição mais de 367 mil consultas presenciais, 52,8 mil </w:t>
      </w:r>
      <w:proofErr w:type="spellStart"/>
      <w:r w:rsidRPr="00892A00">
        <w:rPr>
          <w:color w:val="000000"/>
        </w:rPr>
        <w:t>teleconsultas</w:t>
      </w:r>
      <w:proofErr w:type="spellEnd"/>
      <w:r w:rsidRPr="00892A00">
        <w:rPr>
          <w:color w:val="000000"/>
        </w:rPr>
        <w:t>, 27,8 mil internações, 31 mil cirurgias, 2,9 milhões de exames, 2,9 mil partos e 199 transplantes. A busca da melhoria contínua e da excelência assistencial é evidenciada na atuação do Núcleo de Segurança do Paciente, composto pelo Programa de Gestão da Qualidade e da Informação em Saúde (</w:t>
      </w:r>
      <w:proofErr w:type="spellStart"/>
      <w:r w:rsidRPr="00892A00">
        <w:rPr>
          <w:color w:val="000000"/>
        </w:rPr>
        <w:t>Qualis</w:t>
      </w:r>
      <w:proofErr w:type="spellEnd"/>
      <w:r w:rsidRPr="00892A00">
        <w:rPr>
          <w:color w:val="000000"/>
        </w:rPr>
        <w:t>) e pela Comissão de Gerência de Risco Sanitário-Hospitalar, e da Comissão de Controle de Infecção Hospitalar (CCIH). Na organização dos fluxos internos e no relacionamento com a rede de saúde, destacam-se a atuação do Núcleo Interno de Regulação (NIR) e do Núcleo de Acesso e Qualidade Hospitalar (NAQH).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 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 xml:space="preserve">Na área da pesquisa, atuam 701 doutores, sendo que 282 são funcionários contratados do hospital. Em 2020, foram realizadas mais de </w:t>
      </w:r>
      <w:proofErr w:type="gramStart"/>
      <w:r w:rsidRPr="00892A00">
        <w:rPr>
          <w:color w:val="000000"/>
        </w:rPr>
        <w:t>4</w:t>
      </w:r>
      <w:proofErr w:type="gramEnd"/>
      <w:r w:rsidRPr="00892A00">
        <w:rPr>
          <w:color w:val="000000"/>
        </w:rPr>
        <w:t xml:space="preserve"> mil consultorias de pesquisa e submetidos a avaliação 742 novos projetos. Foram publicados 795 artigos, indexados no ISI Web </w:t>
      </w:r>
      <w:proofErr w:type="spellStart"/>
      <w:r w:rsidRPr="00892A00">
        <w:rPr>
          <w:color w:val="000000"/>
        </w:rPr>
        <w:t>of</w:t>
      </w:r>
      <w:proofErr w:type="spellEnd"/>
      <w:r w:rsidRPr="00892A00">
        <w:rPr>
          <w:color w:val="000000"/>
        </w:rPr>
        <w:t xml:space="preserve"> Science. O Clínicas possui, ainda, parcerias com o Conselho Nacional de Desenvolvimento Científico e Tecnológico (CNPq), Fundação de Amparo à Pesquisa do Rio Grande do Sul (</w:t>
      </w:r>
      <w:proofErr w:type="spellStart"/>
      <w:r w:rsidRPr="00892A00">
        <w:rPr>
          <w:color w:val="000000"/>
        </w:rPr>
        <w:t>Fapergs</w:t>
      </w:r>
      <w:proofErr w:type="spellEnd"/>
      <w:r w:rsidRPr="00892A00">
        <w:rPr>
          <w:color w:val="000000"/>
        </w:rPr>
        <w:t>), Financiadora de Estudos e Projetos (</w:t>
      </w:r>
      <w:proofErr w:type="gramStart"/>
      <w:r w:rsidRPr="00892A00">
        <w:rPr>
          <w:color w:val="000000"/>
        </w:rPr>
        <w:t>Finep</w:t>
      </w:r>
      <w:proofErr w:type="gramEnd"/>
      <w:r w:rsidRPr="00892A00">
        <w:rPr>
          <w:color w:val="000000"/>
        </w:rPr>
        <w:t>), Coordenação de Aperfeiçoamento de Pessoal de Ensino Superior (Capes) e Departamento de Ciência e Tecnologia do Ministério da Saúde (</w:t>
      </w:r>
      <w:proofErr w:type="spellStart"/>
      <w:r w:rsidRPr="00892A00">
        <w:rPr>
          <w:color w:val="000000"/>
        </w:rPr>
        <w:t>Decit</w:t>
      </w:r>
      <w:proofErr w:type="spellEnd"/>
      <w:r w:rsidRPr="00892A00">
        <w:rPr>
          <w:color w:val="000000"/>
        </w:rPr>
        <w:t>). Em 2020 estas parcerias possibilitaram a implantação de 97 bolsas de iniciação científica.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 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O HCPA tem papel fundamental no ensino, tendo 10 cursos de graduação com atividades dentro da instituição, englobando 643 alunos, com 15 estágios e 10  internatos. A presença de 501 professores da UFRGS qualifica a assistência e cria um ambiente propício à pesquisa. Além disso, a instituição possui dois mestrados profissionais: em Saúde Mental e Transtornos Aditivos e Pesquisa Clínica. No decorrer do ano, houve adaptação de atividades ao ambiente virtual para dar sequência à formação e especialização de profissionais com segurança.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 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 xml:space="preserve">Na Residência Médica, </w:t>
      </w:r>
      <w:proofErr w:type="gramStart"/>
      <w:r w:rsidRPr="00892A00">
        <w:rPr>
          <w:color w:val="000000"/>
        </w:rPr>
        <w:t>o Clínicas mantém</w:t>
      </w:r>
      <w:proofErr w:type="gramEnd"/>
      <w:r w:rsidRPr="00892A00">
        <w:rPr>
          <w:color w:val="000000"/>
        </w:rPr>
        <w:t xml:space="preserve"> 45 programas. Durante este ano, 570 médicos residentes concluíram o curso. Na Residência Integrada Multiprofissional em Saúde, que oferece 13 áreas de atuação, 120 profissionais concluíram a residência. O hospital desenvolve também o Programa Institucional de Cursos de Capacitação para Alunos em Formação (</w:t>
      </w:r>
      <w:proofErr w:type="spellStart"/>
      <w:r w:rsidRPr="00892A00">
        <w:rPr>
          <w:color w:val="000000"/>
        </w:rPr>
        <w:t>Piccaf</w:t>
      </w:r>
      <w:proofErr w:type="spellEnd"/>
      <w:r w:rsidRPr="00892A00">
        <w:rPr>
          <w:color w:val="000000"/>
        </w:rPr>
        <w:t>), Programa Institucional de Cursos de Capacitação e Aperfeiçoamento Profissional (</w:t>
      </w:r>
      <w:proofErr w:type="spellStart"/>
      <w:r w:rsidRPr="00892A00">
        <w:rPr>
          <w:color w:val="000000"/>
        </w:rPr>
        <w:t>Piccap</w:t>
      </w:r>
      <w:proofErr w:type="spellEnd"/>
      <w:r w:rsidRPr="00892A00">
        <w:rPr>
          <w:color w:val="000000"/>
        </w:rPr>
        <w:t>), Programa Jovem Aprendiz e Programa de Acolhimento e Integração Institucional.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 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 xml:space="preserve">Ainda em 2020, o HCPA recebeu pela 14ª vez o Prêmio Top </w:t>
      </w:r>
      <w:proofErr w:type="spellStart"/>
      <w:r w:rsidRPr="00892A00">
        <w:rPr>
          <w:color w:val="000000"/>
        </w:rPr>
        <w:t>of</w:t>
      </w:r>
      <w:proofErr w:type="spellEnd"/>
      <w:r w:rsidRPr="00892A00">
        <w:rPr>
          <w:color w:val="000000"/>
        </w:rPr>
        <w:t xml:space="preserve"> </w:t>
      </w:r>
      <w:proofErr w:type="spellStart"/>
      <w:r w:rsidRPr="00892A00">
        <w:rPr>
          <w:color w:val="000000"/>
        </w:rPr>
        <w:t>Mind</w:t>
      </w:r>
      <w:proofErr w:type="spellEnd"/>
      <w:r w:rsidRPr="00892A00">
        <w:rPr>
          <w:color w:val="000000"/>
        </w:rPr>
        <w:t>, como o hospital mais lembrado pelos porto-alegrenses, e  teve dois cases vencedores no prêmio  da Associação dos Usuários de Informática e Telecomunicações do RS (</w:t>
      </w:r>
      <w:proofErr w:type="spellStart"/>
      <w:proofErr w:type="gramStart"/>
      <w:r w:rsidRPr="00892A00">
        <w:rPr>
          <w:color w:val="000000"/>
        </w:rPr>
        <w:t>Sucesu</w:t>
      </w:r>
      <w:proofErr w:type="spellEnd"/>
      <w:r w:rsidRPr="00892A00">
        <w:rPr>
          <w:color w:val="000000"/>
        </w:rPr>
        <w:t>-RS</w:t>
      </w:r>
      <w:proofErr w:type="gramEnd"/>
      <w:r w:rsidRPr="00892A00">
        <w:rPr>
          <w:color w:val="000000"/>
        </w:rPr>
        <w:t xml:space="preserve">): </w:t>
      </w:r>
      <w:proofErr w:type="spellStart"/>
      <w:r w:rsidRPr="00892A00">
        <w:rPr>
          <w:color w:val="000000"/>
        </w:rPr>
        <w:t>ProScheduleSolver</w:t>
      </w:r>
      <w:proofErr w:type="spellEnd"/>
      <w:r w:rsidRPr="00892A00">
        <w:rPr>
          <w:color w:val="000000"/>
        </w:rPr>
        <w:t xml:space="preserve"> - Geração de escalas para profissionais da saúde e Legitimidade no trabalho remoto - Relato de experiência em um hospital público e universitário. O case </w:t>
      </w:r>
      <w:proofErr w:type="spellStart"/>
      <w:proofErr w:type="gramStart"/>
      <w:r w:rsidRPr="00892A00">
        <w:rPr>
          <w:color w:val="000000"/>
        </w:rPr>
        <w:t>ProScheduleSolver</w:t>
      </w:r>
      <w:proofErr w:type="spellEnd"/>
      <w:proofErr w:type="gramEnd"/>
      <w:r w:rsidRPr="00892A00">
        <w:rPr>
          <w:color w:val="000000"/>
        </w:rPr>
        <w:t xml:space="preserve"> rendeu ao HCPA, também, o segundo lugar no  Concurso de Inovação no </w:t>
      </w:r>
      <w:proofErr w:type="spellStart"/>
      <w:r w:rsidRPr="00892A00">
        <w:rPr>
          <w:color w:val="000000"/>
        </w:rPr>
        <w:t>no</w:t>
      </w:r>
      <w:proofErr w:type="spellEnd"/>
      <w:r w:rsidRPr="00892A00">
        <w:rPr>
          <w:color w:val="000000"/>
        </w:rPr>
        <w:t xml:space="preserve"> Setor Público, da Escola Nacional de Administração Pública (</w:t>
      </w:r>
      <w:proofErr w:type="spellStart"/>
      <w:r w:rsidRPr="00892A00">
        <w:rPr>
          <w:color w:val="000000"/>
        </w:rPr>
        <w:t>Enap</w:t>
      </w:r>
      <w:proofErr w:type="spellEnd"/>
      <w:r w:rsidRPr="00892A00">
        <w:rPr>
          <w:color w:val="000000"/>
        </w:rPr>
        <w:t>).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> </w:t>
      </w:r>
    </w:p>
    <w:p w:rsidR="00892A00" w:rsidRPr="00892A00" w:rsidRDefault="00892A00" w:rsidP="00892A00">
      <w:pPr>
        <w:shd w:val="clear" w:color="auto" w:fill="FFFFFF"/>
        <w:jc w:val="both"/>
        <w:rPr>
          <w:color w:val="222222"/>
        </w:rPr>
      </w:pPr>
      <w:r w:rsidRPr="00892A00">
        <w:rPr>
          <w:color w:val="000000"/>
        </w:rPr>
        <w:t xml:space="preserve">A fim de atender cada vez melhor às demandas da sociedade, a infraestrutura está em constante evolução. Em 2020, foi iniciada a ocupação dos blocos B e C, </w:t>
      </w:r>
      <w:proofErr w:type="gramStart"/>
      <w:r w:rsidRPr="00892A00">
        <w:rPr>
          <w:color w:val="000000"/>
        </w:rPr>
        <w:t>anexos ao prédio principal (Bloco A) com áreas dedicadas ao atendimento à covid-19 e a estudos de vacinas, nova</w:t>
      </w:r>
      <w:proofErr w:type="gramEnd"/>
      <w:r w:rsidRPr="00892A00">
        <w:rPr>
          <w:color w:val="000000"/>
        </w:rPr>
        <w:t xml:space="preserve"> Emergência Pediátrica, nova recepção do Ambulatório e áreas de ensino. Outro destaque foi </w:t>
      </w:r>
      <w:proofErr w:type="gramStart"/>
      <w:r w:rsidRPr="00892A00">
        <w:rPr>
          <w:color w:val="000000"/>
        </w:rPr>
        <w:t>a</w:t>
      </w:r>
      <w:proofErr w:type="gramEnd"/>
      <w:r w:rsidRPr="00892A00">
        <w:rPr>
          <w:color w:val="000000"/>
        </w:rPr>
        <w:t xml:space="preserve"> organização e aquisição de todo arsenal destinado à implantação de 105 novos leitos de terapia intensiva para atendimento aos pacientes com covid-19. </w:t>
      </w:r>
    </w:p>
    <w:p w:rsidR="00892A00" w:rsidRPr="00892A00" w:rsidRDefault="00892A00" w:rsidP="00892A00">
      <w:pPr>
        <w:shd w:val="clear" w:color="auto" w:fill="FFFFFF"/>
        <w:spacing w:after="140"/>
        <w:rPr>
          <w:rFonts w:ascii="Arial" w:hAnsi="Arial" w:cs="Arial"/>
          <w:color w:val="222222"/>
          <w:sz w:val="24"/>
          <w:szCs w:val="24"/>
        </w:rPr>
      </w:pPr>
      <w:r w:rsidRPr="00892A00">
        <w:rPr>
          <w:rFonts w:ascii="Arial" w:hAnsi="Arial" w:cs="Arial"/>
          <w:color w:val="222222"/>
          <w:sz w:val="24"/>
          <w:szCs w:val="24"/>
        </w:rPr>
        <w:lastRenderedPageBreak/>
        <w:t> </w:t>
      </w:r>
    </w:p>
    <w:p w:rsidR="001A1DC1" w:rsidRDefault="00121225" w:rsidP="00CD7310">
      <w:pPr>
        <w:pStyle w:val="Ttulo1"/>
        <w:jc w:val="left"/>
      </w:pPr>
      <w:bookmarkStart w:id="1" w:name="_Toc65061162"/>
      <w:r>
        <w:t>Bal</w:t>
      </w:r>
      <w:r w:rsidR="00CD7310" w:rsidRPr="00FD7B48">
        <w:t>anço Patrimonial</w:t>
      </w:r>
      <w:bookmarkEnd w:id="1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1087"/>
        <w:gridCol w:w="363"/>
        <w:gridCol w:w="1203"/>
        <w:gridCol w:w="208"/>
        <w:gridCol w:w="1201"/>
      </w:tblGrid>
      <w:tr w:rsidR="001F3542" w:rsidRPr="00974F2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0"/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Ativo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8A150C" w:rsidP="008A15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A32AE5"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A32AE5" w:rsidRPr="00974F25">
              <w:rPr>
                <w:b/>
                <w:bCs/>
              </w:rPr>
              <w:t>/20</w:t>
            </w:r>
            <w:r w:rsidR="005C2179" w:rsidRPr="00974F25">
              <w:rPr>
                <w:b/>
                <w:bCs/>
              </w:rPr>
              <w:t>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151F70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31/12/201</w:t>
            </w:r>
            <w:r w:rsidR="00151F70" w:rsidRPr="00974F25">
              <w:rPr>
                <w:b/>
                <w:bCs/>
              </w:rPr>
              <w:t>9</w:t>
            </w:r>
          </w:p>
        </w:tc>
      </w:tr>
      <w:tr w:rsidR="001F3542" w:rsidRPr="00974F2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1F3542" w:rsidRDefault="00A32AE5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FD6DFF" w:rsidRDefault="00A32AE5" w:rsidP="00A32AE5">
            <w:r w:rsidRPr="00FD6DFF">
              <w:t> </w:t>
            </w:r>
          </w:p>
        </w:tc>
      </w:tr>
      <w:tr w:rsidR="00314762" w:rsidRPr="00314762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4762" w:rsidRDefault="00151F70" w:rsidP="00A32AE5">
            <w:r w:rsidRPr="00314762">
              <w:t xml:space="preserve">   Caixa e Equivalente de Caixa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5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314762" w:rsidRDefault="00151F70" w:rsidP="00A32AE5">
            <w:pPr>
              <w:jc w:val="right"/>
            </w:pPr>
            <w:r w:rsidRPr="00314762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FD4221" w:rsidP="00A32AE5">
            <w:pPr>
              <w:jc w:val="right"/>
            </w:pPr>
            <w:r w:rsidRPr="00B86882">
              <w:t xml:space="preserve">  </w:t>
            </w:r>
            <w:r w:rsidR="00314762" w:rsidRPr="00B86882">
              <w:t xml:space="preserve"> 122.980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108.582</w:t>
            </w:r>
          </w:p>
        </w:tc>
      </w:tr>
      <w:tr w:rsidR="00314762" w:rsidRPr="00314762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314762" w:rsidRDefault="00151F70" w:rsidP="00A32AE5">
            <w:r w:rsidRPr="00314762">
              <w:t xml:space="preserve">   Créditos a Receber Curto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314762" w:rsidRDefault="00151F70" w:rsidP="00A32AE5">
            <w:pPr>
              <w:jc w:val="right"/>
            </w:pPr>
            <w:r w:rsidRPr="00314762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151F70" w:rsidP="00A32AE5"/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r w:rsidRPr="00B86882">
              <w:t> 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64E78" w:rsidRDefault="00FD24EE" w:rsidP="00A32AE5">
            <w:r w:rsidRPr="00564E78">
              <w:t xml:space="preserve">          </w:t>
            </w:r>
            <w:r w:rsidR="00151F70" w:rsidRPr="00564E78">
              <w:t>Faturas e Duplicatas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564E78" w:rsidP="00A32AE5">
            <w:pPr>
              <w:jc w:val="right"/>
            </w:pPr>
            <w:r w:rsidRPr="00B86882">
              <w:t>43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80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FD24EE" w:rsidP="00A32AE5">
            <w:r w:rsidRPr="00134519">
              <w:t xml:space="preserve">          </w:t>
            </w:r>
            <w:r w:rsidR="00151F70" w:rsidRPr="00134519">
              <w:t xml:space="preserve">Crédito de Fornecimento de Serviços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6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176DF1" w:rsidP="00564E78">
            <w:pPr>
              <w:jc w:val="right"/>
            </w:pPr>
            <w:r w:rsidRPr="00B86882">
              <w:t>3</w:t>
            </w:r>
            <w:r w:rsidR="00564E78" w:rsidRPr="00B86882">
              <w:t>0.90</w:t>
            </w:r>
            <w:r w:rsidR="00373F01" w:rsidRPr="00B86882">
              <w:t>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43.556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FD24EE" w:rsidP="00A32AE5">
            <w:r w:rsidRPr="00134519">
              <w:t xml:space="preserve">          </w:t>
            </w:r>
            <w:r w:rsidR="00151F70" w:rsidRPr="00134519">
              <w:t xml:space="preserve">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564E78" w:rsidP="00564E78">
            <w:pPr>
              <w:jc w:val="right"/>
              <w:rPr>
                <w:color w:val="FF0000"/>
              </w:rPr>
            </w:pPr>
            <w:r w:rsidRPr="00B86882">
              <w:t>182</w:t>
            </w:r>
            <w:r w:rsidR="00C104FD" w:rsidRPr="00B86882">
              <w:t>.</w:t>
            </w:r>
            <w:r w:rsidRPr="00B86882">
              <w:t>755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175.522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A32AE5">
            <w:r w:rsidRPr="00134519">
              <w:t xml:space="preserve">          Adiantamentos de Pessoal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7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373F01" w:rsidP="00FD24EE">
            <w:pPr>
              <w:jc w:val="right"/>
            </w:pPr>
            <w:r w:rsidRPr="00B86882">
              <w:t>15.344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14.749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A32AE5">
            <w:r w:rsidRPr="00134519">
              <w:t xml:space="preserve">          Demais Contas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564E78" w:rsidP="00E45878">
            <w:pPr>
              <w:jc w:val="right"/>
            </w:pPr>
            <w:r w:rsidRPr="00B86882">
              <w:t>3.175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2.713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A32AE5">
            <w:r w:rsidRPr="00134519">
              <w:t xml:space="preserve">          Adiantamentos a Fornecedores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FD24EE" w:rsidP="00A32AE5">
            <w:pPr>
              <w:jc w:val="right"/>
            </w:pPr>
            <w:r w:rsidRPr="00B86882">
              <w:t>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proofErr w:type="gramStart"/>
            <w:r w:rsidRPr="00B86882">
              <w:t>2</w:t>
            </w:r>
            <w:proofErr w:type="gramEnd"/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Estoques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151F70" w:rsidP="00A32AE5">
            <w:pPr>
              <w:jc w:val="right"/>
              <w:rPr>
                <w:color w:val="FF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 </w:t>
            </w:r>
          </w:p>
        </w:tc>
      </w:tr>
      <w:tr w:rsidR="00564E78" w:rsidRPr="00FD6DFF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78" w:rsidRPr="00974F25" w:rsidRDefault="00564E78" w:rsidP="00A32AE5">
            <w:r w:rsidRPr="00974F25">
              <w:t xml:space="preserve">          Estoques Materiais de Consumo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E78" w:rsidRPr="00134519" w:rsidRDefault="00564E78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8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E78" w:rsidRPr="001F3542" w:rsidRDefault="00564E78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64E78" w:rsidRPr="00B86882" w:rsidRDefault="00564E78" w:rsidP="00564E78">
            <w:pPr>
              <w:jc w:val="right"/>
            </w:pPr>
            <w:r w:rsidRPr="00B86882">
              <w:t xml:space="preserve"> 30.929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78" w:rsidRPr="00B86882" w:rsidRDefault="00564E78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78" w:rsidRPr="00B86882" w:rsidRDefault="00564E78" w:rsidP="008A1483">
            <w:pPr>
              <w:jc w:val="right"/>
            </w:pPr>
            <w:r w:rsidRPr="00B86882">
              <w:t>18.152</w:t>
            </w:r>
          </w:p>
        </w:tc>
      </w:tr>
      <w:tr w:rsidR="00564E78" w:rsidRPr="00FD6DFF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78" w:rsidRPr="00974F25" w:rsidRDefault="00564E78" w:rsidP="00A32AE5">
            <w:r w:rsidRPr="00974F25">
              <w:t xml:space="preserve">          Importação em Andamento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E78" w:rsidRPr="00134519" w:rsidRDefault="00564E78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E78" w:rsidRPr="001F3542" w:rsidRDefault="00564E78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64E78" w:rsidRPr="00B86882" w:rsidRDefault="00564E78" w:rsidP="00564E78">
            <w:pPr>
              <w:jc w:val="right"/>
            </w:pPr>
            <w:r w:rsidRPr="00B86882">
              <w:t xml:space="preserve"> 1.197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78" w:rsidRPr="00B86882" w:rsidRDefault="00564E78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E78" w:rsidRPr="00B86882" w:rsidRDefault="00564E78" w:rsidP="008A1483">
            <w:pPr>
              <w:jc w:val="right"/>
            </w:pPr>
            <w:r w:rsidRPr="00B86882">
              <w:t>1.417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Despesas Pagas Antecipadamente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151F70" w:rsidP="00A32AE5">
            <w:pPr>
              <w:jc w:val="right"/>
              <w:rPr>
                <w:color w:val="FF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 </w:t>
            </w:r>
          </w:p>
        </w:tc>
      </w:tr>
      <w:tr w:rsidR="00564E78" w:rsidRPr="00564E78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64E78" w:rsidRDefault="00151F70" w:rsidP="00A32AE5">
            <w:r w:rsidRPr="00564E78">
              <w:t xml:space="preserve">          Prêmios de Seguro a Apropriar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564E78" w:rsidP="00564E78">
            <w:pPr>
              <w:jc w:val="right"/>
            </w:pPr>
            <w:r w:rsidRPr="00B86882">
              <w:t>291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315</w:t>
            </w:r>
          </w:p>
        </w:tc>
      </w:tr>
      <w:tr w:rsidR="00E45878" w:rsidRPr="00E45878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 xml:space="preserve">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B86882" w:rsidRDefault="00FD24EE" w:rsidP="00317C48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 xml:space="preserve">  </w:t>
            </w:r>
            <w:r w:rsidR="00E45878" w:rsidRPr="00B86882">
              <w:rPr>
                <w:b/>
                <w:bCs/>
              </w:rPr>
              <w:t xml:space="preserve"> </w:t>
            </w:r>
            <w:r w:rsidR="00761771" w:rsidRPr="00B86882">
              <w:rPr>
                <w:b/>
                <w:bCs/>
              </w:rPr>
              <w:t>387.66</w:t>
            </w:r>
            <w:r w:rsidR="00A853E7" w:rsidRPr="00B86882">
              <w:rPr>
                <w:b/>
                <w:bCs/>
              </w:rPr>
              <w:t>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8A1483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>365.088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r w:rsidRPr="00B86882">
              <w:t> 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64E78" w:rsidRDefault="00151F70" w:rsidP="00A32AE5">
            <w:pPr>
              <w:rPr>
                <w:b/>
                <w:bCs/>
              </w:rPr>
            </w:pPr>
            <w:r w:rsidRPr="00564E78">
              <w:rPr>
                <w:b/>
                <w:bCs/>
              </w:rPr>
              <w:t>Não 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r w:rsidRPr="00B86882">
              <w:t> 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64E78" w:rsidRDefault="00151F70" w:rsidP="00A32AE5">
            <w:r w:rsidRPr="00564E78">
              <w:t xml:space="preserve">   Realizável </w:t>
            </w:r>
            <w:proofErr w:type="gramStart"/>
            <w:r w:rsidRPr="00564E78">
              <w:t>a Longo Prazo</w:t>
            </w:r>
            <w:proofErr w:type="gram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r w:rsidRPr="00B86882">
              <w:t> 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64E78" w:rsidRDefault="00151F70" w:rsidP="00A32AE5">
            <w:r w:rsidRPr="00564E78">
              <w:t xml:space="preserve">          Depósitos Judiciais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6A6ABF" w:rsidP="00564E78">
            <w:pPr>
              <w:jc w:val="right"/>
            </w:pPr>
            <w:r w:rsidRPr="00B86882">
              <w:t>1.8</w:t>
            </w:r>
            <w:r w:rsidR="001517F0" w:rsidRPr="00B86882">
              <w:t>2</w:t>
            </w:r>
            <w:r w:rsidR="00564E78" w:rsidRPr="00B86882"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1.636</w:t>
            </w:r>
          </w:p>
        </w:tc>
      </w:tr>
      <w:tr w:rsidR="001F3542" w:rsidRPr="00B7490A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A32AE5">
            <w:r w:rsidRPr="00134519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7490A" w:rsidRDefault="00151F7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CE1097" w:rsidP="00B7490A">
            <w:pPr>
              <w:jc w:val="right"/>
            </w:pPr>
            <w:r w:rsidRPr="00B86882">
              <w:t>43</w:t>
            </w:r>
            <w:r w:rsidR="001517F0" w:rsidRPr="00B86882">
              <w:t>1</w:t>
            </w:r>
            <w:r w:rsidRPr="00B86882">
              <w:t>.</w:t>
            </w:r>
            <w:r w:rsidR="00B7490A" w:rsidRPr="00B86882">
              <w:t>077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425.050</w:t>
            </w:r>
          </w:p>
        </w:tc>
      </w:tr>
      <w:tr w:rsidR="001517F0" w:rsidRPr="00B7490A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A32AE5">
            <w:r w:rsidRPr="00134519">
              <w:t xml:space="preserve">          Demais Créditos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7490A" w:rsidRDefault="00151F7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1517F0" w:rsidP="00A32AE5">
            <w:pPr>
              <w:jc w:val="right"/>
            </w:pPr>
            <w:r w:rsidRPr="00B86882">
              <w:t>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70</w:t>
            </w:r>
          </w:p>
        </w:tc>
      </w:tr>
      <w:tr w:rsidR="001F3542" w:rsidRPr="00B7490A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A32AE5">
            <w:r w:rsidRPr="00134519">
              <w:t xml:space="preserve">   Imobilizado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9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7490A" w:rsidRDefault="00151F7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B7490A" w:rsidP="00A32AE5">
            <w:pPr>
              <w:jc w:val="right"/>
            </w:pPr>
            <w:r w:rsidRPr="00B86882">
              <w:t>967.457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923.818</w:t>
            </w:r>
          </w:p>
        </w:tc>
      </w:tr>
      <w:tr w:rsidR="001F3542" w:rsidRPr="00B7490A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7490A" w:rsidRDefault="00151F70" w:rsidP="00A32AE5">
            <w:r w:rsidRPr="00B7490A">
              <w:t xml:space="preserve">   Intangível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7490A" w:rsidRDefault="00151F7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B86882" w:rsidRDefault="006A6ABF" w:rsidP="00B7490A">
            <w:pPr>
              <w:jc w:val="right"/>
            </w:pPr>
            <w:r w:rsidRPr="00B86882">
              <w:t>2.</w:t>
            </w:r>
            <w:r w:rsidR="00CE1097" w:rsidRPr="00B86882">
              <w:t>0</w:t>
            </w:r>
            <w:r w:rsidR="00B7490A" w:rsidRPr="00B86882">
              <w:t>75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2.194</w:t>
            </w:r>
          </w:p>
        </w:tc>
      </w:tr>
      <w:tr w:rsidR="001517F0" w:rsidRPr="001517F0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517F0" w:rsidRDefault="00151F7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B86882" w:rsidRDefault="00CE1097" w:rsidP="00317C48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 xml:space="preserve">  </w:t>
            </w:r>
            <w:r w:rsidR="00761771" w:rsidRPr="00B86882">
              <w:rPr>
                <w:b/>
                <w:bCs/>
              </w:rPr>
              <w:t>1.402.474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8A1483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>1.352.768</w:t>
            </w:r>
          </w:p>
        </w:tc>
      </w:tr>
      <w:tr w:rsidR="001517F0" w:rsidRPr="001517F0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517F0" w:rsidRDefault="00151F7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</w:pPr>
            <w:r w:rsidRPr="001517F0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</w:pPr>
            <w:r w:rsidRPr="001517F0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B86882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8A1483">
            <w:pPr>
              <w:jc w:val="right"/>
            </w:pPr>
            <w:r w:rsidRPr="00B86882">
              <w:t> </w:t>
            </w:r>
          </w:p>
        </w:tc>
      </w:tr>
      <w:tr w:rsidR="006969E1" w:rsidRPr="006969E1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969E1" w:rsidRDefault="00151F70" w:rsidP="00A32AE5">
            <w:pPr>
              <w:rPr>
                <w:b/>
                <w:bCs/>
              </w:rPr>
            </w:pPr>
            <w:r w:rsidRPr="006969E1">
              <w:rPr>
                <w:b/>
                <w:bCs/>
              </w:rPr>
              <w:t xml:space="preserve">  Total do Ativo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B86882" w:rsidRDefault="00761771" w:rsidP="00CE1097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>1.790.13</w:t>
            </w:r>
            <w:r w:rsidR="00A853E7" w:rsidRPr="00B86882">
              <w:rPr>
                <w:b/>
                <w:bCs/>
              </w:rPr>
              <w:t>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B86882" w:rsidRDefault="00151F70" w:rsidP="008A1483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>1.717.856</w:t>
            </w:r>
          </w:p>
        </w:tc>
      </w:tr>
    </w:tbl>
    <w:p w:rsidR="00C843EB" w:rsidRDefault="00C843EB" w:rsidP="00C843EB"/>
    <w:p w:rsidR="001517F0" w:rsidRPr="00974F25" w:rsidRDefault="001517F0" w:rsidP="00C843EB"/>
    <w:p w:rsidR="00C843EB" w:rsidRPr="00974F25" w:rsidRDefault="00C843EB" w:rsidP="00C843EB">
      <w:pPr>
        <w:jc w:val="center"/>
      </w:pPr>
    </w:p>
    <w:p w:rsidR="00C843EB" w:rsidRDefault="00DF06DB" w:rsidP="00606533">
      <w:r w:rsidRPr="00974F25">
        <w:t>A</w:t>
      </w:r>
      <w:r w:rsidR="00C843EB" w:rsidRPr="00974F25">
        <w:t>s notas explicativas são parte integran</w:t>
      </w:r>
      <w:r w:rsidR="00606533" w:rsidRPr="00974F25">
        <w:t>te das demonstrações contábeis.</w:t>
      </w:r>
    </w:p>
    <w:p w:rsidR="001517F0" w:rsidRDefault="001517F0" w:rsidP="00606533"/>
    <w:p w:rsidR="001517F0" w:rsidRPr="00974F25" w:rsidRDefault="001517F0" w:rsidP="00606533"/>
    <w:p w:rsidR="0049721C" w:rsidRPr="001F3542" w:rsidRDefault="0049721C" w:rsidP="0049721C">
      <w:pPr>
        <w:rPr>
          <w:b/>
          <w:color w:val="FF0000"/>
        </w:rPr>
      </w:pPr>
    </w:p>
    <w:p w:rsidR="0049721C" w:rsidRPr="001F3542" w:rsidRDefault="0049721C">
      <w:pPr>
        <w:rPr>
          <w:color w:val="FF0000"/>
        </w:rPr>
      </w:pPr>
      <w:r w:rsidRPr="001F3542">
        <w:rPr>
          <w:b/>
          <w:color w:val="FF0000"/>
        </w:rPr>
        <w:br w:type="page"/>
      </w:r>
    </w:p>
    <w:p w:rsidR="0049721C" w:rsidRPr="001F3542" w:rsidRDefault="0049721C" w:rsidP="00CD7310">
      <w:pPr>
        <w:pStyle w:val="Ttulo1"/>
        <w:jc w:val="left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4"/>
        <w:gridCol w:w="1006"/>
        <w:gridCol w:w="205"/>
        <w:gridCol w:w="1140"/>
        <w:gridCol w:w="297"/>
        <w:gridCol w:w="1140"/>
      </w:tblGrid>
      <w:tr w:rsidR="001F3542" w:rsidRPr="00974F25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8A150C" w:rsidP="001F35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151F70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31/12/201</w:t>
            </w:r>
            <w:r w:rsidR="00151F70" w:rsidRPr="00974F25">
              <w:rPr>
                <w:b/>
                <w:bCs/>
              </w:rPr>
              <w:t>9</w:t>
            </w:r>
          </w:p>
        </w:tc>
      </w:tr>
      <w:tr w:rsidR="001F3542" w:rsidRPr="001F3542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</w:pPr>
            <w:r w:rsidRPr="00974F2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jc w:val="center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FD6DFF" w:rsidRDefault="00652D4A" w:rsidP="00652D4A">
            <w:pPr>
              <w:jc w:val="right"/>
            </w:pPr>
            <w:r w:rsidRPr="00FD6DFF">
              <w:t> </w:t>
            </w:r>
          </w:p>
        </w:tc>
      </w:tr>
      <w:tr w:rsidR="00AC5DA1" w:rsidRPr="00A0362D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796359" w:rsidRDefault="00171547" w:rsidP="00652D4A">
            <w:pPr>
              <w:jc w:val="right"/>
            </w:pPr>
            <w:r w:rsidRPr="00796359">
              <w:t>26.473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652D4A">
            <w:pPr>
              <w:jc w:val="right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8A1483">
            <w:pPr>
              <w:jc w:val="right"/>
            </w:pPr>
            <w:r w:rsidRPr="00796359">
              <w:t>24.262</w:t>
            </w:r>
          </w:p>
        </w:tc>
      </w:tr>
      <w:tr w:rsidR="00AC5DA1" w:rsidRPr="00A0362D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36297" w:rsidRPr="00796359" w:rsidRDefault="00A0362D" w:rsidP="00936297">
            <w:pPr>
              <w:jc w:val="right"/>
            </w:pPr>
            <w:r w:rsidRPr="00796359">
              <w:t>1</w:t>
            </w:r>
            <w:r w:rsidR="00676956" w:rsidRPr="00796359">
              <w:t>.</w:t>
            </w:r>
            <w:r w:rsidR="00796359" w:rsidRPr="00796359">
              <w:t>83</w:t>
            </w:r>
            <w:r w:rsidRPr="00796359"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652D4A"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8A1483">
            <w:pPr>
              <w:jc w:val="right"/>
            </w:pPr>
            <w:r w:rsidRPr="00796359">
              <w:t>1.257</w:t>
            </w:r>
          </w:p>
        </w:tc>
      </w:tr>
      <w:tr w:rsidR="00171547" w:rsidRPr="0017154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71547" w:rsidRDefault="00151F70" w:rsidP="00652D4A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796359" w:rsidRDefault="00676956" w:rsidP="00652D4A">
            <w:pPr>
              <w:jc w:val="right"/>
            </w:pPr>
            <w:r w:rsidRPr="00796359">
              <w:t xml:space="preserve">  </w:t>
            </w:r>
            <w:r w:rsidR="00171547" w:rsidRPr="00796359">
              <w:t xml:space="preserve"> 68.819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652D4A"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8A1483">
            <w:pPr>
              <w:jc w:val="right"/>
            </w:pPr>
            <w:r w:rsidRPr="00796359">
              <w:t>63.579</w:t>
            </w:r>
          </w:p>
        </w:tc>
      </w:tr>
      <w:tr w:rsidR="00171547" w:rsidRPr="0017154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71547" w:rsidRDefault="00151F70" w:rsidP="00652D4A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796359" w:rsidRDefault="00171547" w:rsidP="00171547">
            <w:pPr>
              <w:jc w:val="right"/>
            </w:pPr>
            <w:r w:rsidRPr="00796359">
              <w:t>190</w:t>
            </w:r>
            <w:r w:rsidR="00312636" w:rsidRPr="00796359">
              <w:t>.</w:t>
            </w:r>
            <w:r w:rsidRPr="00796359">
              <w:t>428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652D4A"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8A1483">
            <w:pPr>
              <w:jc w:val="right"/>
            </w:pPr>
            <w:r w:rsidRPr="00796359">
              <w:t>175.522</w:t>
            </w:r>
          </w:p>
        </w:tc>
      </w:tr>
      <w:tr w:rsidR="00171547" w:rsidRPr="0017154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71547" w:rsidRDefault="00151F70" w:rsidP="00652D4A">
            <w:pPr>
              <w:jc w:val="center"/>
            </w:pPr>
            <w:r w:rsidRPr="00171547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796359" w:rsidRDefault="00171547" w:rsidP="00171547">
            <w:pPr>
              <w:jc w:val="right"/>
            </w:pPr>
            <w:r w:rsidRPr="00796359">
              <w:t>6</w:t>
            </w:r>
            <w:r w:rsidR="00676956" w:rsidRPr="00796359">
              <w:t>.</w:t>
            </w:r>
            <w:r w:rsidRPr="00796359">
              <w:t>98</w:t>
            </w:r>
            <w:r w:rsidR="00F55239">
              <w:t>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652D4A"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796359" w:rsidRDefault="00151F70" w:rsidP="008A1483">
            <w:pPr>
              <w:jc w:val="right"/>
            </w:pPr>
            <w:r w:rsidRPr="00796359">
              <w:t>7.316</w:t>
            </w:r>
          </w:p>
        </w:tc>
      </w:tr>
      <w:tr w:rsidR="001D72EF" w:rsidRPr="001D72EF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D72EF" w:rsidRDefault="00151F70" w:rsidP="00652D4A">
            <w:pPr>
              <w:jc w:val="center"/>
              <w:rPr>
                <w:b/>
                <w:bCs/>
              </w:rPr>
            </w:pPr>
            <w:r w:rsidRPr="001D72EF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1D72EF" w:rsidRDefault="001D72EF" w:rsidP="001D72EF">
            <w:pPr>
              <w:jc w:val="right"/>
              <w:rPr>
                <w:b/>
                <w:bCs/>
              </w:rPr>
            </w:pPr>
            <w:r w:rsidRPr="001D72EF">
              <w:rPr>
                <w:b/>
                <w:bCs/>
              </w:rPr>
              <w:t>294</w:t>
            </w:r>
            <w:r w:rsidR="00A0362D" w:rsidRPr="001D72EF">
              <w:rPr>
                <w:b/>
                <w:bCs/>
              </w:rPr>
              <w:t>.</w:t>
            </w:r>
            <w:r w:rsidRPr="001D72EF">
              <w:rPr>
                <w:b/>
                <w:bCs/>
              </w:rPr>
              <w:t>53</w:t>
            </w:r>
            <w:r w:rsidR="00F55239">
              <w:rPr>
                <w:b/>
                <w:bCs/>
              </w:rPr>
              <w:t>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D72EF" w:rsidRDefault="00151F70" w:rsidP="00652D4A">
            <w:pPr>
              <w:rPr>
                <w:b/>
                <w:bCs/>
              </w:rPr>
            </w:pPr>
            <w:r w:rsidRPr="001D72EF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1D72EF" w:rsidRDefault="00151F70" w:rsidP="008A1483">
            <w:pPr>
              <w:jc w:val="right"/>
              <w:rPr>
                <w:b/>
                <w:bCs/>
              </w:rPr>
            </w:pPr>
            <w:r w:rsidRPr="001D72EF">
              <w:rPr>
                <w:b/>
                <w:bCs/>
              </w:rPr>
              <w:t>271.936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21716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Exigível </w:t>
            </w:r>
            <w:proofErr w:type="gramStart"/>
            <w:r w:rsidRPr="00134519">
              <w:t>a Longo Prazo</w:t>
            </w:r>
            <w:proofErr w:type="gram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21716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8D4AF2" w:rsidRPr="008D4AF2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8D4AF2" w:rsidRDefault="00151F70" w:rsidP="00652D4A">
            <w:pPr>
              <w:jc w:val="center"/>
              <w:rPr>
                <w:b/>
                <w:bCs/>
              </w:rPr>
            </w:pPr>
            <w:r w:rsidRPr="008D4AF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8D4AF2" w:rsidRDefault="008D4AF2" w:rsidP="001D72EF">
            <w:pPr>
              <w:jc w:val="right"/>
            </w:pPr>
            <w:r w:rsidRPr="008D4AF2">
              <w:t>7.</w:t>
            </w:r>
            <w:r w:rsidR="001D72EF">
              <w:t>915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8D4AF2" w:rsidRDefault="00151F70" w:rsidP="00652D4A">
            <w:r w:rsidRPr="008D4AF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8D4AF2" w:rsidRDefault="00151F70" w:rsidP="008A1483">
            <w:pPr>
              <w:jc w:val="right"/>
            </w:pPr>
            <w:r w:rsidRPr="008D4AF2">
              <w:t>87</w:t>
            </w:r>
          </w:p>
        </w:tc>
      </w:tr>
      <w:tr w:rsidR="00686221" w:rsidRPr="0068622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86221" w:rsidRDefault="00151F70" w:rsidP="00652D4A">
            <w:pPr>
              <w:jc w:val="center"/>
              <w:rPr>
                <w:b/>
                <w:bCs/>
              </w:rPr>
            </w:pPr>
            <w:r w:rsidRPr="0068622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686221" w:rsidRDefault="00B17124" w:rsidP="00686221">
            <w:pPr>
              <w:jc w:val="right"/>
            </w:pPr>
            <w:r w:rsidRPr="00686221">
              <w:t>4</w:t>
            </w:r>
            <w:r w:rsidR="00676956" w:rsidRPr="00686221">
              <w:t>3</w:t>
            </w:r>
            <w:r w:rsidR="00AC5DA1" w:rsidRPr="00686221">
              <w:t>1</w:t>
            </w:r>
            <w:r w:rsidRPr="00686221">
              <w:t>.</w:t>
            </w:r>
            <w:r w:rsidR="00686221" w:rsidRPr="00686221">
              <w:t>077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86221" w:rsidRDefault="00151F70" w:rsidP="00652D4A">
            <w:r w:rsidRPr="0068622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686221" w:rsidRDefault="00151F70" w:rsidP="008A1483">
            <w:pPr>
              <w:jc w:val="right"/>
            </w:pPr>
            <w:r w:rsidRPr="00686221">
              <w:t>425.050</w:t>
            </w:r>
          </w:p>
        </w:tc>
      </w:tr>
      <w:tr w:rsidR="00AC5DA1" w:rsidRPr="00AC5DA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pPr>
              <w:jc w:val="right"/>
            </w:pPr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221716" w:rsidRDefault="00CE1097" w:rsidP="00254AA5">
            <w:pPr>
              <w:jc w:val="right"/>
              <w:rPr>
                <w:b/>
                <w:bCs/>
                <w:color w:val="FF0000"/>
              </w:rPr>
            </w:pPr>
            <w:r w:rsidRPr="001D72EF">
              <w:rPr>
                <w:b/>
                <w:bCs/>
              </w:rPr>
              <w:t xml:space="preserve">  </w:t>
            </w:r>
            <w:r w:rsidR="001D72EF" w:rsidRPr="001D72EF">
              <w:rPr>
                <w:b/>
                <w:bCs/>
              </w:rPr>
              <w:t>438</w:t>
            </w:r>
            <w:r w:rsidR="00AC5DA1" w:rsidRPr="001D72EF">
              <w:rPr>
                <w:b/>
                <w:bCs/>
              </w:rPr>
              <w:t>.</w:t>
            </w:r>
            <w:r w:rsidR="001D72EF" w:rsidRPr="001D72EF">
              <w:rPr>
                <w:b/>
                <w:bCs/>
              </w:rPr>
              <w:t>992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8A1483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425.137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21716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34519" w:rsidRDefault="00151F7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21716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796359" w:rsidRPr="00796359" w:rsidTr="00C27A6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134519" w:rsidRDefault="00AC5DA1" w:rsidP="00652D4A">
            <w:r w:rsidRPr="00134519"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134519" w:rsidRDefault="00AC5DA1" w:rsidP="00652D4A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5DA1" w:rsidRPr="00796359" w:rsidRDefault="00AC5DA1" w:rsidP="00C27A6A">
            <w:pPr>
              <w:jc w:val="right"/>
            </w:pPr>
            <w:r w:rsidRPr="00796359">
              <w:t xml:space="preserve">  1.163.342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C27A6A">
            <w:pPr>
              <w:jc w:val="right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C27A6A">
            <w:pPr>
              <w:jc w:val="right"/>
            </w:pPr>
            <w:r w:rsidRPr="00796359">
              <w:t>1.107.52</w:t>
            </w:r>
            <w:r w:rsidR="004A498F" w:rsidRPr="00796359">
              <w:t>2</w:t>
            </w:r>
          </w:p>
        </w:tc>
      </w:tr>
      <w:tr w:rsidR="00796359" w:rsidRPr="00796359" w:rsidTr="00C27A6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134519" w:rsidRDefault="00AC5DA1" w:rsidP="00652D4A">
            <w:r w:rsidRPr="00134519"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134519" w:rsidRDefault="00AC5DA1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5DA1" w:rsidRPr="00796359" w:rsidRDefault="00AC5DA1" w:rsidP="00796359">
            <w:pPr>
              <w:jc w:val="right"/>
            </w:pPr>
            <w:r w:rsidRPr="00796359">
              <w:t xml:space="preserve">        5</w:t>
            </w:r>
            <w:r w:rsidR="00796359" w:rsidRPr="00796359">
              <w:t>9</w:t>
            </w:r>
            <w:r w:rsidRPr="00796359">
              <w:t>.</w:t>
            </w:r>
            <w:r w:rsidR="00796359" w:rsidRPr="00796359">
              <w:t>820</w:t>
            </w:r>
            <w:r w:rsidRPr="00796359"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C27A6A">
            <w:pPr>
              <w:jc w:val="right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C27A6A">
            <w:pPr>
              <w:jc w:val="right"/>
            </w:pPr>
            <w:r w:rsidRPr="00796359">
              <w:t>55.820</w:t>
            </w:r>
          </w:p>
        </w:tc>
      </w:tr>
      <w:tr w:rsidR="00796359" w:rsidRPr="00796359" w:rsidTr="00C27A6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134519" w:rsidRDefault="00AC5DA1" w:rsidP="00652D4A">
            <w:r w:rsidRPr="00134519"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134519" w:rsidRDefault="00AC5DA1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</w:t>
            </w:r>
            <w:r w:rsidR="00134519">
              <w:rPr>
                <w:b/>
                <w:bCs/>
              </w:rPr>
              <w:t>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5DA1" w:rsidRPr="00796359" w:rsidRDefault="00AC5DA1" w:rsidP="00796359">
            <w:pPr>
              <w:jc w:val="right"/>
            </w:pPr>
            <w:r w:rsidRPr="00796359">
              <w:t xml:space="preserve">    (</w:t>
            </w:r>
            <w:r w:rsidR="00796359" w:rsidRPr="00796359">
              <w:t>16</w:t>
            </w:r>
            <w:r w:rsidRPr="00796359">
              <w:t>.</w:t>
            </w:r>
            <w:r w:rsidR="00796359" w:rsidRPr="00796359">
              <w:t>163</w:t>
            </w:r>
            <w:r w:rsidRPr="00796359">
              <w:t xml:space="preserve">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C27A6A">
            <w:pPr>
              <w:jc w:val="right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C27A6A">
            <w:pPr>
              <w:jc w:val="right"/>
            </w:pPr>
            <w:r w:rsidRPr="00796359">
              <w:t>(16.030)</w:t>
            </w:r>
          </w:p>
        </w:tc>
      </w:tr>
      <w:tr w:rsidR="00796359" w:rsidRPr="00796359" w:rsidTr="00C27A6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796359" w:rsidRDefault="00AC5DA1" w:rsidP="00652D4A">
            <w:r w:rsidRPr="00796359"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652D4A">
            <w:pPr>
              <w:jc w:val="center"/>
            </w:pPr>
            <w:r w:rsidRPr="0079635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C5DA1" w:rsidRPr="00796359" w:rsidRDefault="00AC5DA1" w:rsidP="00796359">
            <w:pPr>
              <w:jc w:val="right"/>
            </w:pPr>
            <w:r w:rsidRPr="00796359">
              <w:t xml:space="preserve">   (1</w:t>
            </w:r>
            <w:r w:rsidR="00796359" w:rsidRPr="00796359">
              <w:t>50</w:t>
            </w:r>
            <w:r w:rsidRPr="00796359">
              <w:t>.</w:t>
            </w:r>
            <w:r w:rsidR="002A4053">
              <w:t>394</w:t>
            </w:r>
            <w:r w:rsidRPr="00796359">
              <w:t xml:space="preserve">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AC5DA1" w:rsidP="00C27A6A">
            <w:pPr>
              <w:jc w:val="right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DA1" w:rsidRPr="00796359" w:rsidRDefault="004A498F" w:rsidP="00C27A6A">
            <w:pPr>
              <w:jc w:val="right"/>
            </w:pPr>
            <w:r w:rsidRPr="00796359">
              <w:t>(126.529</w:t>
            </w:r>
            <w:r w:rsidR="00AC5DA1" w:rsidRPr="00796359">
              <w:t>)</w:t>
            </w:r>
          </w:p>
        </w:tc>
      </w:tr>
      <w:tr w:rsidR="002A4053" w:rsidRPr="002A4053" w:rsidTr="00C27A6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2A4053" w:rsidRDefault="00151F70" w:rsidP="00652D4A">
            <w:pPr>
              <w:jc w:val="right"/>
            </w:pPr>
            <w:r w:rsidRPr="002A4053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A4053" w:rsidRDefault="00151F70" w:rsidP="00652D4A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A4053" w:rsidRDefault="00151F70" w:rsidP="00652D4A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2A4053" w:rsidRDefault="002A4053" w:rsidP="00C27A6A">
            <w:pPr>
              <w:jc w:val="right"/>
              <w:rPr>
                <w:b/>
                <w:bCs/>
              </w:rPr>
            </w:pPr>
            <w:r w:rsidRPr="002A4053">
              <w:rPr>
                <w:b/>
                <w:bCs/>
              </w:rPr>
              <w:t>1.056.605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A4053" w:rsidRDefault="00151F70" w:rsidP="00C27A6A">
            <w:pPr>
              <w:jc w:val="right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2A4053" w:rsidRDefault="00151F70" w:rsidP="00C27A6A">
            <w:pPr>
              <w:jc w:val="right"/>
              <w:rPr>
                <w:b/>
                <w:bCs/>
              </w:rPr>
            </w:pPr>
            <w:r w:rsidRPr="002A4053">
              <w:rPr>
                <w:b/>
                <w:bCs/>
              </w:rPr>
              <w:t>1.020.783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221716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063169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063169" w:rsidRDefault="00151F70" w:rsidP="00652D4A">
            <w:r w:rsidRPr="00063169">
              <w:t xml:space="preserve">  </w:t>
            </w:r>
            <w:r w:rsidRPr="00063169">
              <w:rPr>
                <w:b/>
                <w:bCs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63169" w:rsidRDefault="00151F70" w:rsidP="00652D4A">
            <w:pPr>
              <w:jc w:val="center"/>
              <w:rPr>
                <w:b/>
                <w:bCs/>
              </w:rPr>
            </w:pPr>
            <w:r w:rsidRPr="0006316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63169" w:rsidRDefault="00151F70" w:rsidP="00652D4A">
            <w:pPr>
              <w:jc w:val="center"/>
              <w:rPr>
                <w:b/>
                <w:bCs/>
              </w:rPr>
            </w:pPr>
            <w:r w:rsidRPr="00063169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063169" w:rsidRDefault="00063169" w:rsidP="00EA0D27">
            <w:pPr>
              <w:jc w:val="right"/>
              <w:rPr>
                <w:b/>
                <w:bCs/>
              </w:rPr>
            </w:pPr>
            <w:r w:rsidRPr="00063169">
              <w:rPr>
                <w:b/>
                <w:bCs/>
              </w:rPr>
              <w:t>1.790.134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63169" w:rsidRDefault="00151F70" w:rsidP="00652D4A">
            <w:pPr>
              <w:jc w:val="right"/>
              <w:rPr>
                <w:b/>
                <w:bCs/>
              </w:rPr>
            </w:pPr>
            <w:r w:rsidRPr="00063169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063169" w:rsidRDefault="001D72EF" w:rsidP="008A148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1.717.</w:t>
            </w:r>
            <w:r w:rsidR="00151F70" w:rsidRPr="00063169">
              <w:rPr>
                <w:b/>
                <w:bCs/>
              </w:rPr>
              <w:t>856</w:t>
            </w:r>
          </w:p>
        </w:tc>
      </w:tr>
    </w:tbl>
    <w:p w:rsidR="003B1386" w:rsidRDefault="003B1386" w:rsidP="00CD7AFB">
      <w:pPr>
        <w:jc w:val="center"/>
        <w:rPr>
          <w:color w:val="FF0000"/>
        </w:rPr>
      </w:pPr>
    </w:p>
    <w:p w:rsidR="003B1386" w:rsidRDefault="003B1386" w:rsidP="00CD7AFB">
      <w:pPr>
        <w:jc w:val="center"/>
        <w:rPr>
          <w:color w:val="FF0000"/>
        </w:rPr>
      </w:pPr>
    </w:p>
    <w:p w:rsidR="00CD7AFB" w:rsidRPr="00974F25" w:rsidRDefault="00CD7AFB" w:rsidP="00CD7AFB">
      <w:pPr>
        <w:jc w:val="center"/>
      </w:pPr>
    </w:p>
    <w:p w:rsidR="00CD7AFB" w:rsidRPr="00974F25" w:rsidRDefault="00DF06DB" w:rsidP="00606533">
      <w:r w:rsidRPr="00974F25">
        <w:t>A</w:t>
      </w:r>
      <w:r w:rsidR="00CD7AFB" w:rsidRPr="00974F25">
        <w:t>s notas explicativas são parte integran</w:t>
      </w:r>
      <w:r w:rsidR="00606533" w:rsidRPr="00974F25">
        <w:t>te das demonstrações contábeis.</w:t>
      </w:r>
    </w:p>
    <w:p w:rsidR="00CD7AFB" w:rsidRPr="00974F25" w:rsidRDefault="00CD7AFB" w:rsidP="00CD7AFB">
      <w:pPr>
        <w:rPr>
          <w:b/>
        </w:rPr>
      </w:pPr>
    </w:p>
    <w:p w:rsidR="002C7C23" w:rsidRPr="001F3542" w:rsidRDefault="002C7C23" w:rsidP="00CD7AFB">
      <w:pPr>
        <w:rPr>
          <w:b/>
          <w:color w:val="FF0000"/>
        </w:rPr>
      </w:pPr>
    </w:p>
    <w:p w:rsidR="001A1DC1" w:rsidRPr="001F3542" w:rsidRDefault="001A1DC1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137070" w:rsidRPr="001F3542" w:rsidRDefault="00137070" w:rsidP="00B63A81">
      <w:pPr>
        <w:rPr>
          <w:color w:val="FF0000"/>
          <w:sz w:val="16"/>
          <w:szCs w:val="16"/>
        </w:rPr>
      </w:pPr>
    </w:p>
    <w:p w:rsidR="00137070" w:rsidRPr="001F3542" w:rsidRDefault="00137070">
      <w:pPr>
        <w:rPr>
          <w:color w:val="FF0000"/>
          <w:sz w:val="16"/>
          <w:szCs w:val="16"/>
        </w:rPr>
      </w:pPr>
      <w:r w:rsidRPr="001F3542">
        <w:rPr>
          <w:color w:val="FF0000"/>
          <w:sz w:val="16"/>
          <w:szCs w:val="16"/>
        </w:rPr>
        <w:br w:type="page"/>
      </w:r>
    </w:p>
    <w:p w:rsidR="00137070" w:rsidRPr="0078552D" w:rsidRDefault="00137070" w:rsidP="00B63A81">
      <w:pPr>
        <w:rPr>
          <w:sz w:val="16"/>
          <w:szCs w:val="16"/>
        </w:rPr>
      </w:pPr>
    </w:p>
    <w:tbl>
      <w:tblPr>
        <w:tblW w:w="475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629"/>
        <w:gridCol w:w="338"/>
        <w:gridCol w:w="1475"/>
        <w:gridCol w:w="287"/>
        <w:gridCol w:w="1342"/>
      </w:tblGrid>
      <w:tr w:rsidR="00221716" w:rsidRPr="00221716" w:rsidTr="004444F0">
        <w:tc>
          <w:tcPr>
            <w:tcW w:w="26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u w:val="single"/>
              </w:rPr>
            </w:pPr>
            <w:r w:rsidRPr="00221716">
              <w:rPr>
                <w:b/>
                <w:bCs/>
                <w:u w:val="single"/>
              </w:rPr>
              <w:t>Nota</w:t>
            </w:r>
          </w:p>
        </w:tc>
        <w:tc>
          <w:tcPr>
            <w:tcW w:w="193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ind w:left="172"/>
              <w:jc w:val="center"/>
              <w:rPr>
                <w:b/>
                <w:bCs/>
              </w:rPr>
            </w:pPr>
          </w:p>
        </w:tc>
        <w:tc>
          <w:tcPr>
            <w:tcW w:w="842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21716" w:rsidRDefault="00221716" w:rsidP="00221716">
            <w:pPr>
              <w:jc w:val="right"/>
              <w:rPr>
                <w:b/>
              </w:rPr>
            </w:pPr>
            <w:r w:rsidRPr="00221716">
              <w:rPr>
                <w:b/>
              </w:rPr>
              <w:t>31/12/20</w:t>
            </w:r>
            <w:r>
              <w:rPr>
                <w:b/>
              </w:rPr>
              <w:t>20</w:t>
            </w:r>
          </w:p>
        </w:tc>
        <w:tc>
          <w:tcPr>
            <w:tcW w:w="164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21716" w:rsidRDefault="00221716" w:rsidP="00221716">
            <w:pPr>
              <w:jc w:val="right"/>
              <w:rPr>
                <w:b/>
              </w:rPr>
            </w:pPr>
          </w:p>
        </w:tc>
        <w:tc>
          <w:tcPr>
            <w:tcW w:w="766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  <w:rPr>
                <w:b/>
              </w:rPr>
            </w:pPr>
            <w:r w:rsidRPr="004444F0">
              <w:rPr>
                <w:b/>
              </w:rPr>
              <w:t>31/12/2019</w:t>
            </w:r>
          </w:p>
        </w:tc>
      </w:tr>
      <w:tr w:rsidR="00221716" w:rsidRPr="00221716" w:rsidTr="004444F0">
        <w:tc>
          <w:tcPr>
            <w:tcW w:w="26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193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1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EB0B5F" w:rsidRPr="00221716" w:rsidTr="00180A4F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</w:rPr>
            </w:pPr>
            <w:r w:rsidRPr="00221716">
              <w:rPr>
                <w:b/>
                <w:bCs/>
              </w:rPr>
              <w:t>Receita Operacional Bruta</w:t>
            </w:r>
          </w:p>
        </w:tc>
        <w:tc>
          <w:tcPr>
            <w:tcW w:w="359" w:type="pct"/>
            <w:vAlign w:val="bottom"/>
          </w:tcPr>
          <w:p w:rsidR="00EB0B5F" w:rsidRPr="00221716" w:rsidRDefault="00EB0B5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B0B5F" w:rsidRPr="00197055" w:rsidRDefault="00EB0B5F" w:rsidP="00EB0B5F">
            <w:pPr>
              <w:jc w:val="right"/>
            </w:pPr>
            <w:r w:rsidRPr="00197055">
              <w:t xml:space="preserve"> 252.627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  <w:color w:val="FF000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 xml:space="preserve">243.622 </w:t>
            </w:r>
          </w:p>
        </w:tc>
      </w:tr>
      <w:tr w:rsidR="00EB0B5F" w:rsidRPr="00221716" w:rsidTr="00180A4F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Serviços Prestados</w:t>
            </w:r>
          </w:p>
        </w:tc>
        <w:tc>
          <w:tcPr>
            <w:tcW w:w="359" w:type="pct"/>
            <w:vAlign w:val="bottom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B0B5F" w:rsidRDefault="00EB0B5F" w:rsidP="00EB0B5F">
            <w:pPr>
              <w:jc w:val="right"/>
            </w:pPr>
            <w:r w:rsidRPr="00197055">
              <w:t xml:space="preserve"> 252.627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 xml:space="preserve">243.622 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221716" w:rsidRPr="004444F0" w:rsidRDefault="00221716" w:rsidP="004444F0">
            <w:pPr>
              <w:jc w:val="right"/>
              <w:rPr>
                <w:color w:val="FF0000"/>
              </w:rPr>
            </w:pPr>
          </w:p>
        </w:tc>
      </w:tr>
      <w:tr w:rsidR="00EB0B5F" w:rsidRPr="00221716" w:rsidTr="00180A4F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</w:rPr>
            </w:pPr>
            <w:r w:rsidRPr="00221716">
              <w:rPr>
                <w:b/>
                <w:bCs/>
              </w:rPr>
              <w:t>Deduções Da Receita Bruta</w:t>
            </w:r>
          </w:p>
        </w:tc>
        <w:tc>
          <w:tcPr>
            <w:tcW w:w="359" w:type="pct"/>
            <w:vAlign w:val="bottom"/>
          </w:tcPr>
          <w:p w:rsidR="00EB0B5F" w:rsidRPr="00221716" w:rsidRDefault="00EB0B5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B0B5F" w:rsidRPr="007D7439" w:rsidRDefault="00EB0B5F" w:rsidP="00EB0B5F">
            <w:pPr>
              <w:jc w:val="right"/>
            </w:pPr>
            <w:r>
              <w:t>(</w:t>
            </w:r>
            <w:r w:rsidRPr="007D7439">
              <w:t>2.063</w:t>
            </w:r>
            <w:r>
              <w:t>)</w:t>
            </w:r>
            <w:r w:rsidRPr="007D7439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  <w:color w:val="FF000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(2.615)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PIS sobre Faturamento</w:t>
            </w:r>
          </w:p>
        </w:tc>
        <w:tc>
          <w:tcPr>
            <w:tcW w:w="359" w:type="pct"/>
            <w:vAlign w:val="bottom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B0B5F" w:rsidRPr="007D7439" w:rsidRDefault="00EB0B5F" w:rsidP="00EB0B5F">
            <w:pPr>
              <w:jc w:val="right"/>
            </w:pPr>
            <w:r>
              <w:t>(</w:t>
            </w:r>
            <w:r w:rsidRPr="007D7439">
              <w:t>361</w:t>
            </w:r>
            <w:r>
              <w:t>)</w:t>
            </w:r>
            <w:r w:rsidRPr="007D7439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(466)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COFINS sobre Faturamento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Pr="007D7439" w:rsidRDefault="00EB0B5F" w:rsidP="00EB0B5F">
            <w:pPr>
              <w:jc w:val="right"/>
            </w:pPr>
            <w:r>
              <w:t>(</w:t>
            </w:r>
            <w:r w:rsidRPr="007D7439">
              <w:t>1.668</w:t>
            </w:r>
            <w:r>
              <w:t>)</w:t>
            </w:r>
            <w:r w:rsidRPr="007D7439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(2.149)</w:t>
            </w:r>
          </w:p>
        </w:tc>
      </w:tr>
      <w:tr w:rsidR="00EB0B5F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EB0B5F" w:rsidRPr="00221716" w:rsidRDefault="00EB0B5F" w:rsidP="005E3CC2">
            <w:r w:rsidRPr="00221716">
              <w:t xml:space="preserve">   ISS sobre Faturamento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  <w:rPr>
                <w:bCs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bCs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Default="00EB0B5F" w:rsidP="00EB0B5F">
            <w:pPr>
              <w:jc w:val="right"/>
            </w:pPr>
            <w:r>
              <w:t>(</w:t>
            </w:r>
            <w:r w:rsidRPr="007D7439">
              <w:t>34</w:t>
            </w:r>
            <w:r>
              <w:t>)</w:t>
            </w:r>
            <w:r w:rsidRPr="007D7439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EB0B5F" w:rsidRPr="004444F0" w:rsidRDefault="00EB0B5F" w:rsidP="004444F0">
            <w:pPr>
              <w:jc w:val="right"/>
            </w:pPr>
            <w:r w:rsidRPr="004444F0">
              <w:t>-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b/>
              </w:rPr>
            </w:pPr>
            <w:r w:rsidRPr="00221716">
              <w:rPr>
                <w:b/>
              </w:rPr>
              <w:t>Receita Operacional Liquida</w:t>
            </w:r>
          </w:p>
        </w:tc>
        <w:tc>
          <w:tcPr>
            <w:tcW w:w="359" w:type="pct"/>
            <w:vAlign w:val="bottom"/>
          </w:tcPr>
          <w:p w:rsidR="00221716" w:rsidRPr="00E66400" w:rsidRDefault="00221716" w:rsidP="00E66400">
            <w:pPr>
              <w:jc w:val="right"/>
              <w:rPr>
                <w:b/>
                <w:bCs/>
              </w:rPr>
            </w:pPr>
            <w:r w:rsidRPr="00E66400">
              <w:rPr>
                <w:b/>
                <w:bCs/>
              </w:rPr>
              <w:t>1</w:t>
            </w:r>
            <w:r w:rsidR="00E66400" w:rsidRPr="00E66400">
              <w:rPr>
                <w:b/>
                <w:bCs/>
              </w:rPr>
              <w:t>8</w:t>
            </w: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716" w:rsidRPr="00EB0B5F" w:rsidRDefault="00EB0B5F" w:rsidP="00EB0B5F">
            <w:pPr>
              <w:jc w:val="right"/>
              <w:rPr>
                <w:b/>
                <w:bCs/>
              </w:rPr>
            </w:pPr>
            <w:r w:rsidRPr="00EB0B5F">
              <w:rPr>
                <w:b/>
                <w:bCs/>
              </w:rPr>
              <w:t>250</w:t>
            </w:r>
            <w:r w:rsidR="00221716" w:rsidRPr="00EB0B5F">
              <w:rPr>
                <w:b/>
                <w:bCs/>
              </w:rPr>
              <w:t>.</w:t>
            </w:r>
            <w:r w:rsidRPr="00EB0B5F">
              <w:rPr>
                <w:b/>
                <w:bCs/>
              </w:rPr>
              <w:t>564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b/>
                <w:color w:val="FF000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1716" w:rsidRPr="004444F0" w:rsidRDefault="00221716" w:rsidP="004444F0">
            <w:pPr>
              <w:jc w:val="right"/>
              <w:rPr>
                <w:b/>
              </w:rPr>
            </w:pPr>
            <w:r w:rsidRPr="004444F0">
              <w:rPr>
                <w:b/>
              </w:rPr>
              <w:t xml:space="preserve">          </w:t>
            </w:r>
            <w:r w:rsidR="004444F0" w:rsidRPr="004444F0">
              <w:rPr>
                <w:b/>
              </w:rPr>
              <w:t>241.007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21716" w:rsidRPr="00EB0B5F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color w:val="FF000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  <w:rPr>
                <w:b/>
              </w:rPr>
            </w:pP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r w:rsidRPr="00221716">
              <w:t>Custos Dos Serviços</w:t>
            </w:r>
          </w:p>
        </w:tc>
        <w:tc>
          <w:tcPr>
            <w:tcW w:w="359" w:type="pct"/>
            <w:vAlign w:val="bottom"/>
          </w:tcPr>
          <w:p w:rsidR="00221716" w:rsidRPr="00E66400" w:rsidRDefault="00221716" w:rsidP="00E66400">
            <w:pPr>
              <w:jc w:val="right"/>
              <w:rPr>
                <w:b/>
                <w:bCs/>
              </w:rPr>
            </w:pPr>
            <w:r w:rsidRPr="00E66400">
              <w:rPr>
                <w:b/>
                <w:bCs/>
              </w:rPr>
              <w:t>1</w:t>
            </w:r>
            <w:r w:rsidR="00E66400" w:rsidRPr="00E66400">
              <w:rPr>
                <w:b/>
                <w:bCs/>
              </w:rPr>
              <w:t>9</w:t>
            </w: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Cs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221716" w:rsidRPr="00EB0B5F" w:rsidRDefault="00EB0B5F" w:rsidP="008373BD">
            <w:pPr>
              <w:jc w:val="right"/>
            </w:pPr>
            <w:r w:rsidRPr="00EB0B5F">
              <w:t>(1.335.862)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  <w:hideMark/>
          </w:tcPr>
          <w:p w:rsidR="00221716" w:rsidRPr="004444F0" w:rsidRDefault="004444F0" w:rsidP="004444F0">
            <w:pPr>
              <w:jc w:val="right"/>
            </w:pPr>
            <w:r w:rsidRPr="004444F0">
              <w:t>(1.238.888)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221716" w:rsidRPr="00221716" w:rsidRDefault="00221716" w:rsidP="008373BD">
            <w:pPr>
              <w:jc w:val="right"/>
              <w:rPr>
                <w:b/>
                <w:color w:val="FF0000"/>
              </w:rPr>
            </w:pPr>
            <w:r w:rsidRPr="00221716">
              <w:rPr>
                <w:b/>
                <w:color w:val="FF0000"/>
              </w:rPr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221716" w:rsidRPr="004444F0" w:rsidRDefault="00221716" w:rsidP="004444F0">
            <w:pPr>
              <w:jc w:val="right"/>
              <w:rPr>
                <w:b/>
              </w:rPr>
            </w:pP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b/>
              </w:rPr>
            </w:pPr>
            <w:r w:rsidRPr="00221716">
              <w:rPr>
                <w:b/>
              </w:rPr>
              <w:t>Resultado Operacional Bruto</w:t>
            </w: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716" w:rsidRPr="00EB0B5F" w:rsidRDefault="00221716" w:rsidP="00456CCF">
            <w:pPr>
              <w:jc w:val="right"/>
              <w:rPr>
                <w:b/>
                <w:bCs/>
              </w:rPr>
            </w:pPr>
            <w:r w:rsidRPr="00EB0B5F">
              <w:rPr>
                <w:b/>
                <w:bCs/>
              </w:rPr>
              <w:t>(</w:t>
            </w:r>
            <w:r w:rsidR="00EB0B5F" w:rsidRPr="00EB0B5F">
              <w:rPr>
                <w:b/>
                <w:bCs/>
              </w:rPr>
              <w:t>1.085.298</w:t>
            </w:r>
            <w:r w:rsidRPr="00EB0B5F">
              <w:rPr>
                <w:b/>
                <w:bCs/>
              </w:rPr>
              <w:t>)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221716" w:rsidRPr="00EB0B5F" w:rsidRDefault="00221716" w:rsidP="00456CCF">
            <w:pPr>
              <w:rPr>
                <w:b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1716" w:rsidRPr="004444F0" w:rsidRDefault="004444F0" w:rsidP="004444F0">
            <w:pPr>
              <w:jc w:val="right"/>
              <w:rPr>
                <w:b/>
              </w:rPr>
            </w:pPr>
            <w:r w:rsidRPr="004444F0">
              <w:rPr>
                <w:b/>
              </w:rPr>
              <w:t>(997.881)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  <w:color w:val="FF000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</w:rPr>
            </w:pPr>
            <w:r w:rsidRPr="00221716">
              <w:rPr>
                <w:b/>
                <w:bCs/>
              </w:rPr>
              <w:t>Despesas Operacionais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B0B5F" w:rsidRPr="009D0CE8" w:rsidRDefault="00EB0B5F" w:rsidP="00EB0B5F">
            <w:pPr>
              <w:jc w:val="right"/>
            </w:pPr>
            <w:r>
              <w:t>(</w:t>
            </w:r>
            <w:r w:rsidRPr="009D0CE8">
              <w:t>229.894</w:t>
            </w:r>
            <w:r>
              <w:t>)</w:t>
            </w:r>
            <w:r w:rsidRPr="009D0CE8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  <w:color w:val="FF000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(344.131)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Despesas Administrativas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E66400">
            <w:pPr>
              <w:jc w:val="right"/>
              <w:rPr>
                <w:b/>
              </w:rPr>
            </w:pPr>
            <w:r w:rsidRPr="00E66400">
              <w:rPr>
                <w:b/>
              </w:rPr>
              <w:t>1</w:t>
            </w:r>
            <w:r w:rsidR="00E66400" w:rsidRPr="00E66400">
              <w:rPr>
                <w:b/>
              </w:rPr>
              <w:t>9</w:t>
            </w: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B0B5F" w:rsidRPr="009D0CE8" w:rsidRDefault="00EB0B5F" w:rsidP="00EB0B5F">
            <w:pPr>
              <w:jc w:val="right"/>
            </w:pPr>
            <w:r>
              <w:t>(</w:t>
            </w:r>
            <w:r w:rsidRPr="009D0CE8">
              <w:t>221.526</w:t>
            </w:r>
            <w:r>
              <w:t>)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(217.609)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Provisão para Contingencias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E66400">
            <w:pPr>
              <w:jc w:val="right"/>
              <w:rPr>
                <w:b/>
              </w:rPr>
            </w:pPr>
            <w:r w:rsidRPr="00E66400">
              <w:rPr>
                <w:b/>
              </w:rPr>
              <w:t>1</w:t>
            </w:r>
            <w:r w:rsidR="00E66400" w:rsidRPr="00E66400">
              <w:rPr>
                <w:b/>
              </w:rPr>
              <w:t>9</w:t>
            </w: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Default="00EB0B5F" w:rsidP="00EB0B5F">
            <w:pPr>
              <w:jc w:val="right"/>
            </w:pPr>
            <w:r>
              <w:t>(</w:t>
            </w:r>
            <w:r w:rsidRPr="009D0CE8">
              <w:t>8.368</w:t>
            </w:r>
            <w:r>
              <w:t>)</w:t>
            </w:r>
            <w:r w:rsidRPr="009D0CE8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(126.522)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  <w:vAlign w:val="bottom"/>
          </w:tcPr>
          <w:p w:rsidR="00221716" w:rsidRPr="00221716" w:rsidRDefault="00221716" w:rsidP="00911330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</w:rPr>
            </w:pPr>
            <w:r w:rsidRPr="00221716">
              <w:rPr>
                <w:b/>
                <w:bCs/>
              </w:rPr>
              <w:t>Outras Receitas e Despesas</w:t>
            </w:r>
          </w:p>
        </w:tc>
        <w:tc>
          <w:tcPr>
            <w:tcW w:w="359" w:type="pct"/>
            <w:vAlign w:val="bottom"/>
          </w:tcPr>
          <w:p w:rsidR="00EB0B5F" w:rsidRPr="00E66400" w:rsidRDefault="00E66400" w:rsidP="00456CCF">
            <w:pPr>
              <w:jc w:val="right"/>
              <w:rPr>
                <w:b/>
                <w:bCs/>
              </w:rPr>
            </w:pPr>
            <w:r w:rsidRPr="00E66400">
              <w:rPr>
                <w:b/>
                <w:bCs/>
              </w:rPr>
              <w:t>21</w:t>
            </w: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B0B5F" w:rsidRPr="005C2B33" w:rsidRDefault="00EB0B5F" w:rsidP="00EB0B5F">
            <w:pPr>
              <w:jc w:val="right"/>
            </w:pPr>
            <w:r w:rsidRPr="005C2B33">
              <w:t xml:space="preserve"> 11.641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  <w:color w:val="FF0000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 xml:space="preserve">10.388 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Receitas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  <w:rPr>
                <w:b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B0B5F" w:rsidRPr="005C2B33" w:rsidRDefault="00EB0B5F" w:rsidP="00EB0B5F">
            <w:pPr>
              <w:jc w:val="right"/>
            </w:pPr>
            <w:r w:rsidRPr="005C2B33">
              <w:t xml:space="preserve"> 13.466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 xml:space="preserve">12.983 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Despesas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Pr="005C2B33" w:rsidRDefault="00EB0B5F" w:rsidP="00EB0B5F">
            <w:pPr>
              <w:jc w:val="right"/>
            </w:pPr>
            <w:r>
              <w:t>(</w:t>
            </w:r>
            <w:r w:rsidRPr="005C2B33">
              <w:t>1.679</w:t>
            </w:r>
            <w:r>
              <w:t>)</w:t>
            </w:r>
            <w:r w:rsidRPr="005C2B33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(2.470)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Resultado com Baixa de Bens Imobilizados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Default="00EB0B5F" w:rsidP="00EB0B5F">
            <w:pPr>
              <w:jc w:val="right"/>
            </w:pPr>
            <w:r>
              <w:t>(</w:t>
            </w:r>
            <w:r w:rsidR="0087686A">
              <w:t>146</w:t>
            </w:r>
            <w:r>
              <w:t>)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  <w:hideMark/>
          </w:tcPr>
          <w:p w:rsidR="00EB0B5F" w:rsidRPr="004444F0" w:rsidRDefault="00EB0B5F" w:rsidP="004444F0">
            <w:pPr>
              <w:jc w:val="right"/>
            </w:pPr>
            <w:r w:rsidRPr="004444F0">
              <w:t>(125)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shd w:val="clear" w:color="auto" w:fill="auto"/>
            <w:noWrap/>
            <w:vAlign w:val="bottom"/>
          </w:tcPr>
          <w:p w:rsidR="00221716" w:rsidRPr="00221716" w:rsidRDefault="00221716" w:rsidP="00911330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color w:val="FF0000"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b/>
              </w:rPr>
            </w:pPr>
            <w:r w:rsidRPr="00221716">
              <w:rPr>
                <w:b/>
              </w:rPr>
              <w:t>Prejuízo Antes Do Resultado Financeiro</w:t>
            </w: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716" w:rsidRPr="00EB0B5F" w:rsidRDefault="00221716" w:rsidP="00EB0B5F">
            <w:pPr>
              <w:jc w:val="right"/>
              <w:rPr>
                <w:b/>
                <w:bCs/>
              </w:rPr>
            </w:pPr>
            <w:r w:rsidRPr="00EB0B5F">
              <w:rPr>
                <w:b/>
              </w:rPr>
              <w:t>(</w:t>
            </w:r>
            <w:r w:rsidR="00EB0B5F" w:rsidRPr="00EB0B5F">
              <w:rPr>
                <w:b/>
              </w:rPr>
              <w:t>1.303</w:t>
            </w:r>
            <w:r w:rsidRPr="00EB0B5F">
              <w:rPr>
                <w:b/>
              </w:rPr>
              <w:t>.</w:t>
            </w:r>
            <w:r w:rsidR="00EB0B5F" w:rsidRPr="00EB0B5F">
              <w:rPr>
                <w:b/>
              </w:rPr>
              <w:t>551</w:t>
            </w:r>
            <w:r w:rsidRPr="00EB0B5F">
              <w:rPr>
                <w:b/>
              </w:rPr>
              <w:t>)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221716" w:rsidRPr="00EB0B5F" w:rsidRDefault="00221716" w:rsidP="00456CCF">
            <w:pPr>
              <w:rPr>
                <w:b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21716" w:rsidRPr="00EB0B5F" w:rsidRDefault="004444F0" w:rsidP="004444F0">
            <w:pPr>
              <w:jc w:val="right"/>
              <w:rPr>
                <w:b/>
              </w:rPr>
            </w:pPr>
            <w:r w:rsidRPr="00EB0B5F">
              <w:rPr>
                <w:b/>
              </w:rPr>
              <w:t>(1.331.624)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21716" w:rsidRPr="00EB0B5F" w:rsidRDefault="00221716" w:rsidP="00911330">
            <w:pPr>
              <w:jc w:val="right"/>
              <w:rPr>
                <w:b/>
                <w:bCs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EB0B5F" w:rsidRDefault="00221716" w:rsidP="00456CCF">
            <w:pPr>
              <w:rPr>
                <w:b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EB0B5F" w:rsidRDefault="00221716" w:rsidP="004444F0">
            <w:pPr>
              <w:jc w:val="right"/>
            </w:pP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pPr>
              <w:rPr>
                <w:b/>
                <w:bCs/>
              </w:rPr>
            </w:pPr>
            <w:r w:rsidRPr="00221716">
              <w:rPr>
                <w:b/>
                <w:bCs/>
              </w:rPr>
              <w:t xml:space="preserve">Resultado Financeiro 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E66400">
            <w:pPr>
              <w:jc w:val="right"/>
              <w:rPr>
                <w:b/>
                <w:bCs/>
              </w:rPr>
            </w:pPr>
            <w:r w:rsidRPr="00E66400">
              <w:rPr>
                <w:b/>
                <w:bCs/>
              </w:rPr>
              <w:t>2</w:t>
            </w:r>
            <w:r w:rsidR="00E66400" w:rsidRPr="00E66400">
              <w:rPr>
                <w:b/>
                <w:bCs/>
              </w:rPr>
              <w:t>2</w:t>
            </w: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B0B5F" w:rsidRPr="00EB0B5F" w:rsidRDefault="00EB0B5F" w:rsidP="00EB0B5F">
            <w:pPr>
              <w:jc w:val="right"/>
            </w:pPr>
            <w:r w:rsidRPr="00EB0B5F">
              <w:t xml:space="preserve"> 1.682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EB0B5F" w:rsidRDefault="00EB0B5F" w:rsidP="00456CCF">
            <w:pPr>
              <w:rPr>
                <w:b/>
                <w:bCs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B0B5F" w:rsidRPr="00EB0B5F" w:rsidRDefault="00EB0B5F" w:rsidP="004444F0">
            <w:pPr>
              <w:jc w:val="right"/>
            </w:pPr>
            <w:r w:rsidRPr="00EB0B5F">
              <w:t>(486)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Despesas Financeiras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auto"/>
            <w:noWrap/>
          </w:tcPr>
          <w:p w:rsidR="00EB0B5F" w:rsidRPr="00EB0B5F" w:rsidRDefault="00EB0B5F" w:rsidP="00EB0B5F">
            <w:pPr>
              <w:jc w:val="right"/>
            </w:pPr>
            <w:r w:rsidRPr="00EB0B5F">
              <w:t xml:space="preserve">(2.497)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EB0B5F" w:rsidRDefault="00EB0B5F" w:rsidP="00456CCF"/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B0B5F" w:rsidRPr="00EB0B5F" w:rsidRDefault="00EB0B5F" w:rsidP="004444F0">
            <w:pPr>
              <w:jc w:val="right"/>
            </w:pPr>
            <w:r w:rsidRPr="00EB0B5F">
              <w:t>(3.010)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 xml:space="preserve">   Receitas Financeiras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Pr="00EB0B5F" w:rsidRDefault="00EB0B5F" w:rsidP="00EB0B5F">
            <w:pPr>
              <w:jc w:val="right"/>
            </w:pPr>
            <w:r w:rsidRPr="00EB0B5F">
              <w:t xml:space="preserve"> 4.179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EB0B5F" w:rsidRDefault="00EB0B5F" w:rsidP="00456CCF"/>
        </w:tc>
        <w:tc>
          <w:tcPr>
            <w:tcW w:w="766" w:type="pct"/>
            <w:shd w:val="clear" w:color="auto" w:fill="auto"/>
            <w:noWrap/>
            <w:hideMark/>
          </w:tcPr>
          <w:p w:rsidR="00EB0B5F" w:rsidRPr="00EB0B5F" w:rsidRDefault="00EB0B5F" w:rsidP="004444F0">
            <w:pPr>
              <w:jc w:val="right"/>
            </w:pPr>
            <w:r w:rsidRPr="00EB0B5F">
              <w:t xml:space="preserve">2.524 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  <w:vAlign w:val="bottom"/>
          </w:tcPr>
          <w:p w:rsidR="00221716" w:rsidRPr="00EB0B5F" w:rsidRDefault="00221716" w:rsidP="00911330">
            <w:pPr>
              <w:jc w:val="right"/>
              <w:rPr>
                <w:b/>
                <w:bCs/>
              </w:rPr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EB0B5F" w:rsidRDefault="00221716" w:rsidP="00456CCF">
            <w:pPr>
              <w:rPr>
                <w:b/>
                <w:bCs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221716" w:rsidRPr="00EB0B5F" w:rsidRDefault="00221716" w:rsidP="004444F0">
            <w:pPr>
              <w:jc w:val="right"/>
            </w:pP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b/>
                <w:bCs/>
              </w:rPr>
            </w:pPr>
            <w:r w:rsidRPr="00221716">
              <w:rPr>
                <w:b/>
                <w:bCs/>
              </w:rPr>
              <w:t>Resultado Antes Das Subvenções Governamentais</w:t>
            </w:r>
          </w:p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221716" w:rsidRPr="00EB0B5F" w:rsidRDefault="00221716" w:rsidP="00EB0B5F">
            <w:pPr>
              <w:jc w:val="right"/>
              <w:rPr>
                <w:b/>
              </w:rPr>
            </w:pPr>
            <w:r w:rsidRPr="00EB0B5F">
              <w:rPr>
                <w:b/>
              </w:rPr>
              <w:t xml:space="preserve"> (</w:t>
            </w:r>
            <w:r w:rsidR="00EB0B5F" w:rsidRPr="00EB0B5F">
              <w:rPr>
                <w:b/>
              </w:rPr>
              <w:t>1.301</w:t>
            </w:r>
            <w:r w:rsidRPr="00EB0B5F">
              <w:rPr>
                <w:b/>
              </w:rPr>
              <w:t>.</w:t>
            </w:r>
            <w:r w:rsidR="00EB0B5F" w:rsidRPr="00EB0B5F">
              <w:rPr>
                <w:b/>
              </w:rPr>
              <w:t>869</w:t>
            </w:r>
            <w:r w:rsidRPr="00EB0B5F">
              <w:rPr>
                <w:b/>
              </w:rPr>
              <w:t>)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221716" w:rsidRPr="00EB0B5F" w:rsidRDefault="00221716" w:rsidP="005E2343">
            <w:pPr>
              <w:jc w:val="right"/>
              <w:rPr>
                <w:b/>
                <w:bCs/>
              </w:rPr>
            </w:pPr>
          </w:p>
        </w:tc>
        <w:tc>
          <w:tcPr>
            <w:tcW w:w="766" w:type="pct"/>
            <w:shd w:val="clear" w:color="auto" w:fill="auto"/>
            <w:noWrap/>
            <w:hideMark/>
          </w:tcPr>
          <w:p w:rsidR="00221716" w:rsidRPr="00EB0B5F" w:rsidRDefault="004444F0" w:rsidP="004444F0">
            <w:pPr>
              <w:jc w:val="right"/>
              <w:rPr>
                <w:b/>
              </w:rPr>
            </w:pPr>
            <w:r w:rsidRPr="00EB0B5F">
              <w:rPr>
                <w:b/>
              </w:rPr>
              <w:t>(1.332.110)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/>
        </w:tc>
        <w:tc>
          <w:tcPr>
            <w:tcW w:w="359" w:type="pct"/>
            <w:vAlign w:val="bottom"/>
          </w:tcPr>
          <w:p w:rsidR="00221716" w:rsidRPr="00E66400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221716" w:rsidRPr="00EB0B5F" w:rsidRDefault="00221716" w:rsidP="00911330">
            <w:pPr>
              <w:jc w:val="right"/>
            </w:pP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EB0B5F" w:rsidRDefault="00221716" w:rsidP="00456CCF"/>
        </w:tc>
        <w:tc>
          <w:tcPr>
            <w:tcW w:w="766" w:type="pct"/>
            <w:shd w:val="clear" w:color="auto" w:fill="auto"/>
            <w:noWrap/>
          </w:tcPr>
          <w:p w:rsidR="00221716" w:rsidRPr="00EB0B5F" w:rsidRDefault="00221716" w:rsidP="004444F0">
            <w:pPr>
              <w:jc w:val="right"/>
            </w:pP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>Subvenções do Tesouro Nacional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Pr="00EB0B5F" w:rsidRDefault="00EB0B5F" w:rsidP="00EB0B5F">
            <w:pPr>
              <w:jc w:val="right"/>
            </w:pPr>
            <w:r w:rsidRPr="00EB0B5F">
              <w:t xml:space="preserve"> 1.345.957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EB0B5F" w:rsidRDefault="00EB0B5F" w:rsidP="00456CCF"/>
        </w:tc>
        <w:tc>
          <w:tcPr>
            <w:tcW w:w="766" w:type="pct"/>
            <w:shd w:val="clear" w:color="auto" w:fill="auto"/>
            <w:noWrap/>
            <w:hideMark/>
          </w:tcPr>
          <w:p w:rsidR="00EB0B5F" w:rsidRPr="00EB0B5F" w:rsidRDefault="00EB0B5F" w:rsidP="004444F0">
            <w:pPr>
              <w:jc w:val="right"/>
            </w:pPr>
            <w:r w:rsidRPr="00EB0B5F">
              <w:t xml:space="preserve">1.371.762 </w:t>
            </w:r>
          </w:p>
        </w:tc>
      </w:tr>
      <w:tr w:rsidR="00EB0B5F" w:rsidRPr="00221716" w:rsidTr="004444F0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>Repasses para Subvenções e Doações Governamentais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Pr="00EB0B5F" w:rsidRDefault="000D568C" w:rsidP="00EB0B5F">
            <w:pPr>
              <w:jc w:val="right"/>
            </w:pPr>
            <w:r>
              <w:t>(87.213</w:t>
            </w:r>
            <w:r w:rsidR="00EB0B5F" w:rsidRPr="00EB0B5F">
              <w:t xml:space="preserve">) </w:t>
            </w:r>
          </w:p>
        </w:tc>
        <w:tc>
          <w:tcPr>
            <w:tcW w:w="164" w:type="pct"/>
            <w:shd w:val="clear" w:color="auto" w:fill="auto"/>
            <w:noWrap/>
            <w:hideMark/>
          </w:tcPr>
          <w:p w:rsidR="00EB0B5F" w:rsidRPr="00EB0B5F" w:rsidRDefault="00EB0B5F" w:rsidP="006B63BD">
            <w:pPr>
              <w:jc w:val="right"/>
            </w:pPr>
          </w:p>
        </w:tc>
        <w:tc>
          <w:tcPr>
            <w:tcW w:w="766" w:type="pct"/>
            <w:shd w:val="clear" w:color="auto" w:fill="auto"/>
            <w:noWrap/>
            <w:hideMark/>
          </w:tcPr>
          <w:p w:rsidR="00EB0B5F" w:rsidRPr="00EB0B5F" w:rsidRDefault="00EB0B5F" w:rsidP="004444F0">
            <w:pPr>
              <w:jc w:val="right"/>
            </w:pPr>
            <w:r w:rsidRPr="00EB0B5F">
              <w:t>(55.820)</w:t>
            </w:r>
          </w:p>
        </w:tc>
      </w:tr>
      <w:tr w:rsidR="00EB0B5F" w:rsidRPr="00221716" w:rsidTr="00974CC9">
        <w:tc>
          <w:tcPr>
            <w:tcW w:w="2676" w:type="pct"/>
            <w:shd w:val="clear" w:color="auto" w:fill="auto"/>
            <w:noWrap/>
            <w:vAlign w:val="bottom"/>
            <w:hideMark/>
          </w:tcPr>
          <w:p w:rsidR="00EB0B5F" w:rsidRPr="00221716" w:rsidRDefault="00EB0B5F" w:rsidP="00456CCF">
            <w:r w:rsidRPr="00221716">
              <w:t>Reversões e Repasses Concedidos</w:t>
            </w:r>
          </w:p>
        </w:tc>
        <w:tc>
          <w:tcPr>
            <w:tcW w:w="359" w:type="pct"/>
            <w:vAlign w:val="bottom"/>
          </w:tcPr>
          <w:p w:rsidR="00EB0B5F" w:rsidRPr="00E66400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193" w:type="pct"/>
          </w:tcPr>
          <w:p w:rsidR="00EB0B5F" w:rsidRPr="00221716" w:rsidRDefault="00EB0B5F" w:rsidP="00456CCF">
            <w:pPr>
              <w:jc w:val="right"/>
              <w:rPr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EB0B5F" w:rsidRPr="00EB0B5F" w:rsidRDefault="00EB0B5F" w:rsidP="00EB0B5F">
            <w:pPr>
              <w:jc w:val="right"/>
            </w:pPr>
            <w:r w:rsidRPr="00EB0B5F">
              <w:t xml:space="preserve"> 19.126 </w:t>
            </w:r>
          </w:p>
        </w:tc>
        <w:tc>
          <w:tcPr>
            <w:tcW w:w="164" w:type="pct"/>
            <w:shd w:val="clear" w:color="auto" w:fill="auto"/>
            <w:noWrap/>
            <w:vAlign w:val="bottom"/>
            <w:hideMark/>
          </w:tcPr>
          <w:p w:rsidR="00EB0B5F" w:rsidRPr="00EB0B5F" w:rsidRDefault="00EB0B5F" w:rsidP="00456CCF"/>
        </w:tc>
        <w:tc>
          <w:tcPr>
            <w:tcW w:w="766" w:type="pct"/>
            <w:shd w:val="clear" w:color="auto" w:fill="auto"/>
            <w:noWrap/>
            <w:hideMark/>
          </w:tcPr>
          <w:p w:rsidR="00EB0B5F" w:rsidRPr="00EB0B5F" w:rsidRDefault="00EB0B5F" w:rsidP="004444F0">
            <w:pPr>
              <w:jc w:val="right"/>
            </w:pPr>
            <w:r w:rsidRPr="00EB0B5F">
              <w:t>(745)</w:t>
            </w:r>
          </w:p>
        </w:tc>
      </w:tr>
      <w:tr w:rsidR="00221716" w:rsidRPr="00221716" w:rsidTr="004444F0">
        <w:tc>
          <w:tcPr>
            <w:tcW w:w="2676" w:type="pct"/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59" w:type="pct"/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3" w:type="pct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42" w:type="pct"/>
            <w:shd w:val="clear" w:color="auto" w:fill="auto"/>
            <w:noWrap/>
          </w:tcPr>
          <w:p w:rsidR="00221716" w:rsidRPr="00EB0B5F" w:rsidRDefault="00221716" w:rsidP="00911330">
            <w:pPr>
              <w:jc w:val="right"/>
            </w:pPr>
            <w:r w:rsidRPr="00EB0B5F">
              <w:t xml:space="preserve"> 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21716" w:rsidRPr="00EB0B5F" w:rsidRDefault="00221716" w:rsidP="00456CCF">
            <w:pPr>
              <w:rPr>
                <w:b/>
                <w:bCs/>
              </w:rPr>
            </w:pPr>
          </w:p>
        </w:tc>
        <w:tc>
          <w:tcPr>
            <w:tcW w:w="766" w:type="pct"/>
            <w:shd w:val="clear" w:color="auto" w:fill="auto"/>
            <w:noWrap/>
          </w:tcPr>
          <w:p w:rsidR="00221716" w:rsidRPr="00EB0B5F" w:rsidRDefault="00221716" w:rsidP="004444F0">
            <w:pPr>
              <w:jc w:val="right"/>
            </w:pPr>
          </w:p>
        </w:tc>
      </w:tr>
      <w:tr w:rsidR="00221716" w:rsidRPr="00221716" w:rsidTr="004444F0">
        <w:tc>
          <w:tcPr>
            <w:tcW w:w="267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b/>
                <w:bCs/>
              </w:rPr>
            </w:pPr>
            <w:r w:rsidRPr="00221716">
              <w:rPr>
                <w:b/>
                <w:bCs/>
              </w:rPr>
              <w:t>Resultado Líquido Do Exercício</w:t>
            </w:r>
          </w:p>
        </w:tc>
        <w:tc>
          <w:tcPr>
            <w:tcW w:w="359" w:type="pct"/>
            <w:tcBorders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3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842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221716" w:rsidRPr="00EB0B5F" w:rsidRDefault="00221716" w:rsidP="00EB0B5F">
            <w:pPr>
              <w:jc w:val="right"/>
              <w:rPr>
                <w:b/>
              </w:rPr>
            </w:pPr>
            <w:r w:rsidRPr="00EB0B5F">
              <w:rPr>
                <w:b/>
              </w:rPr>
              <w:t xml:space="preserve"> </w:t>
            </w:r>
            <w:r w:rsidR="000D568C">
              <w:rPr>
                <w:b/>
              </w:rPr>
              <w:t>(23</w:t>
            </w:r>
            <w:r w:rsidRPr="00EB0B5F">
              <w:rPr>
                <w:b/>
              </w:rPr>
              <w:t>.</w:t>
            </w:r>
            <w:r w:rsidR="000D568C">
              <w:rPr>
                <w:b/>
              </w:rPr>
              <w:t>999</w:t>
            </w:r>
            <w:r w:rsidR="00EB0B5F" w:rsidRPr="00EB0B5F">
              <w:rPr>
                <w:b/>
              </w:rPr>
              <w:t>)</w:t>
            </w:r>
          </w:p>
        </w:tc>
        <w:tc>
          <w:tcPr>
            <w:tcW w:w="16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716" w:rsidRPr="00EB0B5F" w:rsidRDefault="00221716" w:rsidP="00456CCF">
            <w:pPr>
              <w:rPr>
                <w:b/>
                <w:bCs/>
              </w:rPr>
            </w:pPr>
          </w:p>
        </w:tc>
        <w:tc>
          <w:tcPr>
            <w:tcW w:w="766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:rsidR="00221716" w:rsidRPr="00EB0B5F" w:rsidRDefault="004444F0" w:rsidP="004444F0">
            <w:pPr>
              <w:jc w:val="right"/>
              <w:rPr>
                <w:b/>
              </w:rPr>
            </w:pPr>
            <w:r w:rsidRPr="00EB0B5F">
              <w:rPr>
                <w:b/>
              </w:rPr>
              <w:t>(16.913)</w:t>
            </w:r>
          </w:p>
        </w:tc>
      </w:tr>
    </w:tbl>
    <w:p w:rsidR="00137070" w:rsidRPr="001F3542" w:rsidRDefault="00137070" w:rsidP="00B63A81">
      <w:pPr>
        <w:rPr>
          <w:color w:val="FF0000"/>
          <w:sz w:val="16"/>
          <w:szCs w:val="16"/>
        </w:rPr>
      </w:pPr>
    </w:p>
    <w:p w:rsidR="00137070" w:rsidRPr="001F3542" w:rsidRDefault="00137070" w:rsidP="00B63A81">
      <w:pPr>
        <w:rPr>
          <w:color w:val="FF0000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11330" w:rsidRPr="00402A02" w:rsidTr="00456CCF">
        <w:trPr>
          <w:trHeight w:val="300"/>
        </w:trPr>
        <w:tc>
          <w:tcPr>
            <w:tcW w:w="4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402A02" w:rsidRDefault="00911330" w:rsidP="00456CCF">
            <w:pPr>
              <w:rPr>
                <w:b/>
                <w:bCs/>
              </w:rPr>
            </w:pPr>
            <w:r w:rsidRPr="00402A02">
              <w:rPr>
                <w:b/>
                <w:bCs/>
              </w:rPr>
              <w:t>Demonstração do Resultado Abrangente (DRA)</w:t>
            </w:r>
          </w:p>
        </w:tc>
      </w:tr>
    </w:tbl>
    <w:p w:rsidR="00911330" w:rsidRPr="00402A02" w:rsidRDefault="00911330" w:rsidP="00B63A81">
      <w:pPr>
        <w:rPr>
          <w:sz w:val="18"/>
          <w:szCs w:val="18"/>
        </w:rPr>
      </w:pPr>
    </w:p>
    <w:tbl>
      <w:tblPr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78"/>
        <w:gridCol w:w="275"/>
        <w:gridCol w:w="1558"/>
        <w:gridCol w:w="282"/>
        <w:gridCol w:w="1274"/>
      </w:tblGrid>
      <w:tr w:rsidR="00221716" w:rsidRPr="00221716" w:rsidTr="004444F0">
        <w:tc>
          <w:tcPr>
            <w:tcW w:w="2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158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ind w:left="172"/>
              <w:jc w:val="center"/>
              <w:rPr>
                <w:b/>
                <w:bCs/>
              </w:rPr>
            </w:pPr>
          </w:p>
        </w:tc>
        <w:tc>
          <w:tcPr>
            <w:tcW w:w="894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0021C" w:rsidRDefault="00221716" w:rsidP="00221716">
            <w:pPr>
              <w:jc w:val="right"/>
              <w:rPr>
                <w:b/>
              </w:rPr>
            </w:pPr>
            <w:r w:rsidRPr="0020021C">
              <w:rPr>
                <w:b/>
              </w:rPr>
              <w:t>31/12/2020</w:t>
            </w: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0021C" w:rsidRDefault="00221716" w:rsidP="00221716">
            <w:pPr>
              <w:jc w:val="right"/>
              <w:rPr>
                <w:b/>
              </w:rPr>
            </w:pPr>
          </w:p>
        </w:tc>
        <w:tc>
          <w:tcPr>
            <w:tcW w:w="732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  <w:rPr>
                <w:b/>
              </w:rPr>
            </w:pPr>
            <w:r w:rsidRPr="004444F0">
              <w:rPr>
                <w:b/>
              </w:rPr>
              <w:t>31/12/2019</w:t>
            </w:r>
          </w:p>
        </w:tc>
      </w:tr>
      <w:tr w:rsidR="00221716" w:rsidRPr="00221716" w:rsidTr="004444F0">
        <w:tc>
          <w:tcPr>
            <w:tcW w:w="2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0021C" w:rsidRDefault="00221716" w:rsidP="00456CCF">
            <w:pPr>
              <w:rPr>
                <w:b/>
                <w:bCs/>
              </w:rPr>
            </w:pPr>
          </w:p>
        </w:tc>
        <w:tc>
          <w:tcPr>
            <w:tcW w:w="1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0021C" w:rsidRDefault="00221716" w:rsidP="00456CCF">
            <w:pPr>
              <w:rPr>
                <w:b/>
                <w:bCs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221716" w:rsidRPr="00221716" w:rsidTr="004444F0">
        <w:tc>
          <w:tcPr>
            <w:tcW w:w="2724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pPr>
              <w:rPr>
                <w:b/>
                <w:bCs/>
              </w:rPr>
            </w:pPr>
            <w:r w:rsidRPr="00221716">
              <w:rPr>
                <w:b/>
              </w:rPr>
              <w:t>Resultado Líquido do Exercício</w:t>
            </w:r>
          </w:p>
        </w:tc>
        <w:tc>
          <w:tcPr>
            <w:tcW w:w="331" w:type="pct"/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8" w:type="pct"/>
          </w:tcPr>
          <w:p w:rsidR="00221716" w:rsidRPr="00221716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21716" w:rsidRPr="00A7529E" w:rsidRDefault="00221716" w:rsidP="0020021C">
            <w:pPr>
              <w:jc w:val="right"/>
              <w:rPr>
                <w:b/>
              </w:rPr>
            </w:pPr>
            <w:r w:rsidRPr="00A7529E">
              <w:rPr>
                <w:b/>
              </w:rPr>
              <w:t xml:space="preserve"> </w:t>
            </w:r>
            <w:r w:rsidR="000D568C">
              <w:rPr>
                <w:b/>
              </w:rPr>
              <w:t>(23</w:t>
            </w:r>
            <w:r w:rsidRPr="00A7529E">
              <w:rPr>
                <w:b/>
              </w:rPr>
              <w:t>.</w:t>
            </w:r>
            <w:r w:rsidR="000D568C">
              <w:rPr>
                <w:b/>
              </w:rPr>
              <w:t>999</w:t>
            </w:r>
            <w:r w:rsidR="0020021C" w:rsidRPr="00A7529E">
              <w:rPr>
                <w:b/>
              </w:rPr>
              <w:t>)</w:t>
            </w:r>
            <w:r w:rsidRPr="00A7529E">
              <w:rPr>
                <w:b/>
              </w:rPr>
              <w:t xml:space="preserve"> </w:t>
            </w:r>
          </w:p>
        </w:tc>
        <w:tc>
          <w:tcPr>
            <w:tcW w:w="162" w:type="pct"/>
            <w:shd w:val="clear" w:color="auto" w:fill="auto"/>
            <w:noWrap/>
            <w:vAlign w:val="bottom"/>
          </w:tcPr>
          <w:p w:rsidR="00221716" w:rsidRPr="0020021C" w:rsidRDefault="00221716" w:rsidP="00251551">
            <w:pPr>
              <w:jc w:val="right"/>
              <w:rPr>
                <w:b/>
                <w:bCs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21716" w:rsidRPr="004444F0" w:rsidRDefault="004444F0" w:rsidP="004444F0">
            <w:pPr>
              <w:jc w:val="right"/>
              <w:rPr>
                <w:b/>
              </w:rPr>
            </w:pPr>
            <w:r w:rsidRPr="004444F0">
              <w:rPr>
                <w:b/>
              </w:rPr>
              <w:t>(16.913)</w:t>
            </w:r>
          </w:p>
        </w:tc>
      </w:tr>
      <w:tr w:rsidR="00221716" w:rsidRPr="00221716" w:rsidTr="004444F0">
        <w:tc>
          <w:tcPr>
            <w:tcW w:w="2724" w:type="pct"/>
            <w:shd w:val="clear" w:color="auto" w:fill="auto"/>
            <w:noWrap/>
            <w:vAlign w:val="bottom"/>
            <w:hideMark/>
          </w:tcPr>
          <w:p w:rsidR="00221716" w:rsidRPr="00221716" w:rsidRDefault="00221716" w:rsidP="00456CCF">
            <w:r w:rsidRPr="00221716">
              <w:t xml:space="preserve">   Ajuste de exercícios anteriores</w:t>
            </w:r>
          </w:p>
        </w:tc>
        <w:tc>
          <w:tcPr>
            <w:tcW w:w="331" w:type="pct"/>
            <w:vAlign w:val="bottom"/>
          </w:tcPr>
          <w:p w:rsidR="00221716" w:rsidRPr="00221716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158" w:type="pct"/>
          </w:tcPr>
          <w:p w:rsidR="00221716" w:rsidRPr="00221716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A7529E" w:rsidRDefault="00221716" w:rsidP="00251551">
            <w:pPr>
              <w:jc w:val="right"/>
            </w:pPr>
            <w:proofErr w:type="gramStart"/>
            <w:r w:rsidRPr="00A7529E">
              <w:t>1</w:t>
            </w:r>
            <w:proofErr w:type="gramEnd"/>
          </w:p>
        </w:tc>
        <w:tc>
          <w:tcPr>
            <w:tcW w:w="162" w:type="pct"/>
            <w:shd w:val="clear" w:color="auto" w:fill="auto"/>
            <w:noWrap/>
            <w:vAlign w:val="bottom"/>
          </w:tcPr>
          <w:p w:rsidR="00221716" w:rsidRPr="00A7529E" w:rsidRDefault="00221716" w:rsidP="00251551">
            <w:pPr>
              <w:jc w:val="right"/>
            </w:pP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  <w:r w:rsidRPr="004444F0">
              <w:t>273</w:t>
            </w:r>
          </w:p>
        </w:tc>
      </w:tr>
      <w:tr w:rsidR="004444F0" w:rsidRPr="00221716" w:rsidTr="004444F0">
        <w:tc>
          <w:tcPr>
            <w:tcW w:w="2724" w:type="pct"/>
            <w:shd w:val="clear" w:color="auto" w:fill="auto"/>
            <w:noWrap/>
            <w:vAlign w:val="bottom"/>
          </w:tcPr>
          <w:p w:rsidR="004444F0" w:rsidRPr="00221716" w:rsidRDefault="004444F0" w:rsidP="00456CCF">
            <w:r w:rsidRPr="00221716">
              <w:t xml:space="preserve">   Realização da Avaliação Patrimonial</w:t>
            </w:r>
          </w:p>
        </w:tc>
        <w:tc>
          <w:tcPr>
            <w:tcW w:w="331" w:type="pct"/>
            <w:vAlign w:val="bottom"/>
          </w:tcPr>
          <w:p w:rsidR="004444F0" w:rsidRPr="00221716" w:rsidRDefault="004444F0" w:rsidP="00456CCF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8" w:type="pct"/>
          </w:tcPr>
          <w:p w:rsidR="004444F0" w:rsidRPr="00221716" w:rsidRDefault="004444F0" w:rsidP="00456CCF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894" w:type="pct"/>
            <w:shd w:val="clear" w:color="auto" w:fill="auto"/>
            <w:noWrap/>
          </w:tcPr>
          <w:p w:rsidR="004444F0" w:rsidRPr="00A7529E" w:rsidRDefault="004444F0" w:rsidP="00A7529E">
            <w:pPr>
              <w:jc w:val="right"/>
            </w:pPr>
            <w:r w:rsidRPr="00A7529E">
              <w:t>(</w:t>
            </w:r>
            <w:r w:rsidR="00A7529E" w:rsidRPr="00A7529E">
              <w:t>133</w:t>
            </w:r>
            <w:r w:rsidRPr="00A7529E">
              <w:t>)</w:t>
            </w:r>
          </w:p>
        </w:tc>
        <w:tc>
          <w:tcPr>
            <w:tcW w:w="162" w:type="pct"/>
            <w:shd w:val="clear" w:color="auto" w:fill="auto"/>
            <w:noWrap/>
            <w:vAlign w:val="bottom"/>
          </w:tcPr>
          <w:p w:rsidR="004444F0" w:rsidRPr="009F0978" w:rsidRDefault="004444F0" w:rsidP="00251551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:rsidR="004444F0" w:rsidRPr="004444F0" w:rsidRDefault="004444F0" w:rsidP="004444F0">
            <w:pPr>
              <w:jc w:val="right"/>
            </w:pPr>
            <w:r w:rsidRPr="004444F0">
              <w:t>701</w:t>
            </w:r>
          </w:p>
        </w:tc>
      </w:tr>
      <w:tr w:rsidR="004444F0" w:rsidRPr="00221716" w:rsidTr="004444F0">
        <w:tc>
          <w:tcPr>
            <w:tcW w:w="2724" w:type="pct"/>
            <w:shd w:val="clear" w:color="auto" w:fill="auto"/>
            <w:noWrap/>
            <w:vAlign w:val="bottom"/>
          </w:tcPr>
          <w:p w:rsidR="004444F0" w:rsidRPr="00221716" w:rsidRDefault="004444F0" w:rsidP="00456CCF">
            <w:pPr>
              <w:rPr>
                <w:b/>
                <w:bCs/>
              </w:rPr>
            </w:pPr>
            <w:r w:rsidRPr="00221716">
              <w:rPr>
                <w:b/>
              </w:rPr>
              <w:t>Resultado Abrangente do Exercício</w:t>
            </w:r>
          </w:p>
        </w:tc>
        <w:tc>
          <w:tcPr>
            <w:tcW w:w="331" w:type="pct"/>
            <w:vAlign w:val="bottom"/>
          </w:tcPr>
          <w:p w:rsidR="004444F0" w:rsidRPr="00221716" w:rsidRDefault="004444F0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8" w:type="pct"/>
          </w:tcPr>
          <w:p w:rsidR="004444F0" w:rsidRPr="00221716" w:rsidRDefault="004444F0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94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4444F0" w:rsidRPr="00A7529E" w:rsidRDefault="00A7529E" w:rsidP="000D568C">
            <w:pPr>
              <w:jc w:val="right"/>
              <w:rPr>
                <w:b/>
              </w:rPr>
            </w:pPr>
            <w:r w:rsidRPr="00A7529E">
              <w:rPr>
                <w:b/>
              </w:rPr>
              <w:t>(24</w:t>
            </w:r>
            <w:r w:rsidR="004444F0" w:rsidRPr="00A7529E">
              <w:rPr>
                <w:b/>
              </w:rPr>
              <w:t>.</w:t>
            </w:r>
            <w:r w:rsidRPr="00A7529E">
              <w:rPr>
                <w:b/>
              </w:rPr>
              <w:t>13</w:t>
            </w:r>
            <w:r w:rsidR="000D568C">
              <w:rPr>
                <w:b/>
              </w:rPr>
              <w:t>1</w:t>
            </w:r>
            <w:r w:rsidRPr="00A7529E">
              <w:rPr>
                <w:b/>
              </w:rPr>
              <w:t>)</w:t>
            </w:r>
          </w:p>
        </w:tc>
        <w:tc>
          <w:tcPr>
            <w:tcW w:w="162" w:type="pct"/>
            <w:shd w:val="clear" w:color="auto" w:fill="auto"/>
            <w:noWrap/>
          </w:tcPr>
          <w:p w:rsidR="004444F0" w:rsidRPr="009F0978" w:rsidRDefault="004444F0" w:rsidP="00251551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732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4444F0" w:rsidRPr="004444F0" w:rsidRDefault="004444F0" w:rsidP="004444F0">
            <w:pPr>
              <w:jc w:val="right"/>
            </w:pPr>
            <w:r w:rsidRPr="004444F0">
              <w:t xml:space="preserve">        (15.939)</w:t>
            </w:r>
          </w:p>
        </w:tc>
      </w:tr>
    </w:tbl>
    <w:p w:rsidR="00A32395" w:rsidRPr="00251551" w:rsidRDefault="00A32395" w:rsidP="00B63A81">
      <w:pPr>
        <w:rPr>
          <w:b/>
          <w:color w:val="FF0000"/>
          <w:sz w:val="16"/>
          <w:szCs w:val="16"/>
        </w:rPr>
      </w:pPr>
    </w:p>
    <w:p w:rsidR="00A60D86" w:rsidRPr="00402A02" w:rsidRDefault="00A60D86" w:rsidP="00B63A81">
      <w:pPr>
        <w:rPr>
          <w:sz w:val="16"/>
          <w:szCs w:val="16"/>
        </w:rPr>
      </w:pPr>
    </w:p>
    <w:p w:rsidR="00CD7AFB" w:rsidRPr="00402A02" w:rsidRDefault="00DF06DB" w:rsidP="00606533">
      <w:r w:rsidRPr="00402A02">
        <w:t>A</w:t>
      </w:r>
      <w:r w:rsidR="00CD7AFB" w:rsidRPr="00402A02">
        <w:t>s notas explicativas são parte integran</w:t>
      </w:r>
      <w:r w:rsidR="00606533" w:rsidRPr="00402A02">
        <w:t>te das demonstrações contábeis.</w:t>
      </w:r>
    </w:p>
    <w:p w:rsidR="00B35EE3" w:rsidRPr="001F3542" w:rsidRDefault="00B35EE3" w:rsidP="00B63A81">
      <w:pPr>
        <w:rPr>
          <w:b/>
          <w:bCs/>
          <w:color w:val="FF0000"/>
        </w:rPr>
      </w:pPr>
    </w:p>
    <w:p w:rsidR="00B905C4" w:rsidRPr="001F3542" w:rsidRDefault="00B905C4">
      <w:pPr>
        <w:rPr>
          <w:b/>
          <w:bCs/>
          <w:color w:val="FF0000"/>
        </w:rPr>
        <w:sectPr w:rsidR="00B905C4" w:rsidRPr="001F3542" w:rsidSect="00B07FD6">
          <w:headerReference w:type="default" r:id="rId13"/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Pr="001F3542" w:rsidRDefault="00C80B8A">
      <w:pPr>
        <w:rPr>
          <w:b/>
          <w:bCs/>
          <w:color w:val="FF0000"/>
        </w:rPr>
      </w:pPr>
    </w:p>
    <w:p w:rsidR="003D7188" w:rsidRPr="001F3542" w:rsidRDefault="003D7188" w:rsidP="00C80B8A">
      <w:pPr>
        <w:rPr>
          <w:b/>
          <w:bCs/>
          <w:color w:val="FF0000"/>
        </w:rPr>
      </w:pPr>
    </w:p>
    <w:p w:rsidR="00C80B8A" w:rsidRPr="00AA04C2" w:rsidRDefault="00C80B8A" w:rsidP="00C80B8A">
      <w:pPr>
        <w:rPr>
          <w:b/>
          <w:bCs/>
        </w:rPr>
      </w:pPr>
      <w:r w:rsidRPr="00AA04C2">
        <w:rPr>
          <w:b/>
          <w:bCs/>
        </w:rPr>
        <w:t>Demonstração das Mutações do Patrimônio Líquido</w:t>
      </w:r>
    </w:p>
    <w:p w:rsidR="004D09C8" w:rsidRPr="00AA04C2" w:rsidRDefault="004D09C8" w:rsidP="00C80B8A">
      <w:pPr>
        <w:rPr>
          <w:b/>
          <w:bCs/>
        </w:rPr>
      </w:pPr>
    </w:p>
    <w:p w:rsidR="00C80B8A" w:rsidRPr="00AA04C2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DF6632" w:rsidRPr="00AA04C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both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2937F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67636F" w:rsidRPr="00AA04C2" w:rsidRDefault="0067636F" w:rsidP="000D0348">
            <w:r w:rsidRPr="00AA04C2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Total</w:t>
            </w:r>
          </w:p>
        </w:tc>
      </w:tr>
      <w:tr w:rsidR="001F3542" w:rsidRPr="00FD6DFF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rPr>
                <w:b/>
                <w:bCs/>
              </w:rPr>
            </w:pPr>
            <w:r w:rsidRPr="00AA04C2">
              <w:rPr>
                <w:b/>
                <w:bCs/>
              </w:rPr>
              <w:t>Saldo em 31 de dezembro de 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 xml:space="preserve">          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FA1E69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 xml:space="preserve">     (1</w:t>
            </w:r>
            <w:r w:rsidR="00B5184E" w:rsidRPr="00AA04C2">
              <w:rPr>
                <w:b/>
                <w:bCs/>
              </w:rPr>
              <w:t>5.3</w:t>
            </w:r>
            <w:r w:rsidR="00FA1E69">
              <w:rPr>
                <w:b/>
                <w:bCs/>
              </w:rPr>
              <w:t>29</w:t>
            </w:r>
            <w:r w:rsidRPr="00AA04C2">
              <w:rPr>
                <w:b/>
                <w:bCs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 xml:space="preserve">   (110.591)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FD6DFF" w:rsidRDefault="0067636F" w:rsidP="000D0348">
            <w:pPr>
              <w:jc w:val="right"/>
              <w:rPr>
                <w:b/>
                <w:bCs/>
              </w:rPr>
            </w:pPr>
            <w:r w:rsidRPr="00FD6DFF">
              <w:rPr>
                <w:b/>
                <w:bCs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947FC9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981.60</w:t>
            </w:r>
            <w:r w:rsidR="00947FC9" w:rsidRPr="00AA04C2">
              <w:rPr>
                <w:b/>
                <w:bCs/>
              </w:rPr>
              <w:t>3</w:t>
            </w:r>
          </w:p>
        </w:tc>
      </w:tr>
      <w:tr w:rsidR="001F3542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FB46D9" w:rsidRDefault="0067636F" w:rsidP="001E0DCB">
            <w:r w:rsidRPr="00AA04C2">
              <w:t xml:space="preserve">  </w:t>
            </w:r>
            <w:r w:rsidRPr="00FB46D9">
              <w:t>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 -</w:t>
            </w:r>
            <w:proofErr w:type="gramStart"/>
            <w:r w:rsidRPr="00FB46D9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     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273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FB46D9" w:rsidRDefault="0067636F" w:rsidP="00D242CC">
            <w:pPr>
              <w:jc w:val="right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273 </w:t>
            </w:r>
          </w:p>
        </w:tc>
      </w:tr>
      <w:tr w:rsidR="00DF6632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FB46D9" w:rsidRDefault="0067636F" w:rsidP="001E0DCB">
            <w:r w:rsidRPr="00FB46D9">
              <w:t xml:space="preserve">  Realização da Avaliação Patrimonial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9F0978">
            <w:pPr>
              <w:jc w:val="right"/>
            </w:pPr>
            <w:r w:rsidRPr="00FB46D9">
              <w:t>(</w:t>
            </w:r>
            <w:r w:rsidR="009F0978" w:rsidRPr="00FB46D9">
              <w:t>701</w:t>
            </w:r>
            <w:r w:rsidRPr="00FB46D9"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9F0978" w:rsidP="00AA04C2">
            <w:pPr>
              <w:jc w:val="right"/>
            </w:pPr>
            <w:r w:rsidRPr="00FB46D9">
              <w:t>701</w:t>
            </w:r>
            <w:r w:rsidR="0067636F" w:rsidRPr="00FB46D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FB46D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  </w:t>
            </w:r>
          </w:p>
        </w:tc>
        <w:proofErr w:type="gramEnd"/>
      </w:tr>
      <w:tr w:rsidR="00F95C70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95C70" w:rsidRPr="00FB46D9" w:rsidRDefault="00F95C70" w:rsidP="001E0DCB">
            <w:r w:rsidRPr="00FB46D9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D242CC">
            <w:pPr>
              <w:jc w:val="right"/>
            </w:pPr>
            <w:r w:rsidRPr="00FB46D9">
              <w:t>103.764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AA04C2">
            <w:pPr>
              <w:jc w:val="right"/>
            </w:pPr>
            <w:r w:rsidRPr="00FB46D9">
              <w:t>(103.764)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D242CC">
            <w:pPr>
              <w:jc w:val="right"/>
            </w:pPr>
            <w:r w:rsidRPr="00FB46D9"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D242CC">
            <w:pPr>
              <w:jc w:val="right"/>
            </w:pPr>
            <w:r w:rsidRPr="00FB46D9"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D242CC">
            <w:pPr>
              <w:jc w:val="right"/>
              <w:rPr>
                <w:color w:val="FF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95C70" w:rsidRPr="00FB46D9" w:rsidRDefault="00F95C70" w:rsidP="009F0978">
            <w:pPr>
              <w:jc w:val="right"/>
            </w:pPr>
            <w:r w:rsidRPr="00FB46D9">
              <w:t>-</w:t>
            </w:r>
          </w:p>
        </w:tc>
      </w:tr>
      <w:tr w:rsidR="001F3542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FB46D9" w:rsidRDefault="0067636F" w:rsidP="001E0DCB">
            <w:r w:rsidRPr="00FB46D9">
              <w:t xml:space="preserve">  Adiantamento para Futuro Aumento Capital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F95C70" w:rsidP="00F95C70">
            <w:pPr>
              <w:jc w:val="right"/>
            </w:pPr>
            <w:r w:rsidRPr="00FB46D9">
              <w:t>-</w:t>
            </w:r>
            <w:r w:rsidR="0067636F" w:rsidRPr="00FB46D9"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F95C70" w:rsidP="00F95C70">
            <w:pPr>
              <w:jc w:val="right"/>
            </w:pPr>
            <w:r w:rsidRPr="00FB46D9">
              <w:t>55</w:t>
            </w:r>
            <w:r w:rsidR="009F0978" w:rsidRPr="00FB46D9">
              <w:t>.</w:t>
            </w:r>
            <w:r w:rsidRPr="00FB46D9">
              <w:t>820</w:t>
            </w:r>
            <w:r w:rsidR="0067636F" w:rsidRPr="00FB46D9"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FB46D9" w:rsidRDefault="0067636F" w:rsidP="00D242CC">
            <w:pPr>
              <w:jc w:val="right"/>
              <w:rPr>
                <w:color w:val="FF0000"/>
              </w:rPr>
            </w:pP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9F0978">
            <w:pPr>
              <w:jc w:val="right"/>
            </w:pPr>
            <w:r w:rsidRPr="00FB46D9">
              <w:t xml:space="preserve"> </w:t>
            </w:r>
            <w:r w:rsidR="009F0978" w:rsidRPr="00FB46D9">
              <w:t>55</w:t>
            </w:r>
            <w:r w:rsidR="00EA0D27" w:rsidRPr="00FB46D9">
              <w:t>.</w:t>
            </w:r>
            <w:r w:rsidR="009F0978" w:rsidRPr="00FB46D9">
              <w:t>820</w:t>
            </w:r>
            <w:r w:rsidRPr="00FB46D9">
              <w:t xml:space="preserve"> </w:t>
            </w:r>
          </w:p>
        </w:tc>
      </w:tr>
      <w:tr w:rsidR="001F3542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FB46D9" w:rsidRDefault="0067636F" w:rsidP="00347A97">
            <w:r w:rsidRPr="00FB46D9">
              <w:t xml:space="preserve">  </w:t>
            </w:r>
            <w:r w:rsidR="00EA0D27" w:rsidRPr="00FB46D9">
              <w:t>Resultado</w:t>
            </w:r>
            <w:r w:rsidRPr="00FB46D9">
              <w:t xml:space="preserve"> do </w:t>
            </w:r>
            <w:r w:rsidR="00347A97" w:rsidRPr="00FB46D9">
              <w:t>exercício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 -</w:t>
            </w:r>
            <w:proofErr w:type="gramStart"/>
            <w:r w:rsidRPr="00FB46D9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AA04C2" w:rsidP="009F0978">
            <w:pPr>
              <w:jc w:val="right"/>
            </w:pPr>
            <w:r w:rsidRPr="00FB46D9">
              <w:t>(</w:t>
            </w:r>
            <w:r w:rsidR="009F0978" w:rsidRPr="00FB46D9">
              <w:t>16</w:t>
            </w:r>
            <w:r w:rsidR="001518F5" w:rsidRPr="00FB46D9">
              <w:t>.</w:t>
            </w:r>
            <w:r w:rsidR="009F0978" w:rsidRPr="00FB46D9">
              <w:t>913</w:t>
            </w:r>
            <w:r w:rsidRPr="00FB46D9">
              <w:t>)</w:t>
            </w:r>
            <w:r w:rsidR="0067636F" w:rsidRPr="00FB46D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FB46D9" w:rsidRDefault="0067636F" w:rsidP="00D242CC">
            <w:pPr>
              <w:jc w:val="right"/>
              <w:rPr>
                <w:color w:val="FF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AA04C2" w:rsidP="009F0978">
            <w:pPr>
              <w:jc w:val="right"/>
            </w:pPr>
            <w:r w:rsidRPr="00FB46D9">
              <w:t>(</w:t>
            </w:r>
            <w:r w:rsidR="009F0978" w:rsidRPr="00FB46D9">
              <w:t>16</w:t>
            </w:r>
            <w:r w:rsidRPr="00FB46D9">
              <w:t>.</w:t>
            </w:r>
            <w:r w:rsidR="009F0978" w:rsidRPr="00FB46D9">
              <w:t>913</w:t>
            </w:r>
            <w:r w:rsidRPr="00FB46D9">
              <w:t>)</w:t>
            </w:r>
          </w:p>
        </w:tc>
      </w:tr>
      <w:tr w:rsidR="00347A97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FB46D9" w:rsidRDefault="0067636F" w:rsidP="006B46BB">
            <w:pPr>
              <w:rPr>
                <w:b/>
                <w:bCs/>
              </w:rPr>
            </w:pPr>
            <w:r w:rsidRPr="00FB46D9">
              <w:rPr>
                <w:b/>
                <w:bCs/>
              </w:rPr>
              <w:t xml:space="preserve">Saldo em </w:t>
            </w:r>
            <w:r w:rsidR="006B46BB" w:rsidRPr="00FB46D9">
              <w:rPr>
                <w:b/>
                <w:bCs/>
              </w:rPr>
              <w:t>31 de dezembro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FB46D9" w:rsidP="00D242CC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 1.107.522</w:t>
            </w:r>
            <w:r w:rsidR="0067636F" w:rsidRPr="00FB46D9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947FC9" w:rsidP="00947FC9">
            <w:pPr>
              <w:jc w:val="right"/>
              <w:rPr>
                <w:b/>
              </w:rPr>
            </w:pPr>
            <w:r w:rsidRPr="00FB46D9">
              <w:rPr>
                <w:b/>
              </w:rPr>
              <w:t>55</w:t>
            </w:r>
            <w:r w:rsidR="0067636F" w:rsidRPr="00FB46D9">
              <w:rPr>
                <w:b/>
              </w:rPr>
              <w:t>.</w:t>
            </w:r>
            <w:r w:rsidRPr="00FB46D9">
              <w:rPr>
                <w:b/>
              </w:rPr>
              <w:t>820</w:t>
            </w:r>
            <w:r w:rsidR="0067636F" w:rsidRPr="00FB46D9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B5184E" w:rsidP="00947FC9">
            <w:pPr>
              <w:jc w:val="right"/>
              <w:rPr>
                <w:b/>
              </w:rPr>
            </w:pPr>
            <w:r w:rsidRPr="00FB46D9">
              <w:rPr>
                <w:b/>
              </w:rPr>
              <w:t>(</w:t>
            </w:r>
            <w:r w:rsidR="00947FC9" w:rsidRPr="00FB46D9">
              <w:rPr>
                <w:b/>
              </w:rPr>
              <w:t>16</w:t>
            </w:r>
            <w:r w:rsidRPr="00FB46D9">
              <w:rPr>
                <w:b/>
              </w:rPr>
              <w:t>.</w:t>
            </w:r>
            <w:r w:rsidR="00947FC9" w:rsidRPr="00FB46D9">
              <w:rPr>
                <w:b/>
              </w:rPr>
              <w:t>030</w:t>
            </w:r>
            <w:r w:rsidR="0067636F" w:rsidRPr="00FB46D9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FB46D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7261ED" w:rsidP="00FB46D9">
            <w:pPr>
              <w:jc w:val="right"/>
              <w:rPr>
                <w:b/>
              </w:rPr>
            </w:pPr>
            <w:r w:rsidRPr="00FB46D9">
              <w:rPr>
                <w:b/>
              </w:rPr>
              <w:t>(1</w:t>
            </w:r>
            <w:r w:rsidR="00947FC9" w:rsidRPr="00FB46D9">
              <w:rPr>
                <w:b/>
              </w:rPr>
              <w:t>26</w:t>
            </w:r>
            <w:r w:rsidRPr="00FB46D9">
              <w:rPr>
                <w:b/>
              </w:rPr>
              <w:t>.</w:t>
            </w:r>
            <w:r w:rsidR="00947FC9" w:rsidRPr="00FB46D9">
              <w:rPr>
                <w:b/>
              </w:rPr>
              <w:t>5</w:t>
            </w:r>
            <w:r w:rsidR="00FB46D9" w:rsidRPr="00FB46D9">
              <w:rPr>
                <w:b/>
              </w:rPr>
              <w:t>29</w:t>
            </w:r>
            <w:r w:rsidR="0067636F" w:rsidRPr="00FB46D9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FB46D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FB46D9" w:rsidRDefault="0067636F" w:rsidP="00947FC9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 1.0</w:t>
            </w:r>
            <w:r w:rsidR="00947FC9" w:rsidRPr="00FB46D9">
              <w:rPr>
                <w:b/>
              </w:rPr>
              <w:t>20</w:t>
            </w:r>
            <w:r w:rsidRPr="00FB46D9">
              <w:rPr>
                <w:b/>
              </w:rPr>
              <w:t>.</w:t>
            </w:r>
            <w:r w:rsidR="00947FC9" w:rsidRPr="00FB46D9">
              <w:rPr>
                <w:b/>
              </w:rPr>
              <w:t>783</w:t>
            </w:r>
            <w:r w:rsidRPr="00FB46D9">
              <w:rPr>
                <w:b/>
              </w:rPr>
              <w:t xml:space="preserve"> </w:t>
            </w:r>
          </w:p>
        </w:tc>
      </w:tr>
      <w:tr w:rsidR="00347A97" w:rsidRPr="00FB46D9" w:rsidTr="00F45AAB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42CE" w:rsidRPr="00FB46D9" w:rsidRDefault="00C142CE" w:rsidP="00F45AAB">
            <w:r w:rsidRPr="00FB46D9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F45AAB">
            <w:pPr>
              <w:jc w:val="right"/>
            </w:pPr>
            <w:r w:rsidRPr="00FB46D9">
              <w:t xml:space="preserve">  -</w:t>
            </w:r>
            <w:proofErr w:type="gramStart"/>
            <w:r w:rsidRPr="00FB46D9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F45AAB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F45AAB">
            <w:pPr>
              <w:jc w:val="right"/>
            </w:pPr>
            <w:r w:rsidRPr="00FB46D9">
              <w:t xml:space="preserve">      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F45AAB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F45AAB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F45AAB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C142CE">
            <w:pPr>
              <w:jc w:val="right"/>
            </w:pPr>
            <w:r w:rsidRPr="00FB46D9">
              <w:t xml:space="preserve"> </w:t>
            </w:r>
            <w:proofErr w:type="gramStart"/>
            <w:r w:rsidRPr="00FB46D9">
              <w:t>1</w:t>
            </w:r>
            <w:proofErr w:type="gramEnd"/>
            <w:r w:rsidRPr="00FB46D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2CE" w:rsidRPr="00FB46D9" w:rsidRDefault="00C142CE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FB46D9" w:rsidRDefault="00C142CE" w:rsidP="00C142CE">
            <w:pPr>
              <w:jc w:val="right"/>
            </w:pPr>
            <w:r w:rsidRPr="00FB46D9">
              <w:t xml:space="preserve"> </w:t>
            </w:r>
            <w:proofErr w:type="gramStart"/>
            <w:r w:rsidRPr="00FB46D9">
              <w:t>1</w:t>
            </w:r>
            <w:proofErr w:type="gramEnd"/>
            <w:r w:rsidRPr="00FB46D9">
              <w:t xml:space="preserve"> </w:t>
            </w:r>
          </w:p>
        </w:tc>
      </w:tr>
      <w:tr w:rsidR="00347A97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FB46D9" w:rsidRDefault="00095632" w:rsidP="008A1483">
            <w:pPr>
              <w:rPr>
                <w:bCs/>
              </w:rPr>
            </w:pPr>
            <w:r w:rsidRPr="00FB46D9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E86546" w:rsidP="002C1F14">
            <w:pPr>
              <w:jc w:val="right"/>
            </w:pPr>
            <w:r w:rsidRPr="00FB46D9">
              <w:t>(</w:t>
            </w:r>
            <w:r w:rsidR="00CF3314" w:rsidRPr="00FB46D9">
              <w:t>13</w:t>
            </w:r>
            <w:r w:rsidR="00347A97" w:rsidRPr="00FB46D9">
              <w:t>3</w:t>
            </w:r>
            <w:r w:rsidRPr="00FB46D9">
              <w:t>)</w:t>
            </w:r>
            <w:r w:rsidR="00095632" w:rsidRPr="00FB46D9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A10286">
            <w:pPr>
              <w:jc w:val="right"/>
            </w:pPr>
            <w:r w:rsidRPr="00FB46D9">
              <w:t xml:space="preserve"> </w:t>
            </w:r>
            <w:r w:rsidR="00CF3314" w:rsidRPr="00FB46D9">
              <w:t>13</w:t>
            </w:r>
            <w:r w:rsidR="00347A97" w:rsidRPr="00FB46D9">
              <w:t>3</w:t>
            </w:r>
            <w:r w:rsidRPr="00FB46D9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FB46D9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  </w:t>
            </w:r>
          </w:p>
        </w:tc>
        <w:proofErr w:type="gramEnd"/>
      </w:tr>
      <w:tr w:rsidR="00347A97" w:rsidRPr="00FB46D9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518F5" w:rsidRPr="00FB46D9" w:rsidRDefault="001518F5" w:rsidP="00F45AAB">
            <w:pPr>
              <w:rPr>
                <w:bCs/>
              </w:rPr>
            </w:pPr>
            <w:r w:rsidRPr="00FB46D9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DA3D83">
            <w:pPr>
              <w:jc w:val="right"/>
            </w:pPr>
            <w:r w:rsidRPr="00FB46D9">
              <w:t>55.8</w:t>
            </w:r>
            <w:r w:rsidR="00DA3D83" w:rsidRPr="00FB46D9">
              <w:t>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F45AAB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DA3D83">
            <w:pPr>
              <w:jc w:val="right"/>
            </w:pPr>
            <w:r w:rsidRPr="00FB46D9">
              <w:t>(55.8</w:t>
            </w:r>
            <w:r w:rsidR="00DA3D83" w:rsidRPr="00FB46D9">
              <w:t>20</w:t>
            </w:r>
            <w:r w:rsidRPr="00FB46D9">
              <w:t>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F45AAB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F45AAB">
            <w:pPr>
              <w:jc w:val="right"/>
            </w:pPr>
            <w:r w:rsidRPr="00FB46D9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F45AAB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F45AAB">
            <w:pPr>
              <w:jc w:val="right"/>
            </w:pPr>
            <w:r w:rsidRPr="00FB46D9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F45AAB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1518F5" w:rsidRPr="00FB46D9" w:rsidRDefault="001518F5" w:rsidP="00F45AAB">
            <w:pPr>
              <w:jc w:val="right"/>
            </w:pPr>
            <w:r w:rsidRPr="00FB46D9">
              <w:t>-</w:t>
            </w:r>
          </w:p>
        </w:tc>
      </w:tr>
      <w:tr w:rsidR="000554C1" w:rsidRPr="00FB46D9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95632" w:rsidRPr="00FB46D9" w:rsidRDefault="00095632" w:rsidP="008A1483">
            <w:pPr>
              <w:rPr>
                <w:bCs/>
              </w:rPr>
            </w:pPr>
            <w:r w:rsidRPr="00FB46D9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2C1F14">
            <w:pPr>
              <w:jc w:val="right"/>
            </w:pPr>
            <w:r w:rsidRPr="00FB46D9">
              <w:t xml:space="preserve"> </w:t>
            </w:r>
            <w:r w:rsidR="002C1F14" w:rsidRPr="00FB46D9">
              <w:t>-</w:t>
            </w:r>
            <w:r w:rsidRPr="00FB46D9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E86546" w:rsidP="00306787">
            <w:pPr>
              <w:jc w:val="right"/>
            </w:pPr>
            <w:r w:rsidRPr="00FB46D9">
              <w:t>59</w:t>
            </w:r>
            <w:r w:rsidR="001518F5" w:rsidRPr="00FB46D9">
              <w:t>.</w:t>
            </w:r>
            <w:r w:rsidRPr="00FB46D9">
              <w:t>820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FB46D9" w:rsidRDefault="00095632" w:rsidP="008A1483">
            <w:pPr>
              <w:jc w:val="right"/>
            </w:pPr>
            <w:proofErr w:type="gramEnd"/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E86546" w:rsidP="00306787">
            <w:pPr>
              <w:jc w:val="right"/>
            </w:pPr>
            <w:r w:rsidRPr="00FB46D9">
              <w:t>59.820</w:t>
            </w:r>
          </w:p>
        </w:tc>
      </w:tr>
      <w:tr w:rsidR="00436213" w:rsidRPr="00FB46D9" w:rsidTr="00306787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FB46D9" w:rsidRDefault="00095632" w:rsidP="00347A97">
            <w:pPr>
              <w:rPr>
                <w:bCs/>
              </w:rPr>
            </w:pPr>
            <w:r w:rsidRPr="00FB46D9">
              <w:rPr>
                <w:bCs/>
              </w:rPr>
              <w:t xml:space="preserve">  Resultado do </w:t>
            </w:r>
            <w:r w:rsidR="00347A97" w:rsidRPr="00FB46D9">
              <w:rPr>
                <w:bCs/>
              </w:rPr>
              <w:t>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 -</w:t>
            </w:r>
            <w:proofErr w:type="gramStart"/>
            <w:r w:rsidRPr="00FB46D9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FB46D9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FB46D9" w:rsidRDefault="00FB46D9" w:rsidP="00436213">
            <w:pPr>
              <w:jc w:val="right"/>
            </w:pPr>
            <w:r w:rsidRPr="00FB46D9">
              <w:t>(23</w:t>
            </w:r>
            <w:r w:rsidR="002C1F14" w:rsidRPr="00FB46D9">
              <w:t>.</w:t>
            </w:r>
            <w:r w:rsidRPr="00FB46D9">
              <w:t>999</w:t>
            </w:r>
            <w:r w:rsidR="00436213" w:rsidRPr="00FB46D9">
              <w:t>)</w:t>
            </w:r>
            <w:r w:rsidR="00095632" w:rsidRPr="00FB46D9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FB46D9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FB46D9" w:rsidRDefault="00FB46D9" w:rsidP="00436213">
            <w:pPr>
              <w:jc w:val="right"/>
            </w:pPr>
            <w:r w:rsidRPr="00FB46D9">
              <w:t>(23</w:t>
            </w:r>
            <w:r w:rsidR="00306787" w:rsidRPr="00FB46D9">
              <w:t>.</w:t>
            </w:r>
            <w:r w:rsidRPr="00FB46D9">
              <w:t>999</w:t>
            </w:r>
            <w:r w:rsidR="00436213" w:rsidRPr="00FB46D9">
              <w:t>)</w:t>
            </w:r>
          </w:p>
        </w:tc>
      </w:tr>
      <w:tr w:rsidR="000554C1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87" w:rsidRPr="00FB46D9" w:rsidRDefault="008A150C" w:rsidP="008A150C">
            <w:pPr>
              <w:rPr>
                <w:b/>
                <w:bCs/>
              </w:rPr>
            </w:pPr>
            <w:r w:rsidRPr="00FB46D9">
              <w:rPr>
                <w:b/>
                <w:bCs/>
              </w:rPr>
              <w:t>Saldo em 31</w:t>
            </w:r>
            <w:r w:rsidR="00306787" w:rsidRPr="00FB46D9">
              <w:rPr>
                <w:b/>
                <w:bCs/>
              </w:rPr>
              <w:t xml:space="preserve"> de </w:t>
            </w:r>
            <w:r w:rsidRPr="00FB46D9">
              <w:rPr>
                <w:b/>
                <w:bCs/>
              </w:rPr>
              <w:t>dez</w:t>
            </w:r>
            <w:r w:rsidR="001F3542" w:rsidRPr="00FB46D9">
              <w:rPr>
                <w:b/>
                <w:bCs/>
              </w:rPr>
              <w:t>embro</w:t>
            </w:r>
            <w:r w:rsidR="00306787" w:rsidRPr="00FB46D9">
              <w:rPr>
                <w:b/>
                <w:bCs/>
              </w:rPr>
              <w:t xml:space="preserve"> de 2020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FB46D9" w:rsidRDefault="00B27097" w:rsidP="00F45AAB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 1.163.34</w:t>
            </w:r>
            <w:r w:rsidR="00DD0A9B" w:rsidRPr="00FB46D9">
              <w:rPr>
                <w:b/>
              </w:rPr>
              <w:t>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FB46D9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FB46D9" w:rsidRDefault="00E86546" w:rsidP="00F45AAB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 59</w:t>
            </w:r>
            <w:r w:rsidR="002E1715" w:rsidRPr="00FB46D9">
              <w:rPr>
                <w:b/>
              </w:rPr>
              <w:t>.</w:t>
            </w:r>
            <w:r w:rsidRPr="00FB46D9">
              <w:rPr>
                <w:b/>
              </w:rPr>
              <w:t>820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FB46D9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FB46D9" w:rsidRDefault="00306787" w:rsidP="00E86546">
            <w:pPr>
              <w:jc w:val="right"/>
              <w:rPr>
                <w:b/>
              </w:rPr>
            </w:pPr>
            <w:r w:rsidRPr="00FB46D9">
              <w:rPr>
                <w:b/>
              </w:rPr>
              <w:t>(1</w:t>
            </w:r>
            <w:r w:rsidR="00E86546" w:rsidRPr="00FB46D9">
              <w:rPr>
                <w:b/>
              </w:rPr>
              <w:t>6</w:t>
            </w:r>
            <w:r w:rsidRPr="00FB46D9">
              <w:rPr>
                <w:b/>
              </w:rPr>
              <w:t>.</w:t>
            </w:r>
            <w:r w:rsidR="00E86546" w:rsidRPr="00FB46D9">
              <w:rPr>
                <w:b/>
              </w:rPr>
              <w:t>163</w:t>
            </w:r>
            <w:r w:rsidRPr="00FB46D9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FB46D9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FB46D9" w:rsidRDefault="000554C1" w:rsidP="00A71944">
            <w:pPr>
              <w:jc w:val="right"/>
              <w:rPr>
                <w:b/>
              </w:rPr>
            </w:pPr>
            <w:r w:rsidRPr="00FB46D9">
              <w:rPr>
                <w:b/>
              </w:rPr>
              <w:t>(150</w:t>
            </w:r>
            <w:r w:rsidR="00306787" w:rsidRPr="00FB46D9">
              <w:rPr>
                <w:b/>
              </w:rPr>
              <w:t>.</w:t>
            </w:r>
            <w:r w:rsidRPr="00FB46D9">
              <w:rPr>
                <w:b/>
              </w:rPr>
              <w:t>39</w:t>
            </w:r>
            <w:r w:rsidR="00FB46D9" w:rsidRPr="00FB46D9">
              <w:rPr>
                <w:b/>
              </w:rPr>
              <w:t>4</w:t>
            </w:r>
            <w:r w:rsidR="00306787" w:rsidRPr="00FB46D9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06787" w:rsidRPr="00FB46D9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FB46D9" w:rsidRDefault="00E86546" w:rsidP="00A71944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 1.056</w:t>
            </w:r>
            <w:r w:rsidR="00306787" w:rsidRPr="00FB46D9">
              <w:rPr>
                <w:b/>
              </w:rPr>
              <w:t>.</w:t>
            </w:r>
            <w:r w:rsidRPr="00FB46D9">
              <w:rPr>
                <w:b/>
              </w:rPr>
              <w:t>60</w:t>
            </w:r>
            <w:r w:rsidR="00A71944" w:rsidRPr="00FB46D9">
              <w:rPr>
                <w:b/>
              </w:rPr>
              <w:t>5</w:t>
            </w:r>
            <w:r w:rsidR="00306787" w:rsidRPr="00FB46D9">
              <w:rPr>
                <w:b/>
              </w:rPr>
              <w:t xml:space="preserve"> </w:t>
            </w:r>
          </w:p>
        </w:tc>
      </w:tr>
      <w:tr w:rsidR="001F3542" w:rsidRPr="00FB46D9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29C6" w:rsidRPr="00FB46D9" w:rsidRDefault="004529C6" w:rsidP="00621750">
            <w:pPr>
              <w:rPr>
                <w:bCs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E81D9E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</w:tr>
    </w:tbl>
    <w:p w:rsidR="00AA69D9" w:rsidRPr="00FB46D9" w:rsidRDefault="00AA69D9" w:rsidP="003D7188"/>
    <w:p w:rsidR="003D7188" w:rsidRPr="00DF6632" w:rsidRDefault="003D7188" w:rsidP="003D7188">
      <w:r w:rsidRPr="00FB46D9">
        <w:t>As notas explicativas são parte integrante das demonstrações contábeis.</w:t>
      </w:r>
    </w:p>
    <w:p w:rsidR="00B905C4" w:rsidRPr="00DF6632" w:rsidRDefault="00B905C4">
      <w:pPr>
        <w:rPr>
          <w:b/>
          <w:bCs/>
        </w:rPr>
      </w:pPr>
    </w:p>
    <w:p w:rsidR="00555E0B" w:rsidRPr="001F3542" w:rsidRDefault="00555E0B" w:rsidP="00B84E13">
      <w:pPr>
        <w:rPr>
          <w:b/>
          <w:bCs/>
          <w:color w:val="FF0000"/>
        </w:rPr>
        <w:sectPr w:rsidR="00555E0B" w:rsidRPr="001F3542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9D19A5" w:rsidRPr="00436213" w:rsidTr="00C81A18">
        <w:tc>
          <w:tcPr>
            <w:tcW w:w="3187" w:type="pct"/>
            <w:shd w:val="clear" w:color="auto" w:fill="auto"/>
            <w:noWrap/>
            <w:vAlign w:val="center"/>
            <w:hideMark/>
          </w:tcPr>
          <w:p w:rsidR="00642FA9" w:rsidRPr="00436213" w:rsidRDefault="00642FA9" w:rsidP="00E20B1B">
            <w:pPr>
              <w:rPr>
                <w:b/>
                <w:bCs/>
              </w:rPr>
            </w:pPr>
            <w:r w:rsidRPr="00436213">
              <w:rPr>
                <w:b/>
                <w:bCs/>
              </w:rPr>
              <w:lastRenderedPageBreak/>
              <w:t>Fluxos de Caixa das Atividades Operacionais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A9" w:rsidRPr="00436213" w:rsidRDefault="008A150C" w:rsidP="00014C09">
            <w:pPr>
              <w:jc w:val="right"/>
              <w:rPr>
                <w:b/>
                <w:bCs/>
                <w:sz w:val="18"/>
                <w:szCs w:val="18"/>
              </w:rPr>
            </w:pPr>
            <w:r w:rsidRPr="00436213">
              <w:rPr>
                <w:b/>
                <w:bCs/>
                <w:sz w:val="18"/>
                <w:szCs w:val="18"/>
              </w:rPr>
              <w:t>31/12/2020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642FA9" w:rsidRPr="00436213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42FA9" w:rsidRPr="00436213" w:rsidRDefault="00642FA9" w:rsidP="008A150C">
            <w:pPr>
              <w:jc w:val="right"/>
              <w:rPr>
                <w:b/>
                <w:sz w:val="18"/>
                <w:szCs w:val="18"/>
              </w:rPr>
            </w:pPr>
            <w:r w:rsidRPr="00436213">
              <w:rPr>
                <w:b/>
                <w:sz w:val="18"/>
                <w:szCs w:val="18"/>
              </w:rPr>
              <w:t>3</w:t>
            </w:r>
            <w:r w:rsidR="008A150C" w:rsidRPr="00436213">
              <w:rPr>
                <w:b/>
                <w:sz w:val="18"/>
                <w:szCs w:val="18"/>
              </w:rPr>
              <w:t>1</w:t>
            </w:r>
            <w:r w:rsidRPr="00436213">
              <w:rPr>
                <w:b/>
                <w:sz w:val="18"/>
                <w:szCs w:val="18"/>
              </w:rPr>
              <w:t>/</w:t>
            </w:r>
            <w:r w:rsidR="008A150C" w:rsidRPr="00436213">
              <w:rPr>
                <w:b/>
                <w:sz w:val="18"/>
                <w:szCs w:val="18"/>
              </w:rPr>
              <w:t>12</w:t>
            </w:r>
            <w:r w:rsidRPr="00436213">
              <w:rPr>
                <w:b/>
                <w:sz w:val="18"/>
                <w:szCs w:val="18"/>
              </w:rPr>
              <w:t>/2019</w:t>
            </w:r>
          </w:p>
        </w:tc>
      </w:tr>
      <w:tr w:rsidR="009D19A5" w:rsidRPr="00436213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42FA9" w:rsidRPr="00436213" w:rsidRDefault="00642FA9" w:rsidP="00E20B1B">
            <w:pPr>
              <w:rPr>
                <w:b/>
                <w:bCs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436213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436213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642FA9" w:rsidRPr="00436213" w:rsidRDefault="00642FA9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D19A5" w:rsidRPr="00436213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436213" w:rsidRDefault="003662C8" w:rsidP="00E20B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Resultado</w:t>
            </w:r>
            <w:r w:rsidR="00441157" w:rsidRPr="00436213">
              <w:rPr>
                <w:b/>
                <w:bCs/>
                <w:sz w:val="18"/>
                <w:szCs w:val="18"/>
              </w:rPr>
              <w:t xml:space="preserve"> do Exercício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436213" w:rsidRDefault="00011EB4" w:rsidP="0043621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(23</w:t>
            </w:r>
            <w:r w:rsidR="00441157" w:rsidRPr="00436213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999</w:t>
            </w:r>
            <w:r w:rsidR="00436213" w:rsidRPr="0043621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436213" w:rsidRDefault="0044115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436213" w:rsidRDefault="00441157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436213">
              <w:rPr>
                <w:b/>
                <w:bCs/>
                <w:sz w:val="18"/>
                <w:szCs w:val="18"/>
              </w:rPr>
              <w:t xml:space="preserve"> (16.913)</w:t>
            </w:r>
            <w:proofErr w:type="gramStart"/>
            <w:r w:rsidRPr="00436213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proofErr w:type="gramEnd"/>
      </w:tr>
      <w:tr w:rsidR="00441157" w:rsidRPr="00B078AE" w:rsidTr="00974CC9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078AE" w:rsidRDefault="00441157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441157" w:rsidRDefault="00441157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078AE" w:rsidRDefault="00441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D26987" w:rsidRDefault="00441157" w:rsidP="00974CC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441157" w:rsidRPr="00A2163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A21635" w:rsidRDefault="00441157" w:rsidP="007A0940">
            <w:pPr>
              <w:rPr>
                <w:b/>
                <w:bCs/>
                <w:sz w:val="18"/>
                <w:szCs w:val="18"/>
              </w:rPr>
            </w:pPr>
            <w:r w:rsidRPr="00A21635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41157" w:rsidRPr="00BF5DB9" w:rsidRDefault="00441157" w:rsidP="00BF5DB9">
            <w:pPr>
              <w:jc w:val="right"/>
              <w:rPr>
                <w:b/>
                <w:sz w:val="18"/>
                <w:szCs w:val="18"/>
              </w:rPr>
            </w:pPr>
            <w:r w:rsidRPr="00BF5DB9">
              <w:rPr>
                <w:b/>
                <w:sz w:val="18"/>
                <w:szCs w:val="18"/>
              </w:rPr>
              <w:t xml:space="preserve"> 1</w:t>
            </w:r>
            <w:r w:rsidR="00BF5DB9" w:rsidRPr="00BF5DB9">
              <w:rPr>
                <w:b/>
                <w:sz w:val="18"/>
                <w:szCs w:val="18"/>
              </w:rPr>
              <w:t>8</w:t>
            </w:r>
            <w:r w:rsidRPr="00BF5DB9">
              <w:rPr>
                <w:b/>
                <w:sz w:val="18"/>
                <w:szCs w:val="18"/>
              </w:rPr>
              <w:t>.</w:t>
            </w:r>
            <w:r w:rsidR="00382F30">
              <w:rPr>
                <w:b/>
                <w:sz w:val="18"/>
                <w:szCs w:val="18"/>
              </w:rPr>
              <w:t>75</w:t>
            </w:r>
            <w:r w:rsidR="00F442A0">
              <w:rPr>
                <w:b/>
                <w:sz w:val="18"/>
                <w:szCs w:val="18"/>
              </w:rPr>
              <w:t>4</w:t>
            </w:r>
            <w:r w:rsidRPr="00BF5DB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41157" w:rsidRPr="00D31F7D" w:rsidRDefault="00441157" w:rsidP="007A094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441157" w:rsidRDefault="00441157" w:rsidP="009C7230">
            <w:pPr>
              <w:jc w:val="right"/>
              <w:rPr>
                <w:b/>
                <w:sz w:val="18"/>
                <w:szCs w:val="18"/>
              </w:rPr>
            </w:pPr>
            <w:r w:rsidRPr="00441157">
              <w:rPr>
                <w:b/>
                <w:sz w:val="18"/>
                <w:szCs w:val="18"/>
              </w:rPr>
              <w:t>19.1</w:t>
            </w:r>
            <w:r w:rsidR="009C7230">
              <w:rPr>
                <w:b/>
                <w:sz w:val="18"/>
                <w:szCs w:val="18"/>
              </w:rPr>
              <w:t>20</w:t>
            </w:r>
            <w:r w:rsidRPr="0044115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D19A5" w:rsidRPr="009D19A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9D19A5" w:rsidRDefault="00441157" w:rsidP="008E4050">
            <w:pPr>
              <w:ind w:firstLineChars="200" w:firstLine="360"/>
              <w:rPr>
                <w:sz w:val="18"/>
                <w:szCs w:val="18"/>
              </w:rPr>
            </w:pPr>
            <w:r w:rsidRPr="009D19A5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1157" w:rsidRPr="00BF5DB9" w:rsidRDefault="00441157" w:rsidP="00B078AE">
            <w:pPr>
              <w:jc w:val="right"/>
              <w:rPr>
                <w:sz w:val="18"/>
                <w:szCs w:val="18"/>
              </w:rPr>
            </w:pPr>
            <w:proofErr w:type="gramStart"/>
            <w:r w:rsidRPr="00BF5DB9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9D19A5" w:rsidRDefault="00441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9D19A5" w:rsidRDefault="00441157" w:rsidP="00974CC9">
            <w:pPr>
              <w:jc w:val="right"/>
              <w:rPr>
                <w:sz w:val="18"/>
                <w:szCs w:val="18"/>
              </w:rPr>
            </w:pPr>
            <w:r w:rsidRPr="009D19A5">
              <w:rPr>
                <w:sz w:val="18"/>
                <w:szCs w:val="18"/>
              </w:rPr>
              <w:t xml:space="preserve">273 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A21635" w:rsidRDefault="009D19A5" w:rsidP="00B33055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9D19A5" w:rsidP="009D19A5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 xml:space="preserve"> 28.173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21.344 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A21635" w:rsidRDefault="009D19A5" w:rsidP="00E36A72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BF5DB9" w:rsidP="009D19A5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>(</w:t>
            </w:r>
            <w:r w:rsidR="009D19A5" w:rsidRPr="00BF5DB9">
              <w:rPr>
                <w:sz w:val="18"/>
                <w:szCs w:val="18"/>
              </w:rPr>
              <w:t>45</w:t>
            </w:r>
            <w:r w:rsidRPr="00BF5DB9">
              <w:rPr>
                <w:sz w:val="18"/>
                <w:szCs w:val="18"/>
              </w:rPr>
              <w:t>)</w:t>
            </w:r>
            <w:r w:rsidR="009D19A5" w:rsidRPr="00BF5D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(6</w:t>
            </w:r>
            <w:r>
              <w:rPr>
                <w:sz w:val="18"/>
                <w:szCs w:val="18"/>
              </w:rPr>
              <w:t>0</w:t>
            </w:r>
            <w:r w:rsidRPr="00391465">
              <w:rPr>
                <w:sz w:val="18"/>
                <w:szCs w:val="18"/>
              </w:rPr>
              <w:t>)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A21635" w:rsidRDefault="009D19A5" w:rsidP="00B33055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9D19A5" w:rsidP="009D19A5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 xml:space="preserve"> 667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931 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A21635" w:rsidRDefault="009D19A5" w:rsidP="00B33055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BF5DB9" w:rsidP="009D19A5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>(</w:t>
            </w:r>
            <w:r w:rsidR="009D19A5" w:rsidRPr="00BF5DB9">
              <w:rPr>
                <w:sz w:val="18"/>
                <w:szCs w:val="18"/>
              </w:rPr>
              <w:t>3.133</w:t>
            </w:r>
            <w:r w:rsidRPr="00BF5DB9">
              <w:rPr>
                <w:sz w:val="18"/>
                <w:szCs w:val="18"/>
              </w:rPr>
              <w:t>)</w:t>
            </w:r>
            <w:r w:rsidR="009D19A5" w:rsidRPr="00BF5D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(819)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217099" w:rsidRDefault="009D19A5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9D19A5" w:rsidP="009D19A5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 xml:space="preserve"> 2.375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2.331 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217099" w:rsidRDefault="009D19A5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BF5DB9" w:rsidP="009D19A5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>(</w:t>
            </w:r>
            <w:r w:rsidR="00382F30">
              <w:rPr>
                <w:sz w:val="18"/>
                <w:szCs w:val="18"/>
              </w:rPr>
              <w:t>1.80</w:t>
            </w:r>
            <w:r w:rsidR="00F442A0">
              <w:rPr>
                <w:sz w:val="18"/>
                <w:szCs w:val="18"/>
              </w:rPr>
              <w:t>5</w:t>
            </w:r>
            <w:r w:rsidRPr="00BF5DB9">
              <w:rPr>
                <w:sz w:val="18"/>
                <w:szCs w:val="18"/>
              </w:rPr>
              <w:t>)</w:t>
            </w:r>
            <w:r w:rsidR="009D19A5" w:rsidRPr="00BF5D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(1.691)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217099" w:rsidRDefault="009D19A5" w:rsidP="00E36A72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BF5DB9" w:rsidP="009D19A5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>(</w:t>
            </w:r>
            <w:r w:rsidR="009D19A5" w:rsidRPr="00BF5DB9">
              <w:rPr>
                <w:sz w:val="18"/>
                <w:szCs w:val="18"/>
              </w:rPr>
              <w:t>3.294</w:t>
            </w:r>
            <w:r w:rsidRPr="00BF5DB9">
              <w:rPr>
                <w:sz w:val="18"/>
                <w:szCs w:val="18"/>
              </w:rPr>
              <w:t>)</w:t>
            </w:r>
            <w:r w:rsidR="009D19A5" w:rsidRPr="00BF5D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(535)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217099" w:rsidRDefault="009D19A5" w:rsidP="000D0348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BF5DB9" w:rsidP="0042111D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>(</w:t>
            </w:r>
            <w:r w:rsidR="009D19A5" w:rsidRPr="00BF5DB9">
              <w:rPr>
                <w:sz w:val="18"/>
                <w:szCs w:val="18"/>
              </w:rPr>
              <w:t>831</w:t>
            </w:r>
            <w:r w:rsidRPr="00BF5DB9">
              <w:rPr>
                <w:sz w:val="18"/>
                <w:szCs w:val="18"/>
              </w:rPr>
              <w:t>)</w:t>
            </w:r>
            <w:r w:rsidR="009D19A5" w:rsidRPr="00BF5D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(279)</w:t>
            </w:r>
          </w:p>
        </w:tc>
      </w:tr>
      <w:tr w:rsidR="009D19A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9A5" w:rsidRPr="00217099" w:rsidRDefault="009D19A5" w:rsidP="000D0348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19A5" w:rsidRPr="00BF5DB9" w:rsidRDefault="00BF5DB9" w:rsidP="0042111D">
            <w:pPr>
              <w:jc w:val="right"/>
              <w:rPr>
                <w:sz w:val="18"/>
                <w:szCs w:val="18"/>
              </w:rPr>
            </w:pPr>
            <w:r w:rsidRPr="00BF5DB9">
              <w:rPr>
                <w:sz w:val="18"/>
                <w:szCs w:val="18"/>
              </w:rPr>
              <w:t>(</w:t>
            </w:r>
            <w:r w:rsidR="009D19A5" w:rsidRPr="00BF5DB9">
              <w:rPr>
                <w:sz w:val="18"/>
                <w:szCs w:val="18"/>
              </w:rPr>
              <w:t>3.354</w:t>
            </w:r>
            <w:r w:rsidRPr="00BF5DB9">
              <w:rPr>
                <w:sz w:val="18"/>
                <w:szCs w:val="18"/>
              </w:rPr>
              <w:t>)</w:t>
            </w:r>
            <w:r w:rsidR="009D19A5" w:rsidRPr="00BF5D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A21635" w:rsidRDefault="009D19A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19A5" w:rsidRPr="00391465" w:rsidRDefault="009D19A5" w:rsidP="00974CC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(2.375)</w:t>
            </w:r>
          </w:p>
        </w:tc>
      </w:tr>
      <w:tr w:rsidR="001F3542" w:rsidRPr="00A21635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217099" w:rsidRDefault="00C81A18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441157" w:rsidRDefault="00C81A1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1A18" w:rsidRPr="00A21635" w:rsidRDefault="00C81A18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1A18" w:rsidRPr="00A21635" w:rsidRDefault="00C81A18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F322ED" w:rsidRPr="000C663C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0C663C" w:rsidRDefault="00F322ED" w:rsidP="00E20B1B">
            <w:pPr>
              <w:rPr>
                <w:b/>
                <w:bCs/>
                <w:sz w:val="18"/>
                <w:szCs w:val="18"/>
              </w:rPr>
            </w:pPr>
            <w:r w:rsidRPr="000C663C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322ED" w:rsidRPr="000C663C" w:rsidRDefault="00F442A0" w:rsidP="00F322E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22.765</w:t>
            </w:r>
            <w:r w:rsidR="00F322ED" w:rsidRPr="000C663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22ED" w:rsidRPr="000C663C" w:rsidRDefault="00F322ED" w:rsidP="00E20B1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322ED" w:rsidRPr="000C663C" w:rsidRDefault="00F322ED" w:rsidP="00441157">
            <w:pPr>
              <w:jc w:val="right"/>
              <w:rPr>
                <w:b/>
                <w:sz w:val="18"/>
                <w:szCs w:val="18"/>
              </w:rPr>
            </w:pPr>
            <w:r w:rsidRPr="000C663C">
              <w:rPr>
                <w:b/>
                <w:sz w:val="18"/>
                <w:szCs w:val="18"/>
              </w:rPr>
              <w:t>2.211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F322ED" w:rsidP="00F322ED">
            <w:pPr>
              <w:jc w:val="right"/>
              <w:rPr>
                <w:sz w:val="18"/>
                <w:szCs w:val="18"/>
              </w:rPr>
            </w:pPr>
            <w:r w:rsidRPr="00F322ED">
              <w:rPr>
                <w:sz w:val="18"/>
                <w:szCs w:val="18"/>
              </w:rPr>
              <w:t xml:space="preserve"> 15.980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011EB4" w:rsidRDefault="00F322ED" w:rsidP="00974CC9">
            <w:pPr>
              <w:jc w:val="right"/>
              <w:rPr>
                <w:sz w:val="18"/>
                <w:szCs w:val="18"/>
              </w:rPr>
            </w:pPr>
            <w:r w:rsidRPr="00011EB4">
              <w:rPr>
                <w:sz w:val="18"/>
                <w:szCs w:val="18"/>
              </w:rPr>
              <w:t xml:space="preserve">778 </w:t>
            </w:r>
          </w:p>
        </w:tc>
      </w:tr>
      <w:tr w:rsidR="00F322ED" w:rsidRPr="007537C7" w:rsidTr="00180A4F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7537C7" w:rsidRDefault="00F322ED" w:rsidP="00F322ED">
            <w:pPr>
              <w:ind w:firstLineChars="200" w:firstLine="360"/>
              <w:rPr>
                <w:sz w:val="18"/>
                <w:szCs w:val="18"/>
              </w:rPr>
            </w:pPr>
            <w:r w:rsidRPr="00F322ED">
              <w:rPr>
                <w:sz w:val="18"/>
                <w:szCs w:val="18"/>
              </w:rPr>
              <w:t>Recursos a Receber de Provisão de Férias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0C663C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442A0">
              <w:rPr>
                <w:sz w:val="18"/>
                <w:szCs w:val="18"/>
              </w:rPr>
              <w:t>4.332</w:t>
            </w:r>
            <w:r>
              <w:rPr>
                <w:sz w:val="18"/>
                <w:szCs w:val="18"/>
              </w:rPr>
              <w:t>)</w:t>
            </w:r>
            <w:r w:rsidR="00F322ED" w:rsidRPr="00F32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C93F00" w:rsidRDefault="00F322ED" w:rsidP="00F322ED">
            <w:pPr>
              <w:jc w:val="right"/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011EB4" w:rsidRDefault="00011EB4" w:rsidP="00F322ED">
            <w:pPr>
              <w:jc w:val="right"/>
              <w:rPr>
                <w:sz w:val="18"/>
                <w:szCs w:val="18"/>
              </w:rPr>
            </w:pPr>
            <w:r w:rsidRPr="00011EB4">
              <w:rPr>
                <w:sz w:val="18"/>
                <w:szCs w:val="18"/>
              </w:rPr>
              <w:t>(</w:t>
            </w:r>
            <w:r w:rsidR="00F322ED" w:rsidRPr="00011EB4">
              <w:rPr>
                <w:sz w:val="18"/>
                <w:szCs w:val="18"/>
              </w:rPr>
              <w:t>5.899</w:t>
            </w:r>
            <w:r w:rsidRPr="00011EB4">
              <w:rPr>
                <w:sz w:val="18"/>
                <w:szCs w:val="18"/>
              </w:rPr>
              <w:t>)</w:t>
            </w:r>
            <w:r w:rsidR="00F322ED" w:rsidRPr="00011EB4">
              <w:rPr>
                <w:sz w:val="18"/>
                <w:szCs w:val="18"/>
              </w:rPr>
              <w:t xml:space="preserve"> 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0C663C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322ED" w:rsidRPr="00F322ED">
              <w:rPr>
                <w:sz w:val="18"/>
                <w:szCs w:val="18"/>
              </w:rPr>
              <w:t>595</w:t>
            </w:r>
            <w:r>
              <w:rPr>
                <w:sz w:val="18"/>
                <w:szCs w:val="18"/>
              </w:rPr>
              <w:t>)</w:t>
            </w:r>
            <w:r w:rsidR="00F322ED" w:rsidRPr="00F32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011EB4" w:rsidRDefault="00F322ED" w:rsidP="00974CC9">
            <w:pPr>
              <w:jc w:val="right"/>
              <w:rPr>
                <w:sz w:val="18"/>
                <w:szCs w:val="18"/>
              </w:rPr>
            </w:pPr>
            <w:r w:rsidRPr="00011EB4">
              <w:rPr>
                <w:sz w:val="18"/>
                <w:szCs w:val="18"/>
              </w:rPr>
              <w:t>(950)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7537C7">
              <w:rPr>
                <w:sz w:val="18"/>
                <w:szCs w:val="18"/>
              </w:rPr>
              <w:t>Outras Contas</w:t>
            </w:r>
            <w:proofErr w:type="gramEnd"/>
            <w:r w:rsidRPr="007537C7">
              <w:rPr>
                <w:sz w:val="18"/>
                <w:szCs w:val="18"/>
              </w:rPr>
              <w:t xml:space="preserve">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0C663C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322ED" w:rsidRPr="00F322ED">
              <w:rPr>
                <w:sz w:val="18"/>
                <w:szCs w:val="18"/>
              </w:rPr>
              <w:t>474</w:t>
            </w:r>
            <w:r>
              <w:rPr>
                <w:sz w:val="18"/>
                <w:szCs w:val="18"/>
              </w:rPr>
              <w:t>)</w:t>
            </w:r>
            <w:r w:rsidR="00F322ED" w:rsidRPr="00F32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7.573 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Depósitos </w:t>
            </w:r>
            <w:proofErr w:type="gramStart"/>
            <w:r w:rsidRPr="007537C7">
              <w:rPr>
                <w:sz w:val="18"/>
                <w:szCs w:val="18"/>
              </w:rPr>
              <w:t>Judiciais/Devedores</w:t>
            </w:r>
            <w:proofErr w:type="gramEnd"/>
            <w:r w:rsidRPr="007537C7">
              <w:rPr>
                <w:sz w:val="18"/>
                <w:szCs w:val="18"/>
              </w:rPr>
              <w:t xml:space="preserve">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0C663C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322ED" w:rsidRPr="00F322ED">
              <w:rPr>
                <w:sz w:val="18"/>
                <w:szCs w:val="18"/>
              </w:rPr>
              <w:t>186</w:t>
            </w:r>
            <w:r>
              <w:rPr>
                <w:sz w:val="18"/>
                <w:szCs w:val="18"/>
              </w:rPr>
              <w:t>)</w:t>
            </w:r>
            <w:r w:rsidR="00F322ED" w:rsidRPr="00F32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(132)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F322ED" w:rsidP="00F322ED">
            <w:pPr>
              <w:jc w:val="right"/>
              <w:rPr>
                <w:sz w:val="18"/>
                <w:szCs w:val="18"/>
              </w:rPr>
            </w:pPr>
            <w:r w:rsidRPr="00F322ED">
              <w:rPr>
                <w:sz w:val="18"/>
                <w:szCs w:val="18"/>
              </w:rPr>
              <w:t xml:space="preserve"> 220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413 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0C663C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322ED" w:rsidRPr="00F322ED">
              <w:rPr>
                <w:sz w:val="18"/>
                <w:szCs w:val="18"/>
              </w:rPr>
              <w:t>7.618</w:t>
            </w:r>
            <w:r>
              <w:rPr>
                <w:sz w:val="18"/>
                <w:szCs w:val="18"/>
              </w:rPr>
              <w:t>)</w:t>
            </w:r>
            <w:r w:rsidR="00F322ED" w:rsidRPr="00F32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6.601 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F322ED" w:rsidP="00F322ED">
            <w:pPr>
              <w:jc w:val="right"/>
              <w:rPr>
                <w:sz w:val="18"/>
                <w:szCs w:val="18"/>
              </w:rPr>
            </w:pPr>
            <w:r w:rsidRPr="00F322ED">
              <w:rPr>
                <w:sz w:val="18"/>
                <w:szCs w:val="18"/>
              </w:rPr>
              <w:t xml:space="preserve"> 24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(233)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F322ED" w:rsidP="00F322ED">
            <w:pPr>
              <w:jc w:val="right"/>
              <w:rPr>
                <w:sz w:val="18"/>
                <w:szCs w:val="18"/>
              </w:rPr>
            </w:pPr>
            <w:r w:rsidRPr="00F322ED">
              <w:rPr>
                <w:sz w:val="18"/>
                <w:szCs w:val="18"/>
              </w:rPr>
              <w:t xml:space="preserve"> 2.211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(7.981)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0C663C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322ED" w:rsidRPr="00F322ED">
              <w:rPr>
                <w:sz w:val="18"/>
                <w:szCs w:val="18"/>
              </w:rPr>
              <w:t>289</w:t>
            </w:r>
            <w:r>
              <w:rPr>
                <w:sz w:val="18"/>
                <w:szCs w:val="18"/>
              </w:rPr>
              <w:t>)</w:t>
            </w:r>
            <w:r w:rsidR="00F322ED" w:rsidRPr="00F32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1.486 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F322ED" w:rsidP="00F322ED">
            <w:pPr>
              <w:jc w:val="right"/>
              <w:rPr>
                <w:sz w:val="18"/>
                <w:szCs w:val="18"/>
              </w:rPr>
            </w:pPr>
            <w:r w:rsidRPr="00F322ED">
              <w:rPr>
                <w:sz w:val="18"/>
                <w:szCs w:val="18"/>
              </w:rPr>
              <w:t xml:space="preserve"> 5.240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3.384 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0C663C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322ED" w:rsidRPr="00F322ED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)</w:t>
            </w:r>
            <w:r w:rsidR="00F322ED" w:rsidRPr="00F322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(7.565)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F322ED" w:rsidP="00F322ED">
            <w:pPr>
              <w:jc w:val="right"/>
              <w:rPr>
                <w:sz w:val="18"/>
                <w:szCs w:val="18"/>
              </w:rPr>
            </w:pPr>
            <w:r w:rsidRPr="00F322ED">
              <w:rPr>
                <w:sz w:val="18"/>
                <w:szCs w:val="18"/>
              </w:rPr>
              <w:t xml:space="preserve"> 593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(1.163)</w:t>
            </w:r>
          </w:p>
        </w:tc>
      </w:tr>
      <w:tr w:rsidR="00F322E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7537C7" w:rsidRDefault="00F322ED" w:rsidP="00B33055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Provisão para Férias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F322ED" w:rsidRDefault="00F322ED" w:rsidP="00F322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  <w:r w:rsidR="00CA7DD0">
              <w:rPr>
                <w:sz w:val="18"/>
                <w:szCs w:val="18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22ED" w:rsidRPr="007537C7" w:rsidRDefault="00F322E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22ED" w:rsidRPr="00B63F45" w:rsidRDefault="00F322ED" w:rsidP="00974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5.899</w:t>
            </w:r>
          </w:p>
        </w:tc>
      </w:tr>
      <w:tr w:rsidR="001F3542" w:rsidRPr="007537C7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7537C7" w:rsidRDefault="00C81A18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441157" w:rsidRDefault="00C81A18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A18" w:rsidRPr="007537C7" w:rsidRDefault="00C81A18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1A18" w:rsidRPr="007537C7" w:rsidRDefault="00C81A18" w:rsidP="00642FA9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0C663C" w:rsidRPr="000C663C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0C663C" w:rsidRDefault="00441157" w:rsidP="003D19B4">
            <w:pPr>
              <w:rPr>
                <w:b/>
                <w:bCs/>
                <w:sz w:val="18"/>
                <w:szCs w:val="18"/>
              </w:rPr>
            </w:pPr>
            <w:r w:rsidRPr="000C663C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0C663C" w:rsidRDefault="000C663C" w:rsidP="00D26987">
            <w:pPr>
              <w:jc w:val="right"/>
              <w:rPr>
                <w:b/>
                <w:bCs/>
                <w:sz w:val="18"/>
                <w:szCs w:val="18"/>
              </w:rPr>
            </w:pPr>
            <w:r w:rsidRPr="000C663C">
              <w:rPr>
                <w:b/>
                <w:bCs/>
                <w:sz w:val="18"/>
                <w:szCs w:val="18"/>
              </w:rPr>
              <w:t>17.520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157" w:rsidRPr="000C663C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0C663C" w:rsidRDefault="00441157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0C663C">
              <w:rPr>
                <w:b/>
                <w:bCs/>
                <w:sz w:val="18"/>
                <w:szCs w:val="18"/>
              </w:rPr>
              <w:t xml:space="preserve">       4.418</w:t>
            </w:r>
          </w:p>
        </w:tc>
      </w:tr>
      <w:tr w:rsidR="00441157" w:rsidRPr="007537C7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7537C7" w:rsidRDefault="00441157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441157" w:rsidRDefault="00441157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7537C7" w:rsidRDefault="0044115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1465DD" w:rsidRDefault="00441157" w:rsidP="00974CC9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41157" w:rsidRPr="007537C7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7537C7" w:rsidRDefault="00441157" w:rsidP="00E36A72">
            <w:pPr>
              <w:rPr>
                <w:b/>
                <w:bCs/>
                <w:sz w:val="18"/>
                <w:szCs w:val="18"/>
              </w:rPr>
            </w:pPr>
            <w:r w:rsidRPr="007537C7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441157" w:rsidRDefault="00441157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7537C7" w:rsidRDefault="0044115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1465DD" w:rsidRDefault="00441157" w:rsidP="00974CC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0C663C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63C" w:rsidRPr="007537C7" w:rsidRDefault="000C663C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663C" w:rsidRPr="000C663C" w:rsidRDefault="000C663C" w:rsidP="000C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C663C">
              <w:rPr>
                <w:sz w:val="18"/>
                <w:szCs w:val="18"/>
              </w:rPr>
              <w:t>28.161</w:t>
            </w:r>
            <w:r>
              <w:rPr>
                <w:sz w:val="18"/>
                <w:szCs w:val="18"/>
              </w:rPr>
              <w:t>)</w:t>
            </w:r>
            <w:r w:rsidRPr="000C66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63C" w:rsidRPr="007537C7" w:rsidRDefault="000C663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663C" w:rsidRPr="00B63F45" w:rsidRDefault="000C663C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(47.537)</w:t>
            </w:r>
          </w:p>
        </w:tc>
      </w:tr>
      <w:tr w:rsidR="000C663C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63C" w:rsidRPr="007537C7" w:rsidRDefault="000C663C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C663C" w:rsidRPr="000C663C" w:rsidRDefault="000C663C" w:rsidP="00AE2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E2893">
              <w:rPr>
                <w:sz w:val="18"/>
                <w:szCs w:val="18"/>
              </w:rPr>
              <w:t>42</w:t>
            </w:r>
            <w:r w:rsidRPr="000C663C">
              <w:rPr>
                <w:sz w:val="18"/>
                <w:szCs w:val="18"/>
              </w:rPr>
              <w:t>.4</w:t>
            </w:r>
            <w:r w:rsidR="00AE2893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)</w:t>
            </w:r>
            <w:r w:rsidRPr="000C66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63C" w:rsidRPr="007537C7" w:rsidRDefault="000C663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663C" w:rsidRPr="00B63F45" w:rsidRDefault="000C663C" w:rsidP="001D32F0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</w:t>
            </w:r>
            <w:r w:rsidR="001D32F0">
              <w:rPr>
                <w:sz w:val="18"/>
                <w:szCs w:val="18"/>
              </w:rPr>
              <w:t>29</w:t>
            </w:r>
            <w:r w:rsidRPr="00B63F45">
              <w:rPr>
                <w:sz w:val="18"/>
                <w:szCs w:val="18"/>
              </w:rPr>
              <w:t>.</w:t>
            </w:r>
            <w:r w:rsidR="001D32F0">
              <w:rPr>
                <w:sz w:val="18"/>
                <w:szCs w:val="18"/>
              </w:rPr>
              <w:t>897</w:t>
            </w:r>
            <w:r w:rsidRPr="00B63F45">
              <w:rPr>
                <w:sz w:val="18"/>
                <w:szCs w:val="18"/>
              </w:rPr>
              <w:t>)</w:t>
            </w:r>
          </w:p>
        </w:tc>
      </w:tr>
      <w:tr w:rsidR="000C663C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663C" w:rsidRPr="007537C7" w:rsidRDefault="000C663C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Aquisições de Bens Intangíveis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663C" w:rsidRPr="000C663C" w:rsidRDefault="000C663C" w:rsidP="000C6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C663C">
              <w:rPr>
                <w:sz w:val="18"/>
                <w:szCs w:val="18"/>
              </w:rPr>
              <w:t>196</w:t>
            </w:r>
            <w:r>
              <w:rPr>
                <w:sz w:val="18"/>
                <w:szCs w:val="18"/>
              </w:rPr>
              <w:t>)</w:t>
            </w:r>
            <w:r w:rsidRPr="000C66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663C" w:rsidRPr="007537C7" w:rsidRDefault="000C663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663C" w:rsidRPr="00B63F45" w:rsidRDefault="000C663C" w:rsidP="00974CC9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(2.009)</w:t>
            </w:r>
          </w:p>
        </w:tc>
      </w:tr>
      <w:tr w:rsidR="00441157" w:rsidRPr="00A2163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217099" w:rsidRDefault="00441157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441157" w:rsidRDefault="00441157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A21635" w:rsidRDefault="00441157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1465DD" w:rsidRDefault="00441157" w:rsidP="00974CC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441157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E36A72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0C663C" w:rsidRDefault="00441157" w:rsidP="000C663C">
            <w:pPr>
              <w:jc w:val="right"/>
              <w:rPr>
                <w:b/>
                <w:bCs/>
                <w:sz w:val="18"/>
                <w:szCs w:val="18"/>
              </w:rPr>
            </w:pPr>
            <w:r w:rsidRPr="000C663C">
              <w:rPr>
                <w:b/>
                <w:bCs/>
                <w:sz w:val="18"/>
                <w:szCs w:val="18"/>
              </w:rPr>
              <w:t>(</w:t>
            </w:r>
            <w:r w:rsidR="000C663C" w:rsidRPr="000C663C">
              <w:rPr>
                <w:b/>
                <w:bCs/>
                <w:sz w:val="18"/>
                <w:szCs w:val="18"/>
              </w:rPr>
              <w:t>70</w:t>
            </w:r>
            <w:r w:rsidRPr="000C663C">
              <w:rPr>
                <w:b/>
                <w:bCs/>
                <w:sz w:val="18"/>
                <w:szCs w:val="18"/>
              </w:rPr>
              <w:t>.</w:t>
            </w:r>
            <w:r w:rsidR="00CA7DD0">
              <w:rPr>
                <w:b/>
                <w:bCs/>
                <w:sz w:val="18"/>
                <w:szCs w:val="18"/>
              </w:rPr>
              <w:t>770</w:t>
            </w:r>
            <w:r w:rsidRPr="000C663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41157" w:rsidRPr="000C663C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0C663C" w:rsidRDefault="00441157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0C663C">
              <w:rPr>
                <w:b/>
                <w:bCs/>
                <w:sz w:val="18"/>
                <w:szCs w:val="18"/>
              </w:rPr>
              <w:t xml:space="preserve">       (79.443)</w:t>
            </w: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635" w:rsidRPr="00217099" w:rsidRDefault="00A21635" w:rsidP="00E36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441157" w:rsidRDefault="00A21635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E20B1B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21635" w:rsidRPr="00441157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35" w:rsidRPr="00A21635" w:rsidRDefault="00A21635" w:rsidP="00D31F7D">
            <w:pPr>
              <w:rPr>
                <w:color w:val="000000"/>
                <w:sz w:val="18"/>
                <w:szCs w:val="18"/>
              </w:rPr>
            </w:pPr>
          </w:p>
        </w:tc>
      </w:tr>
      <w:tr w:rsidR="00BA011A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011A" w:rsidRPr="00217099" w:rsidRDefault="00BA011A" w:rsidP="000B7021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Subvenções Governamentais/</w:t>
            </w:r>
            <w:proofErr w:type="gramStart"/>
            <w:r w:rsidRPr="00217099">
              <w:rPr>
                <w:sz w:val="18"/>
                <w:szCs w:val="18"/>
              </w:rPr>
              <w:t>Receitas Diferidas</w:t>
            </w:r>
            <w:proofErr w:type="gramEnd"/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A011A" w:rsidRPr="00BA011A" w:rsidRDefault="00BA011A" w:rsidP="00BA011A">
            <w:pPr>
              <w:jc w:val="right"/>
              <w:rPr>
                <w:sz w:val="18"/>
                <w:szCs w:val="18"/>
              </w:rPr>
            </w:pPr>
            <w:r w:rsidRPr="00BA011A">
              <w:rPr>
                <w:sz w:val="18"/>
                <w:szCs w:val="18"/>
              </w:rPr>
              <w:t xml:space="preserve"> 7.828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011A" w:rsidRPr="00A21635" w:rsidRDefault="00BA011A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011A" w:rsidRPr="00EC75FB" w:rsidRDefault="00BA011A" w:rsidP="00974CC9">
            <w:pPr>
              <w:jc w:val="right"/>
              <w:rPr>
                <w:sz w:val="18"/>
                <w:szCs w:val="18"/>
              </w:rPr>
            </w:pPr>
            <w:r w:rsidRPr="00EC75FB">
              <w:rPr>
                <w:sz w:val="18"/>
                <w:szCs w:val="18"/>
              </w:rPr>
              <w:t xml:space="preserve">                (10)</w:t>
            </w:r>
          </w:p>
        </w:tc>
      </w:tr>
      <w:tr w:rsidR="00BA011A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1A" w:rsidRPr="00217099" w:rsidRDefault="00BA011A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217099">
              <w:rPr>
                <w:sz w:val="18"/>
                <w:szCs w:val="18"/>
              </w:rPr>
              <w:t>Adiantamento para Futuro Aumento</w:t>
            </w:r>
            <w:proofErr w:type="gramEnd"/>
            <w:r w:rsidRPr="00217099">
              <w:rPr>
                <w:sz w:val="18"/>
                <w:szCs w:val="18"/>
              </w:rPr>
              <w:t xml:space="preserve">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11A" w:rsidRPr="00BA011A" w:rsidRDefault="00BA011A" w:rsidP="00BA011A">
            <w:pPr>
              <w:jc w:val="right"/>
              <w:rPr>
                <w:sz w:val="18"/>
                <w:szCs w:val="18"/>
              </w:rPr>
            </w:pPr>
            <w:r w:rsidRPr="00BA011A">
              <w:rPr>
                <w:sz w:val="18"/>
                <w:szCs w:val="18"/>
              </w:rPr>
              <w:t xml:space="preserve"> 59.820 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11A" w:rsidRPr="00A21635" w:rsidRDefault="00BA011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011A" w:rsidRPr="00EC75FB" w:rsidRDefault="00BA011A" w:rsidP="00974CC9">
            <w:pPr>
              <w:jc w:val="right"/>
              <w:rPr>
                <w:sz w:val="18"/>
                <w:szCs w:val="18"/>
              </w:rPr>
            </w:pPr>
            <w:r w:rsidRPr="00EC75FB">
              <w:rPr>
                <w:sz w:val="18"/>
                <w:szCs w:val="18"/>
              </w:rPr>
              <w:t xml:space="preserve">         55.820 </w:t>
            </w:r>
          </w:p>
        </w:tc>
      </w:tr>
      <w:tr w:rsidR="00441157" w:rsidRPr="00A2163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217099" w:rsidRDefault="00441157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BA011A" w:rsidRDefault="00441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A21635" w:rsidRDefault="00441157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EC75FB" w:rsidRDefault="00441157" w:rsidP="00974CC9">
            <w:pPr>
              <w:jc w:val="right"/>
              <w:rPr>
                <w:sz w:val="18"/>
                <w:szCs w:val="18"/>
              </w:rPr>
            </w:pPr>
          </w:p>
        </w:tc>
      </w:tr>
      <w:tr w:rsidR="00441157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AC610F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BA011A" w:rsidP="00BA011A">
            <w:pPr>
              <w:jc w:val="right"/>
              <w:rPr>
                <w:b/>
                <w:sz w:val="18"/>
                <w:szCs w:val="18"/>
              </w:rPr>
            </w:pPr>
            <w:r w:rsidRPr="00B86882">
              <w:rPr>
                <w:b/>
                <w:sz w:val="18"/>
                <w:szCs w:val="18"/>
              </w:rPr>
              <w:t>67</w:t>
            </w:r>
            <w:r w:rsidR="00441157" w:rsidRPr="00B86882">
              <w:rPr>
                <w:b/>
                <w:sz w:val="18"/>
                <w:szCs w:val="18"/>
              </w:rPr>
              <w:t>.</w:t>
            </w:r>
            <w:r w:rsidRPr="00B86882">
              <w:rPr>
                <w:b/>
                <w:sz w:val="18"/>
                <w:szCs w:val="18"/>
              </w:rPr>
              <w:t>648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57" w:rsidRPr="00B86882" w:rsidRDefault="0044115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b/>
                <w:sz w:val="18"/>
                <w:szCs w:val="18"/>
              </w:rPr>
            </w:pPr>
            <w:r w:rsidRPr="00B86882">
              <w:rPr>
                <w:b/>
                <w:sz w:val="18"/>
                <w:szCs w:val="18"/>
              </w:rPr>
              <w:t xml:space="preserve">         55.810 </w:t>
            </w: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217099" w:rsidRDefault="00A21635" w:rsidP="00AC61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B86882" w:rsidRDefault="00A21635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B86882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B86882" w:rsidRDefault="00A21635" w:rsidP="00D31F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41157" w:rsidRPr="00A21635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185581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 xml:space="preserve">Caixa </w:t>
            </w:r>
            <w:r w:rsidR="00185581">
              <w:rPr>
                <w:b/>
                <w:bCs/>
                <w:sz w:val="18"/>
                <w:szCs w:val="18"/>
              </w:rPr>
              <w:t>Adicionado/</w:t>
            </w:r>
            <w:proofErr w:type="gramStart"/>
            <w:r w:rsidR="00185581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217099">
              <w:rPr>
                <w:b/>
                <w:bCs/>
                <w:sz w:val="18"/>
                <w:szCs w:val="18"/>
              </w:rPr>
              <w:t>Consumido</w:t>
            </w:r>
            <w:r w:rsidR="00185581">
              <w:rPr>
                <w:b/>
                <w:bCs/>
                <w:sz w:val="18"/>
                <w:szCs w:val="18"/>
              </w:rPr>
              <w:t>)</w:t>
            </w:r>
            <w:r w:rsidRPr="00217099">
              <w:rPr>
                <w:b/>
                <w:bCs/>
                <w:sz w:val="18"/>
                <w:szCs w:val="18"/>
              </w:rPr>
              <w:t xml:space="preserve"> no </w:t>
            </w:r>
            <w:r w:rsidR="00185581">
              <w:rPr>
                <w:b/>
                <w:bCs/>
                <w:sz w:val="18"/>
                <w:szCs w:val="18"/>
              </w:rPr>
              <w:t>Exercício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185581" w:rsidP="00185581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B86882">
              <w:rPr>
                <w:b/>
                <w:bCs/>
                <w:sz w:val="18"/>
                <w:szCs w:val="18"/>
              </w:rPr>
              <w:t>14</w:t>
            </w:r>
            <w:r w:rsidR="00441157" w:rsidRPr="00B86882">
              <w:rPr>
                <w:b/>
                <w:bCs/>
                <w:sz w:val="18"/>
                <w:szCs w:val="18"/>
              </w:rPr>
              <w:t>.</w:t>
            </w:r>
            <w:r w:rsidRPr="00B86882">
              <w:rPr>
                <w:b/>
                <w:bCs/>
                <w:sz w:val="18"/>
                <w:szCs w:val="18"/>
              </w:rPr>
              <w:t>39</w:t>
            </w:r>
            <w:r w:rsidR="00CA7DD0" w:rsidRPr="00B8688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41157" w:rsidRPr="00B86882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B86882">
              <w:rPr>
                <w:b/>
                <w:bCs/>
                <w:sz w:val="18"/>
                <w:szCs w:val="18"/>
              </w:rPr>
              <w:t xml:space="preserve">       (19.215)</w:t>
            </w:r>
          </w:p>
        </w:tc>
      </w:tr>
      <w:tr w:rsidR="00441157" w:rsidRPr="00A21635" w:rsidTr="00974CC9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217099" w:rsidRDefault="00441157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441157" w:rsidRPr="00A21635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AC610F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41157" w:rsidRPr="00B86882" w:rsidRDefault="00441157" w:rsidP="005F70FF">
            <w:pPr>
              <w:jc w:val="right"/>
              <w:rPr>
                <w:sz w:val="18"/>
                <w:szCs w:val="18"/>
              </w:rPr>
            </w:pPr>
            <w:r w:rsidRPr="00B86882">
              <w:rPr>
                <w:sz w:val="18"/>
                <w:szCs w:val="18"/>
              </w:rPr>
              <w:t xml:space="preserve"> 108.582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57" w:rsidRPr="00B86882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sz w:val="18"/>
                <w:szCs w:val="18"/>
              </w:rPr>
            </w:pPr>
            <w:r w:rsidRPr="00B86882">
              <w:rPr>
                <w:sz w:val="18"/>
                <w:szCs w:val="18"/>
              </w:rPr>
              <w:t xml:space="preserve">       127.797 </w:t>
            </w:r>
          </w:p>
        </w:tc>
      </w:tr>
      <w:tr w:rsidR="00441157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AC610F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41157" w:rsidRPr="00B86882" w:rsidRDefault="00185581" w:rsidP="00185581">
            <w:pPr>
              <w:jc w:val="right"/>
              <w:rPr>
                <w:sz w:val="18"/>
                <w:szCs w:val="18"/>
              </w:rPr>
            </w:pPr>
            <w:r w:rsidRPr="00B86882">
              <w:rPr>
                <w:sz w:val="18"/>
                <w:szCs w:val="18"/>
              </w:rPr>
              <w:t xml:space="preserve">   </w:t>
            </w:r>
            <w:r w:rsidRPr="00B86882">
              <w:rPr>
                <w:sz w:val="18"/>
                <w:szCs w:val="18"/>
              </w:rPr>
              <w:tab/>
              <w:t>122.980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157" w:rsidRPr="00B86882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sz w:val="18"/>
                <w:szCs w:val="18"/>
              </w:rPr>
            </w:pPr>
            <w:r w:rsidRPr="00B86882">
              <w:rPr>
                <w:sz w:val="18"/>
                <w:szCs w:val="18"/>
              </w:rPr>
              <w:t xml:space="preserve">         108.582 </w:t>
            </w:r>
          </w:p>
        </w:tc>
      </w:tr>
      <w:tr w:rsidR="00441157" w:rsidRPr="00A21635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185581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Aumento</w:t>
            </w:r>
            <w:r w:rsidR="00185581">
              <w:rPr>
                <w:b/>
                <w:bCs/>
                <w:sz w:val="18"/>
                <w:szCs w:val="18"/>
              </w:rPr>
              <w:t>/</w:t>
            </w:r>
            <w:proofErr w:type="gramStart"/>
            <w:r w:rsidR="00185581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="00185581">
              <w:rPr>
                <w:b/>
                <w:bCs/>
                <w:sz w:val="18"/>
                <w:szCs w:val="18"/>
              </w:rPr>
              <w:t>Redução)</w:t>
            </w:r>
            <w:r w:rsidRPr="00217099">
              <w:rPr>
                <w:b/>
                <w:bCs/>
                <w:sz w:val="18"/>
                <w:szCs w:val="18"/>
              </w:rPr>
              <w:t xml:space="preserve">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430D1C" w:rsidRDefault="00185581" w:rsidP="00430D1C">
            <w:pPr>
              <w:jc w:val="right"/>
              <w:rPr>
                <w:b/>
                <w:bCs/>
                <w:sz w:val="18"/>
                <w:szCs w:val="18"/>
              </w:rPr>
            </w:pPr>
            <w:r w:rsidRPr="00B86882">
              <w:rPr>
                <w:b/>
                <w:bCs/>
                <w:sz w:val="18"/>
                <w:szCs w:val="18"/>
              </w:rPr>
              <w:t>14</w:t>
            </w:r>
            <w:r w:rsidR="00441157" w:rsidRPr="00B86882">
              <w:rPr>
                <w:b/>
                <w:bCs/>
                <w:sz w:val="18"/>
                <w:szCs w:val="18"/>
              </w:rPr>
              <w:t>.</w:t>
            </w:r>
            <w:r w:rsidRPr="00B86882">
              <w:rPr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41157" w:rsidRPr="00B86882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B86882">
              <w:rPr>
                <w:b/>
                <w:bCs/>
                <w:sz w:val="18"/>
                <w:szCs w:val="18"/>
              </w:rPr>
              <w:t xml:space="preserve">       (19.215)</w:t>
            </w:r>
          </w:p>
        </w:tc>
      </w:tr>
      <w:tr w:rsidR="00441157" w:rsidRPr="00A2163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217099" w:rsidRDefault="00441157" w:rsidP="00AC610F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441157" w:rsidRPr="00A21635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41157" w:rsidRPr="00B86882" w:rsidRDefault="00441157" w:rsidP="00185581">
            <w:pPr>
              <w:jc w:val="right"/>
              <w:rPr>
                <w:sz w:val="18"/>
                <w:szCs w:val="18"/>
              </w:rPr>
            </w:pPr>
            <w:r w:rsidRPr="00B86882">
              <w:rPr>
                <w:sz w:val="18"/>
                <w:szCs w:val="18"/>
              </w:rPr>
              <w:t>(</w:t>
            </w:r>
            <w:r w:rsidR="00185581" w:rsidRPr="00B86882">
              <w:rPr>
                <w:sz w:val="18"/>
                <w:szCs w:val="18"/>
              </w:rPr>
              <w:t>831</w:t>
            </w:r>
            <w:r w:rsidRPr="00B8688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157" w:rsidRPr="00B86882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B86882" w:rsidRDefault="00441157" w:rsidP="00974CC9">
            <w:pPr>
              <w:jc w:val="right"/>
              <w:rPr>
                <w:sz w:val="18"/>
                <w:szCs w:val="18"/>
              </w:rPr>
            </w:pPr>
            <w:r w:rsidRPr="00B86882">
              <w:rPr>
                <w:sz w:val="18"/>
                <w:szCs w:val="18"/>
              </w:rPr>
              <w:t xml:space="preserve">            (279)</w:t>
            </w:r>
          </w:p>
        </w:tc>
      </w:tr>
      <w:tr w:rsidR="00441157" w:rsidRPr="00A21635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1157" w:rsidRPr="00185581" w:rsidRDefault="00441157" w:rsidP="00185581">
            <w:pPr>
              <w:jc w:val="right"/>
              <w:rPr>
                <w:sz w:val="18"/>
                <w:szCs w:val="18"/>
              </w:rPr>
            </w:pPr>
            <w:r w:rsidRPr="00185581">
              <w:rPr>
                <w:sz w:val="18"/>
                <w:szCs w:val="18"/>
              </w:rPr>
              <w:t>(</w:t>
            </w:r>
            <w:r w:rsidR="00185581" w:rsidRPr="00185581">
              <w:rPr>
                <w:sz w:val="18"/>
                <w:szCs w:val="18"/>
              </w:rPr>
              <w:t>3</w:t>
            </w:r>
            <w:r w:rsidRPr="00185581">
              <w:rPr>
                <w:sz w:val="18"/>
                <w:szCs w:val="18"/>
              </w:rPr>
              <w:t>.</w:t>
            </w:r>
            <w:r w:rsidR="00185581" w:rsidRPr="00185581">
              <w:rPr>
                <w:sz w:val="18"/>
                <w:szCs w:val="18"/>
              </w:rPr>
              <w:t>354</w:t>
            </w:r>
            <w:r w:rsidRPr="0018558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157" w:rsidRPr="00185581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1157" w:rsidRPr="00EC75FB" w:rsidRDefault="00441157" w:rsidP="00974CC9">
            <w:pPr>
              <w:jc w:val="right"/>
              <w:rPr>
                <w:sz w:val="18"/>
                <w:szCs w:val="18"/>
              </w:rPr>
            </w:pPr>
            <w:r w:rsidRPr="00EC75FB">
              <w:rPr>
                <w:sz w:val="18"/>
                <w:szCs w:val="18"/>
              </w:rPr>
              <w:t xml:space="preserve">         (2.375)</w:t>
            </w:r>
          </w:p>
        </w:tc>
      </w:tr>
      <w:tr w:rsidR="00441157" w:rsidRPr="00A21635" w:rsidTr="00D31F7D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41157" w:rsidRPr="00217099" w:rsidRDefault="00441157" w:rsidP="000D0348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41157" w:rsidRPr="00185581" w:rsidRDefault="00441157" w:rsidP="00185581">
            <w:pPr>
              <w:jc w:val="right"/>
              <w:rPr>
                <w:b/>
                <w:bCs/>
                <w:sz w:val="18"/>
                <w:szCs w:val="18"/>
              </w:rPr>
            </w:pPr>
            <w:r w:rsidRPr="00185581">
              <w:rPr>
                <w:b/>
                <w:bCs/>
                <w:sz w:val="18"/>
                <w:szCs w:val="18"/>
              </w:rPr>
              <w:t>(</w:t>
            </w:r>
            <w:r w:rsidR="00185581" w:rsidRPr="00185581">
              <w:rPr>
                <w:b/>
                <w:bCs/>
                <w:sz w:val="18"/>
                <w:szCs w:val="18"/>
              </w:rPr>
              <w:t>4</w:t>
            </w:r>
            <w:r w:rsidRPr="00185581">
              <w:rPr>
                <w:b/>
                <w:bCs/>
                <w:sz w:val="18"/>
                <w:szCs w:val="18"/>
              </w:rPr>
              <w:t>.</w:t>
            </w:r>
            <w:r w:rsidR="00185581" w:rsidRPr="00185581">
              <w:rPr>
                <w:b/>
                <w:bCs/>
                <w:sz w:val="18"/>
                <w:szCs w:val="18"/>
              </w:rPr>
              <w:t>185</w:t>
            </w:r>
            <w:r w:rsidRPr="0018558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1157" w:rsidRPr="00185581" w:rsidRDefault="0044115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157" w:rsidRPr="00EC75FB" w:rsidRDefault="00441157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EC75FB">
              <w:rPr>
                <w:b/>
                <w:bCs/>
                <w:sz w:val="18"/>
                <w:szCs w:val="18"/>
              </w:rPr>
              <w:t xml:space="preserve">         (2.654)</w:t>
            </w:r>
          </w:p>
        </w:tc>
      </w:tr>
    </w:tbl>
    <w:p w:rsidR="00EF5609" w:rsidRPr="00217099" w:rsidRDefault="00EF5609"/>
    <w:p w:rsidR="000F46F6" w:rsidRPr="00217099" w:rsidRDefault="00DF06DB">
      <w:r w:rsidRPr="00217099">
        <w:t>A</w:t>
      </w:r>
      <w:r w:rsidR="00D65413" w:rsidRPr="00217099">
        <w:t xml:space="preserve">s notas explicativas </w:t>
      </w:r>
      <w:r w:rsidR="00F36266" w:rsidRPr="00217099">
        <w:t>são parte integrante das demonstrações contábeis.</w:t>
      </w:r>
    </w:p>
    <w:p w:rsidR="00A21635" w:rsidRPr="00217099" w:rsidRDefault="00A21635"/>
    <w:p w:rsidR="00A21635" w:rsidRPr="00217099" w:rsidRDefault="00A21635"/>
    <w:p w:rsidR="00A21635" w:rsidRPr="001F3542" w:rsidRDefault="00A21635">
      <w:pPr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074C16" w:rsidRPr="00074C1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>Demonstração do Va</w:t>
            </w:r>
            <w:r w:rsidR="00565C79" w:rsidRPr="00074C16">
              <w:rPr>
                <w:b/>
                <w:bCs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132BE0">
            <w:pPr>
              <w:jc w:val="right"/>
              <w:rPr>
                <w:b/>
                <w:bCs/>
              </w:rPr>
            </w:pPr>
            <w:r w:rsidRPr="00074C16">
              <w:rPr>
                <w:b/>
                <w:bCs/>
              </w:rPr>
              <w:t>3</w:t>
            </w:r>
            <w:r w:rsidR="00132BE0">
              <w:rPr>
                <w:b/>
                <w:bCs/>
              </w:rPr>
              <w:t>1</w:t>
            </w:r>
            <w:r w:rsidRPr="00074C16">
              <w:rPr>
                <w:b/>
                <w:bCs/>
              </w:rPr>
              <w:t>/</w:t>
            </w:r>
            <w:r w:rsidR="00132BE0">
              <w:rPr>
                <w:b/>
                <w:bCs/>
              </w:rPr>
              <w:t>12</w:t>
            </w:r>
            <w:r w:rsidRPr="00074C16">
              <w:rPr>
                <w:b/>
                <w:bCs/>
              </w:rPr>
              <w:t>/20</w:t>
            </w:r>
            <w:r w:rsidR="00642FA9" w:rsidRPr="00074C16">
              <w:rPr>
                <w:b/>
                <w:bCs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C17F7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132BE0" w:rsidP="00132B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285A84" w:rsidRPr="00074C16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="00285A84" w:rsidRPr="00074C16">
              <w:rPr>
                <w:b/>
                <w:bCs/>
              </w:rPr>
              <w:t>/201</w:t>
            </w:r>
            <w:r w:rsidR="00642FA9" w:rsidRPr="00074C16">
              <w:rPr>
                <w:b/>
                <w:bCs/>
              </w:rPr>
              <w:t>9</w:t>
            </w:r>
          </w:p>
        </w:tc>
      </w:tr>
      <w:tr w:rsidR="00074C16" w:rsidRPr="00074C1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074C16" w:rsidRDefault="0079276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074C16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074C16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074C16" w:rsidRDefault="00792763">
            <w:pPr>
              <w:jc w:val="right"/>
              <w:rPr>
                <w:b/>
                <w:bCs/>
              </w:rPr>
            </w:pPr>
          </w:p>
        </w:tc>
      </w:tr>
      <w:tr w:rsidR="00AE4999" w:rsidRPr="00AE4999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AE4999" w:rsidRDefault="002628D1" w:rsidP="00285A84">
            <w:pPr>
              <w:rPr>
                <w:b/>
                <w:bCs/>
              </w:rPr>
            </w:pPr>
            <w:r w:rsidRPr="00AE4999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AE4999" w:rsidRDefault="002628D1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AE4999" w:rsidRDefault="002628D1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AE4999" w:rsidRDefault="002628D1">
            <w:pPr>
              <w:jc w:val="right"/>
              <w:rPr>
                <w:b/>
                <w:bCs/>
              </w:rPr>
            </w:pPr>
          </w:p>
        </w:tc>
      </w:tr>
      <w:tr w:rsidR="00AE4999" w:rsidRPr="00AE4999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999" w:rsidRPr="00AE4999" w:rsidRDefault="00AE4999" w:rsidP="00285A84">
            <w:pPr>
              <w:ind w:firstLineChars="200" w:firstLine="400"/>
            </w:pPr>
            <w:r w:rsidRPr="00AE4999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E4999" w:rsidRPr="00AE4999" w:rsidRDefault="00AE4999" w:rsidP="00AE4999">
            <w:pPr>
              <w:jc w:val="right"/>
            </w:pPr>
            <w:r w:rsidRPr="00AE4999">
              <w:t xml:space="preserve"> 252.627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999" w:rsidRPr="00AE4999" w:rsidRDefault="00AE4999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E4999" w:rsidRPr="00AE4999" w:rsidRDefault="00AE4999" w:rsidP="00974CC9">
            <w:pPr>
              <w:jc w:val="right"/>
            </w:pPr>
            <w:r w:rsidRPr="00AE4999">
              <w:t xml:space="preserve"> 243.622 </w:t>
            </w:r>
          </w:p>
        </w:tc>
      </w:tr>
      <w:tr w:rsidR="00AE4999" w:rsidRPr="00AE4999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999" w:rsidRPr="00AE4999" w:rsidRDefault="00AE4999" w:rsidP="00285A84">
            <w:pPr>
              <w:ind w:firstLineChars="200" w:firstLine="400"/>
            </w:pPr>
            <w:r w:rsidRPr="00AE4999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4999" w:rsidRPr="00AE4999" w:rsidRDefault="00AE4999" w:rsidP="00AE4999">
            <w:pPr>
              <w:jc w:val="right"/>
            </w:pPr>
            <w:r w:rsidRPr="00AE4999">
              <w:t xml:space="preserve"> 12.772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4999" w:rsidRPr="00AE4999" w:rsidRDefault="00AE4999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4999" w:rsidRPr="00AE4999" w:rsidRDefault="00AE4999" w:rsidP="00974CC9">
            <w:pPr>
              <w:jc w:val="right"/>
            </w:pPr>
            <w:r w:rsidRPr="00AE4999">
              <w:t xml:space="preserve"> 10.496 </w:t>
            </w:r>
          </w:p>
        </w:tc>
      </w:tr>
      <w:tr w:rsidR="00AE4999" w:rsidRPr="00AE4999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999" w:rsidRPr="00AE4999" w:rsidRDefault="00AE4999" w:rsidP="00285A84">
            <w:pPr>
              <w:ind w:firstLineChars="200" w:firstLine="400"/>
            </w:pPr>
            <w:r w:rsidRPr="00AE4999">
              <w:t xml:space="preserve">Prov. Créd. </w:t>
            </w:r>
            <w:proofErr w:type="spellStart"/>
            <w:r w:rsidRPr="00AE4999">
              <w:t>Liq</w:t>
            </w:r>
            <w:proofErr w:type="spellEnd"/>
            <w:r w:rsidRPr="00AE4999">
              <w:t xml:space="preserve">. </w:t>
            </w:r>
            <w:proofErr w:type="spellStart"/>
            <w:r w:rsidRPr="00AE4999">
              <w:t>Duv</w:t>
            </w:r>
            <w:proofErr w:type="spellEnd"/>
            <w:r w:rsidRPr="00AE4999">
              <w:t>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E4999" w:rsidRPr="00AE4999" w:rsidRDefault="00AE4999" w:rsidP="00AE4999">
            <w:pPr>
              <w:jc w:val="right"/>
            </w:pPr>
            <w:r>
              <w:t>(</w:t>
            </w:r>
            <w:r w:rsidRPr="00AE4999">
              <w:t>969</w:t>
            </w:r>
            <w:r>
              <w:t>)</w:t>
            </w:r>
            <w:r w:rsidRPr="00AE4999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E4999" w:rsidRPr="00AE4999" w:rsidRDefault="00AE4999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E4999" w:rsidRPr="00AE4999" w:rsidRDefault="00AE4999" w:rsidP="00974CC9">
            <w:pPr>
              <w:jc w:val="right"/>
            </w:pPr>
            <w:r w:rsidRPr="00AE4999">
              <w:t xml:space="preserve">(1.438) </w:t>
            </w:r>
          </w:p>
        </w:tc>
      </w:tr>
      <w:tr w:rsidR="00AE4999" w:rsidRPr="00AE4999" w:rsidTr="00D31F7D">
        <w:tc>
          <w:tcPr>
            <w:tcW w:w="2943" w:type="pct"/>
            <w:shd w:val="clear" w:color="auto" w:fill="auto"/>
            <w:noWrap/>
            <w:vAlign w:val="bottom"/>
          </w:tcPr>
          <w:p w:rsidR="008B2D62" w:rsidRPr="00AE4999" w:rsidRDefault="008B2D62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2D62" w:rsidRPr="00AE4999" w:rsidRDefault="00AE4999" w:rsidP="00D96550">
            <w:pPr>
              <w:jc w:val="right"/>
              <w:rPr>
                <w:b/>
                <w:highlight w:val="yellow"/>
              </w:rPr>
            </w:pPr>
            <w:r w:rsidRPr="00AE4999">
              <w:rPr>
                <w:b/>
              </w:rPr>
              <w:t>264.430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8B2D62" w:rsidRPr="00AE4999" w:rsidRDefault="008B2D62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B2D62" w:rsidRPr="00AE4999" w:rsidRDefault="008B2D62" w:rsidP="00974CC9">
            <w:pPr>
              <w:jc w:val="right"/>
              <w:rPr>
                <w:b/>
              </w:rPr>
            </w:pPr>
            <w:r w:rsidRPr="00AE4999">
              <w:rPr>
                <w:b/>
              </w:rPr>
              <w:t xml:space="preserve">  252.680 </w:t>
            </w:r>
          </w:p>
        </w:tc>
      </w:tr>
      <w:tr w:rsidR="008B2D62" w:rsidRPr="001F3542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8B2D62" w:rsidRPr="00074C16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D62" w:rsidRPr="00074C16" w:rsidRDefault="008B2D62" w:rsidP="00414B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D62" w:rsidRPr="00074C16" w:rsidRDefault="008B2D62" w:rsidP="00414B3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8B2D62" w:rsidRPr="00074C16" w:rsidRDefault="008B2D62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8B2D62" w:rsidRDefault="008B2D62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F8562E" w:rsidRDefault="008B2D6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465DD" w:rsidRDefault="008B2D62" w:rsidP="00974CC9">
            <w:pPr>
              <w:jc w:val="right"/>
              <w:rPr>
                <w:color w:val="FF0000"/>
              </w:rPr>
            </w:pPr>
          </w:p>
        </w:tc>
      </w:tr>
      <w:tr w:rsidR="008B2D62" w:rsidRPr="001F3542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074C16" w:rsidRDefault="008B2D62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8B2D62" w:rsidRDefault="008B2D62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F8562E" w:rsidRDefault="008B2D62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465DD" w:rsidRDefault="008B2D62" w:rsidP="00974CC9">
            <w:pPr>
              <w:jc w:val="right"/>
              <w:rPr>
                <w:b/>
                <w:bCs/>
                <w:color w:val="FF0000"/>
              </w:rPr>
            </w:pPr>
            <w:r w:rsidRPr="001465DD">
              <w:rPr>
                <w:b/>
                <w:bCs/>
                <w:color w:val="FF0000"/>
              </w:rPr>
              <w:t xml:space="preserve">        </w:t>
            </w:r>
          </w:p>
        </w:tc>
      </w:tr>
      <w:tr w:rsidR="002A5159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159" w:rsidRPr="00C94D96" w:rsidRDefault="002A5159" w:rsidP="00285A84">
            <w:pPr>
              <w:ind w:firstLineChars="200" w:firstLine="400"/>
            </w:pPr>
            <w:r w:rsidRPr="00C94D96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5159" w:rsidRPr="00601381" w:rsidRDefault="002A5159" w:rsidP="002A5159">
            <w:pPr>
              <w:jc w:val="right"/>
            </w:pPr>
            <w:r w:rsidRPr="00601381">
              <w:t xml:space="preserve"> </w:t>
            </w:r>
            <w:r>
              <w:t>(</w:t>
            </w:r>
            <w:r w:rsidRPr="00601381">
              <w:t>169.308</w:t>
            </w:r>
            <w:r>
              <w:t>)</w:t>
            </w:r>
            <w:r w:rsidRPr="00601381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5159" w:rsidRPr="00C94D96" w:rsidRDefault="002A5159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5159" w:rsidRPr="000C0C05" w:rsidRDefault="002A5159" w:rsidP="00974CC9">
            <w:pPr>
              <w:jc w:val="right"/>
            </w:pPr>
            <w:r w:rsidRPr="000C0C05">
              <w:t xml:space="preserve"> </w:t>
            </w:r>
            <w:r>
              <w:t>(</w:t>
            </w:r>
            <w:r w:rsidRPr="000C0C05">
              <w:t>151.001</w:t>
            </w:r>
            <w:r>
              <w:t>)</w:t>
            </w:r>
            <w:r w:rsidRPr="000C0C05">
              <w:t xml:space="preserve"> </w:t>
            </w:r>
          </w:p>
        </w:tc>
      </w:tr>
      <w:tr w:rsidR="002A5159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159" w:rsidRPr="00C94D96" w:rsidRDefault="002A5159" w:rsidP="00285A84">
            <w:pPr>
              <w:ind w:firstLineChars="200" w:firstLine="400"/>
            </w:pPr>
            <w:r w:rsidRPr="00C94D96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5159" w:rsidRPr="00601381" w:rsidRDefault="002A5159" w:rsidP="002A5159">
            <w:pPr>
              <w:jc w:val="right"/>
            </w:pPr>
            <w:r w:rsidRPr="00601381">
              <w:t xml:space="preserve"> </w:t>
            </w:r>
            <w:r>
              <w:t>(</w:t>
            </w:r>
            <w:r w:rsidRPr="00601381">
              <w:t>149.934</w:t>
            </w:r>
            <w:r>
              <w:t>)</w:t>
            </w:r>
            <w:r w:rsidRPr="00601381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5159" w:rsidRPr="00C94D96" w:rsidRDefault="002A5159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5159" w:rsidRPr="000C0C05" w:rsidRDefault="002A5159" w:rsidP="00974CC9">
            <w:pPr>
              <w:jc w:val="right"/>
            </w:pPr>
            <w:r w:rsidRPr="000C0C05">
              <w:t xml:space="preserve"> </w:t>
            </w:r>
            <w:r>
              <w:t>(</w:t>
            </w:r>
            <w:r w:rsidRPr="000C0C05">
              <w:t>151.157</w:t>
            </w:r>
            <w:r>
              <w:t>)</w:t>
            </w:r>
            <w:r w:rsidRPr="000C0C05">
              <w:t xml:space="preserve"> </w:t>
            </w:r>
          </w:p>
        </w:tc>
      </w:tr>
      <w:tr w:rsidR="002A5159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159" w:rsidRPr="00C94D96" w:rsidRDefault="002A5159" w:rsidP="00285A84">
            <w:pPr>
              <w:ind w:firstLineChars="200" w:firstLine="400"/>
            </w:pPr>
            <w:r w:rsidRPr="00C94D96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A5159" w:rsidRDefault="002A5159" w:rsidP="002A5159">
            <w:pPr>
              <w:jc w:val="right"/>
            </w:pPr>
            <w:r w:rsidRPr="00601381">
              <w:t xml:space="preserve"> </w:t>
            </w:r>
            <w:r>
              <w:t>(</w:t>
            </w:r>
            <w:r w:rsidRPr="00601381">
              <w:t>547</w:t>
            </w:r>
            <w:r>
              <w:t>)</w:t>
            </w:r>
            <w:r w:rsidRPr="00601381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A5159" w:rsidRPr="00C94D96" w:rsidRDefault="002A5159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A5159" w:rsidRDefault="002A5159" w:rsidP="00974CC9">
            <w:pPr>
              <w:jc w:val="right"/>
            </w:pPr>
            <w:r w:rsidRPr="000C0C05">
              <w:t xml:space="preserve"> </w:t>
            </w:r>
            <w:r>
              <w:t>(</w:t>
            </w:r>
            <w:r w:rsidRPr="000C0C05">
              <w:t>853</w:t>
            </w:r>
            <w:r>
              <w:t>)</w:t>
            </w:r>
            <w:r w:rsidRPr="000C0C05">
              <w:t xml:space="preserve"> </w:t>
            </w:r>
          </w:p>
        </w:tc>
      </w:tr>
      <w:tr w:rsidR="002A5159" w:rsidRPr="002A5159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D62" w:rsidRPr="002A5159" w:rsidRDefault="008B2D62" w:rsidP="00796206">
            <w:pPr>
              <w:ind w:firstLineChars="200" w:firstLine="402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2D62" w:rsidRPr="002A5159" w:rsidRDefault="002A5159" w:rsidP="002A5159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(</w:t>
            </w:r>
            <w:r w:rsidRPr="002A5159">
              <w:rPr>
                <w:b/>
              </w:rPr>
              <w:t>319</w:t>
            </w:r>
            <w:r w:rsidR="008B2D62" w:rsidRPr="002A5159">
              <w:rPr>
                <w:b/>
              </w:rPr>
              <w:t>.</w:t>
            </w:r>
            <w:r w:rsidRPr="002A5159">
              <w:rPr>
                <w:b/>
              </w:rPr>
              <w:t>789</w:t>
            </w:r>
            <w:r>
              <w:rPr>
                <w:b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B2D62" w:rsidRPr="002A5159" w:rsidRDefault="008B2D62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B2D62" w:rsidRPr="002A5159" w:rsidRDefault="008B2D62" w:rsidP="00974CC9">
            <w:pPr>
              <w:jc w:val="right"/>
              <w:rPr>
                <w:b/>
              </w:rPr>
            </w:pPr>
            <w:r w:rsidRPr="002A5159">
              <w:rPr>
                <w:b/>
              </w:rPr>
              <w:t xml:space="preserve"> (303.011) </w:t>
            </w:r>
          </w:p>
        </w:tc>
      </w:tr>
      <w:tr w:rsidR="008B2D62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D62" w:rsidRPr="006E3C3B" w:rsidRDefault="008B2D62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8B2D62" w:rsidRDefault="008B2D62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6E3C3B" w:rsidRDefault="008B2D62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465DD" w:rsidRDefault="008B2D62" w:rsidP="00974CC9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4840C2" w:rsidRPr="004840C2" w:rsidTr="00D31F7D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B2D62" w:rsidRPr="004840C2" w:rsidRDefault="008B2D62" w:rsidP="00285A84">
            <w:pPr>
              <w:rPr>
                <w:b/>
                <w:bCs/>
              </w:rPr>
            </w:pPr>
            <w:r w:rsidRPr="004840C2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8B2D62" w:rsidRPr="004840C2" w:rsidRDefault="008B2D62" w:rsidP="004840C2">
            <w:pPr>
              <w:jc w:val="right"/>
              <w:rPr>
                <w:b/>
                <w:highlight w:val="yellow"/>
              </w:rPr>
            </w:pPr>
            <w:r w:rsidRPr="004840C2">
              <w:rPr>
                <w:b/>
              </w:rPr>
              <w:t>(</w:t>
            </w:r>
            <w:r w:rsidR="004840C2" w:rsidRPr="004840C2">
              <w:rPr>
                <w:b/>
              </w:rPr>
              <w:t>55</w:t>
            </w:r>
            <w:r w:rsidRPr="004840C2">
              <w:rPr>
                <w:b/>
              </w:rPr>
              <w:t>.</w:t>
            </w:r>
            <w:r w:rsidR="004840C2" w:rsidRPr="004840C2">
              <w:rPr>
                <w:b/>
              </w:rPr>
              <w:t>359</w:t>
            </w:r>
            <w:r w:rsidRPr="004840C2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4840C2" w:rsidRDefault="008B2D62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bottom"/>
          </w:tcPr>
          <w:p w:rsidR="008B2D62" w:rsidRPr="004840C2" w:rsidRDefault="008B2D62" w:rsidP="00974CC9">
            <w:pPr>
              <w:jc w:val="right"/>
              <w:rPr>
                <w:b/>
              </w:rPr>
            </w:pPr>
            <w:r w:rsidRPr="004840C2">
              <w:rPr>
                <w:b/>
              </w:rPr>
              <w:t xml:space="preserve">(50.331) </w:t>
            </w:r>
          </w:p>
        </w:tc>
      </w:tr>
      <w:tr w:rsidR="008B2D62" w:rsidRPr="006E3C3B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D62" w:rsidRPr="006E3C3B" w:rsidRDefault="008B2D62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8B2D62" w:rsidRDefault="008B2D62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6E3C3B" w:rsidRDefault="008B2D62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465DD" w:rsidRDefault="008B2D62" w:rsidP="00974CC9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4840C2" w:rsidRPr="004840C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4840C2" w:rsidRDefault="008B2D62" w:rsidP="00285A84">
            <w:pPr>
              <w:ind w:firstLineChars="200" w:firstLine="400"/>
            </w:pPr>
            <w:r w:rsidRPr="004840C2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:rsidR="008B2D62" w:rsidRPr="004840C2" w:rsidRDefault="008B2D62" w:rsidP="004840C2">
            <w:pPr>
              <w:jc w:val="right"/>
              <w:rPr>
                <w:highlight w:val="yellow"/>
              </w:rPr>
            </w:pPr>
            <w:r w:rsidRPr="004840C2">
              <w:t>(</w:t>
            </w:r>
            <w:r w:rsidR="004840C2" w:rsidRPr="004840C2">
              <w:t>30</w:t>
            </w:r>
            <w:r w:rsidRPr="004840C2">
              <w:t>.</w:t>
            </w:r>
            <w:r w:rsidR="004840C2" w:rsidRPr="004840C2">
              <w:t>403</w:t>
            </w:r>
            <w:r w:rsidRPr="004840C2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8B2D62" w:rsidRPr="004840C2" w:rsidRDefault="008B2D6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:rsidR="008B2D62" w:rsidRPr="004840C2" w:rsidRDefault="008B2D62" w:rsidP="00974CC9">
            <w:pPr>
              <w:jc w:val="right"/>
            </w:pPr>
            <w:r w:rsidRPr="004840C2">
              <w:t xml:space="preserve">(23.550) </w:t>
            </w:r>
          </w:p>
        </w:tc>
      </w:tr>
      <w:tr w:rsidR="008B2D62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D62" w:rsidRPr="006E3C3B" w:rsidRDefault="008B2D62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8B2D62" w:rsidRDefault="008B2D62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6E3C3B" w:rsidRDefault="008B2D62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465DD" w:rsidRDefault="008B2D62" w:rsidP="00974CC9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4840C2" w:rsidRPr="004840C2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4840C2" w:rsidRDefault="008B2D62" w:rsidP="00285A84">
            <w:pPr>
              <w:rPr>
                <w:b/>
                <w:bCs/>
              </w:rPr>
            </w:pPr>
            <w:r w:rsidRPr="004840C2">
              <w:rPr>
                <w:b/>
                <w:bCs/>
              </w:rPr>
              <w:t xml:space="preserve">Valor Adicionado </w:t>
            </w:r>
            <w:proofErr w:type="spellStart"/>
            <w:r w:rsidRPr="004840C2">
              <w:rPr>
                <w:b/>
                <w:bCs/>
              </w:rPr>
              <w:t>Líq</w:t>
            </w:r>
            <w:proofErr w:type="spellEnd"/>
            <w:r w:rsidRPr="004840C2">
              <w:rPr>
                <w:b/>
                <w:bCs/>
              </w:rPr>
              <w:t xml:space="preserve">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D62" w:rsidRPr="004840C2" w:rsidRDefault="008B2D62" w:rsidP="004840C2">
            <w:pPr>
              <w:jc w:val="right"/>
              <w:rPr>
                <w:b/>
                <w:highlight w:val="yellow"/>
              </w:rPr>
            </w:pPr>
            <w:r w:rsidRPr="004840C2">
              <w:rPr>
                <w:b/>
              </w:rPr>
              <w:t>(</w:t>
            </w:r>
            <w:r w:rsidR="004840C2" w:rsidRPr="004840C2">
              <w:rPr>
                <w:b/>
              </w:rPr>
              <w:t>85</w:t>
            </w:r>
            <w:r w:rsidRPr="004840C2">
              <w:rPr>
                <w:b/>
              </w:rPr>
              <w:t>.</w:t>
            </w:r>
            <w:r w:rsidR="004840C2" w:rsidRPr="004840C2">
              <w:rPr>
                <w:b/>
              </w:rPr>
              <w:t>762</w:t>
            </w:r>
            <w:r w:rsidRPr="004840C2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B2D62" w:rsidRPr="004840C2" w:rsidRDefault="008B2D62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D62" w:rsidRPr="004840C2" w:rsidRDefault="008B2D62" w:rsidP="00974CC9">
            <w:pPr>
              <w:jc w:val="right"/>
              <w:rPr>
                <w:b/>
              </w:rPr>
            </w:pPr>
            <w:r w:rsidRPr="004840C2">
              <w:rPr>
                <w:b/>
              </w:rPr>
              <w:t xml:space="preserve">          (73.881)</w:t>
            </w:r>
          </w:p>
        </w:tc>
      </w:tr>
      <w:tr w:rsidR="006E3C3B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8B2D62" w:rsidRDefault="00074C1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  <w:bCs/>
              </w:rPr>
            </w:pPr>
          </w:p>
        </w:tc>
      </w:tr>
      <w:tr w:rsidR="006E3C3B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16" w:rsidRPr="006E3C3B" w:rsidRDefault="00074C16" w:rsidP="00285A84">
            <w:pPr>
              <w:rPr>
                <w:b/>
                <w:bCs/>
              </w:rPr>
            </w:pPr>
            <w:r w:rsidRPr="006E3C3B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8B2D62" w:rsidRDefault="00074C1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  <w:bCs/>
              </w:rPr>
            </w:pPr>
          </w:p>
        </w:tc>
      </w:tr>
      <w:tr w:rsidR="004840C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C2" w:rsidRPr="00074C16" w:rsidRDefault="004840C2" w:rsidP="00285A84">
            <w:pPr>
              <w:ind w:firstLineChars="200" w:firstLine="400"/>
            </w:pPr>
            <w:r w:rsidRPr="00074C16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40C2" w:rsidRPr="00802D6A" w:rsidRDefault="004840C2" w:rsidP="004840C2">
            <w:pPr>
              <w:jc w:val="right"/>
            </w:pPr>
            <w:r w:rsidRPr="00802D6A">
              <w:t xml:space="preserve"> 4.179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840C2" w:rsidRPr="001F3542" w:rsidRDefault="004840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0C2" w:rsidRPr="00391465" w:rsidRDefault="004840C2" w:rsidP="00974CC9">
            <w:pPr>
              <w:jc w:val="right"/>
            </w:pPr>
            <w:r w:rsidRPr="00391465">
              <w:t xml:space="preserve">2.524 </w:t>
            </w:r>
          </w:p>
        </w:tc>
      </w:tr>
      <w:tr w:rsidR="004840C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C2" w:rsidRPr="00074C16" w:rsidRDefault="004840C2" w:rsidP="00285A84">
            <w:pPr>
              <w:ind w:firstLineChars="200" w:firstLine="400"/>
            </w:pPr>
            <w:r w:rsidRPr="00074C16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0C2" w:rsidRPr="00802D6A" w:rsidRDefault="004840C2" w:rsidP="004840C2">
            <w:pPr>
              <w:jc w:val="right"/>
            </w:pPr>
            <w:r w:rsidRPr="00802D6A">
              <w:t xml:space="preserve"> 1.258.744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0C2" w:rsidRPr="001F3542" w:rsidRDefault="004840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0C2" w:rsidRPr="00391465" w:rsidRDefault="004840C2" w:rsidP="00974CC9">
            <w:pPr>
              <w:jc w:val="right"/>
            </w:pPr>
            <w:r w:rsidRPr="00391465">
              <w:t xml:space="preserve">1.315.943 </w:t>
            </w:r>
          </w:p>
        </w:tc>
      </w:tr>
      <w:tr w:rsidR="004840C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C2" w:rsidRPr="00074C16" w:rsidRDefault="004840C2" w:rsidP="00285A84">
            <w:pPr>
              <w:ind w:firstLineChars="200" w:firstLine="400"/>
            </w:pPr>
            <w:r w:rsidRPr="00074C16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0C2" w:rsidRPr="00802D6A" w:rsidRDefault="004840C2" w:rsidP="004840C2">
            <w:pPr>
              <w:jc w:val="right"/>
            </w:pPr>
            <w:r>
              <w:t>(</w:t>
            </w:r>
            <w:r w:rsidRPr="00802D6A">
              <w:t>356</w:t>
            </w:r>
            <w:r>
              <w:t>)</w:t>
            </w:r>
            <w:r w:rsidRPr="00802D6A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40C2" w:rsidRPr="001F3542" w:rsidRDefault="004840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40C2" w:rsidRPr="00391465" w:rsidRDefault="004840C2" w:rsidP="00974CC9">
            <w:pPr>
              <w:jc w:val="right"/>
            </w:pPr>
            <w:r w:rsidRPr="00391465">
              <w:t>(419)</w:t>
            </w:r>
          </w:p>
        </w:tc>
      </w:tr>
      <w:tr w:rsidR="004840C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0C2" w:rsidRPr="00074C16" w:rsidRDefault="004840C2" w:rsidP="00285A84">
            <w:pPr>
              <w:ind w:firstLineChars="200" w:firstLine="400"/>
            </w:pPr>
            <w:r w:rsidRPr="00796206">
              <w:rPr>
                <w:color w:val="000000"/>
              </w:rPr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40C2" w:rsidRPr="00802D6A" w:rsidRDefault="004840C2" w:rsidP="004840C2">
            <w:pPr>
              <w:jc w:val="right"/>
            </w:pPr>
            <w:r w:rsidRPr="00802D6A">
              <w:t xml:space="preserve"> 19.481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40C2" w:rsidRPr="001F3542" w:rsidRDefault="004840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0C2" w:rsidRPr="00391465" w:rsidRDefault="004840C2" w:rsidP="00974CC9">
            <w:pPr>
              <w:jc w:val="right"/>
            </w:pPr>
            <w:r w:rsidRPr="00391465">
              <w:t>(326)</w:t>
            </w:r>
          </w:p>
        </w:tc>
      </w:tr>
      <w:tr w:rsidR="004840C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0C2" w:rsidRPr="00074C16" w:rsidRDefault="004840C2" w:rsidP="00285A84">
            <w:pPr>
              <w:ind w:firstLineChars="200" w:firstLine="400"/>
            </w:pPr>
            <w:r w:rsidRPr="00074C16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40C2" w:rsidRDefault="004840C2" w:rsidP="004840C2">
            <w:pPr>
              <w:jc w:val="right"/>
            </w:pPr>
            <w:r w:rsidRPr="00802D6A">
              <w:t xml:space="preserve"> 2.190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840C2" w:rsidRPr="001F3542" w:rsidRDefault="004840C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0C2" w:rsidRPr="00391465" w:rsidRDefault="004840C2" w:rsidP="00974CC9">
            <w:pPr>
              <w:jc w:val="right"/>
            </w:pPr>
            <w:r w:rsidRPr="00391465">
              <w:t xml:space="preserve">3.874 </w:t>
            </w:r>
          </w:p>
        </w:tc>
      </w:tr>
      <w:tr w:rsidR="008B2D62" w:rsidRPr="001F3542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B2D62" w:rsidRPr="001F3542" w:rsidRDefault="008B2D62" w:rsidP="00285A84">
            <w:pPr>
              <w:ind w:firstLineChars="200" w:firstLine="400"/>
              <w:rPr>
                <w:color w:val="FF000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62" w:rsidRPr="008B2D62" w:rsidRDefault="000A42E9" w:rsidP="000A42E9">
            <w:pPr>
              <w:jc w:val="right"/>
              <w:rPr>
                <w:b/>
                <w:color w:val="FF0000"/>
                <w:highlight w:val="yellow"/>
              </w:rPr>
            </w:pPr>
            <w:r w:rsidRPr="000A42E9">
              <w:rPr>
                <w:b/>
              </w:rPr>
              <w:t>1.284</w:t>
            </w:r>
            <w:r w:rsidR="008B2D62" w:rsidRPr="000A42E9">
              <w:rPr>
                <w:b/>
              </w:rPr>
              <w:t>.</w:t>
            </w:r>
            <w:r w:rsidRPr="000A42E9">
              <w:rPr>
                <w:b/>
              </w:rPr>
              <w:t>238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F3542" w:rsidRDefault="008B2D62">
            <w:pPr>
              <w:jc w:val="right"/>
              <w:rPr>
                <w:b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D62" w:rsidRPr="00782CDE" w:rsidRDefault="008B2D62" w:rsidP="00974CC9">
            <w:pPr>
              <w:jc w:val="right"/>
              <w:rPr>
                <w:b/>
              </w:rPr>
            </w:pPr>
            <w:r w:rsidRPr="00782CDE">
              <w:rPr>
                <w:b/>
              </w:rPr>
              <w:t xml:space="preserve">         1.321.596 </w:t>
            </w:r>
          </w:p>
        </w:tc>
      </w:tr>
      <w:tr w:rsidR="008B2D62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D62" w:rsidRPr="001F3542" w:rsidRDefault="008B2D62" w:rsidP="00285A84">
            <w:pPr>
              <w:rPr>
                <w:b/>
                <w:bCs/>
                <w:color w:val="FF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8B2D62" w:rsidRDefault="008B2D62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F3542" w:rsidRDefault="008B2D62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1465DD" w:rsidRDefault="008B2D62" w:rsidP="00974CC9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EC532F" w:rsidRPr="00EC532F" w:rsidTr="00642FA9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B2D62" w:rsidRPr="00EC532F" w:rsidRDefault="008B2D62" w:rsidP="00285A84">
            <w:pPr>
              <w:rPr>
                <w:b/>
                <w:bCs/>
              </w:rPr>
            </w:pPr>
            <w:r w:rsidRPr="00EC532F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D62" w:rsidRPr="00EC532F" w:rsidRDefault="00EC532F" w:rsidP="00EC532F">
            <w:pPr>
              <w:jc w:val="right"/>
              <w:rPr>
                <w:b/>
                <w:bCs/>
                <w:highlight w:val="yellow"/>
              </w:rPr>
            </w:pPr>
            <w:r w:rsidRPr="00EC532F">
              <w:rPr>
                <w:b/>
                <w:bCs/>
              </w:rPr>
              <w:t>1.198.476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8B2D62" w:rsidRPr="00EC532F" w:rsidRDefault="008B2D6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62" w:rsidRPr="00EC532F" w:rsidRDefault="008B2D62" w:rsidP="00974CC9">
            <w:pPr>
              <w:jc w:val="right"/>
              <w:rPr>
                <w:b/>
                <w:bCs/>
              </w:rPr>
            </w:pPr>
            <w:r w:rsidRPr="00EC532F">
              <w:rPr>
                <w:b/>
                <w:bCs/>
              </w:rPr>
              <w:t xml:space="preserve">        1.247.715 </w:t>
            </w:r>
          </w:p>
        </w:tc>
      </w:tr>
      <w:tr w:rsidR="001F3542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8B2D62" w:rsidRDefault="00CA5314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1F3542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C0424" w:rsidRDefault="00CA5314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8B2D62" w:rsidRDefault="00CA5314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1F3542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C0424" w:rsidRDefault="00CA5314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8B2D62" w:rsidRDefault="00CA5314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051CC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CC" w:rsidRPr="00074C16" w:rsidRDefault="005051CC" w:rsidP="00285A84">
            <w:pPr>
              <w:ind w:firstLineChars="200" w:firstLine="400"/>
            </w:pPr>
            <w:r w:rsidRPr="00074C16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5051CC">
            <w:pPr>
              <w:jc w:val="right"/>
            </w:pPr>
            <w:r w:rsidRPr="005051CC">
              <w:t xml:space="preserve"> 831.552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974CC9">
            <w:pPr>
              <w:jc w:val="right"/>
            </w:pPr>
            <w:r w:rsidRPr="005051CC">
              <w:t xml:space="preserve"> 893.916 </w:t>
            </w:r>
          </w:p>
        </w:tc>
      </w:tr>
      <w:tr w:rsidR="005051CC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CC" w:rsidRPr="00074C16" w:rsidRDefault="005051CC" w:rsidP="00285A84">
            <w:pPr>
              <w:ind w:firstLineChars="200" w:firstLine="400"/>
            </w:pPr>
            <w:r w:rsidRPr="00074C16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5051CC">
            <w:pPr>
              <w:jc w:val="right"/>
            </w:pPr>
            <w:r>
              <w:t xml:space="preserve"> 82.631</w:t>
            </w:r>
            <w:r w:rsidRPr="005051CC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974CC9">
            <w:pPr>
              <w:jc w:val="right"/>
            </w:pPr>
            <w:r w:rsidRPr="005051CC">
              <w:t xml:space="preserve"> 80.519 </w:t>
            </w:r>
          </w:p>
        </w:tc>
      </w:tr>
      <w:tr w:rsidR="005051CC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CC" w:rsidRPr="00074C16" w:rsidRDefault="005051CC" w:rsidP="00285A84">
            <w:pPr>
              <w:ind w:firstLineChars="200" w:firstLine="400"/>
            </w:pPr>
            <w:r w:rsidRPr="00074C16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051CC" w:rsidRPr="005051CC" w:rsidRDefault="005051CC" w:rsidP="005051CC">
            <w:pPr>
              <w:jc w:val="right"/>
            </w:pPr>
            <w:r w:rsidRPr="005051CC">
              <w:t xml:space="preserve"> 68.410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051CC" w:rsidRPr="005051CC" w:rsidRDefault="005051C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051CC" w:rsidRPr="005051CC" w:rsidRDefault="005051CC" w:rsidP="00974CC9">
            <w:pPr>
              <w:jc w:val="right"/>
            </w:pPr>
            <w:r w:rsidRPr="005051CC">
              <w:t xml:space="preserve"> 64.071 </w:t>
            </w:r>
          </w:p>
        </w:tc>
      </w:tr>
      <w:tr w:rsidR="008B2D6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074C16" w:rsidRDefault="008B2D62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Impostos, Taxas e </w:t>
            </w:r>
            <w:proofErr w:type="gramStart"/>
            <w:r w:rsidRPr="00074C16">
              <w:rPr>
                <w:b/>
                <w:bCs/>
              </w:rPr>
              <w:t>Contribuições</w:t>
            </w:r>
            <w:proofErr w:type="gramEnd"/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7C0424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5051CC" w:rsidRDefault="008B2D62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974CC9">
            <w:pPr>
              <w:jc w:val="right"/>
              <w:rPr>
                <w:b/>
                <w:bCs/>
              </w:rPr>
            </w:pPr>
          </w:p>
        </w:tc>
      </w:tr>
      <w:tr w:rsidR="008B2D62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074C16" w:rsidRDefault="008B2D6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B2D62" w:rsidRPr="005051CC" w:rsidRDefault="008B2D62" w:rsidP="007C0424">
            <w:pPr>
              <w:jc w:val="right"/>
            </w:pPr>
            <w:r w:rsidRPr="005051CC">
              <w:t xml:space="preserve">  </w:t>
            </w:r>
            <w:r w:rsidR="005051CC" w:rsidRPr="005051CC">
              <w:t xml:space="preserve"> 234.304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B2D62" w:rsidRPr="005051CC" w:rsidRDefault="008B2D6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B2D62" w:rsidRPr="005051CC" w:rsidRDefault="008B2D62" w:rsidP="00974CC9">
            <w:pPr>
              <w:jc w:val="right"/>
            </w:pPr>
            <w:r w:rsidRPr="005051CC">
              <w:t xml:space="preserve">219.830 </w:t>
            </w:r>
          </w:p>
        </w:tc>
      </w:tr>
      <w:tr w:rsidR="008B2D6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074C16" w:rsidRDefault="008B2D6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B2D62" w:rsidRPr="005051CC" w:rsidRDefault="008B2D62" w:rsidP="005051CC">
            <w:pPr>
              <w:jc w:val="right"/>
            </w:pPr>
            <w:r w:rsidRPr="005051CC">
              <w:t xml:space="preserve"> 1</w:t>
            </w:r>
            <w:r w:rsidR="005051CC">
              <w:t>68</w:t>
            </w:r>
            <w:r w:rsidRPr="005051CC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5051CC" w:rsidRDefault="008B2D62" w:rsidP="006D7B06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974CC9">
            <w:pPr>
              <w:jc w:val="right"/>
              <w:rPr>
                <w:bCs/>
              </w:rPr>
            </w:pPr>
            <w:r w:rsidRPr="005051CC">
              <w:rPr>
                <w:bCs/>
              </w:rPr>
              <w:t xml:space="preserve">                  78 </w:t>
            </w:r>
          </w:p>
        </w:tc>
      </w:tr>
      <w:tr w:rsidR="008B2D6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074C16" w:rsidRDefault="008B2D62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7C0424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5051CC" w:rsidRDefault="008B2D62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974CC9">
            <w:pPr>
              <w:jc w:val="right"/>
              <w:rPr>
                <w:b/>
                <w:bCs/>
              </w:rPr>
            </w:pPr>
          </w:p>
        </w:tc>
      </w:tr>
      <w:tr w:rsidR="005051CC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CC" w:rsidRPr="00074C16" w:rsidRDefault="005051CC" w:rsidP="00285A84">
            <w:pPr>
              <w:ind w:firstLineChars="200" w:firstLine="400"/>
            </w:pPr>
            <w:r w:rsidRPr="00074C16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5051CC">
            <w:pPr>
              <w:jc w:val="right"/>
            </w:pPr>
            <w:r w:rsidRPr="005051CC">
              <w:t xml:space="preserve"> 2.497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974CC9">
            <w:pPr>
              <w:jc w:val="right"/>
            </w:pPr>
            <w:r w:rsidRPr="005051CC">
              <w:t xml:space="preserve"> 3.010 </w:t>
            </w:r>
          </w:p>
        </w:tc>
      </w:tr>
      <w:tr w:rsidR="005051CC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CC" w:rsidRPr="00074C16" w:rsidRDefault="005051CC" w:rsidP="00285A84">
            <w:pPr>
              <w:ind w:firstLineChars="200" w:firstLine="400"/>
            </w:pPr>
            <w:r w:rsidRPr="00074C16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5051CC">
            <w:pPr>
              <w:jc w:val="right"/>
            </w:pPr>
            <w:r w:rsidRPr="005051CC">
              <w:t xml:space="preserve"> 748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1CC" w:rsidRPr="005051CC" w:rsidRDefault="005051CC" w:rsidP="00974CC9">
            <w:pPr>
              <w:jc w:val="right"/>
            </w:pPr>
            <w:r w:rsidRPr="005051CC">
              <w:t xml:space="preserve"> 802 </w:t>
            </w:r>
          </w:p>
        </w:tc>
      </w:tr>
      <w:tr w:rsidR="005051CC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1CC" w:rsidRPr="00074C16" w:rsidRDefault="005051CC" w:rsidP="00285A84">
            <w:pPr>
              <w:ind w:firstLineChars="200" w:firstLine="400"/>
            </w:pPr>
            <w:r w:rsidRPr="00074C16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051CC" w:rsidRPr="005051CC" w:rsidRDefault="005051CC" w:rsidP="005051CC">
            <w:pPr>
              <w:jc w:val="right"/>
            </w:pPr>
            <w:r w:rsidRPr="005051CC">
              <w:t xml:space="preserve"> 2.165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051CC" w:rsidRPr="005051CC" w:rsidRDefault="005051C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051CC" w:rsidRPr="005051CC" w:rsidRDefault="005051CC" w:rsidP="00974CC9">
            <w:pPr>
              <w:jc w:val="right"/>
            </w:pPr>
            <w:r w:rsidRPr="005051CC">
              <w:t xml:space="preserve"> 2.402 </w:t>
            </w:r>
          </w:p>
        </w:tc>
      </w:tr>
      <w:tr w:rsidR="008B2D6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62" w:rsidRPr="00074C16" w:rsidRDefault="008B2D62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B1325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5051CC" w:rsidRDefault="008B2D62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974CC9">
            <w:pPr>
              <w:jc w:val="right"/>
              <w:rPr>
                <w:b/>
                <w:bCs/>
              </w:rPr>
            </w:pPr>
          </w:p>
        </w:tc>
      </w:tr>
      <w:tr w:rsidR="008B2D62" w:rsidRPr="001F3542" w:rsidTr="00D31F7D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B2D62" w:rsidRPr="00074C16" w:rsidRDefault="008B2D62" w:rsidP="00285A84">
            <w:pPr>
              <w:ind w:firstLineChars="200" w:firstLine="400"/>
            </w:pPr>
            <w:r w:rsidRPr="00074C16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2D62" w:rsidRPr="005051CC" w:rsidRDefault="005051CC" w:rsidP="005051CC">
            <w:pPr>
              <w:jc w:val="right"/>
              <w:rPr>
                <w:highlight w:val="yellow"/>
              </w:rPr>
            </w:pPr>
            <w:r w:rsidRPr="005051CC">
              <w:t>(23</w:t>
            </w:r>
            <w:r w:rsidR="008B2D62" w:rsidRPr="005051CC">
              <w:t>.</w:t>
            </w:r>
            <w:r w:rsidRPr="005051CC">
              <w:t>999)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8B2D62" w:rsidRPr="005051CC" w:rsidRDefault="008B2D6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974CC9">
            <w:pPr>
              <w:jc w:val="right"/>
            </w:pPr>
            <w:r w:rsidRPr="005051CC">
              <w:t xml:space="preserve">            (16.913)</w:t>
            </w:r>
          </w:p>
        </w:tc>
      </w:tr>
      <w:tr w:rsidR="008B2D62" w:rsidRPr="001F3542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B2D62" w:rsidRPr="00074C16" w:rsidRDefault="008B2D62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>
            <w:pPr>
              <w:jc w:val="right"/>
              <w:rPr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B2D62" w:rsidRPr="005051CC" w:rsidRDefault="008B2D62" w:rsidP="00974CC9">
            <w:pPr>
              <w:jc w:val="right"/>
            </w:pPr>
          </w:p>
        </w:tc>
      </w:tr>
      <w:tr w:rsidR="008B2D62" w:rsidRPr="001F3542" w:rsidTr="00974CC9">
        <w:tc>
          <w:tcPr>
            <w:tcW w:w="2943" w:type="pct"/>
            <w:shd w:val="clear" w:color="auto" w:fill="auto"/>
            <w:noWrap/>
            <w:vAlign w:val="bottom"/>
          </w:tcPr>
          <w:p w:rsidR="008B2D62" w:rsidRPr="00074C16" w:rsidRDefault="008B2D62" w:rsidP="00AC3DB8">
            <w:pPr>
              <w:rPr>
                <w:b/>
              </w:rPr>
            </w:pPr>
            <w:r w:rsidRPr="00074C16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8B2D62" w:rsidRPr="005051CC" w:rsidRDefault="005051CC" w:rsidP="006D7B06">
            <w:pPr>
              <w:jc w:val="right"/>
              <w:rPr>
                <w:b/>
                <w:highlight w:val="yellow"/>
              </w:rPr>
            </w:pPr>
            <w:r w:rsidRPr="00EC532F">
              <w:rPr>
                <w:b/>
                <w:bCs/>
              </w:rPr>
              <w:t>1.198.476</w:t>
            </w:r>
          </w:p>
        </w:tc>
        <w:tc>
          <w:tcPr>
            <w:tcW w:w="116" w:type="pct"/>
            <w:shd w:val="clear" w:color="auto" w:fill="auto"/>
            <w:noWrap/>
          </w:tcPr>
          <w:p w:rsidR="008B2D62" w:rsidRPr="005051CC" w:rsidRDefault="008B2D62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8B2D62" w:rsidRPr="005051CC" w:rsidRDefault="008B2D62" w:rsidP="00974CC9">
            <w:pPr>
              <w:jc w:val="right"/>
              <w:rPr>
                <w:b/>
              </w:rPr>
            </w:pPr>
            <w:r w:rsidRPr="005051CC">
              <w:rPr>
                <w:b/>
              </w:rPr>
              <w:t xml:space="preserve"> </w:t>
            </w:r>
            <w:r w:rsidRPr="005051CC">
              <w:rPr>
                <w:b/>
                <w:bCs/>
              </w:rPr>
              <w:t>1.247.715</w:t>
            </w:r>
          </w:p>
        </w:tc>
      </w:tr>
    </w:tbl>
    <w:p w:rsidR="00CD7AFB" w:rsidRDefault="00CD7AFB" w:rsidP="00CD7AFB">
      <w:pPr>
        <w:jc w:val="center"/>
        <w:rPr>
          <w:color w:val="FF0000"/>
        </w:rPr>
      </w:pPr>
    </w:p>
    <w:p w:rsidR="00CE2AE4" w:rsidRPr="001F3542" w:rsidRDefault="00CE2AE4" w:rsidP="00CD7AFB">
      <w:pPr>
        <w:jc w:val="center"/>
        <w:rPr>
          <w:color w:val="FF0000"/>
        </w:rPr>
      </w:pPr>
    </w:p>
    <w:p w:rsidR="00CD7AFB" w:rsidRPr="00CE2AE4" w:rsidRDefault="00DF06DB" w:rsidP="00CD7E51">
      <w:r w:rsidRPr="00CE2AE4">
        <w:t>A</w:t>
      </w:r>
      <w:r w:rsidR="00CD7AFB" w:rsidRPr="00CE2AE4">
        <w:t>s notas explicativas são parte integran</w:t>
      </w:r>
      <w:r w:rsidR="00B36C17" w:rsidRPr="00CE2AE4">
        <w:t>te das demonstrações contábeis.</w:t>
      </w:r>
    </w:p>
    <w:p w:rsidR="00CD7AFB" w:rsidRPr="00CE2AE4" w:rsidRDefault="00CD7AFB" w:rsidP="00CD7AFB">
      <w:pPr>
        <w:rPr>
          <w:b/>
        </w:rPr>
      </w:pPr>
    </w:p>
    <w:p w:rsidR="00955A65" w:rsidRPr="00CE2AE4" w:rsidRDefault="00955A65" w:rsidP="00B63A81"/>
    <w:p w:rsidR="000D505E" w:rsidRPr="00CE2AE4" w:rsidRDefault="000D505E" w:rsidP="00B63A81">
      <w:pPr>
        <w:sectPr w:rsidR="000D505E" w:rsidRPr="00CE2AE4" w:rsidSect="00540135">
          <w:headerReference w:type="first" r:id="rId15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Pr="00EA358B" w:rsidRDefault="007807EC" w:rsidP="007807EC">
      <w:pPr>
        <w:pStyle w:val="Ttulo1"/>
        <w:jc w:val="left"/>
      </w:pPr>
      <w:bookmarkStart w:id="2" w:name="_Toc65061163"/>
      <w:r w:rsidRPr="00EA358B">
        <w:lastRenderedPageBreak/>
        <w:t>Notas Explicativas</w:t>
      </w:r>
      <w:bookmarkEnd w:id="2"/>
    </w:p>
    <w:p w:rsidR="00350888" w:rsidRPr="00EA358B" w:rsidRDefault="00350888" w:rsidP="00595A08"/>
    <w:p w:rsidR="009657C6" w:rsidRPr="00EA358B" w:rsidRDefault="009657C6" w:rsidP="00AD73F5">
      <w:pPr>
        <w:pStyle w:val="Ttulo"/>
        <w:ind w:left="0" w:firstLine="0"/>
        <w:outlineLvl w:val="0"/>
      </w:pPr>
      <w:bookmarkStart w:id="3" w:name="_Toc65061164"/>
      <w:r w:rsidRPr="00EA358B">
        <w:t>Contexto Operacional</w:t>
      </w:r>
      <w:bookmarkEnd w:id="3"/>
    </w:p>
    <w:p w:rsidR="009657C6" w:rsidRPr="00EA358B" w:rsidRDefault="009657C6" w:rsidP="009657C6"/>
    <w:p w:rsidR="009657C6" w:rsidRPr="00EA358B" w:rsidRDefault="009657C6" w:rsidP="00230EA8">
      <w:pPr>
        <w:jc w:val="both"/>
      </w:pPr>
      <w:r w:rsidRPr="00EA358B">
        <w:t xml:space="preserve">O Hospital de Clínicas de Porto Alegre </w:t>
      </w:r>
      <w:r w:rsidR="00404359" w:rsidRPr="00EA358B">
        <w:t xml:space="preserve">- </w:t>
      </w:r>
      <w:r w:rsidRPr="00EA358B">
        <w:t xml:space="preserve">HCPA com sede em Porto Alegre, Estado do Rio Grande do Sul, </w:t>
      </w:r>
      <w:r w:rsidR="00345080" w:rsidRPr="00EA358B">
        <w:t xml:space="preserve">é uma </w:t>
      </w:r>
      <w:r w:rsidRPr="00EA358B">
        <w:t>empresa pública de direito privado, criado pela Lei n º 5.604, de 02 de setembro de 1970</w:t>
      </w:r>
      <w:r w:rsidR="000F54A5" w:rsidRPr="00EA358B">
        <w:t xml:space="preserve">, sendo regido pelo seu Estatuto Social </w:t>
      </w:r>
      <w:r w:rsidR="00345080" w:rsidRPr="00EA358B">
        <w:t>e</w:t>
      </w:r>
      <w:r w:rsidRPr="00EA358B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 w:rsidRPr="00EA358B">
        <w:t>à</w:t>
      </w:r>
      <w:r w:rsidRPr="00EA358B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EA358B" w:rsidRDefault="009657C6" w:rsidP="00230EA8">
      <w:pPr>
        <w:jc w:val="both"/>
      </w:pPr>
    </w:p>
    <w:p w:rsidR="003A4A3E" w:rsidRPr="00EA358B" w:rsidRDefault="009657C6" w:rsidP="00230EA8">
      <w:pPr>
        <w:jc w:val="both"/>
      </w:pPr>
      <w:r w:rsidRPr="00EA358B">
        <w:t xml:space="preserve">É um Hospital Geral Universitário, que presta assistência médico-hospitalar a pacientes do Sistema Único de Saúde (SUS), a Convênios Privados e a </w:t>
      </w:r>
      <w:r w:rsidR="00190E48" w:rsidRPr="00EA358B">
        <w:t>P</w:t>
      </w:r>
      <w:r w:rsidRPr="00EA358B">
        <w:t xml:space="preserve">acientes </w:t>
      </w:r>
      <w:r w:rsidR="00190E48" w:rsidRPr="00EA358B">
        <w:t>P</w:t>
      </w:r>
      <w:r w:rsidRPr="00EA358B">
        <w:t xml:space="preserve">articulares.  </w:t>
      </w:r>
    </w:p>
    <w:p w:rsidR="003A4A3E" w:rsidRPr="00EA358B" w:rsidRDefault="003A4A3E" w:rsidP="00230EA8">
      <w:pPr>
        <w:jc w:val="both"/>
      </w:pPr>
    </w:p>
    <w:p w:rsidR="003E1BD4" w:rsidRPr="00EA358B" w:rsidRDefault="00572C9E" w:rsidP="00572C9E">
      <w:pPr>
        <w:autoSpaceDE w:val="0"/>
        <w:autoSpaceDN w:val="0"/>
        <w:adjustRightInd w:val="0"/>
        <w:jc w:val="both"/>
      </w:pPr>
      <w:r w:rsidRPr="00EA358B">
        <w:t xml:space="preserve">Em 21 de novembro de </w:t>
      </w:r>
      <w:r w:rsidR="00350888" w:rsidRPr="00EA358B">
        <w:t>2017</w:t>
      </w:r>
      <w:r w:rsidR="00FF23FA" w:rsidRPr="00EA358B">
        <w:t>,</w:t>
      </w:r>
      <w:r w:rsidRPr="00EA358B">
        <w:t xml:space="preserve"> foi aprovada </w:t>
      </w:r>
      <w:r w:rsidR="00A41070" w:rsidRPr="00EA358B">
        <w:t>a alteração do Estatuto Social da Instituição</w:t>
      </w:r>
      <w:r w:rsidRPr="00EA358B">
        <w:t xml:space="preserve"> adequando-o a Lei nº 13.303 de 27 de julho de 2016 (Lei das Estatais)</w:t>
      </w:r>
      <w:r w:rsidR="00697DA8" w:rsidRPr="00EA358B">
        <w:t xml:space="preserve"> e ao Decreto nº 8.945 de 27 de dezembro de 2016.</w:t>
      </w:r>
      <w:r w:rsidRPr="00EA358B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 w:rsidRPr="00EA358B">
        <w:t xml:space="preserve">. </w:t>
      </w:r>
    </w:p>
    <w:p w:rsidR="008F0681" w:rsidRPr="00EA358B" w:rsidRDefault="008F0681" w:rsidP="00572C9E">
      <w:pPr>
        <w:autoSpaceDE w:val="0"/>
        <w:autoSpaceDN w:val="0"/>
        <w:adjustRightInd w:val="0"/>
        <w:jc w:val="both"/>
      </w:pPr>
    </w:p>
    <w:p w:rsidR="003E1BD4" w:rsidRPr="00EA358B" w:rsidRDefault="003E1BD4" w:rsidP="00572C9E">
      <w:pPr>
        <w:autoSpaceDE w:val="0"/>
        <w:autoSpaceDN w:val="0"/>
        <w:adjustRightInd w:val="0"/>
        <w:jc w:val="both"/>
      </w:pPr>
      <w:r w:rsidRPr="00EA358B">
        <w:t>O HCPA é</w:t>
      </w:r>
      <w:r w:rsidR="00572C9E" w:rsidRPr="00EA358B">
        <w:t xml:space="preserve"> administrado pelo</w:t>
      </w:r>
      <w:r w:rsidR="00C22131" w:rsidRPr="00EA358B">
        <w:t xml:space="preserve"> Conselho de Administração (CA), </w:t>
      </w:r>
      <w:r w:rsidR="00572C9E" w:rsidRPr="00EA358B">
        <w:t xml:space="preserve">como órgão </w:t>
      </w:r>
      <w:r w:rsidR="00697DA8" w:rsidRPr="00EA358B">
        <w:t>colegiado de deliberação estratégica e controle da gestão</w:t>
      </w:r>
      <w:r w:rsidR="00C22131" w:rsidRPr="00EA358B">
        <w:t>,</w:t>
      </w:r>
      <w:r w:rsidRPr="00EA358B">
        <w:t xml:space="preserve"> e pela Diretoria Executiva (DE) como órgão executivo de administração e representação. O Conselho de Administração (CA) é</w:t>
      </w:r>
      <w:r w:rsidR="00572C9E" w:rsidRPr="00EA358B">
        <w:t xml:space="preserve"> composto por integrantes vinculados à Universidade Federa</w:t>
      </w:r>
      <w:r w:rsidR="00C22131" w:rsidRPr="00EA358B">
        <w:t>l do Rio Grande do Sul (UFRGS),</w:t>
      </w:r>
      <w:r w:rsidR="00572C9E" w:rsidRPr="00EA358B">
        <w:t xml:space="preserve"> </w:t>
      </w:r>
      <w:r w:rsidR="00C22131" w:rsidRPr="00EA358B">
        <w:t xml:space="preserve">por </w:t>
      </w:r>
      <w:r w:rsidR="00572C9E" w:rsidRPr="00EA358B">
        <w:t>membros representantes dos Ministérios d</w:t>
      </w:r>
      <w:r w:rsidR="00242097" w:rsidRPr="00EA358B">
        <w:t>a Educação (MEC), da Saúde (MS) e</w:t>
      </w:r>
      <w:r w:rsidR="00572C9E" w:rsidRPr="00EA358B">
        <w:t xml:space="preserve"> </w:t>
      </w:r>
      <w:r w:rsidR="00FF23FA" w:rsidRPr="00EA358B">
        <w:t xml:space="preserve">da </w:t>
      </w:r>
      <w:r w:rsidR="00242097" w:rsidRPr="00EA358B">
        <w:t>Economia</w:t>
      </w:r>
      <w:r w:rsidR="00FF23FA" w:rsidRPr="00EA358B">
        <w:t xml:space="preserve"> (M</w:t>
      </w:r>
      <w:r w:rsidR="00242097" w:rsidRPr="00EA358B">
        <w:t>E</w:t>
      </w:r>
      <w:r w:rsidR="00FF23FA" w:rsidRPr="00EA358B">
        <w:t>)</w:t>
      </w:r>
      <w:r w:rsidR="00C22131" w:rsidRPr="00EA358B">
        <w:t xml:space="preserve">, </w:t>
      </w:r>
      <w:r w:rsidR="00A127BA" w:rsidRPr="00EA358B">
        <w:t>pela</w:t>
      </w:r>
      <w:r w:rsidR="00C22131" w:rsidRPr="00EA358B">
        <w:t xml:space="preserve"> Diretora-Presidente do HCPA e por um representante dos empregados.</w:t>
      </w:r>
      <w:r w:rsidR="00FF23FA" w:rsidRPr="00EA358B">
        <w:t xml:space="preserve"> </w:t>
      </w:r>
      <w:r w:rsidR="00C22131" w:rsidRPr="00EA358B">
        <w:t>Já a</w:t>
      </w:r>
      <w:r w:rsidRPr="00EA358B">
        <w:t xml:space="preserve"> Diretoria Executiva (DE)</w:t>
      </w:r>
      <w:r w:rsidR="00C22131" w:rsidRPr="00EA358B">
        <w:t xml:space="preserve"> </w:t>
      </w:r>
      <w:r w:rsidRPr="00EA358B">
        <w:t>é</w:t>
      </w:r>
      <w:r w:rsidR="00572C9E" w:rsidRPr="00EA358B">
        <w:t xml:space="preserve"> composta por Diretora-Presidente, Diretor</w:t>
      </w:r>
      <w:r w:rsidR="0082561D" w:rsidRPr="00EA358B">
        <w:t>-</w:t>
      </w:r>
      <w:r w:rsidR="00572C9E" w:rsidRPr="00EA358B">
        <w:t>Médico e Diretor Administrativo.</w:t>
      </w:r>
    </w:p>
    <w:p w:rsidR="00242097" w:rsidRPr="00EA358B" w:rsidRDefault="00242097" w:rsidP="00572C9E">
      <w:pPr>
        <w:autoSpaceDE w:val="0"/>
        <w:autoSpaceDN w:val="0"/>
        <w:adjustRightInd w:val="0"/>
        <w:jc w:val="both"/>
      </w:pPr>
    </w:p>
    <w:p w:rsidR="00572C9E" w:rsidRPr="00EA358B" w:rsidRDefault="003E1BD4" w:rsidP="002D418E">
      <w:r w:rsidRPr="00EA358B">
        <w:t xml:space="preserve">Os professores da UFRGS atuam, no HCPA, </w:t>
      </w:r>
      <w:r w:rsidR="00572C9E" w:rsidRPr="00EA358B">
        <w:t>na preceptoria dos programas de Residência Médica e Residência Integrada Multiprofissional em Saúde (RIMS). Os funcionários são contratados sob o regime da CLT, e o Capital Social pertence integralmente à União Federal. Possui como órgão fiscalizador o Conselho Fiscal</w:t>
      </w:r>
      <w:r w:rsidR="00FF23FA" w:rsidRPr="00EA358B">
        <w:t xml:space="preserve"> (CF)</w:t>
      </w:r>
      <w:r w:rsidR="00572C9E" w:rsidRPr="00EA358B">
        <w:t xml:space="preserve">, composto por dois membros do Ministério da Educação (MEC) e um membro representante do Ministério da </w:t>
      </w:r>
      <w:r w:rsidR="00276B64" w:rsidRPr="00EA358B">
        <w:t xml:space="preserve">Economia </w:t>
      </w:r>
      <w:r w:rsidR="00947508" w:rsidRPr="00EA358B">
        <w:t>(M</w:t>
      </w:r>
      <w:r w:rsidR="00276B64" w:rsidRPr="00EA358B">
        <w:t>E</w:t>
      </w:r>
      <w:r w:rsidR="00572C9E" w:rsidRPr="00EA358B">
        <w:t>).</w:t>
      </w:r>
    </w:p>
    <w:p w:rsidR="009657C6" w:rsidRPr="00EA358B" w:rsidRDefault="009657C6" w:rsidP="009657C6">
      <w:pPr>
        <w:autoSpaceDE w:val="0"/>
        <w:autoSpaceDN w:val="0"/>
        <w:adjustRightInd w:val="0"/>
        <w:jc w:val="both"/>
      </w:pPr>
    </w:p>
    <w:p w:rsidR="008D011E" w:rsidRPr="00EA358B" w:rsidRDefault="008D011E" w:rsidP="009657C6">
      <w:pPr>
        <w:autoSpaceDE w:val="0"/>
        <w:autoSpaceDN w:val="0"/>
        <w:adjustRightInd w:val="0"/>
        <w:jc w:val="both"/>
      </w:pPr>
    </w:p>
    <w:p w:rsidR="009657C6" w:rsidRPr="00EA358B" w:rsidRDefault="00230EA8" w:rsidP="00AD73F5">
      <w:pPr>
        <w:pStyle w:val="Ttulo"/>
        <w:ind w:left="0" w:firstLine="0"/>
        <w:outlineLvl w:val="0"/>
      </w:pPr>
      <w:bookmarkStart w:id="4" w:name="_Toc65061165"/>
      <w:r w:rsidRPr="00EA358B">
        <w:t>Principais Políticas Contábeis</w:t>
      </w:r>
      <w:bookmarkEnd w:id="4"/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principais políticas contábeis aplicadas na preparação destas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estão definidas </w:t>
      </w:r>
      <w:r w:rsidR="006B3C15" w:rsidRPr="00EA358B">
        <w:t>a seguir</w:t>
      </w:r>
      <w:r w:rsidRPr="00EA358B">
        <w:t>. Essas políticas foram aplicadas de modo consistente em t</w:t>
      </w:r>
      <w:r w:rsidR="006B3C15" w:rsidRPr="00EA358B">
        <w:t>odos os exercícios apresentados.</w:t>
      </w:r>
    </w:p>
    <w:p w:rsidR="009657C6" w:rsidRPr="00EA358B" w:rsidRDefault="009657C6" w:rsidP="009657C6">
      <w:pPr>
        <w:jc w:val="both"/>
        <w:rPr>
          <w:b/>
        </w:rPr>
      </w:pPr>
    </w:p>
    <w:p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>Base de Preparação</w:t>
      </w:r>
    </w:p>
    <w:p w:rsidR="004055B7" w:rsidRPr="00EA358B" w:rsidRDefault="004055B7" w:rsidP="009657C6">
      <w:pPr>
        <w:jc w:val="both"/>
        <w:rPr>
          <w:b/>
        </w:rPr>
      </w:pPr>
    </w:p>
    <w:p w:rsidR="0096203D" w:rsidRPr="00EA358B" w:rsidRDefault="009657C6" w:rsidP="0096203D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elaboradas e são apresentadas em conformidade com as práticas contábeis adotadas no Brasil</w:t>
      </w:r>
      <w:r w:rsidR="00E176E1" w:rsidRPr="00EA358B">
        <w:t xml:space="preserve"> e atendem</w:t>
      </w:r>
      <w:r w:rsidR="00C55C69" w:rsidRPr="00EA358B">
        <w:t xml:space="preserve"> à</w:t>
      </w:r>
      <w:r w:rsidRPr="00EA358B">
        <w:t>s disposições contidas na legislação societária (Lei 6.404/76 e alterações subsequentes</w:t>
      </w:r>
      <w:r w:rsidR="0096203D" w:rsidRPr="00EA358B">
        <w:t>,</w:t>
      </w:r>
      <w:r w:rsidRPr="00EA358B">
        <w:t xml:space="preserve"> incluindo a Lei nº 11.638/07), </w:t>
      </w:r>
      <w:r w:rsidR="00D922B9" w:rsidRPr="00EA358B">
        <w:t>n</w:t>
      </w:r>
      <w:r w:rsidRPr="00EA358B">
        <w:t xml:space="preserve">as Normas Brasileiras de Contabilidade, </w:t>
      </w:r>
      <w:r w:rsidR="00D922B9" w:rsidRPr="00EA358B">
        <w:t>n</w:t>
      </w:r>
      <w:r w:rsidRPr="00EA358B">
        <w:t>os p</w:t>
      </w:r>
      <w:r w:rsidR="00D922B9" w:rsidRPr="00EA358B">
        <w:t xml:space="preserve">ronunciamentos, </w:t>
      </w:r>
      <w:r w:rsidRPr="00EA358B">
        <w:t xml:space="preserve">orientações e </w:t>
      </w:r>
      <w:r w:rsidR="00D922B9" w:rsidRPr="00EA358B">
        <w:t>interpretações emitido</w:t>
      </w:r>
      <w:r w:rsidRPr="00EA358B">
        <w:t>s pelo Comitê de Pronunciamentos Contábeis (CPC)</w:t>
      </w:r>
      <w:r w:rsidR="00D922B9" w:rsidRPr="00EA358B">
        <w:t>, aprovado</w:t>
      </w:r>
      <w:r w:rsidRPr="00EA358B">
        <w:t>s pelo Co</w:t>
      </w:r>
      <w:r w:rsidR="0096203D" w:rsidRPr="00EA358B">
        <w:t xml:space="preserve">nselho Federal de Contabilidade, e </w:t>
      </w:r>
      <w:r w:rsidR="00D922B9" w:rsidRPr="00EA358B">
        <w:t>a</w:t>
      </w:r>
      <w:r w:rsidR="0096203D" w:rsidRPr="00EA358B">
        <w:t>o Sistema Integrado de Administração Finance</w:t>
      </w:r>
      <w:r w:rsidR="00D922B9" w:rsidRPr="00EA358B">
        <w:t xml:space="preserve">ira (SIAFI) </w:t>
      </w:r>
      <w:r w:rsidR="0096203D" w:rsidRPr="00EA358B">
        <w:t>do Governo Federal, no qual o HCPA aderiu em 01 de janeiro de 1992, na forma da Lei n° 4.320/64.</w:t>
      </w:r>
    </w:p>
    <w:p w:rsidR="009657C6" w:rsidRPr="00EA358B" w:rsidRDefault="009657C6" w:rsidP="009657C6">
      <w:pPr>
        <w:jc w:val="both"/>
      </w:pPr>
    </w:p>
    <w:p w:rsidR="00230EA8" w:rsidRPr="00EA358B" w:rsidRDefault="009657C6" w:rsidP="009657C6">
      <w:pPr>
        <w:jc w:val="both"/>
      </w:pPr>
      <w:r w:rsidRPr="00EA358B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EA358B">
        <w:t xml:space="preserve">faz parte integrante das demonstrações contábeis. </w:t>
      </w:r>
      <w:r w:rsidR="00E232AA">
        <w:t>E</w:t>
      </w:r>
      <w:r w:rsidR="004C7D2C" w:rsidRPr="00EA358B">
        <w:t xml:space="preserve">m sua primeira parte, </w:t>
      </w:r>
      <w:r w:rsidR="00E232AA">
        <w:t xml:space="preserve">a DVA </w:t>
      </w:r>
      <w:r w:rsidR="004C7D2C" w:rsidRPr="00EA358B">
        <w:t>apresenta</w:t>
      </w:r>
      <w:r w:rsidR="00C12955" w:rsidRPr="00EA358B">
        <w:t xml:space="preserve"> a riqueza criada pela entidade</w:t>
      </w:r>
      <w:r w:rsidR="004C7D2C" w:rsidRPr="00EA358B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</w:t>
      </w:r>
      <w:r w:rsidR="004C7D2C" w:rsidRPr="00EA358B">
        <w:lastRenderedPageBreak/>
        <w:t>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:rsidR="004C7D2C" w:rsidRPr="00EA358B" w:rsidRDefault="004C7D2C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preparadas considerando o custo histórico como base de valor e ajustadas para refletir o custo atribuído de todo o Ativo Imobilizado.</w:t>
      </w:r>
    </w:p>
    <w:p w:rsidR="00E84700" w:rsidRPr="00EA358B" w:rsidRDefault="00E84700" w:rsidP="009657C6">
      <w:pPr>
        <w:jc w:val="both"/>
      </w:pPr>
    </w:p>
    <w:p w:rsidR="00E84700" w:rsidRPr="00EA358B" w:rsidRDefault="00E84700" w:rsidP="009657C6">
      <w:pPr>
        <w:jc w:val="both"/>
      </w:pPr>
      <w:r w:rsidRPr="00D95B62">
        <w:t xml:space="preserve">As demonstrações foram autorizadas na reunião </w:t>
      </w:r>
      <w:r w:rsidR="00E80668" w:rsidRPr="00D95B62">
        <w:t>da Diretoria Executiva</w:t>
      </w:r>
      <w:r w:rsidRPr="00D95B62">
        <w:t xml:space="preserve"> </w:t>
      </w:r>
      <w:r w:rsidR="000C47B2" w:rsidRPr="00D95B62">
        <w:t>do dia</w:t>
      </w:r>
      <w:r w:rsidRPr="00D95B62">
        <w:t xml:space="preserve"> </w:t>
      </w:r>
      <w:r w:rsidR="00887FCB">
        <w:t>01</w:t>
      </w:r>
      <w:r w:rsidRPr="00D95B62">
        <w:t xml:space="preserve"> de</w:t>
      </w:r>
      <w:r w:rsidR="007B20B8" w:rsidRPr="00D95B62">
        <w:t xml:space="preserve"> </w:t>
      </w:r>
      <w:r w:rsidR="00887FCB">
        <w:t>março</w:t>
      </w:r>
      <w:r w:rsidRPr="00D95B62">
        <w:t xml:space="preserve"> de 20</w:t>
      </w:r>
      <w:r w:rsidR="00CB6362" w:rsidRPr="00D95B62">
        <w:t>2</w:t>
      </w:r>
      <w:r w:rsidR="00887FCB">
        <w:t>1</w:t>
      </w:r>
      <w:r w:rsidRPr="00D95B62">
        <w:t>.</w:t>
      </w:r>
    </w:p>
    <w:p w:rsidR="00350888" w:rsidRPr="00EA358B" w:rsidRDefault="00350888" w:rsidP="009657C6">
      <w:pPr>
        <w:jc w:val="both"/>
      </w:pPr>
    </w:p>
    <w:p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 xml:space="preserve">Mudanças nas </w:t>
      </w:r>
      <w:r w:rsidR="00B74CEE" w:rsidRPr="00EA358B">
        <w:t>P</w:t>
      </w:r>
      <w:r w:rsidRPr="00EA358B">
        <w:t xml:space="preserve">olíticas </w:t>
      </w:r>
      <w:r w:rsidR="00B74CEE" w:rsidRPr="00EA358B">
        <w:t>C</w:t>
      </w:r>
      <w:r w:rsidRPr="00EA358B">
        <w:t xml:space="preserve">ontábeis e </w:t>
      </w:r>
      <w:r w:rsidR="00B74CEE" w:rsidRPr="00EA358B">
        <w:t>D</w:t>
      </w:r>
      <w:r w:rsidRPr="00EA358B">
        <w:t>ivulgações</w:t>
      </w:r>
    </w:p>
    <w:p w:rsidR="009657C6" w:rsidRPr="00EA358B" w:rsidRDefault="009657C6" w:rsidP="009657C6">
      <w:pPr>
        <w:jc w:val="both"/>
        <w:rPr>
          <w:rFonts w:ascii="Arial" w:hAnsi="Arial" w:cs="Arial"/>
        </w:rPr>
      </w:pPr>
    </w:p>
    <w:p w:rsidR="001E34F1" w:rsidRPr="00EA358B" w:rsidRDefault="001E34F1" w:rsidP="001E34F1">
      <w:pPr>
        <w:jc w:val="both"/>
      </w:pPr>
      <w:r w:rsidRPr="00EA358B">
        <w:t>Não houve novos pronunciamentos ou interpretações vigentes que pudessem ter impacto significativo nas políticas</w:t>
      </w:r>
      <w:r w:rsidR="0058514F" w:rsidRPr="00EA358B">
        <w:t xml:space="preserve"> e nas Demonstrações Contábeis</w:t>
      </w:r>
      <w:r w:rsidRPr="00EA358B">
        <w:t xml:space="preserve">. </w:t>
      </w:r>
    </w:p>
    <w:p w:rsidR="001E34F1" w:rsidRPr="00EA358B" w:rsidRDefault="001E34F1" w:rsidP="001E34F1">
      <w:pPr>
        <w:jc w:val="both"/>
      </w:pPr>
    </w:p>
    <w:p w:rsidR="007016DD" w:rsidRPr="00EA358B" w:rsidRDefault="001E34F1" w:rsidP="00930CC2">
      <w:pPr>
        <w:jc w:val="both"/>
      </w:pPr>
      <w:r w:rsidRPr="00EA358B">
        <w:t xml:space="preserve">Com relação à NBC TG 06, </w:t>
      </w:r>
      <w:r w:rsidR="00C03C93" w:rsidRPr="00EA358B">
        <w:t xml:space="preserve">a qual estabelece princípios para o reconhecimento, mensuração, apresentação e divulgação de arrendamentos, </w:t>
      </w:r>
      <w:r w:rsidRPr="00EA358B">
        <w:t>em vigor a partir de 01 de janeiro de 2</w:t>
      </w:r>
      <w:r w:rsidR="00C03C93" w:rsidRPr="00EA358B">
        <w:t>019, a i</w:t>
      </w:r>
      <w:r w:rsidRPr="00EA358B">
        <w:t xml:space="preserve">nstituição </w:t>
      </w:r>
      <w:r w:rsidR="007016DD" w:rsidRPr="00EA358B">
        <w:t>avaliou</w:t>
      </w:r>
      <w:r w:rsidR="00C03C93" w:rsidRPr="00EA358B">
        <w:t xml:space="preserve"> cada um dos contratos atualmente vigentes</w:t>
      </w:r>
      <w:r w:rsidR="00930CC2" w:rsidRPr="00EA358B">
        <w:t xml:space="preserve">. Optou-se </w:t>
      </w:r>
      <w:r w:rsidR="007016DD" w:rsidRPr="00EA358B">
        <w:t xml:space="preserve">pela não realização do registro contábil dos contratos caracterizados como arrendamento em função </w:t>
      </w:r>
      <w:r w:rsidR="00930CC2" w:rsidRPr="00EA358B">
        <w:t>do custo incorrido para fornecimento da informação comparado aos benefícios proporcionados, conforme prevê a Resolução CFC N.º 1.374/11.</w:t>
      </w:r>
    </w:p>
    <w:p w:rsidR="00350888" w:rsidRPr="00EA358B" w:rsidRDefault="00350888" w:rsidP="00DC261B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Operações com Moeda Estrangeira</w:t>
      </w:r>
    </w:p>
    <w:p w:rsidR="009657C6" w:rsidRPr="00EA358B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Pr="00EA358B" w:rsidRDefault="009657C6" w:rsidP="009657C6">
      <w:pPr>
        <w:jc w:val="both"/>
      </w:pPr>
      <w:r w:rsidRPr="00EA358B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A358B">
        <w:t>-BACEN</w:t>
      </w:r>
      <w:r w:rsidR="0096203D" w:rsidRPr="00EA358B">
        <w:t xml:space="preserve"> e pela </w:t>
      </w:r>
      <w:r w:rsidRPr="00EA358B">
        <w:t>Receita Federal do Brasil</w:t>
      </w:r>
      <w:r w:rsidR="00F2433D" w:rsidRPr="00EA358B">
        <w:t>- RFB</w:t>
      </w:r>
      <w:r w:rsidRPr="00EA358B">
        <w:t>. Os ganhos e perdas com variação cambial na aplicação das taxas</w:t>
      </w:r>
      <w:r w:rsidR="00E968FC" w:rsidRPr="00EA358B">
        <w:t xml:space="preserve"> de câmbio</w:t>
      </w:r>
      <w:r w:rsidRPr="00EA358B">
        <w:t xml:space="preserve"> sobre os ativos e passivos são apresentados na Demonstração do Resultado como Receitas e Despesas Financeiras.</w:t>
      </w:r>
    </w:p>
    <w:p w:rsidR="00043C55" w:rsidRPr="00EA358B" w:rsidRDefault="00043C55" w:rsidP="009657C6">
      <w:pPr>
        <w:jc w:val="both"/>
      </w:pPr>
    </w:p>
    <w:p w:rsidR="009657C6" w:rsidRPr="00EA358B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Instrumentos</w:t>
      </w:r>
      <w:r w:rsidR="000D34DD" w:rsidRPr="00EA358B">
        <w:rPr>
          <w:iCs/>
        </w:rPr>
        <w:t xml:space="preserve"> Financeiros</w:t>
      </w:r>
    </w:p>
    <w:p w:rsidR="009657C6" w:rsidRPr="00EA358B" w:rsidRDefault="009657C6" w:rsidP="009657C6">
      <w:pPr>
        <w:jc w:val="both"/>
      </w:pPr>
    </w:p>
    <w:p w:rsidR="00122208" w:rsidRPr="00EA358B" w:rsidRDefault="00122208" w:rsidP="00122208">
      <w:pPr>
        <w:jc w:val="both"/>
      </w:pPr>
      <w:r w:rsidRPr="00EA358B">
        <w:t xml:space="preserve">A Instituição classifica seus ativos financeiros não derivativos sob a categoria de recebíveis, reconhecidos inicialmente na data em que foram originados, </w:t>
      </w:r>
      <w:r w:rsidR="0006288E" w:rsidRPr="00EA358B">
        <w:t xml:space="preserve">pelo </w:t>
      </w:r>
      <w:r w:rsidRPr="00EA358B">
        <w:t>valor justo e após o reconhecimento inicial</w:t>
      </w:r>
      <w:r w:rsidR="00C55C69" w:rsidRPr="00EA358B">
        <w:t>,</w:t>
      </w:r>
      <w:r w:rsidRPr="00EA358B">
        <w:t xml:space="preserve"> são mensuradas pelo custo amortizado com o uso do método da taxa de juros efetiva menos a provisão para </w:t>
      </w:r>
      <w:proofErr w:type="spellStart"/>
      <w:r w:rsidRPr="00EA358B">
        <w:rPr>
          <w:i/>
        </w:rPr>
        <w:t>impairment</w:t>
      </w:r>
      <w:proofErr w:type="spellEnd"/>
      <w:r w:rsidRPr="00EA358B">
        <w:t>. São apresentados como Ativo Circulante, exceto aqueles com prazo de vencimento superior a 12 meses após a data de emissão do balanço (estes são classificados como Ativos Não Circulante</w:t>
      </w:r>
      <w:r w:rsidR="0006288E" w:rsidRPr="00EA358B">
        <w:t>s</w:t>
      </w:r>
      <w:r w:rsidRPr="00EA358B">
        <w:t xml:space="preserve">). </w:t>
      </w:r>
    </w:p>
    <w:p w:rsidR="00B457E8" w:rsidRPr="00EA358B" w:rsidRDefault="00B457E8" w:rsidP="00122208">
      <w:pPr>
        <w:jc w:val="both"/>
      </w:pPr>
    </w:p>
    <w:p w:rsidR="00122208" w:rsidRPr="00EA358B" w:rsidRDefault="00122208" w:rsidP="00122208">
      <w:pPr>
        <w:jc w:val="both"/>
      </w:pPr>
      <w:r w:rsidRPr="00EA358B">
        <w:t xml:space="preserve">Os recebíveis da Instituição compreendem: </w:t>
      </w:r>
      <w:r w:rsidR="00D922B9" w:rsidRPr="00EA358B">
        <w:t>c</w:t>
      </w:r>
      <w:r w:rsidRPr="00EA358B">
        <w:t xml:space="preserve">aixa e </w:t>
      </w:r>
      <w:r w:rsidR="00D922B9" w:rsidRPr="00EA358B">
        <w:t>e</w:t>
      </w:r>
      <w:r w:rsidRPr="00EA358B">
        <w:t xml:space="preserve">quivalentes de </w:t>
      </w:r>
      <w:r w:rsidR="00D922B9" w:rsidRPr="00EA358B">
        <w:t>c</w:t>
      </w:r>
      <w:r w:rsidRPr="00EA358B">
        <w:t xml:space="preserve">aixa, </w:t>
      </w:r>
      <w:r w:rsidR="00D922B9" w:rsidRPr="00EA358B">
        <w:t>c</w:t>
      </w:r>
      <w:r w:rsidRPr="00EA358B">
        <w:t xml:space="preserve">rédito de </w:t>
      </w:r>
      <w:r w:rsidR="00D922B9" w:rsidRPr="00EA358B">
        <w:t>f</w:t>
      </w:r>
      <w:r w:rsidRPr="00EA358B">
        <w:t xml:space="preserve">ornecimento de </w:t>
      </w:r>
      <w:r w:rsidR="00D922B9" w:rsidRPr="00EA358B">
        <w:t>s</w:t>
      </w:r>
      <w:r w:rsidRPr="00EA358B">
        <w:t xml:space="preserve">erviços, </w:t>
      </w:r>
      <w:r w:rsidR="00D922B9" w:rsidRPr="00EA358B">
        <w:t>r</w:t>
      </w:r>
      <w:r w:rsidRPr="00EA358B">
        <w:t xml:space="preserve">ecursos para </w:t>
      </w:r>
      <w:r w:rsidR="00D922B9" w:rsidRPr="00EA358B">
        <w:t>p</w:t>
      </w:r>
      <w:r w:rsidRPr="00EA358B">
        <w:t xml:space="preserve">rovisões de </w:t>
      </w:r>
      <w:r w:rsidR="00D922B9" w:rsidRPr="00EA358B">
        <w:t>c</w:t>
      </w:r>
      <w:r w:rsidRPr="00EA358B">
        <w:t>ontingências</w:t>
      </w:r>
      <w:r w:rsidR="00D922B9" w:rsidRPr="00EA358B">
        <w:t xml:space="preserve"> e</w:t>
      </w:r>
      <w:r w:rsidRPr="00EA358B">
        <w:t xml:space="preserve"> </w:t>
      </w:r>
      <w:r w:rsidR="00D922B9" w:rsidRPr="00EA358B">
        <w:t>a</w:t>
      </w:r>
      <w:r w:rsidRPr="00EA358B">
        <w:t xml:space="preserve">propriações por </w:t>
      </w:r>
      <w:r w:rsidR="00D922B9" w:rsidRPr="00EA358B">
        <w:t>c</w:t>
      </w:r>
      <w:r w:rsidRPr="00EA358B">
        <w:t>ompetência de</w:t>
      </w:r>
      <w:r w:rsidR="00D922B9" w:rsidRPr="00EA358B">
        <w:t xml:space="preserve"> despesas com pessoal </w:t>
      </w:r>
      <w:r w:rsidRPr="00EA358B">
        <w:t>e demais contas a receber.</w:t>
      </w:r>
      <w:r w:rsidR="00D922B9" w:rsidRPr="00EA358B">
        <w:t xml:space="preserve"> </w:t>
      </w:r>
      <w:r w:rsidRPr="00EA358B">
        <w:t>A Instituição não possui ativos financeiros mantidos para negociação, ativos disponíveis para venda e operações em derivativos.</w:t>
      </w:r>
    </w:p>
    <w:p w:rsidR="00122208" w:rsidRPr="00EA358B" w:rsidRDefault="00122208" w:rsidP="00122208">
      <w:pPr>
        <w:jc w:val="both"/>
      </w:pPr>
    </w:p>
    <w:p w:rsidR="000D34DD" w:rsidRPr="00EA358B" w:rsidRDefault="00122208" w:rsidP="00122208">
      <w:pPr>
        <w:jc w:val="both"/>
      </w:pPr>
      <w:r w:rsidRPr="00EA358B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A358B">
        <w:t>como</w:t>
      </w:r>
      <w:r w:rsidRPr="00EA358B">
        <w:t xml:space="preserve"> passivos financeiros não derivativos</w:t>
      </w:r>
      <w:r w:rsidR="00D922B9" w:rsidRPr="00EA358B">
        <w:t>:</w:t>
      </w:r>
      <w:r w:rsidRPr="00EA358B">
        <w:t xml:space="preserve"> </w:t>
      </w:r>
      <w:proofErr w:type="gramStart"/>
      <w:r w:rsidRPr="00EA358B">
        <w:t>fornecedores e outras contas</w:t>
      </w:r>
      <w:proofErr w:type="gramEnd"/>
      <w:r w:rsidRPr="00EA358B">
        <w:t xml:space="preserve"> a pagar.</w:t>
      </w:r>
    </w:p>
    <w:p w:rsidR="00122208" w:rsidRPr="00EA358B" w:rsidRDefault="00122208" w:rsidP="00122208">
      <w:pPr>
        <w:jc w:val="both"/>
      </w:pPr>
    </w:p>
    <w:p w:rsidR="000D34DD" w:rsidRPr="00EA358B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Caixa e Equivalentes de C</w:t>
      </w:r>
      <w:r w:rsidR="000D34DD" w:rsidRPr="00EA358B">
        <w:rPr>
          <w:iCs/>
        </w:rPr>
        <w:t>aixa</w:t>
      </w:r>
    </w:p>
    <w:p w:rsidR="000D34DD" w:rsidRPr="00EA358B" w:rsidRDefault="000D34DD" w:rsidP="000D34DD">
      <w:pPr>
        <w:jc w:val="both"/>
      </w:pPr>
    </w:p>
    <w:p w:rsidR="009657C6" w:rsidRPr="00EA358B" w:rsidRDefault="003607F1" w:rsidP="009657C6">
      <w:pPr>
        <w:jc w:val="both"/>
      </w:pPr>
      <w:r w:rsidRPr="00EA358B">
        <w:t xml:space="preserve">Os ativos classificados como </w:t>
      </w:r>
      <w:r w:rsidR="00122208" w:rsidRPr="00EA358B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EA358B" w:rsidRDefault="00D83DF0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Estoques</w:t>
      </w:r>
      <w:r w:rsidR="00A909E4" w:rsidRPr="00EA358B">
        <w:rPr>
          <w:iCs/>
        </w:rPr>
        <w:t xml:space="preserve"> de</w:t>
      </w:r>
      <w:r w:rsidR="00C55C69" w:rsidRPr="00EA358B">
        <w:rPr>
          <w:iCs/>
        </w:rPr>
        <w:t xml:space="preserve"> Material de Consumo</w:t>
      </w:r>
    </w:p>
    <w:p w:rsidR="009657C6" w:rsidRPr="00EA358B" w:rsidRDefault="009657C6" w:rsidP="009657C6">
      <w:pPr>
        <w:jc w:val="both"/>
      </w:pPr>
    </w:p>
    <w:p w:rsidR="00DC261B" w:rsidRPr="00EA358B" w:rsidRDefault="00DC261B" w:rsidP="00DC261B">
      <w:pPr>
        <w:jc w:val="both"/>
      </w:pPr>
      <w:r w:rsidRPr="00EA358B">
        <w:t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3</w:t>
      </w:r>
      <w:r w:rsidR="00FE6289">
        <w:t>1</w:t>
      </w:r>
      <w:r w:rsidRPr="00EA358B">
        <w:t xml:space="preserve"> de </w:t>
      </w:r>
      <w:r w:rsidR="00FE6289">
        <w:lastRenderedPageBreak/>
        <w:t>dez</w:t>
      </w:r>
      <w:r w:rsidR="00FD6DFF" w:rsidRPr="00EA358B">
        <w:t>embro</w:t>
      </w:r>
      <w:r w:rsidR="005D1607" w:rsidRPr="00EA358B">
        <w:t xml:space="preserve"> </w:t>
      </w:r>
      <w:r w:rsidRPr="00EA358B">
        <w:t xml:space="preserve">de </w:t>
      </w:r>
      <w:r w:rsidR="004E413F" w:rsidRPr="00EA358B">
        <w:t>20</w:t>
      </w:r>
      <w:r w:rsidR="00D66656" w:rsidRPr="00EA358B">
        <w:t>20</w:t>
      </w:r>
      <w:r w:rsidRPr="00EA358B">
        <w:t xml:space="preserve">. No estoque não constam itens com custo superior ao valor realizável líquido. As perdas </w:t>
      </w:r>
      <w:r w:rsidR="00B649AE" w:rsidRPr="00EA358B">
        <w:t>de</w:t>
      </w:r>
      <w:r w:rsidRPr="00EA358B">
        <w:t xml:space="preserve"> estoque são reconhecidas como despesa do exercício em que ocorrem. </w:t>
      </w:r>
    </w:p>
    <w:p w:rsidR="00AF4478" w:rsidRPr="00EA358B" w:rsidRDefault="00AF4478" w:rsidP="009657C6">
      <w:pPr>
        <w:jc w:val="both"/>
      </w:pPr>
    </w:p>
    <w:p w:rsidR="001F2C40" w:rsidRPr="00EA358B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Depósitos Judiciais</w:t>
      </w:r>
    </w:p>
    <w:p w:rsidR="00ED5B2D" w:rsidRPr="00EA358B" w:rsidRDefault="00ED5B2D" w:rsidP="009657C6">
      <w:pPr>
        <w:jc w:val="both"/>
      </w:pPr>
    </w:p>
    <w:p w:rsidR="001870D3" w:rsidRPr="00EA358B" w:rsidRDefault="00242337" w:rsidP="001870D3">
      <w:pPr>
        <w:jc w:val="both"/>
      </w:pPr>
      <w:r>
        <w:t>Os d</w:t>
      </w:r>
      <w:r w:rsidR="009657C6" w:rsidRPr="00EA358B">
        <w:t xml:space="preserve">epósitos </w:t>
      </w:r>
      <w:r>
        <w:t>judiciais s</w:t>
      </w:r>
      <w:r w:rsidR="009657C6" w:rsidRPr="00EA358B">
        <w:t xml:space="preserve">ão compostos </w:t>
      </w:r>
      <w:r>
        <w:t>por</w:t>
      </w:r>
      <w:r w:rsidR="009657C6" w:rsidRPr="00EA358B">
        <w:t xml:space="preserve"> valores recursais vinculados a causas trabalhistas corrigidos até </w:t>
      </w:r>
      <w:r w:rsidR="001465DD" w:rsidRPr="00EA358B">
        <w:t>3</w:t>
      </w:r>
      <w:r w:rsidR="00FE6289">
        <w:t>1</w:t>
      </w:r>
      <w:r w:rsidR="001465DD" w:rsidRPr="00EA358B">
        <w:t xml:space="preserve"> de </w:t>
      </w:r>
      <w:r w:rsidR="00FE6289">
        <w:t>dez</w:t>
      </w:r>
      <w:r w:rsidR="00FD6DFF" w:rsidRPr="00EA358B">
        <w:t>embro</w:t>
      </w:r>
      <w:r w:rsidR="00E61D89" w:rsidRPr="00EA358B">
        <w:t xml:space="preserve"> de 2020</w:t>
      </w:r>
      <w:r w:rsidR="00E612B7" w:rsidRPr="00EA358B">
        <w:t xml:space="preserve">. Os </w:t>
      </w:r>
      <w:r w:rsidR="002D418E">
        <w:t xml:space="preserve">recursos </w:t>
      </w:r>
      <w:r w:rsidR="009657C6" w:rsidRPr="00EA358B">
        <w:t>depositados na Caixa Econômica Federal são atualizados pelo coeficiente de remuneração das contas do FGTS, enquanto que o</w:t>
      </w:r>
      <w:r w:rsidR="00EB59F2" w:rsidRPr="00EA358B">
        <w:t>s</w:t>
      </w:r>
      <w:r w:rsidR="009657C6" w:rsidRPr="00EA358B">
        <w:t xml:space="preserve"> depositado</w:t>
      </w:r>
      <w:r w:rsidR="00EB59F2" w:rsidRPr="00EA358B">
        <w:t>s</w:t>
      </w:r>
      <w:r w:rsidR="009657C6" w:rsidRPr="00EA358B">
        <w:t xml:space="preserve"> no Banco do Brasil </w:t>
      </w:r>
      <w:r w:rsidR="00EB59F2" w:rsidRPr="00EA358B">
        <w:t>são</w:t>
      </w:r>
      <w:r w:rsidR="009657C6" w:rsidRPr="00EA358B">
        <w:t xml:space="preserve"> atualizado</w:t>
      </w:r>
      <w:r w:rsidR="00EB59F2" w:rsidRPr="00EA358B">
        <w:t>s</w:t>
      </w:r>
      <w:r w:rsidR="009657C6" w:rsidRPr="00EA358B">
        <w:t xml:space="preserve"> </w:t>
      </w:r>
      <w:r w:rsidR="00E612B7" w:rsidRPr="00EA358B">
        <w:t>pela taxa de juros remuneratória da poupança</w:t>
      </w:r>
      <w:r w:rsidR="009657C6" w:rsidRPr="00EA358B">
        <w:t xml:space="preserve">. </w:t>
      </w:r>
      <w:r>
        <w:t xml:space="preserve">No caso </w:t>
      </w:r>
      <w:r w:rsidRPr="00242337">
        <w:t xml:space="preserve">do pagamento de </w:t>
      </w:r>
      <w:r w:rsidR="009657C6" w:rsidRPr="00242337">
        <w:t>depósitos recursais</w:t>
      </w:r>
      <w:r w:rsidRPr="00242337">
        <w:t xml:space="preserve">, estes são realizados </w:t>
      </w:r>
      <w:r w:rsidR="009657C6" w:rsidRPr="00242337">
        <w:t xml:space="preserve">com recursos próprios. </w:t>
      </w:r>
      <w:r>
        <w:t>Na</w:t>
      </w:r>
      <w:r w:rsidR="009657C6" w:rsidRPr="00242337">
        <w:t xml:space="preserve"> execução do processo, se o desfecho for a favor do reclamante, a Instituição quita a dívida com recursos recebidos do Tesouro Nacional</w:t>
      </w:r>
      <w:r>
        <w:t>,</w:t>
      </w:r>
      <w:r w:rsidR="009657C6" w:rsidRPr="00242337">
        <w:t xml:space="preserve"> e o valor</w:t>
      </w:r>
      <w:r w:rsidR="009657C6" w:rsidRPr="00EA358B">
        <w:t xml:space="preserve"> do depósito</w:t>
      </w:r>
      <w:r>
        <w:t xml:space="preserve"> recursal prévio</w:t>
      </w:r>
      <w:r w:rsidR="009657C6" w:rsidRPr="00EA358B">
        <w:t xml:space="preserve"> é restituído ao HCPA, devidamente corrigido. </w:t>
      </w:r>
    </w:p>
    <w:p w:rsidR="009657C6" w:rsidRPr="00EA358B" w:rsidRDefault="009657C6" w:rsidP="00C46C0C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Imobilizado e Intangível</w:t>
      </w:r>
    </w:p>
    <w:p w:rsidR="009657C6" w:rsidRPr="00EA358B" w:rsidRDefault="009657C6" w:rsidP="00C46C0C">
      <w:pPr>
        <w:jc w:val="both"/>
      </w:pPr>
    </w:p>
    <w:p w:rsidR="00ED4898" w:rsidRPr="00EA358B" w:rsidRDefault="009657C6" w:rsidP="00C46C0C">
      <w:pPr>
        <w:jc w:val="both"/>
      </w:pPr>
      <w:r w:rsidRPr="00EA358B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EA358B">
        <w:t xml:space="preserve">esses custos adicionais puderem ser mensurados com segurança e quando dos quais </w:t>
      </w:r>
      <w:proofErr w:type="gramStart"/>
      <w:r w:rsidR="00150C27" w:rsidRPr="00EA358B">
        <w:t>espera-se</w:t>
      </w:r>
      <w:proofErr w:type="gramEnd"/>
      <w:r w:rsidR="00150C27" w:rsidRPr="00EA358B">
        <w:t xml:space="preserve"> benefícios econômicos futuros</w:t>
      </w:r>
      <w:r w:rsidRPr="00EA358B">
        <w:t xml:space="preserve">. Os valores contábeis de itens ou peças substituídas são baixados. </w:t>
      </w:r>
      <w:r w:rsidR="00D41D54" w:rsidRPr="00EA358B">
        <w:t xml:space="preserve">Os gastos com </w:t>
      </w:r>
      <w:r w:rsidRPr="00EA358B">
        <w:t xml:space="preserve">reparos e manutenções </w:t>
      </w:r>
      <w:r w:rsidR="00944DC2" w:rsidRPr="00EA358B">
        <w:t>possuem como</w:t>
      </w:r>
      <w:r w:rsidRPr="00EA358B">
        <w:t xml:space="preserve"> contrapartida o resultado do exercício, quando incorridos</w:t>
      </w:r>
      <w:r w:rsidR="00C12955" w:rsidRPr="00EA358B">
        <w:t>.</w:t>
      </w:r>
      <w:r w:rsidR="00017F1D" w:rsidRPr="00EA358B">
        <w:t xml:space="preserve"> </w:t>
      </w:r>
    </w:p>
    <w:p w:rsidR="00ED4898" w:rsidRPr="00EA358B" w:rsidRDefault="00ED4898" w:rsidP="00C46C0C">
      <w:pPr>
        <w:jc w:val="both"/>
      </w:pPr>
    </w:p>
    <w:p w:rsidR="009657C6" w:rsidRPr="00EA358B" w:rsidRDefault="00017F1D" w:rsidP="00C46C0C">
      <w:pPr>
        <w:jc w:val="both"/>
      </w:pPr>
      <w:r w:rsidRPr="00EA358B">
        <w:t>P</w:t>
      </w:r>
      <w:r w:rsidR="009657C6" w:rsidRPr="00EA358B">
        <w:t xml:space="preserve">ara que não haja perda do custo histórico, a depreciação ou amortização nas </w:t>
      </w:r>
      <w:r w:rsidR="00416B8B" w:rsidRPr="00EA358B">
        <w:t xml:space="preserve">Demonstrações </w:t>
      </w:r>
      <w:r w:rsidR="0058514F" w:rsidRPr="00EA358B">
        <w:t>Contábeis</w:t>
      </w:r>
      <w:r w:rsidR="009657C6" w:rsidRPr="00EA358B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EA358B" w:rsidRDefault="009657C6" w:rsidP="00C46C0C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depreciações e amortizações são calculadas usando o método linear, considerando os seus custos durante a vida útil estimada, como </w:t>
      </w:r>
      <w:r w:rsidR="009E013F" w:rsidRPr="00EA358B">
        <w:t>demonstrado a seguir</w:t>
      </w:r>
      <w:r w:rsidRPr="00EA358B">
        <w:t>:</w:t>
      </w:r>
    </w:p>
    <w:p w:rsidR="00A6699D" w:rsidRPr="001F3542" w:rsidRDefault="00A6699D" w:rsidP="009657C6">
      <w:pPr>
        <w:jc w:val="both"/>
        <w:rPr>
          <w:color w:val="FF0000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EA358B" w:rsidRDefault="009657C6" w:rsidP="00C46C0C">
            <w:pPr>
              <w:jc w:val="both"/>
            </w:pPr>
            <w:r w:rsidRPr="00EA358B">
              <w:t>VIDA ÚTIL ESTIMADA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C46C0C">
            <w:pPr>
              <w:jc w:val="both"/>
            </w:pPr>
            <w:r w:rsidRPr="00EA358B">
              <w:t xml:space="preserve">Edificações (Prédios)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40 anos a 100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Máquinas e Equipamentos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04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>Móveis, Utensílios Diversos.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Veículos </w:t>
            </w:r>
          </w:p>
        </w:tc>
        <w:tc>
          <w:tcPr>
            <w:tcW w:w="2379" w:type="dxa"/>
          </w:tcPr>
          <w:p w:rsidR="009657C6" w:rsidRPr="00EA358B" w:rsidRDefault="007B715B" w:rsidP="00512FE5">
            <w:pPr>
              <w:jc w:val="right"/>
            </w:pPr>
            <w:r w:rsidRPr="00EA358B">
              <w:t xml:space="preserve">De </w:t>
            </w:r>
            <w:r w:rsidR="009657C6" w:rsidRPr="00EA358B">
              <w:t>03 anos a 10 anos</w:t>
            </w:r>
          </w:p>
        </w:tc>
      </w:tr>
      <w:tr w:rsidR="009657C6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Intangível – Software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05 anos</w:t>
            </w:r>
          </w:p>
        </w:tc>
      </w:tr>
    </w:tbl>
    <w:p w:rsidR="009657C6" w:rsidRPr="00EA358B" w:rsidRDefault="009657C6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EA358B">
        <w:rPr>
          <w:i/>
          <w:iCs/>
        </w:rPr>
        <w:t>I</w:t>
      </w:r>
      <w:r w:rsidRPr="00EA358B">
        <w:rPr>
          <w:i/>
        </w:rPr>
        <w:t>mpairment</w:t>
      </w:r>
      <w:proofErr w:type="spellEnd"/>
      <w:r w:rsidR="00A909E4" w:rsidRPr="00EA358B">
        <w:rPr>
          <w:iCs/>
        </w:rPr>
        <w:t xml:space="preserve"> de A</w:t>
      </w:r>
      <w:r w:rsidRPr="00EA358B">
        <w:rPr>
          <w:iCs/>
        </w:rPr>
        <w:t xml:space="preserve">tivos não </w:t>
      </w:r>
      <w:r w:rsidR="00A909E4" w:rsidRPr="00EA358B">
        <w:rPr>
          <w:iCs/>
        </w:rPr>
        <w:t>F</w:t>
      </w:r>
      <w:r w:rsidRPr="00EA358B">
        <w:rPr>
          <w:iCs/>
        </w:rPr>
        <w:t>inanceiros</w:t>
      </w:r>
    </w:p>
    <w:p w:rsidR="009657C6" w:rsidRPr="00EA358B" w:rsidRDefault="009657C6" w:rsidP="009657C6">
      <w:pPr>
        <w:jc w:val="both"/>
      </w:pPr>
    </w:p>
    <w:p w:rsidR="004032B8" w:rsidRPr="00EA358B" w:rsidRDefault="0018194B" w:rsidP="004032B8">
      <w:pPr>
        <w:jc w:val="both"/>
      </w:pPr>
      <w:r w:rsidRPr="00EA358B">
        <w:t>A A</w:t>
      </w:r>
      <w:r w:rsidR="004032B8" w:rsidRPr="00EA358B">
        <w:t xml:space="preserve">dministração do HCPA revisa </w:t>
      </w:r>
      <w:r w:rsidR="00542570" w:rsidRPr="00EA358B">
        <w:t xml:space="preserve">anualmente </w:t>
      </w:r>
      <w:r w:rsidR="004032B8" w:rsidRPr="00EA358B">
        <w:t xml:space="preserve">o valor contábil dos ativos de vida longa, principalmente o imobilizado mantido e utilizado nas operações, </w:t>
      </w:r>
      <w:r w:rsidRPr="00EA358B">
        <w:t>por meio de avaliações internas à entidade, as quais objetivam identificar</w:t>
      </w:r>
      <w:r w:rsidR="004032B8" w:rsidRPr="00EA358B">
        <w:t xml:space="preserve"> </w:t>
      </w:r>
      <w:r w:rsidRPr="00EA358B">
        <w:t>indícios de desvalorização de um ativo ou grupo de ativos, conforme fontes externas e internas de informaç</w:t>
      </w:r>
      <w:r w:rsidR="00EF44B8" w:rsidRPr="00EA358B">
        <w:t>ão</w:t>
      </w:r>
      <w:r w:rsidR="004032B8" w:rsidRPr="00EA358B">
        <w:t>.</w:t>
      </w:r>
    </w:p>
    <w:p w:rsidR="004032B8" w:rsidRPr="001F3542" w:rsidRDefault="004032B8" w:rsidP="004032B8">
      <w:pPr>
        <w:jc w:val="both"/>
        <w:rPr>
          <w:color w:val="FF0000"/>
        </w:rPr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Fornecedores</w:t>
      </w:r>
    </w:p>
    <w:p w:rsidR="009657C6" w:rsidRPr="00EA358B" w:rsidRDefault="009657C6" w:rsidP="009657C6">
      <w:pPr>
        <w:jc w:val="both"/>
      </w:pPr>
    </w:p>
    <w:p w:rsidR="00595A08" w:rsidRPr="00EA358B" w:rsidRDefault="009657C6" w:rsidP="00595A08">
      <w:pPr>
        <w:jc w:val="both"/>
      </w:pPr>
      <w:r w:rsidRPr="00EA358B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A358B">
        <w:t>iço prestado ou bem adquirido</w:t>
      </w:r>
      <w:r w:rsidR="00C12955" w:rsidRPr="00EA358B">
        <w:t>.</w:t>
      </w:r>
    </w:p>
    <w:p w:rsidR="00ED5B2D" w:rsidRPr="00EA358B" w:rsidRDefault="00ED5B2D" w:rsidP="00595A08">
      <w:pPr>
        <w:jc w:val="both"/>
      </w:pPr>
    </w:p>
    <w:p w:rsidR="00D7032B" w:rsidRPr="00EA358B" w:rsidRDefault="00D7032B" w:rsidP="00595A08">
      <w:pPr>
        <w:jc w:val="both"/>
      </w:pPr>
    </w:p>
    <w:p w:rsidR="007C0857" w:rsidRPr="00EA358B" w:rsidRDefault="007C0857">
      <w:r w:rsidRPr="00EA358B">
        <w:rPr>
          <w:b/>
        </w:rPr>
        <w:br w:type="page"/>
      </w: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lastRenderedPageBreak/>
        <w:t>Obrigações Tributárias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Na conta Obrigações Tributárias, são registrados os </w:t>
      </w:r>
      <w:r w:rsidR="00287034" w:rsidRPr="00EA358B">
        <w:t>tributos</w:t>
      </w:r>
      <w:r w:rsidRPr="00EA358B">
        <w:t xml:space="preserve"> federais PIS e COFINS </w:t>
      </w:r>
      <w:r w:rsidR="0004788E" w:rsidRPr="00EA358B">
        <w:t>inc</w:t>
      </w:r>
      <w:r w:rsidR="00EA358B" w:rsidRPr="00EA358B">
        <w:t>identes sobre receitas próprias, assim como</w:t>
      </w:r>
      <w:r w:rsidRPr="00EA358B">
        <w:t xml:space="preserve"> os v</w:t>
      </w:r>
      <w:r w:rsidR="00EA358B" w:rsidRPr="00EA358B">
        <w:t>alores retidos dos fornecedores</w:t>
      </w:r>
      <w:r w:rsidRPr="00EA358B">
        <w:t xml:space="preserve"> referentes a tributos municipais incidentes sobre serviços prestados na sede da Instituição, conforme Lei Complementar Municipal n° 306/93 e 07/73 e </w:t>
      </w:r>
      <w:r w:rsidR="001A6944" w:rsidRPr="00EA358B">
        <w:t xml:space="preserve">Leis </w:t>
      </w:r>
      <w:r w:rsidR="00A909E4" w:rsidRPr="00EA358B">
        <w:t>f</w:t>
      </w:r>
      <w:r w:rsidRPr="00EA358B">
        <w:t>ederais incidentes sobre bens ou serviços fornecidos conforme IN/RFB n° 1</w:t>
      </w:r>
      <w:r w:rsidR="0004788E" w:rsidRPr="00EA358B">
        <w:t>.</w:t>
      </w:r>
      <w:r w:rsidRPr="00EA358B">
        <w:t xml:space="preserve">234 de 11/01/2012 e IN/RFB n° 971 de 2009. A Instituição goza de isenção </w:t>
      </w:r>
      <w:r w:rsidR="00366723" w:rsidRPr="00EA358B">
        <w:t xml:space="preserve">dos demais </w:t>
      </w:r>
      <w:r w:rsidRPr="00EA358B">
        <w:t xml:space="preserve">tributos federais conforme artigo n° 15 da Lei 5.604 de 02 de setembro </w:t>
      </w:r>
      <w:r w:rsidR="0024480D" w:rsidRPr="00EA358B">
        <w:t>de 1970</w:t>
      </w:r>
      <w:r w:rsidR="00C12955" w:rsidRPr="00EA358B">
        <w:t>.</w:t>
      </w:r>
    </w:p>
    <w:p w:rsidR="00407FFA" w:rsidRPr="00EA358B" w:rsidRDefault="00407FFA"/>
    <w:p w:rsidR="009657C6" w:rsidRPr="00EA358B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A358B">
        <w:rPr>
          <w:iCs/>
        </w:rPr>
        <w:t>Benefícios a Empregados</w:t>
      </w:r>
    </w:p>
    <w:p w:rsidR="00357AC7" w:rsidRPr="00EA358B" w:rsidRDefault="00357AC7" w:rsidP="00357AC7">
      <w:pPr>
        <w:rPr>
          <w:highlight w:val="yellow"/>
        </w:rPr>
      </w:pPr>
    </w:p>
    <w:p w:rsidR="009657C6" w:rsidRPr="00EA358B" w:rsidRDefault="009657C6" w:rsidP="009657C6">
      <w:pPr>
        <w:jc w:val="both"/>
      </w:pPr>
      <w:r w:rsidRPr="00EA358B">
        <w:t xml:space="preserve">A Instituição possui </w:t>
      </w:r>
      <w:r w:rsidR="00357AC7" w:rsidRPr="00EA358B">
        <w:t>plano</w:t>
      </w:r>
      <w:r w:rsidRPr="00EA358B">
        <w:t xml:space="preserve"> de benefícios a empregados, como </w:t>
      </w:r>
      <w:r w:rsidR="00366723" w:rsidRPr="00EA358B">
        <w:t>aux</w:t>
      </w:r>
      <w:r w:rsidR="00017F1D" w:rsidRPr="00EA358B">
        <w:t>í</w:t>
      </w:r>
      <w:r w:rsidR="00366723" w:rsidRPr="00EA358B">
        <w:t xml:space="preserve">lio </w:t>
      </w:r>
      <w:r w:rsidRPr="00EA358B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EA358B">
        <w:t>.</w:t>
      </w:r>
      <w:r w:rsidRPr="00EA358B">
        <w:t xml:space="preserve"> </w:t>
      </w:r>
    </w:p>
    <w:p w:rsidR="006874C1" w:rsidRPr="00EA358B" w:rsidRDefault="006874C1" w:rsidP="009657C6">
      <w:pPr>
        <w:jc w:val="both"/>
      </w:pPr>
    </w:p>
    <w:p w:rsidR="009657C6" w:rsidRPr="00EA358B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Contingências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 xml:space="preserve">As provisões para ações </w:t>
      </w:r>
      <w:r w:rsidR="00A909E4" w:rsidRPr="00EA358B">
        <w:t>judiciais (trabalhistas, cíveis,</w:t>
      </w:r>
      <w:r w:rsidRPr="00EA358B">
        <w:t xml:space="preserve"> tributárias e outras) são reconhecidas quando: (i) a Instituição tem uma obrigação presente ou não formalizada (</w:t>
      </w:r>
      <w:proofErr w:type="spellStart"/>
      <w:r w:rsidRPr="00EA358B">
        <w:rPr>
          <w:i/>
        </w:rPr>
        <w:t>constructive</w:t>
      </w:r>
      <w:proofErr w:type="spellEnd"/>
      <w:r w:rsidRPr="00EA358B">
        <w:rPr>
          <w:i/>
        </w:rPr>
        <w:t xml:space="preserve"> </w:t>
      </w:r>
      <w:proofErr w:type="spellStart"/>
      <w:r w:rsidRPr="00EA358B">
        <w:rPr>
          <w:i/>
        </w:rPr>
        <w:t>obligation</w:t>
      </w:r>
      <w:proofErr w:type="spellEnd"/>
      <w:r w:rsidRPr="00EA358B">
        <w:t>) como resultado de eventos já ocorridos; (</w:t>
      </w:r>
      <w:proofErr w:type="spellStart"/>
      <w:r w:rsidRPr="00EA358B">
        <w:t>ii</w:t>
      </w:r>
      <w:proofErr w:type="spellEnd"/>
      <w:r w:rsidRPr="00EA358B">
        <w:t>) é provável que uma saída de recursos seja necessária para liquidar a obrigação; e (</w:t>
      </w:r>
      <w:proofErr w:type="spellStart"/>
      <w:r w:rsidRPr="00EA358B">
        <w:t>iii</w:t>
      </w:r>
      <w:proofErr w:type="spellEnd"/>
      <w:r w:rsidRPr="00EA358B">
        <w:t xml:space="preserve">) o valor puder ser estimado com segurança. </w:t>
      </w:r>
    </w:p>
    <w:p w:rsidR="009657C6" w:rsidRPr="001F3542" w:rsidRDefault="009657C6" w:rsidP="009657C6">
      <w:pPr>
        <w:jc w:val="both"/>
        <w:rPr>
          <w:color w:val="FF0000"/>
        </w:rPr>
      </w:pPr>
    </w:p>
    <w:p w:rsidR="009657C6" w:rsidRPr="00EA358B" w:rsidRDefault="009657C6" w:rsidP="009657C6">
      <w:pPr>
        <w:jc w:val="both"/>
      </w:pPr>
      <w:r w:rsidRPr="00EA358B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EA358B" w:rsidRDefault="008402DA" w:rsidP="009657C6">
      <w:pPr>
        <w:jc w:val="both"/>
      </w:pPr>
    </w:p>
    <w:p w:rsidR="00985314" w:rsidRPr="007811E1" w:rsidRDefault="00985314" w:rsidP="00985314">
      <w:pPr>
        <w:jc w:val="both"/>
      </w:pPr>
      <w:r w:rsidRPr="00985314">
        <w:t>O valor das ações cuja probabilidade de perda, segundo a área jurídica do HCPA, é considerada possível é de: R$ 24.225 Cíveis, R$ 117.710 Trabalhistas e R$ 1.265 Tributárias, totalizando R$ 143.200.</w:t>
      </w:r>
    </w:p>
    <w:p w:rsidR="006810AF" w:rsidRPr="00EA358B" w:rsidRDefault="006810AF" w:rsidP="009657C6">
      <w:pPr>
        <w:jc w:val="both"/>
      </w:pPr>
    </w:p>
    <w:p w:rsidR="00595A08" w:rsidRPr="00EA358B" w:rsidRDefault="009657C6" w:rsidP="00595A08">
      <w:pPr>
        <w:jc w:val="both"/>
      </w:pPr>
      <w:r w:rsidRPr="00EA358B">
        <w:t xml:space="preserve">Os valores estimados das causas trabalhistas e ainda não depositados são inscritos em Recursos a Receber já que </w:t>
      </w:r>
      <w:r w:rsidR="00B971EB" w:rsidRPr="00EA358B">
        <w:t>esta despesa é</w:t>
      </w:r>
      <w:r w:rsidRPr="00EA358B">
        <w:t xml:space="preserve"> coberta por recursos repassados pelo Tesouro Nacional. </w:t>
      </w:r>
    </w:p>
    <w:p w:rsidR="00DC261B" w:rsidRPr="00EA358B" w:rsidRDefault="00DC261B" w:rsidP="00595A08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Reconhecimento da Receita </w:t>
      </w:r>
    </w:p>
    <w:p w:rsidR="009657C6" w:rsidRPr="00EA358B" w:rsidRDefault="009657C6" w:rsidP="009657C6">
      <w:pPr>
        <w:jc w:val="both"/>
      </w:pPr>
    </w:p>
    <w:p w:rsidR="00DC261B" w:rsidRPr="00EA358B" w:rsidRDefault="00DC261B" w:rsidP="00DC261B">
      <w:pPr>
        <w:jc w:val="both"/>
      </w:pPr>
      <w:r w:rsidRPr="00EA358B">
        <w:t xml:space="preserve">A receita compreende o valor justo da contraprestação recebida ou a receber pela prestação dos serviços no curso normal das atividades da Instituição. </w:t>
      </w:r>
    </w:p>
    <w:p w:rsidR="00DC261B" w:rsidRPr="00EA358B" w:rsidRDefault="00DC261B" w:rsidP="00DC261B">
      <w:pPr>
        <w:jc w:val="both"/>
      </w:pPr>
    </w:p>
    <w:p w:rsidR="00F81DC0" w:rsidRPr="00EA358B" w:rsidRDefault="00DC261B" w:rsidP="0042479C">
      <w:pPr>
        <w:jc w:val="both"/>
      </w:pPr>
      <w:r w:rsidRPr="00EA358B">
        <w:t>A receita é apresentada líquida dos impostos, dos abatimentos, dos descontos, dos ajustes da</w:t>
      </w:r>
      <w:r w:rsidR="00116EBB" w:rsidRPr="00EA358B">
        <w:t xml:space="preserve"> receita referentes à dedução dos repasses </w:t>
      </w:r>
      <w:r w:rsidR="007A6887" w:rsidRPr="00EA358B">
        <w:t xml:space="preserve">financeiros </w:t>
      </w:r>
      <w:r w:rsidR="00116EBB" w:rsidRPr="00EA358B">
        <w:t>recebidos da União para investimento</w:t>
      </w:r>
      <w:r w:rsidRPr="00EA358B">
        <w:t xml:space="preserve"> e contabilizada independentemente de seu efetivo recebimento.</w:t>
      </w:r>
    </w:p>
    <w:p w:rsidR="0042479C" w:rsidRPr="00EA358B" w:rsidRDefault="0042479C" w:rsidP="0042479C">
      <w:pPr>
        <w:jc w:val="both"/>
      </w:pPr>
    </w:p>
    <w:p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Serviços Prestados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Todos os serviços prestados pela Instituição, ao Sistema Único de Saúde (SUS), a convênios privados, particulares</w:t>
      </w:r>
      <w:r w:rsidR="00704446" w:rsidRPr="00EA358B">
        <w:t xml:space="preserve">, </w:t>
      </w:r>
      <w:r w:rsidRPr="00EA358B">
        <w:t>pesquisas</w:t>
      </w:r>
      <w:r w:rsidR="00704446" w:rsidRPr="00EA358B">
        <w:t xml:space="preserve"> e ensino</w:t>
      </w:r>
      <w:r w:rsidRPr="00EA358B">
        <w:t xml:space="preserve">, estão contabilizados </w:t>
      </w:r>
      <w:r w:rsidR="00723ADF" w:rsidRPr="00EA358B">
        <w:t>na</w:t>
      </w:r>
      <w:r w:rsidRPr="00EA358B">
        <w:t xml:space="preserve"> competência</w:t>
      </w:r>
      <w:r w:rsidR="00723ADF" w:rsidRPr="00EA358B">
        <w:t xml:space="preserve"> em que o fato gerador ocorreu e </w:t>
      </w:r>
      <w:r w:rsidRPr="00EA358B">
        <w:t>pelo seu valor bruto.</w:t>
      </w:r>
    </w:p>
    <w:p w:rsidR="00F81DC0" w:rsidRPr="001F3542" w:rsidRDefault="00F81DC0" w:rsidP="009657C6">
      <w:pPr>
        <w:jc w:val="both"/>
        <w:rPr>
          <w:color w:val="FF0000"/>
        </w:rPr>
      </w:pPr>
    </w:p>
    <w:p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Repasses </w:t>
      </w:r>
      <w:r w:rsidR="007A6887" w:rsidRPr="00EA358B">
        <w:rPr>
          <w:iCs/>
        </w:rPr>
        <w:t xml:space="preserve">Financeiros </w:t>
      </w:r>
      <w:r w:rsidRPr="00EA358B">
        <w:rPr>
          <w:iCs/>
        </w:rPr>
        <w:t>Recebidos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Esta rubrica representa os valores descentralizados pelo MEC para cobrir despesas com folha de pagamento de pessoal, encargos sociai</w:t>
      </w:r>
      <w:r w:rsidR="00C9158E" w:rsidRPr="00EA358B">
        <w:t>s, benefícios, financiamento do Tempo de Serviços Passado / Previdência Complementar</w:t>
      </w:r>
      <w:r w:rsidR="0015019A" w:rsidRPr="00EA358B">
        <w:t>, Investimentos (Adiantamento para Futuro Aumento de Capital)</w:t>
      </w:r>
      <w:r w:rsidR="00C9158E" w:rsidRPr="00EA358B">
        <w:t xml:space="preserve"> </w:t>
      </w:r>
      <w:r w:rsidRPr="00EA358B">
        <w:t>e</w:t>
      </w:r>
      <w:r w:rsidR="00293137" w:rsidRPr="00EA358B">
        <w:t>ntre</w:t>
      </w:r>
      <w:r w:rsidRPr="00EA358B">
        <w:t xml:space="preserve"> outras despesas.</w:t>
      </w:r>
      <w:r w:rsidR="00293137" w:rsidRPr="00EA358B">
        <w:t xml:space="preserve"> </w:t>
      </w:r>
      <w:proofErr w:type="gramStart"/>
      <w:r w:rsidR="00293137" w:rsidRPr="00EA358B">
        <w:t>Inclui</w:t>
      </w:r>
      <w:proofErr w:type="gramEnd"/>
      <w:r w:rsidR="00293137" w:rsidRPr="00EA358B">
        <w:t xml:space="preserve">, </w:t>
      </w:r>
      <w:r w:rsidR="00293137" w:rsidRPr="00EA358B">
        <w:lastRenderedPageBreak/>
        <w:t>também,</w:t>
      </w:r>
      <w:r w:rsidRPr="00EA358B">
        <w:t xml:space="preserve"> as descentralizações de recursos repassados pelo MEC e por outros órgãos através de convênios para cobri</w:t>
      </w:r>
      <w:r w:rsidR="00293137" w:rsidRPr="00EA358B">
        <w:t>r despesas de capital e custeio e as</w:t>
      </w:r>
      <w:r w:rsidRPr="00EA358B">
        <w:t xml:space="preserve"> transferências de recursos por empresas privadas, para realização de projetos específicos.</w:t>
      </w:r>
    </w:p>
    <w:p w:rsidR="00ED5B2D" w:rsidRPr="00EA358B" w:rsidRDefault="00ED5B2D"/>
    <w:p w:rsidR="009657C6" w:rsidRPr="00EA358B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Receitas Financeiras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 receita financeira é reconhecida conforme o prazo decorrido pelo regime de competência, usando o método da taxa efetiva de juros.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Quando uma perda (</w:t>
      </w:r>
      <w:proofErr w:type="spellStart"/>
      <w:r w:rsidRPr="00EA358B">
        <w:rPr>
          <w:i/>
        </w:rPr>
        <w:t>impairment</w:t>
      </w:r>
      <w:proofErr w:type="spellEnd"/>
      <w:r w:rsidRPr="00EA358B">
        <w:t>) é identificada em relação às</w:t>
      </w:r>
      <w:r w:rsidR="00665701" w:rsidRPr="00EA358B">
        <w:t xml:space="preserve"> </w:t>
      </w:r>
      <w:r w:rsidR="00867B4D" w:rsidRPr="00EA358B">
        <w:t>contas a receber, a i</w:t>
      </w:r>
      <w:r w:rsidRPr="00EA358B">
        <w:t>nstituição reduz</w:t>
      </w:r>
      <w:r w:rsidR="00D33697" w:rsidRPr="00EA358B">
        <w:t xml:space="preserve"> </w:t>
      </w:r>
      <w:r w:rsidRPr="00EA358B">
        <w:t>o valor contábil para seu valor recuperável, que corresponde ao fluxo de caixa futuro estimado, descontado à taxa efetiva de juros original do instrumento.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Custos dos Serviços e Despesas Administrativas</w:t>
      </w:r>
    </w:p>
    <w:p w:rsidR="009657C6" w:rsidRPr="00EA358B" w:rsidRDefault="009657C6" w:rsidP="009657C6">
      <w:pPr>
        <w:jc w:val="both"/>
      </w:pPr>
    </w:p>
    <w:p w:rsidR="00500EEB" w:rsidRPr="00EA358B" w:rsidRDefault="009657C6" w:rsidP="00F106B7">
      <w:pPr>
        <w:jc w:val="both"/>
      </w:pPr>
      <w:r w:rsidRPr="00EA358B">
        <w:t>Os custos dos serviços e despesas administrativas f</w:t>
      </w:r>
      <w:r w:rsidR="00500EEB" w:rsidRPr="00EA358B">
        <w:t>oram apropriados de acordo com sistema de apuração de custos contábeis</w:t>
      </w:r>
      <w:r w:rsidR="00017F1D" w:rsidRPr="00EA358B">
        <w:t>,</w:t>
      </w:r>
      <w:r w:rsidR="00F106B7" w:rsidRPr="00EA358B">
        <w:t xml:space="preserve"> que considera a seguinte premissa de cálculo: a an</w:t>
      </w:r>
      <w:r w:rsidR="00017F1D" w:rsidRPr="00EA358B">
        <w:t>á</w:t>
      </w:r>
      <w:r w:rsidR="00F106B7" w:rsidRPr="00EA358B">
        <w:t>lise é feita por grupos de centros de c</w:t>
      </w:r>
      <w:r w:rsidR="00500EEB" w:rsidRPr="00EA358B">
        <w:t>ustos agrupados por áreas afins</w:t>
      </w:r>
      <w:r w:rsidR="00F106B7" w:rsidRPr="00EA358B">
        <w:t xml:space="preserve">. </w:t>
      </w:r>
    </w:p>
    <w:p w:rsidR="00500EEB" w:rsidRPr="00EA358B" w:rsidRDefault="00500EEB" w:rsidP="00F106B7">
      <w:pPr>
        <w:jc w:val="both"/>
      </w:pPr>
    </w:p>
    <w:p w:rsidR="00F106B7" w:rsidRPr="00EA358B" w:rsidRDefault="00F106B7" w:rsidP="00F106B7">
      <w:pPr>
        <w:jc w:val="both"/>
      </w:pPr>
      <w:r w:rsidRPr="00EA358B">
        <w:t>Os valores dos custos diretos são distribuídos em: pessoal, material, depreciação, serviços, água, energia e telefone. Não são considerados os grupos de centro de custos referente</w:t>
      </w:r>
      <w:r w:rsidR="00017F1D" w:rsidRPr="00EA358B">
        <w:t>s</w:t>
      </w:r>
      <w:r w:rsidRPr="00EA358B">
        <w:t xml:space="preserve"> </w:t>
      </w:r>
      <w:r w:rsidR="00017F1D" w:rsidRPr="00EA358B">
        <w:t>a</w:t>
      </w:r>
      <w:r w:rsidRPr="00EA358B">
        <w:t>os complementos patrimoniais, custos não operacionais e obras em andamento.</w:t>
      </w:r>
    </w:p>
    <w:p w:rsidR="003F102B" w:rsidRPr="00EA358B" w:rsidRDefault="003F102B" w:rsidP="00F32D11">
      <w:pPr>
        <w:jc w:val="both"/>
      </w:pPr>
    </w:p>
    <w:p w:rsidR="00595A08" w:rsidRPr="00EA358B" w:rsidRDefault="009657C6" w:rsidP="00F32D11">
      <w:pPr>
        <w:jc w:val="both"/>
      </w:pPr>
      <w:r w:rsidRPr="00EA358B">
        <w:t>Na determinação do resultado do exercício foram computados os custos e as despesas pagos ou incorridos correspondente</w:t>
      </w:r>
      <w:r w:rsidR="006C603A" w:rsidRPr="00EA358B">
        <w:t>s</w:t>
      </w:r>
      <w:r w:rsidRPr="00EA358B">
        <w:t xml:space="preserve"> às receitas de serviços reconhecidas no exercício</w:t>
      </w:r>
      <w:r w:rsidR="00181455" w:rsidRPr="00EA358B">
        <w:t>.</w:t>
      </w:r>
      <w:r w:rsidRPr="00EA358B">
        <w:t xml:space="preserve"> </w:t>
      </w:r>
    </w:p>
    <w:p w:rsidR="00CD7E51" w:rsidRPr="001F3542" w:rsidRDefault="00CD7E51" w:rsidP="00F32D11">
      <w:pPr>
        <w:jc w:val="both"/>
        <w:rPr>
          <w:color w:val="FF0000"/>
        </w:rPr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Publicação da Concessão de Suprimento de Fundos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EA358B">
        <w:t>em meio eletrônico no seguinte endereço eletrônico</w:t>
      </w:r>
      <w:r w:rsidRPr="00EA358B">
        <w:t xml:space="preserve">: </w:t>
      </w:r>
      <w:hyperlink r:id="rId16" w:history="1">
        <w:r w:rsidRPr="00EA358B">
          <w:t>www.hcpa.edu.br</w:t>
        </w:r>
      </w:hyperlink>
      <w:r w:rsidRPr="00EA358B">
        <w:t xml:space="preserve"> e intranet.    </w:t>
      </w:r>
    </w:p>
    <w:p w:rsidR="009657C6" w:rsidRPr="00EA358B" w:rsidRDefault="009657C6" w:rsidP="009657C6">
      <w:pPr>
        <w:jc w:val="both"/>
      </w:pPr>
    </w:p>
    <w:p w:rsidR="00A41C0F" w:rsidRPr="00EA358B" w:rsidRDefault="00A41C0F" w:rsidP="009657C6">
      <w:pPr>
        <w:jc w:val="both"/>
      </w:pPr>
    </w:p>
    <w:p w:rsidR="009657C6" w:rsidRPr="00EA358B" w:rsidRDefault="00E65AC5" w:rsidP="00B670FD">
      <w:pPr>
        <w:pStyle w:val="Ttulo"/>
        <w:ind w:left="0"/>
        <w:outlineLvl w:val="0"/>
      </w:pPr>
      <w:bookmarkStart w:id="5" w:name="_Toc65061166"/>
      <w:r w:rsidRPr="00EA358B">
        <w:t>Estimativas e Julgamentos Contábeis Críticos</w:t>
      </w:r>
      <w:bookmarkEnd w:id="5"/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595A08" w:rsidRPr="00EA358B">
        <w:t>e</w:t>
      </w:r>
      <w:r w:rsidRPr="00EA358B">
        <w:t xml:space="preserve">stimativas e os </w:t>
      </w:r>
      <w:r w:rsidR="00595A08" w:rsidRPr="00EA358B">
        <w:t>j</w:t>
      </w:r>
      <w:r w:rsidRPr="00EA358B">
        <w:t xml:space="preserve">ulgamentos </w:t>
      </w:r>
      <w:r w:rsidR="00595A08" w:rsidRPr="00EA358B">
        <w:t>c</w:t>
      </w:r>
      <w:r w:rsidRPr="00EA358B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EA358B">
        <w:t>inistério da Educação (MEC)</w:t>
      </w:r>
      <w:r w:rsidRPr="00EA358B">
        <w:t xml:space="preserve"> e da </w:t>
      </w:r>
      <w:r w:rsidR="008B663F" w:rsidRPr="00EA358B">
        <w:t>Secretaria do Tesouro Nacional (</w:t>
      </w:r>
      <w:r w:rsidRPr="00EA358B">
        <w:t>STN</w:t>
      </w:r>
      <w:r w:rsidR="008B663F" w:rsidRPr="00EA358B">
        <w:t>)</w:t>
      </w:r>
      <w:r w:rsidR="00EC44BE" w:rsidRPr="00EA358B">
        <w:t>,</w:t>
      </w:r>
      <w:r w:rsidR="008B663F" w:rsidRPr="00EA358B">
        <w:t xml:space="preserve"> assim como d</w:t>
      </w:r>
      <w:r w:rsidR="00EC44BE" w:rsidRPr="00EA358B">
        <w:t>a</w:t>
      </w:r>
      <w:r w:rsidR="00497EE9" w:rsidRPr="00EA358B">
        <w:t xml:space="preserve"> </w:t>
      </w:r>
      <w:r w:rsidR="008B663F" w:rsidRPr="00EA358B">
        <w:t>Controladoria</w:t>
      </w:r>
      <w:r w:rsidR="00497EE9" w:rsidRPr="00EA358B">
        <w:t>-</w:t>
      </w:r>
      <w:r w:rsidR="008B663F" w:rsidRPr="00EA358B">
        <w:t>Geral da União (</w:t>
      </w:r>
      <w:r w:rsidRPr="00EA358B">
        <w:t>CGU</w:t>
      </w:r>
      <w:r w:rsidR="008B663F" w:rsidRPr="00EA358B">
        <w:t>)</w:t>
      </w:r>
      <w:r w:rsidRPr="00EA358B">
        <w:t xml:space="preserve"> e </w:t>
      </w:r>
      <w:r w:rsidR="008B663F" w:rsidRPr="00EA358B">
        <w:t>do Tribunal de Contas da União (</w:t>
      </w:r>
      <w:r w:rsidRPr="00EA358B">
        <w:t>TCU</w:t>
      </w:r>
      <w:r w:rsidR="008B663F" w:rsidRPr="00EA358B">
        <w:t>)</w:t>
      </w:r>
      <w:r w:rsidR="00BB0E67" w:rsidRPr="00EA358B">
        <w:t>,</w:t>
      </w:r>
      <w:r w:rsidRPr="00EA358B">
        <w:t xml:space="preserve"> e demais fatores considerados razoáveis para as circunstâncias. Com base em diversas premissas, a Instituição faz estimativas c</w:t>
      </w:r>
      <w:r w:rsidR="0025624A" w:rsidRPr="00EA358B">
        <w:t>om relação ao futuro resultantes</w:t>
      </w:r>
      <w:r w:rsidRPr="00EA358B">
        <w:t xml:space="preserve"> de um orçamento econômico, continuamente acompanhado pela Coordenadoria </w:t>
      </w:r>
      <w:r w:rsidR="00E87205" w:rsidRPr="00EA358B">
        <w:t xml:space="preserve">de Gestão </w:t>
      </w:r>
      <w:r w:rsidR="000D13A3" w:rsidRPr="00EA358B">
        <w:t>Financeira</w:t>
      </w:r>
      <w:r w:rsidR="00EC44BE" w:rsidRPr="00EA358B">
        <w:t xml:space="preserve"> </w:t>
      </w:r>
      <w:r w:rsidR="00527F6F" w:rsidRPr="00EA358B">
        <w:t xml:space="preserve">e pela </w:t>
      </w:r>
      <w:r w:rsidR="007B2064" w:rsidRPr="00EA358B">
        <w:t>Diretoria Executiva</w:t>
      </w:r>
      <w:r w:rsidR="00527F6F" w:rsidRPr="00EA358B">
        <w:t xml:space="preserve"> do HCPA</w:t>
      </w:r>
      <w:r w:rsidRPr="00EA358B">
        <w:t xml:space="preserve">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58514F" w:rsidRPr="00EA358B">
        <w:t>D</w:t>
      </w:r>
      <w:r w:rsidRPr="00EA358B">
        <w:t xml:space="preserve">emonstrações </w:t>
      </w:r>
      <w:r w:rsidR="0058514F" w:rsidRPr="00EA358B">
        <w:t>Contábeis</w:t>
      </w:r>
      <w:r w:rsidRPr="00EA358B">
        <w:t xml:space="preserve"> incluem, portanto, várias estimativas, </w:t>
      </w:r>
      <w:r w:rsidR="00AB7073" w:rsidRPr="00EA358B">
        <w:t>dentre elas</w:t>
      </w:r>
      <w:r w:rsidRPr="00EA358B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EA358B">
        <w:t>, entre outras</w:t>
      </w:r>
      <w:r w:rsidRPr="00EA358B">
        <w:t>.</w:t>
      </w:r>
    </w:p>
    <w:p w:rsidR="00FF3CFF" w:rsidRPr="00EA358B" w:rsidRDefault="00FF3CFF" w:rsidP="009657C6">
      <w:pPr>
        <w:jc w:val="both"/>
      </w:pPr>
    </w:p>
    <w:p w:rsidR="007D0550" w:rsidRPr="00EA358B" w:rsidRDefault="007D0550" w:rsidP="009657C6">
      <w:pPr>
        <w:jc w:val="both"/>
      </w:pPr>
    </w:p>
    <w:p w:rsidR="009657C6" w:rsidRPr="00EA358B" w:rsidRDefault="001A2A78" w:rsidP="00B670FD">
      <w:pPr>
        <w:pStyle w:val="Ttulo"/>
        <w:ind w:left="0"/>
        <w:outlineLvl w:val="0"/>
      </w:pPr>
      <w:bookmarkStart w:id="6" w:name="_Toc65061167"/>
      <w:r w:rsidRPr="00EA358B">
        <w:t>G</w:t>
      </w:r>
      <w:r w:rsidR="00E65AC5" w:rsidRPr="00EA358B">
        <w:t>estão de Risco Financeiro</w:t>
      </w:r>
      <w:bookmarkEnd w:id="6"/>
    </w:p>
    <w:p w:rsidR="0000204B" w:rsidRPr="00EA358B" w:rsidRDefault="0000204B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Liquidez</w:t>
      </w:r>
    </w:p>
    <w:p w:rsidR="009657C6" w:rsidRPr="00EA358B" w:rsidRDefault="009657C6" w:rsidP="009657C6">
      <w:pPr>
        <w:jc w:val="both"/>
      </w:pPr>
    </w:p>
    <w:p w:rsidR="006338C6" w:rsidRPr="00EA358B" w:rsidRDefault="009657C6" w:rsidP="009657C6">
      <w:pPr>
        <w:jc w:val="both"/>
      </w:pPr>
      <w:r w:rsidRPr="00EA358B">
        <w:t>O risco da Instituição não dispor de recursos suficientes para honrar seus compromissos financeiros é administrado através do monitoramento das previsões de um fluxo orçamentário</w:t>
      </w:r>
      <w:r w:rsidR="003617F5" w:rsidRPr="00EA358B">
        <w:t xml:space="preserve">/financeiro </w:t>
      </w:r>
      <w:r w:rsidRPr="00EA358B">
        <w:t xml:space="preserve">realizado pela Coordenadoria </w:t>
      </w:r>
      <w:r w:rsidR="00AD068B" w:rsidRPr="00EA358B">
        <w:t xml:space="preserve">de Gestão </w:t>
      </w:r>
      <w:r w:rsidRPr="00EA358B">
        <w:t>Financeira. A este departamento compete assegurar que haja caixa suficiente para atender as n</w:t>
      </w:r>
      <w:r w:rsidR="00AB7073" w:rsidRPr="00EA358B">
        <w:t xml:space="preserve">ecessidades operacionais, </w:t>
      </w:r>
      <w:r w:rsidRPr="00EA358B">
        <w:t xml:space="preserve">obedecendo às leis vigentes e assegurando que haja empenho prévio para </w:t>
      </w:r>
      <w:r w:rsidRPr="00EA358B">
        <w:lastRenderedPageBreak/>
        <w:t xml:space="preserve">os compromissos assumidos dentro dos recursos orçamentários previstos. A realização de despesas com recursos diretamente arrecadados </w:t>
      </w:r>
      <w:r w:rsidR="00AD068B" w:rsidRPr="00EA358B">
        <w:t>é</w:t>
      </w:r>
      <w:r w:rsidRPr="00EA358B">
        <w:t xml:space="preserve"> efetivada após o recebimento efetivo dos mesmos.</w:t>
      </w:r>
    </w:p>
    <w:p w:rsidR="00407FFA" w:rsidRPr="00EA358B" w:rsidRDefault="00407FFA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Crédito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A administração não espera nenhuma perda decorrente de inadimplência dessas contrapartes superior ao valor já provisionado.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Os recursos oriundos do Tesouro Nacional são deliberados pela Lei de Diretrizes Orçamentárias e fixados pela Lei Orçamentária Anual e suas regulamentações.</w:t>
      </w:r>
    </w:p>
    <w:p w:rsidR="009657C6" w:rsidRPr="00EA358B" w:rsidRDefault="009657C6" w:rsidP="009657C6">
      <w:pPr>
        <w:jc w:val="both"/>
      </w:pPr>
    </w:p>
    <w:p w:rsidR="00D128DA" w:rsidRPr="00EA358B" w:rsidRDefault="00D128DA" w:rsidP="00D128DA">
      <w:pPr>
        <w:jc w:val="both"/>
      </w:pPr>
      <w:r w:rsidRPr="00EA358B">
        <w:t>No exercício de 2020 os recursos orçamentários foram fixados pela Lei 13.978, de 17 de janeiro de 2020.</w:t>
      </w:r>
    </w:p>
    <w:p w:rsidR="007D0550" w:rsidRPr="00EA358B" w:rsidRDefault="007D0550" w:rsidP="003839BA">
      <w:pPr>
        <w:jc w:val="both"/>
        <w:rPr>
          <w:sz w:val="18"/>
          <w:szCs w:val="18"/>
        </w:rPr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Estimativa do Valor Justo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>Os saldos das Contas a Receber dos</w:t>
      </w:r>
      <w:r w:rsidR="00A909E4" w:rsidRPr="00EA358B">
        <w:t xml:space="preserve"> Clientes e Contas a Pagar aos F</w:t>
      </w:r>
      <w:r w:rsidRPr="00EA358B">
        <w:t>ornecedores estão próximos de seus valores justos.</w:t>
      </w:r>
    </w:p>
    <w:p w:rsidR="009657C6" w:rsidRPr="00EA358B" w:rsidRDefault="009657C6" w:rsidP="009657C6">
      <w:pPr>
        <w:jc w:val="both"/>
      </w:pPr>
    </w:p>
    <w:p w:rsidR="00B457E8" w:rsidRPr="00EA358B" w:rsidRDefault="009657C6" w:rsidP="009657C6">
      <w:pPr>
        <w:jc w:val="both"/>
      </w:pPr>
      <w:r w:rsidRPr="00EA358B">
        <w:t xml:space="preserve">A Instituição aprovou no </w:t>
      </w:r>
      <w:r w:rsidR="005B0555" w:rsidRPr="00EA358B">
        <w:t>Conselho de Administração</w:t>
      </w:r>
      <w:r w:rsidR="006C603A" w:rsidRPr="00EA358B">
        <w:t>,</w:t>
      </w:r>
      <w:r w:rsidR="00214EAD" w:rsidRPr="00EA358B">
        <w:t xml:space="preserve"> </w:t>
      </w:r>
      <w:r w:rsidR="00ED2518" w:rsidRPr="00EA358B">
        <w:rPr>
          <w:shd w:val="clear" w:color="auto" w:fill="FFFFFF" w:themeFill="background1"/>
        </w:rPr>
        <w:t xml:space="preserve">na reunião n° </w:t>
      </w:r>
      <w:r w:rsidR="00985314">
        <w:rPr>
          <w:shd w:val="clear" w:color="auto" w:fill="FFFFFF" w:themeFill="background1"/>
        </w:rPr>
        <w:t>456</w:t>
      </w:r>
      <w:r w:rsidR="00ED2518" w:rsidRPr="00EA358B">
        <w:rPr>
          <w:shd w:val="clear" w:color="auto" w:fill="FFFFFF" w:themeFill="background1"/>
        </w:rPr>
        <w:t xml:space="preserve">, realizada em </w:t>
      </w:r>
      <w:r w:rsidR="00AA61AA" w:rsidRPr="00EA358B">
        <w:rPr>
          <w:shd w:val="clear" w:color="auto" w:fill="FFFFFF" w:themeFill="background1"/>
        </w:rPr>
        <w:t>1</w:t>
      </w:r>
      <w:r w:rsidR="00985314">
        <w:rPr>
          <w:shd w:val="clear" w:color="auto" w:fill="FFFFFF" w:themeFill="background1"/>
        </w:rPr>
        <w:t>4</w:t>
      </w:r>
      <w:r w:rsidRPr="00EA358B">
        <w:rPr>
          <w:shd w:val="clear" w:color="auto" w:fill="FFFFFF" w:themeFill="background1"/>
        </w:rPr>
        <w:t xml:space="preserve"> de </w:t>
      </w:r>
      <w:r w:rsidR="00AA61AA" w:rsidRPr="00EA358B">
        <w:rPr>
          <w:shd w:val="clear" w:color="auto" w:fill="FFFFFF" w:themeFill="background1"/>
        </w:rPr>
        <w:t>dezembro</w:t>
      </w:r>
      <w:r w:rsidRPr="00EA358B">
        <w:rPr>
          <w:shd w:val="clear" w:color="auto" w:fill="FFFFFF" w:themeFill="background1"/>
        </w:rPr>
        <w:t xml:space="preserve"> de </w:t>
      </w:r>
      <w:r w:rsidR="004E413F" w:rsidRPr="00EA358B">
        <w:rPr>
          <w:shd w:val="clear" w:color="auto" w:fill="FFFFFF" w:themeFill="background1"/>
        </w:rPr>
        <w:t>20</w:t>
      </w:r>
      <w:r w:rsidR="00985314">
        <w:rPr>
          <w:shd w:val="clear" w:color="auto" w:fill="FFFFFF" w:themeFill="background1"/>
        </w:rPr>
        <w:t>20</w:t>
      </w:r>
      <w:r w:rsidRPr="00EA358B">
        <w:t>, a</w:t>
      </w:r>
      <w:r w:rsidR="00E95153" w:rsidRPr="00EA358B">
        <w:t>s</w:t>
      </w:r>
      <w:r w:rsidRPr="00EA358B">
        <w:t xml:space="preserve"> </w:t>
      </w:r>
      <w:r w:rsidR="003B5EE2" w:rsidRPr="00EA358B">
        <w:t>Perdas</w:t>
      </w:r>
      <w:r w:rsidRPr="00EA358B">
        <w:t xml:space="preserve"> </w:t>
      </w:r>
      <w:r w:rsidR="003B5EE2" w:rsidRPr="00EA358B">
        <w:t xml:space="preserve">Estimadas </w:t>
      </w:r>
      <w:r w:rsidRPr="00EA358B">
        <w:t xml:space="preserve">para </w:t>
      </w:r>
      <w:r w:rsidR="003B5EE2" w:rsidRPr="00EA358B">
        <w:t>Créditos de Liquidação</w:t>
      </w:r>
      <w:r w:rsidRPr="00EA358B">
        <w:t xml:space="preserve"> </w:t>
      </w:r>
      <w:proofErr w:type="gramStart"/>
      <w:r w:rsidRPr="00EA358B">
        <w:t>Duvidos</w:t>
      </w:r>
      <w:r w:rsidR="003B5EE2" w:rsidRPr="00EA358B">
        <w:t>a</w:t>
      </w:r>
      <w:r w:rsidR="00EB37E3" w:rsidRPr="00EA358B">
        <w:t xml:space="preserve"> (</w:t>
      </w:r>
      <w:r w:rsidR="00E95153" w:rsidRPr="00EA358B">
        <w:t>PECLD</w:t>
      </w:r>
      <w:r w:rsidR="00EB37E3" w:rsidRPr="00EA358B">
        <w:t>)</w:t>
      </w:r>
      <w:r w:rsidR="003B5EE2" w:rsidRPr="00EA358B">
        <w:t xml:space="preserve"> </w:t>
      </w:r>
      <w:r w:rsidRPr="00EA358B">
        <w:t>relativos</w:t>
      </w:r>
      <w:proofErr w:type="gramEnd"/>
      <w:r w:rsidRPr="00EA358B">
        <w:t xml:space="preserve"> a perdas prováveis </w:t>
      </w:r>
      <w:r w:rsidRPr="00EA358B">
        <w:rPr>
          <w:i/>
        </w:rPr>
        <w:t>(</w:t>
      </w:r>
      <w:proofErr w:type="spellStart"/>
      <w:r w:rsidRPr="00EA358B">
        <w:rPr>
          <w:i/>
        </w:rPr>
        <w:t>impairment</w:t>
      </w:r>
      <w:proofErr w:type="spellEnd"/>
      <w:r w:rsidRPr="00EA358B">
        <w:t>) de Contas a Receber de Clientes, utilizando como critério as contas não recebidas e vencidas há pelo menos seis (6) meses, acrescido de uma análise técnica qualitativa de cada devedor</w:t>
      </w:r>
      <w:r w:rsidR="00B457E8" w:rsidRPr="00EA358B">
        <w:t xml:space="preserve">. </w:t>
      </w:r>
    </w:p>
    <w:p w:rsidR="00ED2518" w:rsidRPr="00EA358B" w:rsidRDefault="00ED2518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Os Estoques garantem </w:t>
      </w:r>
      <w:r w:rsidR="002A6B4D" w:rsidRPr="00EA358B">
        <w:t>5</w:t>
      </w:r>
      <w:r w:rsidR="00985314">
        <w:t>4</w:t>
      </w:r>
      <w:r w:rsidRPr="00EA358B">
        <w:t xml:space="preserve"> dias de utilização, com os preços médios devidamente de acordo com o mercado. O volume dos estoques decorre muitas vezes da política governamental orçamentária de cada exercício. </w:t>
      </w:r>
    </w:p>
    <w:p w:rsidR="00011BF8" w:rsidRPr="00EA358B" w:rsidRDefault="00011BF8" w:rsidP="009657C6">
      <w:pPr>
        <w:jc w:val="both"/>
      </w:pPr>
    </w:p>
    <w:p w:rsidR="00A41C0F" w:rsidRPr="00EA358B" w:rsidRDefault="00A41C0F" w:rsidP="009657C6">
      <w:pPr>
        <w:jc w:val="both"/>
      </w:pPr>
    </w:p>
    <w:p w:rsidR="00196D9E" w:rsidRPr="00EA358B" w:rsidRDefault="00196D9E" w:rsidP="00B670FD">
      <w:pPr>
        <w:pStyle w:val="Ttulo"/>
        <w:ind w:left="0"/>
        <w:outlineLvl w:val="0"/>
      </w:pPr>
      <w:bookmarkStart w:id="7" w:name="_Ref457927830"/>
      <w:bookmarkStart w:id="8" w:name="_Toc65061168"/>
      <w:r w:rsidRPr="00EA358B">
        <w:t>Caixa e Equivalentes de Caixa</w:t>
      </w:r>
      <w:bookmarkEnd w:id="7"/>
      <w:bookmarkEnd w:id="8"/>
    </w:p>
    <w:p w:rsidR="003B0399" w:rsidRPr="00EA358B" w:rsidRDefault="003B0399" w:rsidP="00BF4164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E13A1C" w:rsidRPr="00E13A1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r w:rsidRPr="00E13A1C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FE6289" w:rsidP="002448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B23A2A">
            <w:pPr>
              <w:rPr>
                <w:b/>
                <w:bCs/>
              </w:rPr>
            </w:pPr>
            <w:r w:rsidRPr="00E13A1C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jc w:val="right"/>
              <w:rPr>
                <w:b/>
                <w:bCs/>
              </w:rPr>
            </w:pPr>
            <w:r w:rsidRPr="00E13A1C">
              <w:rPr>
                <w:b/>
                <w:bCs/>
              </w:rPr>
              <w:t>31/12/2019</w:t>
            </w:r>
          </w:p>
        </w:tc>
      </w:tr>
      <w:tr w:rsidR="00985314" w:rsidRPr="00E13A1C" w:rsidTr="00180A4F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B23A2A">
            <w:r w:rsidRPr="00E13A1C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5314" w:rsidRPr="00E500ED" w:rsidRDefault="00985314" w:rsidP="00985314">
            <w:pPr>
              <w:jc w:val="right"/>
            </w:pPr>
            <w:proofErr w:type="gramStart"/>
            <w:r w:rsidRPr="00E500ED">
              <w:t>9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314" w:rsidRPr="00E13A1C" w:rsidRDefault="00985314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B23A2A">
            <w:pPr>
              <w:jc w:val="right"/>
            </w:pPr>
            <w:r w:rsidRPr="00E13A1C">
              <w:t>14</w:t>
            </w:r>
          </w:p>
        </w:tc>
      </w:tr>
      <w:tr w:rsidR="00985314" w:rsidRPr="00E13A1C" w:rsidTr="00180A4F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E13A1C">
            <w:r w:rsidRPr="00E13A1C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5314" w:rsidRPr="00E500ED" w:rsidRDefault="00985314" w:rsidP="00985314">
            <w:pPr>
              <w:jc w:val="right"/>
            </w:pPr>
            <w:r w:rsidRPr="00E500ED">
              <w:t>898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314" w:rsidRPr="00E13A1C" w:rsidRDefault="00985314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B23A2A">
            <w:pPr>
              <w:jc w:val="right"/>
            </w:pPr>
            <w:r w:rsidRPr="00E13A1C">
              <w:t>1.654</w:t>
            </w:r>
          </w:p>
        </w:tc>
      </w:tr>
      <w:tr w:rsidR="00985314" w:rsidRPr="00E13A1C" w:rsidTr="00180A4F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B23A2A">
            <w:r w:rsidRPr="00E13A1C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5314" w:rsidRPr="00E500ED" w:rsidRDefault="00985314" w:rsidP="00985314">
            <w:pPr>
              <w:jc w:val="right"/>
            </w:pPr>
            <w:r w:rsidRPr="00E500ED">
              <w:t>13.000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314" w:rsidRPr="00E13A1C" w:rsidRDefault="00985314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B23A2A">
            <w:pPr>
              <w:jc w:val="right"/>
            </w:pPr>
            <w:r w:rsidRPr="00E13A1C">
              <w:t>12.826</w:t>
            </w:r>
          </w:p>
        </w:tc>
      </w:tr>
      <w:tr w:rsidR="00985314" w:rsidRPr="00E13A1C" w:rsidTr="00180A4F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B23A2A">
            <w:r w:rsidRPr="00E13A1C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85314" w:rsidRPr="00E500ED" w:rsidRDefault="00985314" w:rsidP="00985314">
            <w:pPr>
              <w:jc w:val="right"/>
            </w:pPr>
            <w:r w:rsidRPr="00E500ED">
              <w:t>109.073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314" w:rsidRPr="00E13A1C" w:rsidRDefault="00985314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E13A1C" w:rsidRDefault="00985314" w:rsidP="00B23A2A">
            <w:pPr>
              <w:jc w:val="right"/>
            </w:pPr>
            <w:r w:rsidRPr="00E13A1C">
              <w:t>94.088</w:t>
            </w:r>
          </w:p>
        </w:tc>
      </w:tr>
      <w:tr w:rsidR="00985314" w:rsidRPr="00985314" w:rsidTr="00180A4F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985314" w:rsidRDefault="00985314" w:rsidP="00B23A2A">
            <w:pPr>
              <w:rPr>
                <w:b/>
                <w:bCs/>
              </w:rPr>
            </w:pPr>
            <w:r w:rsidRPr="00985314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985314" w:rsidRPr="00985314" w:rsidRDefault="00985314" w:rsidP="00985314">
            <w:pPr>
              <w:jc w:val="right"/>
              <w:rPr>
                <w:b/>
              </w:rPr>
            </w:pPr>
            <w:r w:rsidRPr="00985314">
              <w:rPr>
                <w:b/>
              </w:rPr>
              <w:t>122.980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5314" w:rsidRPr="00985314" w:rsidRDefault="00985314" w:rsidP="00B23A2A">
            <w:pPr>
              <w:rPr>
                <w:b/>
                <w:bCs/>
              </w:rPr>
            </w:pPr>
            <w:r w:rsidRPr="00985314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85314" w:rsidRPr="00985314" w:rsidRDefault="00985314" w:rsidP="00B23A2A">
            <w:pPr>
              <w:jc w:val="right"/>
              <w:rPr>
                <w:b/>
                <w:bCs/>
              </w:rPr>
            </w:pPr>
            <w:r w:rsidRPr="00985314">
              <w:rPr>
                <w:b/>
                <w:bCs/>
              </w:rPr>
              <w:t>108.582</w:t>
            </w:r>
          </w:p>
        </w:tc>
      </w:tr>
    </w:tbl>
    <w:p w:rsidR="001E40FA" w:rsidRPr="00E13A1C" w:rsidRDefault="001E40FA" w:rsidP="00BF4164">
      <w:pPr>
        <w:tabs>
          <w:tab w:val="center" w:pos="4348"/>
        </w:tabs>
        <w:jc w:val="both"/>
        <w:rPr>
          <w:b/>
        </w:rPr>
      </w:pPr>
    </w:p>
    <w:p w:rsidR="002A2DA7" w:rsidRPr="00EA358B" w:rsidRDefault="00744C61" w:rsidP="002A2DA7">
      <w:pPr>
        <w:jc w:val="both"/>
      </w:pPr>
      <w:r w:rsidRPr="00EA358B">
        <w:t>A conta limite de saque é composta pelo saldo dos recursos públicos vinculados a convênios ou recursos especiais que não podem ser aplicados em Fundos de Curto Prazo. Estes recurs</w:t>
      </w:r>
      <w:r w:rsidR="00EC3FA0" w:rsidRPr="00EA358B">
        <w:t>os estão disponíveis para pagar</w:t>
      </w:r>
      <w:r w:rsidRPr="00EA358B">
        <w:t xml:space="preserve"> despesas de capital ou </w:t>
      </w:r>
      <w:r w:rsidR="00443B0B" w:rsidRPr="00EA358B">
        <w:t xml:space="preserve">de </w:t>
      </w:r>
      <w:r w:rsidRPr="00EA358B">
        <w:t>custeio.</w:t>
      </w:r>
    </w:p>
    <w:p w:rsidR="002A2DA7" w:rsidRPr="00EA358B" w:rsidRDefault="002A2DA7" w:rsidP="00744C61">
      <w:pPr>
        <w:jc w:val="both"/>
      </w:pPr>
    </w:p>
    <w:p w:rsidR="008F01DF" w:rsidRPr="00EA358B" w:rsidRDefault="008F01DF" w:rsidP="00744C61">
      <w:pPr>
        <w:jc w:val="both"/>
      </w:pPr>
    </w:p>
    <w:p w:rsidR="00B20F98" w:rsidRPr="008447DE" w:rsidRDefault="005963AE" w:rsidP="00B670FD">
      <w:pPr>
        <w:pStyle w:val="Ttulo"/>
        <w:ind w:left="0"/>
        <w:outlineLvl w:val="0"/>
      </w:pPr>
      <w:bookmarkStart w:id="9" w:name="_Ref457927885"/>
      <w:bookmarkStart w:id="10" w:name="_Toc65061169"/>
      <w:r w:rsidRPr="008447DE">
        <w:t>Créditos de Fornecimento de Serviços</w:t>
      </w:r>
      <w:bookmarkEnd w:id="9"/>
      <w:bookmarkEnd w:id="10"/>
      <w:r w:rsidRPr="008447DE">
        <w:t xml:space="preserve"> </w:t>
      </w:r>
    </w:p>
    <w:p w:rsidR="00B20F98" w:rsidRPr="008447DE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1F3542" w:rsidRPr="008447DE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8447DE" w:rsidRDefault="00E63EC1" w:rsidP="00E63EC1">
            <w:r w:rsidRPr="008447DE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8447DE" w:rsidRDefault="00FE6289" w:rsidP="0024480D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8447DE" w:rsidRDefault="00E63EC1" w:rsidP="00E63EC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8447DE" w:rsidRDefault="00E63EC1" w:rsidP="001D25EC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31/12/201</w:t>
            </w:r>
            <w:r w:rsidR="001D25EC" w:rsidRPr="008447DE">
              <w:rPr>
                <w:b/>
                <w:bCs/>
              </w:rPr>
              <w:t>9</w:t>
            </w:r>
          </w:p>
        </w:tc>
      </w:tr>
      <w:tr w:rsidR="002C3C46" w:rsidRPr="008447DE" w:rsidTr="00180A4F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r w:rsidRPr="008447DE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C3C46" w:rsidRPr="008447DE" w:rsidRDefault="002C3C46">
            <w:pPr>
              <w:jc w:val="right"/>
            </w:pPr>
            <w:r w:rsidRPr="008447DE">
              <w:t>21.756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C46" w:rsidRPr="008447DE" w:rsidRDefault="002C3C46" w:rsidP="008A1483">
            <w:pPr>
              <w:jc w:val="right"/>
            </w:pPr>
            <w:r w:rsidRPr="008447DE">
              <w:t xml:space="preserve"> 33.518 </w:t>
            </w:r>
          </w:p>
        </w:tc>
      </w:tr>
      <w:tr w:rsidR="002C3C46" w:rsidRPr="008447DE" w:rsidTr="00180A4F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r w:rsidRPr="008447DE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C3C46" w:rsidRPr="008447DE" w:rsidRDefault="002C3C46" w:rsidP="00533368">
            <w:pPr>
              <w:jc w:val="right"/>
            </w:pPr>
            <w:r w:rsidRPr="008447DE">
              <w:t>11.36</w:t>
            </w:r>
            <w:r w:rsidR="00533368"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C46" w:rsidRPr="008447DE" w:rsidRDefault="002C3C46" w:rsidP="008A1483">
            <w:pPr>
              <w:jc w:val="right"/>
            </w:pPr>
            <w:r w:rsidRPr="008447DE">
              <w:t xml:space="preserve"> 15.117 </w:t>
            </w:r>
          </w:p>
        </w:tc>
      </w:tr>
      <w:tr w:rsidR="002C3C46" w:rsidRPr="008447DE" w:rsidTr="00180A4F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r w:rsidRPr="008447DE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C3C46" w:rsidRPr="008447DE" w:rsidRDefault="002C3C46">
            <w:pPr>
              <w:jc w:val="right"/>
            </w:pPr>
            <w:r w:rsidRPr="008447DE">
              <w:t>2.623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C46" w:rsidRPr="008447DE" w:rsidRDefault="002C3C46" w:rsidP="008A1483">
            <w:pPr>
              <w:jc w:val="right"/>
            </w:pPr>
            <w:r w:rsidRPr="008447DE">
              <w:t xml:space="preserve"> 2.292 </w:t>
            </w:r>
          </w:p>
        </w:tc>
      </w:tr>
      <w:tr w:rsidR="002C3C46" w:rsidRPr="008447DE" w:rsidTr="00180A4F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r w:rsidRPr="008447DE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C3C46" w:rsidRPr="008447DE" w:rsidRDefault="002C3C46">
            <w:pPr>
              <w:jc w:val="right"/>
            </w:pPr>
            <w:r w:rsidRPr="008447DE">
              <w:t>1.491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3C46" w:rsidRPr="008447DE" w:rsidRDefault="002C3C46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C3C46" w:rsidRPr="008447DE" w:rsidRDefault="002C3C46" w:rsidP="008A1483">
            <w:pPr>
              <w:jc w:val="right"/>
            </w:pPr>
            <w:r w:rsidRPr="008447DE">
              <w:t>2.250</w:t>
            </w:r>
          </w:p>
        </w:tc>
      </w:tr>
      <w:tr w:rsidR="00547F21" w:rsidRPr="008447DE" w:rsidTr="006E6789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8447DE" w:rsidRDefault="00547F21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47F21" w:rsidRPr="008447DE" w:rsidRDefault="002C3C46">
            <w:pPr>
              <w:jc w:val="right"/>
              <w:rPr>
                <w:b/>
              </w:rPr>
            </w:pPr>
            <w:r w:rsidRPr="008447DE">
              <w:rPr>
                <w:b/>
              </w:rPr>
              <w:t>37.235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8447DE" w:rsidRDefault="00547F21" w:rsidP="00E63EC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7F21" w:rsidRPr="008447DE" w:rsidRDefault="00547F21" w:rsidP="008A1483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53.177</w:t>
            </w:r>
          </w:p>
        </w:tc>
      </w:tr>
      <w:tr w:rsidR="00547F21" w:rsidRPr="008447DE" w:rsidTr="006E6789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8447DE" w:rsidRDefault="00547F21" w:rsidP="00547F21">
            <w:pPr>
              <w:jc w:val="both"/>
            </w:pPr>
            <w:r w:rsidRPr="008447DE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47F21" w:rsidRPr="008447DE" w:rsidRDefault="002C3C46">
            <w:pPr>
              <w:jc w:val="right"/>
            </w:pPr>
            <w:r w:rsidRPr="008447DE">
              <w:t>(6.328</w:t>
            </w:r>
            <w:r w:rsidR="00547F21" w:rsidRPr="008447DE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8447DE" w:rsidRDefault="00547F21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7F21" w:rsidRPr="008447DE" w:rsidRDefault="00547F21" w:rsidP="008A1483">
            <w:pPr>
              <w:jc w:val="right"/>
            </w:pPr>
            <w:r w:rsidRPr="008447DE">
              <w:t>(9.621)</w:t>
            </w:r>
          </w:p>
        </w:tc>
      </w:tr>
      <w:tr w:rsidR="00547F21" w:rsidRPr="00547F21" w:rsidTr="006E6789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8447DE" w:rsidRDefault="00547F21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547F21" w:rsidRPr="008447DE" w:rsidRDefault="002C3C46" w:rsidP="002C3C46">
            <w:pPr>
              <w:jc w:val="right"/>
              <w:rPr>
                <w:b/>
              </w:rPr>
            </w:pPr>
            <w:r w:rsidRPr="008447DE">
              <w:rPr>
                <w:b/>
              </w:rPr>
              <w:t>30.907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8447DE" w:rsidRDefault="00547F21" w:rsidP="00E63EC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F21" w:rsidRPr="00547F21" w:rsidRDefault="00547F21" w:rsidP="008A1483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43.556</w:t>
            </w:r>
          </w:p>
        </w:tc>
      </w:tr>
    </w:tbl>
    <w:p w:rsidR="005641A2" w:rsidRPr="00EA358B" w:rsidRDefault="00ED5B2D" w:rsidP="008B0DEB">
      <w:pPr>
        <w:jc w:val="both"/>
      </w:pPr>
      <w:r w:rsidRPr="00EA358B">
        <w:lastRenderedPageBreak/>
        <w:t>Estes créditos</w:t>
      </w:r>
      <w:r w:rsidR="00B20F98" w:rsidRPr="00EA358B">
        <w:t xml:space="preserve"> correspondem aos valores a receber de clientes pela prestação de serviços no curso normal das atividades da Instituição.</w:t>
      </w:r>
      <w:r w:rsidRPr="00EA358B">
        <w:t xml:space="preserve"> </w:t>
      </w:r>
      <w:r w:rsidR="008B0DEB" w:rsidRPr="00EA358B">
        <w:t>As contas a receber de clientes são, inicialmente, reconhecidas pelo valor justo e, subsequentemente, mensuradas pelo custo menos a</w:t>
      </w:r>
      <w:r w:rsidR="00E56B52" w:rsidRPr="00EA358B">
        <w:t>s</w:t>
      </w:r>
      <w:r w:rsidR="008B0DEB" w:rsidRPr="00EA358B">
        <w:t xml:space="preserve"> </w:t>
      </w:r>
      <w:r w:rsidR="00B73948" w:rsidRPr="00EA358B">
        <w:t xml:space="preserve">Perdas Estimadas para </w:t>
      </w:r>
      <w:r w:rsidR="008B0DEB" w:rsidRPr="00EA358B">
        <w:t>Créditos de Liquidação Duvidosa (“P</w:t>
      </w:r>
      <w:r w:rsidR="00B73948" w:rsidRPr="00EA358B">
        <w:t>E</w:t>
      </w:r>
      <w:r w:rsidR="008B0DEB" w:rsidRPr="00EA358B">
        <w:t>CLD” ou “</w:t>
      </w:r>
      <w:proofErr w:type="spellStart"/>
      <w:r w:rsidR="008B0DEB" w:rsidRPr="00EA358B">
        <w:rPr>
          <w:i/>
        </w:rPr>
        <w:t>Impairment</w:t>
      </w:r>
      <w:proofErr w:type="spellEnd"/>
      <w:r w:rsidR="008B0DEB" w:rsidRPr="00EA358B">
        <w:t>”).</w:t>
      </w:r>
    </w:p>
    <w:p w:rsidR="00095C30" w:rsidRPr="00EA358B" w:rsidRDefault="00095C30" w:rsidP="008B0DEB">
      <w:pPr>
        <w:jc w:val="both"/>
      </w:pPr>
    </w:p>
    <w:p w:rsidR="00407FFA" w:rsidRPr="00EA358B" w:rsidRDefault="00407FFA">
      <w:bookmarkStart w:id="11" w:name="_Ref457927920"/>
    </w:p>
    <w:p w:rsidR="00B8764F" w:rsidRPr="008447DE" w:rsidRDefault="00B8764F" w:rsidP="00B8764F">
      <w:pPr>
        <w:pStyle w:val="Ttulo"/>
        <w:ind w:left="0"/>
        <w:outlineLvl w:val="0"/>
      </w:pPr>
      <w:bookmarkStart w:id="12" w:name="_Toc65061170"/>
      <w:bookmarkEnd w:id="11"/>
      <w:r w:rsidRPr="008447DE">
        <w:t>Adiantamentos de Pessoal</w:t>
      </w:r>
      <w:bookmarkEnd w:id="12"/>
      <w:r w:rsidRPr="008447DE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2186"/>
        <w:gridCol w:w="216"/>
        <w:gridCol w:w="2524"/>
      </w:tblGrid>
      <w:tr w:rsidR="00B8764F" w:rsidRPr="008447DE" w:rsidTr="00180A4F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64F" w:rsidRPr="008447DE" w:rsidRDefault="00B8764F" w:rsidP="00180A4F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>
            <w:pPr>
              <w:rPr>
                <w:b/>
                <w:bCs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31/12/2019</w:t>
            </w:r>
          </w:p>
        </w:tc>
      </w:tr>
      <w:tr w:rsidR="00B8764F" w:rsidRPr="008447DE" w:rsidTr="00180A4F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64F" w:rsidRPr="008447DE" w:rsidRDefault="00B8764F" w:rsidP="00180A4F">
            <w:r w:rsidRPr="008447DE"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64F" w:rsidRPr="008447DE" w:rsidRDefault="00B8764F" w:rsidP="00180A4F">
            <w:pPr>
              <w:jc w:val="right"/>
            </w:pPr>
            <w:r w:rsidRPr="008447DE">
              <w:t>7.655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/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>
            <w:pPr>
              <w:jc w:val="right"/>
            </w:pPr>
            <w:r w:rsidRPr="008447DE">
              <w:t>7.295</w:t>
            </w:r>
          </w:p>
        </w:tc>
      </w:tr>
      <w:tr w:rsidR="00B8764F" w:rsidRPr="008447DE" w:rsidTr="00180A4F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64F" w:rsidRPr="008447DE" w:rsidRDefault="00B8764F" w:rsidP="00180A4F">
            <w:r w:rsidRPr="008447DE"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764F" w:rsidRPr="008447DE" w:rsidRDefault="00B8764F" w:rsidP="00180A4F">
            <w:pPr>
              <w:jc w:val="right"/>
            </w:pPr>
            <w:r w:rsidRPr="008447DE">
              <w:t>7.673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/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>
            <w:pPr>
              <w:jc w:val="right"/>
            </w:pPr>
            <w:r w:rsidRPr="008447DE">
              <w:t>7.444</w:t>
            </w:r>
          </w:p>
        </w:tc>
      </w:tr>
      <w:tr w:rsidR="00B8764F" w:rsidRPr="008447DE" w:rsidTr="00180A4F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64F" w:rsidRPr="008447DE" w:rsidRDefault="00B8764F" w:rsidP="00180A4F">
            <w:r w:rsidRPr="008447DE"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8764F" w:rsidRPr="008447DE" w:rsidRDefault="00B8764F" w:rsidP="00180A4F">
            <w:pPr>
              <w:jc w:val="right"/>
            </w:pPr>
            <w:r w:rsidRPr="008447DE">
              <w:t>16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/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>
            <w:pPr>
              <w:jc w:val="right"/>
            </w:pPr>
            <w:r w:rsidRPr="008447DE">
              <w:t>10</w:t>
            </w:r>
          </w:p>
        </w:tc>
      </w:tr>
      <w:tr w:rsidR="00B8764F" w:rsidRPr="005E1387" w:rsidTr="00180A4F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64F" w:rsidRPr="008447DE" w:rsidRDefault="00B8764F" w:rsidP="00180A4F">
            <w:r w:rsidRPr="008447DE">
              <w:rPr>
                <w:b/>
                <w:bCs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8764F" w:rsidRPr="008447DE" w:rsidRDefault="00B8764F" w:rsidP="00180A4F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15.344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64F" w:rsidRPr="008447DE" w:rsidRDefault="00B8764F" w:rsidP="00180A4F">
            <w:pPr>
              <w:rPr>
                <w:b/>
                <w:bCs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8764F" w:rsidRPr="005E1387" w:rsidRDefault="00B8764F" w:rsidP="00180A4F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14.749</w:t>
            </w:r>
          </w:p>
        </w:tc>
      </w:tr>
    </w:tbl>
    <w:p w:rsidR="00B8764F" w:rsidRPr="005E1387" w:rsidRDefault="00B8764F" w:rsidP="00B8764F">
      <w:pPr>
        <w:tabs>
          <w:tab w:val="left" w:pos="993"/>
        </w:tabs>
        <w:jc w:val="both"/>
      </w:pPr>
    </w:p>
    <w:p w:rsidR="00B8764F" w:rsidRPr="00FD6DFF" w:rsidRDefault="00B8764F" w:rsidP="00B8764F">
      <w:pPr>
        <w:tabs>
          <w:tab w:val="left" w:pos="993"/>
        </w:tabs>
        <w:jc w:val="both"/>
      </w:pPr>
      <w:r w:rsidRPr="00FD6DFF">
        <w:t xml:space="preserve">Por ocasião do pagamento </w:t>
      </w:r>
      <w:r w:rsidRPr="008B2D62">
        <w:t>das férias de pessoal, é norma da Instituição adiantar 50% do décimo terceiro salário do exercício de competência. O saldo do adiantamento de décimo terceiro salário refere-se ao exercício de 2021, enquanto que o saldo de férias refere-se ao pagamento em dezembro relativo à competência janeiro de 2021.</w:t>
      </w:r>
    </w:p>
    <w:p w:rsidR="00B8764F" w:rsidRPr="00383B5A" w:rsidRDefault="00B8764F" w:rsidP="00B8764F">
      <w:pPr>
        <w:tabs>
          <w:tab w:val="left" w:pos="993"/>
        </w:tabs>
        <w:jc w:val="both"/>
      </w:pPr>
    </w:p>
    <w:p w:rsidR="000C7B92" w:rsidRPr="00383B5A" w:rsidRDefault="000C7B92" w:rsidP="00B20F98">
      <w:pPr>
        <w:tabs>
          <w:tab w:val="left" w:pos="993"/>
        </w:tabs>
        <w:jc w:val="both"/>
        <w:rPr>
          <w:b/>
        </w:rPr>
      </w:pPr>
    </w:p>
    <w:p w:rsidR="00E96EF1" w:rsidRPr="008447DE" w:rsidRDefault="00E96EF1" w:rsidP="00B670FD">
      <w:pPr>
        <w:pStyle w:val="Ttulo"/>
        <w:ind w:left="0"/>
        <w:outlineLvl w:val="0"/>
      </w:pPr>
      <w:bookmarkStart w:id="13" w:name="_Ref457927938"/>
      <w:bookmarkStart w:id="14" w:name="_Toc65061171"/>
      <w:r w:rsidRPr="008447DE">
        <w:t xml:space="preserve">Estoques </w:t>
      </w:r>
      <w:r w:rsidR="002010E3" w:rsidRPr="008447DE">
        <w:t>de Materiais</w:t>
      </w:r>
      <w:r w:rsidRPr="008447DE">
        <w:t xml:space="preserve"> de Consumo</w:t>
      </w:r>
      <w:bookmarkEnd w:id="13"/>
      <w:bookmarkEnd w:id="1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383B5A" w:rsidRPr="008447DE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8447DE" w:rsidRDefault="0032046D" w:rsidP="0032046D">
            <w:r w:rsidRPr="008447DE"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8447DE" w:rsidRDefault="00FE6289" w:rsidP="0024480D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8447DE" w:rsidRDefault="0032046D" w:rsidP="0032046D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8447DE" w:rsidRDefault="0032046D" w:rsidP="00860B3E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31/12/201</w:t>
            </w:r>
            <w:r w:rsidR="00860B3E" w:rsidRPr="008447DE">
              <w:rPr>
                <w:b/>
                <w:bCs/>
              </w:rPr>
              <w:t>9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r w:rsidRPr="008447DE">
              <w:t>Medicamentos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11.0</w:t>
            </w:r>
            <w:r w:rsidR="009643F8" w:rsidRPr="008447DE">
              <w:t>49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4.646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r w:rsidRPr="008447DE">
              <w:t xml:space="preserve">Material Médico, Hospitalar e </w:t>
            </w:r>
            <w:proofErr w:type="gramStart"/>
            <w:r w:rsidRPr="008447DE">
              <w:t>Laboratorial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12.386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6.778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r w:rsidRPr="008447DE">
              <w:t>Material de Órtese e Prótese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2.612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2.444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r w:rsidRPr="008447DE">
              <w:t>Materiais e Utensílios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477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520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r w:rsidRPr="008447DE">
              <w:t>Rouparia (uniformes)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1.166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1.189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r w:rsidRPr="008447DE">
              <w:t xml:space="preserve">Higiene, Limpeza, Segurança, </w:t>
            </w:r>
            <w:proofErr w:type="gramStart"/>
            <w:r w:rsidRPr="008447DE">
              <w:t>Proteção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503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281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83B5A">
            <w:r w:rsidRPr="008447DE">
              <w:t xml:space="preserve">Material de Expediente, Informática e </w:t>
            </w:r>
            <w:proofErr w:type="gramStart"/>
            <w:r w:rsidRPr="008447DE">
              <w:t>Gráfico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247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327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83B5A">
            <w:r w:rsidRPr="008447DE">
              <w:t xml:space="preserve">Combustíveis, Lubrificantes e </w:t>
            </w:r>
            <w:proofErr w:type="gramStart"/>
            <w:r w:rsidRPr="008447DE">
              <w:t>Gases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15C2" w:rsidRPr="008447DE" w:rsidRDefault="00F315C2" w:rsidP="00F315C2">
            <w:pPr>
              <w:jc w:val="right"/>
            </w:pPr>
            <w:r w:rsidRPr="008447DE">
              <w:t>62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58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83B5A">
            <w:r w:rsidRPr="008447DE">
              <w:t>Materiais de Engenharia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F315C2" w:rsidRPr="008447DE" w:rsidRDefault="00F315C2" w:rsidP="00F315C2">
            <w:pPr>
              <w:jc w:val="right"/>
            </w:pPr>
            <w:r w:rsidRPr="008447DE">
              <w:t>2.427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pPr>
              <w:jc w:val="right"/>
            </w:pPr>
            <w:r w:rsidRPr="008447DE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315C2" w:rsidRPr="008447DE" w:rsidRDefault="00F315C2" w:rsidP="008A1483">
            <w:pPr>
              <w:jc w:val="right"/>
            </w:pPr>
            <w:r w:rsidRPr="008447DE">
              <w:t>1.909</w:t>
            </w:r>
          </w:p>
        </w:tc>
      </w:tr>
      <w:tr w:rsidR="00F315C2" w:rsidRPr="008447DE" w:rsidTr="00974CC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:rsidR="00F315C2" w:rsidRPr="008447DE" w:rsidRDefault="00F315C2" w:rsidP="00F315C2">
            <w:pPr>
              <w:jc w:val="right"/>
              <w:rPr>
                <w:b/>
              </w:rPr>
            </w:pPr>
            <w:r w:rsidRPr="008447DE">
              <w:rPr>
                <w:b/>
              </w:rPr>
              <w:t>30.929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15C2" w:rsidRPr="008447DE" w:rsidRDefault="00F315C2" w:rsidP="0032046D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315C2" w:rsidRPr="008447DE" w:rsidRDefault="00F315C2" w:rsidP="008A1483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18.152</w:t>
            </w:r>
          </w:p>
        </w:tc>
      </w:tr>
    </w:tbl>
    <w:p w:rsidR="00383B5A" w:rsidRPr="008447DE" w:rsidRDefault="00383B5A" w:rsidP="008602D8">
      <w:pPr>
        <w:tabs>
          <w:tab w:val="left" w:pos="993"/>
        </w:tabs>
        <w:jc w:val="both"/>
      </w:pPr>
    </w:p>
    <w:p w:rsidR="00E14EFC" w:rsidRDefault="008602D8" w:rsidP="00081C72">
      <w:pPr>
        <w:tabs>
          <w:tab w:val="left" w:pos="993"/>
        </w:tabs>
        <w:jc w:val="both"/>
      </w:pPr>
      <w:r w:rsidRPr="008447DE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5" w:name="_Ref466465931"/>
      <w:bookmarkStart w:id="16" w:name="_Ref466472128"/>
      <w:r w:rsidR="00081C72" w:rsidRPr="008447DE">
        <w:t>valor de mercado.</w:t>
      </w:r>
    </w:p>
    <w:p w:rsidR="002B15FC" w:rsidRPr="00383B5A" w:rsidRDefault="002B15FC" w:rsidP="00081C72">
      <w:pPr>
        <w:tabs>
          <w:tab w:val="left" w:pos="993"/>
        </w:tabs>
        <w:jc w:val="both"/>
      </w:pPr>
    </w:p>
    <w:p w:rsidR="002B15FC" w:rsidRPr="00383B5A" w:rsidRDefault="002B15FC" w:rsidP="00081C72">
      <w:pPr>
        <w:tabs>
          <w:tab w:val="left" w:pos="993"/>
        </w:tabs>
        <w:jc w:val="both"/>
      </w:pPr>
    </w:p>
    <w:p w:rsidR="00D92A4D" w:rsidRPr="00383B5A" w:rsidRDefault="00D92A4D" w:rsidP="00B670FD">
      <w:pPr>
        <w:pStyle w:val="Ttulo"/>
        <w:ind w:left="0"/>
        <w:outlineLvl w:val="0"/>
      </w:pPr>
      <w:bookmarkStart w:id="17" w:name="_Ref476905400"/>
      <w:bookmarkStart w:id="18" w:name="_Toc65061172"/>
      <w:r w:rsidRPr="00383B5A">
        <w:t>Imobilizado</w:t>
      </w:r>
      <w:bookmarkEnd w:id="15"/>
      <w:bookmarkEnd w:id="16"/>
      <w:bookmarkEnd w:id="17"/>
      <w:bookmarkEnd w:id="18"/>
      <w:r w:rsidRPr="00383B5A">
        <w:t xml:space="preserve"> </w:t>
      </w:r>
    </w:p>
    <w:p w:rsidR="0066161E" w:rsidRPr="00383B5A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97"/>
        <w:gridCol w:w="881"/>
        <w:gridCol w:w="188"/>
        <w:gridCol w:w="1231"/>
        <w:gridCol w:w="195"/>
        <w:gridCol w:w="1238"/>
        <w:gridCol w:w="195"/>
        <w:gridCol w:w="1367"/>
        <w:gridCol w:w="195"/>
        <w:gridCol w:w="1249"/>
      </w:tblGrid>
      <w:tr w:rsidR="002B15FC" w:rsidRPr="003912F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3912FB">
              <w:rPr>
                <w:b/>
                <w:bCs/>
                <w:sz w:val="18"/>
                <w:szCs w:val="18"/>
              </w:rPr>
              <w:t>Tx</w:t>
            </w:r>
            <w:proofErr w:type="spellEnd"/>
            <w:r w:rsidRPr="003912FB">
              <w:rPr>
                <w:b/>
                <w:bCs/>
                <w:sz w:val="18"/>
                <w:szCs w:val="18"/>
              </w:rPr>
              <w:t>.%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Depreciação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6289" w:rsidP="001F3542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</w:rPr>
              <w:t>31/12/2020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3912FB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31/12/2019</w:t>
            </w:r>
          </w:p>
        </w:tc>
      </w:tr>
      <w:tr w:rsidR="00731B9F" w:rsidRPr="003912FB" w:rsidTr="00974CC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CF6F87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Edifícios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center"/>
              <w:rPr>
                <w:sz w:val="18"/>
                <w:szCs w:val="18"/>
              </w:rPr>
            </w:pPr>
            <w:proofErr w:type="gramStart"/>
            <w:r w:rsidRPr="003912FB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741.391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6E6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(69.814)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671.577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 158.850 </w:t>
            </w:r>
          </w:p>
        </w:tc>
      </w:tr>
      <w:tr w:rsidR="00731B9F" w:rsidRPr="003912FB" w:rsidTr="00974CC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Terrenos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center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68.786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6E6789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68.786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   68.786 </w:t>
            </w:r>
          </w:p>
        </w:tc>
      </w:tr>
      <w:tr w:rsidR="00731B9F" w:rsidRPr="003912FB" w:rsidTr="00974CC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B9F" w:rsidRPr="003912FB" w:rsidRDefault="00731B9F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Obras em Andamento </w:t>
            </w:r>
            <w:r w:rsidRPr="003912FB">
              <w:rPr>
                <w:sz w:val="16"/>
                <w:szCs w:val="16"/>
              </w:rPr>
              <w:t>[1]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center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110.323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6E6789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(9.806)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100.517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 594.956 </w:t>
            </w:r>
          </w:p>
        </w:tc>
      </w:tr>
      <w:tr w:rsidR="00731B9F" w:rsidRPr="003912FB" w:rsidTr="00974CC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253667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center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268.71</w:t>
            </w:r>
            <w:r w:rsidR="00974CC9" w:rsidRPr="003912FB">
              <w:rPr>
                <w:sz w:val="18"/>
                <w:szCs w:val="18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6E6789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(156.951)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3912F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111.76</w:t>
            </w:r>
            <w:r w:rsidR="003912FB" w:rsidRPr="003912FB">
              <w:rPr>
                <w:sz w:val="18"/>
                <w:szCs w:val="18"/>
              </w:rPr>
              <w:t>8</w:t>
            </w: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    77.867 </w:t>
            </w:r>
          </w:p>
        </w:tc>
      </w:tr>
      <w:tr w:rsidR="00731B9F" w:rsidRPr="003912FB" w:rsidTr="00974CC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Informática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center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20 a 50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27.961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6E6789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3912F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(19.</w:t>
            </w:r>
            <w:r w:rsidR="003912FB" w:rsidRPr="003912FB">
              <w:rPr>
                <w:sz w:val="18"/>
                <w:szCs w:val="18"/>
              </w:rPr>
              <w:t>100</w:t>
            </w:r>
            <w:r w:rsidRPr="003912FB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3912F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8.86</w:t>
            </w:r>
            <w:r w:rsidR="003912FB" w:rsidRPr="003912FB">
              <w:rPr>
                <w:sz w:val="18"/>
                <w:szCs w:val="18"/>
              </w:rPr>
              <w:t>1</w:t>
            </w: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    8.818 </w:t>
            </w:r>
          </w:p>
        </w:tc>
      </w:tr>
      <w:tr w:rsidR="00731B9F" w:rsidRPr="003912FB" w:rsidTr="00974CC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Veículos Diversos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center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1.004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(904)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31B9F" w:rsidRPr="003912FB" w:rsidRDefault="003912FB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100</w:t>
            </w:r>
            <w:r w:rsidR="00731B9F"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B9F" w:rsidRPr="003912FB" w:rsidRDefault="00731B9F" w:rsidP="00E8242B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         168 </w:t>
            </w:r>
          </w:p>
        </w:tc>
      </w:tr>
      <w:tr w:rsidR="00731B9F" w:rsidRPr="003912FB" w:rsidTr="00974CC9">
        <w:tc>
          <w:tcPr>
            <w:tcW w:w="12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Subtotal Imobilizado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center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1.218.18</w:t>
            </w:r>
            <w:r w:rsidR="00974CC9" w:rsidRPr="003912FB">
              <w:rPr>
                <w:sz w:val="18"/>
                <w:szCs w:val="18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31B9F" w:rsidRPr="003912FB" w:rsidRDefault="004E7EAD" w:rsidP="00731B9F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(256.575</w:t>
            </w:r>
            <w:r w:rsidR="00731B9F" w:rsidRPr="003912FB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1B9F" w:rsidRPr="003912FB" w:rsidRDefault="00731B9F" w:rsidP="00731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31B9F" w:rsidRPr="003912FB" w:rsidRDefault="00974CC9" w:rsidP="004E7EAD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961.6</w:t>
            </w:r>
            <w:r w:rsidR="004E7EAD" w:rsidRPr="003912FB">
              <w:rPr>
                <w:sz w:val="18"/>
                <w:szCs w:val="18"/>
              </w:rPr>
              <w:t>09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1B9F" w:rsidRPr="003912FB" w:rsidRDefault="00731B9F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909.445 </w:t>
            </w:r>
          </w:p>
        </w:tc>
      </w:tr>
      <w:tr w:rsidR="00731B9F" w:rsidRPr="003912FB" w:rsidTr="002609F3">
        <w:tc>
          <w:tcPr>
            <w:tcW w:w="123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3912FB" w:rsidRDefault="002B15FC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Bens Móveis em Andamento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3912FB" w:rsidRDefault="002B15FC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3912FB" w:rsidRDefault="002B15FC" w:rsidP="00B23A2A">
            <w:pPr>
              <w:jc w:val="center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3912FB" w:rsidRDefault="002B15FC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3912FB" w:rsidRDefault="00731B9F" w:rsidP="00731B9F">
            <w:pPr>
              <w:jc w:val="right"/>
              <w:rPr>
                <w:bCs/>
                <w:sz w:val="18"/>
                <w:szCs w:val="18"/>
              </w:rPr>
            </w:pPr>
            <w:r w:rsidRPr="003912FB">
              <w:rPr>
                <w:bCs/>
                <w:sz w:val="18"/>
                <w:szCs w:val="18"/>
              </w:rPr>
              <w:t>5</w:t>
            </w:r>
            <w:r w:rsidR="002609F3" w:rsidRPr="003912FB">
              <w:rPr>
                <w:bCs/>
                <w:sz w:val="18"/>
                <w:szCs w:val="18"/>
              </w:rPr>
              <w:t>.8</w:t>
            </w:r>
            <w:r w:rsidR="001717B2" w:rsidRPr="00391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3912FB" w:rsidRDefault="002B15FC" w:rsidP="006E678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3912FB" w:rsidRDefault="002B15FC" w:rsidP="006E6789">
            <w:pPr>
              <w:jc w:val="right"/>
              <w:rPr>
                <w:bCs/>
                <w:sz w:val="18"/>
                <w:szCs w:val="18"/>
              </w:rPr>
            </w:pPr>
            <w:r w:rsidRPr="003912F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3912FB" w:rsidRDefault="002B15FC" w:rsidP="006E678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3912FB" w:rsidRDefault="00731B9F" w:rsidP="00731B9F">
            <w:pPr>
              <w:jc w:val="right"/>
              <w:rPr>
                <w:bCs/>
                <w:sz w:val="18"/>
                <w:szCs w:val="18"/>
              </w:rPr>
            </w:pPr>
            <w:r w:rsidRPr="003912FB">
              <w:rPr>
                <w:bCs/>
                <w:sz w:val="18"/>
                <w:szCs w:val="18"/>
              </w:rPr>
              <w:t>5</w:t>
            </w:r>
            <w:r w:rsidR="002B15FC" w:rsidRPr="003912FB">
              <w:rPr>
                <w:bCs/>
                <w:sz w:val="18"/>
                <w:szCs w:val="18"/>
              </w:rPr>
              <w:t>.8</w:t>
            </w:r>
            <w:r w:rsidR="001717B2" w:rsidRPr="00391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3912FB" w:rsidRDefault="002B15FC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3912FB" w:rsidRDefault="002B15FC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 xml:space="preserve">             14.373 </w:t>
            </w:r>
          </w:p>
        </w:tc>
      </w:tr>
      <w:tr w:rsidR="00B83439" w:rsidRPr="003912FB" w:rsidTr="00974CC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439" w:rsidRPr="003912FB" w:rsidRDefault="00B83439" w:rsidP="00B23A2A">
            <w:pPr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439" w:rsidRPr="003912FB" w:rsidRDefault="00B83439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439" w:rsidRPr="003912FB" w:rsidRDefault="00B83439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439" w:rsidRPr="003912FB" w:rsidRDefault="00B83439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83439" w:rsidRPr="003912FB" w:rsidRDefault="00255C35" w:rsidP="00B83439">
            <w:pPr>
              <w:jc w:val="right"/>
              <w:rPr>
                <w:b/>
                <w:sz w:val="18"/>
                <w:szCs w:val="18"/>
              </w:rPr>
            </w:pPr>
            <w:r w:rsidRPr="003912FB">
              <w:rPr>
                <w:b/>
                <w:sz w:val="18"/>
                <w:szCs w:val="18"/>
              </w:rPr>
              <w:t>1.224</w:t>
            </w:r>
            <w:r w:rsidR="00B83439" w:rsidRPr="003912FB">
              <w:rPr>
                <w:b/>
                <w:sz w:val="18"/>
                <w:szCs w:val="18"/>
              </w:rPr>
              <w:t>.</w:t>
            </w:r>
            <w:r w:rsidRPr="003912FB">
              <w:rPr>
                <w:b/>
                <w:sz w:val="18"/>
                <w:szCs w:val="18"/>
              </w:rPr>
              <w:t>03</w:t>
            </w:r>
            <w:r w:rsidR="00974CC9" w:rsidRPr="003912F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3439" w:rsidRPr="003912FB" w:rsidRDefault="00B83439" w:rsidP="00B8343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83439" w:rsidRPr="003912FB" w:rsidRDefault="004E7EAD" w:rsidP="00B83439">
            <w:pPr>
              <w:jc w:val="right"/>
              <w:rPr>
                <w:b/>
                <w:sz w:val="18"/>
                <w:szCs w:val="18"/>
              </w:rPr>
            </w:pPr>
            <w:r w:rsidRPr="003912FB">
              <w:rPr>
                <w:b/>
                <w:sz w:val="18"/>
                <w:szCs w:val="18"/>
              </w:rPr>
              <w:t>(256.575</w:t>
            </w:r>
            <w:r w:rsidR="00B83439" w:rsidRPr="003912F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3439" w:rsidRPr="003912FB" w:rsidRDefault="00B83439" w:rsidP="00B8343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83439" w:rsidRPr="003912FB" w:rsidRDefault="00B83439" w:rsidP="00B83439">
            <w:pPr>
              <w:jc w:val="right"/>
              <w:rPr>
                <w:b/>
                <w:sz w:val="18"/>
                <w:szCs w:val="18"/>
              </w:rPr>
            </w:pPr>
            <w:r w:rsidRPr="003912FB">
              <w:rPr>
                <w:b/>
                <w:sz w:val="18"/>
                <w:szCs w:val="18"/>
              </w:rPr>
              <w:t>967.4</w:t>
            </w:r>
            <w:r w:rsidR="00255C35" w:rsidRPr="003912FB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3439" w:rsidRPr="003912FB" w:rsidRDefault="00B83439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83439" w:rsidRPr="003912FB" w:rsidRDefault="00B83439" w:rsidP="00EA34A6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 xml:space="preserve">923.818 </w:t>
            </w:r>
          </w:p>
        </w:tc>
      </w:tr>
    </w:tbl>
    <w:p w:rsidR="00FE1D7B" w:rsidRPr="003912FB" w:rsidRDefault="00FE1D7B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3912FB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3912FB">
        <w:rPr>
          <w:sz w:val="16"/>
          <w:szCs w:val="16"/>
        </w:rPr>
        <w:t xml:space="preserve"> </w:t>
      </w:r>
      <w:r w:rsidR="00D74DC0" w:rsidRPr="003912FB">
        <w:rPr>
          <w:sz w:val="16"/>
          <w:szCs w:val="16"/>
        </w:rPr>
        <w:t>[1] O saldo de obras em andamento está acrescido de benfeitorias em prédios de terceiros</w:t>
      </w:r>
      <w:r w:rsidR="007B7B68" w:rsidRPr="003912FB">
        <w:rPr>
          <w:sz w:val="16"/>
          <w:szCs w:val="16"/>
        </w:rPr>
        <w:t xml:space="preserve">, </w:t>
      </w:r>
      <w:r w:rsidR="002B15FC" w:rsidRPr="003912FB">
        <w:rPr>
          <w:sz w:val="16"/>
          <w:szCs w:val="16"/>
        </w:rPr>
        <w:t xml:space="preserve">de </w:t>
      </w:r>
      <w:r w:rsidR="007B7B68" w:rsidRPr="003912FB">
        <w:rPr>
          <w:sz w:val="16"/>
          <w:szCs w:val="16"/>
        </w:rPr>
        <w:t>estudos e projetos e</w:t>
      </w:r>
      <w:r w:rsidR="002B15FC" w:rsidRPr="003912FB">
        <w:rPr>
          <w:sz w:val="16"/>
          <w:szCs w:val="16"/>
        </w:rPr>
        <w:t xml:space="preserve"> de</w:t>
      </w:r>
      <w:r w:rsidR="007B7B68" w:rsidRPr="003912FB">
        <w:rPr>
          <w:sz w:val="16"/>
          <w:szCs w:val="16"/>
        </w:rPr>
        <w:t xml:space="preserve"> instalações</w:t>
      </w:r>
      <w:r w:rsidR="00D74DC0" w:rsidRPr="003912FB">
        <w:rPr>
          <w:sz w:val="16"/>
          <w:szCs w:val="16"/>
        </w:rPr>
        <w:t>,</w:t>
      </w:r>
      <w:r w:rsidR="00D66EF8" w:rsidRPr="003912FB">
        <w:rPr>
          <w:sz w:val="16"/>
          <w:szCs w:val="16"/>
        </w:rPr>
        <w:t xml:space="preserve"> </w:t>
      </w:r>
      <w:r w:rsidR="00D74DC0" w:rsidRPr="003912FB">
        <w:rPr>
          <w:sz w:val="16"/>
          <w:szCs w:val="16"/>
        </w:rPr>
        <w:t>razão pel</w:t>
      </w:r>
      <w:r w:rsidR="002B15FC" w:rsidRPr="003912FB">
        <w:rPr>
          <w:sz w:val="16"/>
          <w:szCs w:val="16"/>
        </w:rPr>
        <w:t>a</w:t>
      </w:r>
      <w:r w:rsidR="00D74DC0" w:rsidRPr="003912FB">
        <w:rPr>
          <w:sz w:val="16"/>
          <w:szCs w:val="16"/>
        </w:rPr>
        <w:t xml:space="preserve"> qual há depreciação.</w:t>
      </w:r>
    </w:p>
    <w:p w:rsidR="002B15FC" w:rsidRPr="003912FB" w:rsidRDefault="002B15FC" w:rsidP="00534053">
      <w:pPr>
        <w:tabs>
          <w:tab w:val="left" w:pos="851"/>
        </w:tabs>
        <w:jc w:val="both"/>
      </w:pPr>
    </w:p>
    <w:p w:rsidR="00AA61AA" w:rsidRPr="00EA358B" w:rsidRDefault="00534053" w:rsidP="00C00515">
      <w:pPr>
        <w:tabs>
          <w:tab w:val="left" w:pos="851"/>
        </w:tabs>
        <w:jc w:val="both"/>
      </w:pPr>
      <w:r w:rsidRPr="003912FB">
        <w:t xml:space="preserve">O Imobilizado </w:t>
      </w:r>
      <w:r w:rsidR="00C00515" w:rsidRPr="003912FB">
        <w:t>é</w:t>
      </w:r>
      <w:r w:rsidRPr="003912FB">
        <w:t xml:space="preserve"> </w:t>
      </w:r>
      <w:r w:rsidR="00C00515" w:rsidRPr="003912FB">
        <w:t>mensurado</w:t>
      </w:r>
      <w:r w:rsidRPr="003912FB">
        <w:t xml:space="preserve"> pelo seu custo histórico, menos depreciação acumulada. Os terrenos não são depreciados</w:t>
      </w:r>
      <w:r w:rsidR="00C00515" w:rsidRPr="003912FB">
        <w:t>.</w:t>
      </w:r>
      <w:r w:rsidR="009C130F" w:rsidRPr="003912FB">
        <w:t xml:space="preserve"> </w:t>
      </w:r>
      <w:r w:rsidR="00232EA0" w:rsidRPr="003912FB">
        <w:t>A depreciação</w:t>
      </w:r>
      <w:r w:rsidRPr="003912FB">
        <w:t xml:space="preserve"> está demonstrada pelo valor acumulado da data do início d</w:t>
      </w:r>
      <w:r w:rsidR="00C762F4" w:rsidRPr="003912FB">
        <w:t>a</w:t>
      </w:r>
      <w:r w:rsidRPr="003912FB">
        <w:t xml:space="preserve"> operação na Instituição</w:t>
      </w:r>
      <w:r w:rsidR="00655B1A" w:rsidRPr="003912FB">
        <w:t>,</w:t>
      </w:r>
      <w:r w:rsidRPr="003912FB">
        <w:t xml:space="preserve"> acrescido da depreciação do custo atribuído a partir do exercício de 2010.</w:t>
      </w:r>
      <w:r w:rsidRPr="00EA358B">
        <w:t xml:space="preserve"> </w:t>
      </w:r>
    </w:p>
    <w:p w:rsidR="00534053" w:rsidRPr="00F10DA8" w:rsidRDefault="00C00515" w:rsidP="00C00515">
      <w:pPr>
        <w:tabs>
          <w:tab w:val="left" w:pos="851"/>
        </w:tabs>
        <w:jc w:val="both"/>
      </w:pPr>
      <w:r w:rsidRPr="00DE5957">
        <w:lastRenderedPageBreak/>
        <w:t>A</w:t>
      </w:r>
      <w:r w:rsidR="00534053" w:rsidRPr="00DE5957">
        <w:t>s depreciações são calculadas usando o método linear, considerando</w:t>
      </w:r>
      <w:r w:rsidR="005F4F1E" w:rsidRPr="00DE5957">
        <w:t xml:space="preserve"> o valor residual e </w:t>
      </w:r>
      <w:r w:rsidR="00534053" w:rsidRPr="00DE5957">
        <w:t xml:space="preserve">os custos </w:t>
      </w:r>
      <w:r w:rsidR="002010E3" w:rsidRPr="00DE5957">
        <w:t xml:space="preserve">dos ativos </w:t>
      </w:r>
      <w:r w:rsidR="00534053" w:rsidRPr="00DE5957">
        <w:t>durante a vida útil estimada</w:t>
      </w:r>
      <w:r w:rsidR="002010E3" w:rsidRPr="00DE5957">
        <w:t xml:space="preserve"> dos mesmos</w:t>
      </w:r>
      <w:r w:rsidR="00534053" w:rsidRPr="00DE5957">
        <w:t>.</w:t>
      </w:r>
    </w:p>
    <w:p w:rsidR="00CF6F87" w:rsidRPr="00F10DA8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185"/>
        <w:gridCol w:w="1245"/>
        <w:gridCol w:w="219"/>
        <w:gridCol w:w="1139"/>
        <w:gridCol w:w="185"/>
        <w:gridCol w:w="1290"/>
        <w:gridCol w:w="185"/>
        <w:gridCol w:w="1255"/>
        <w:gridCol w:w="185"/>
        <w:gridCol w:w="1155"/>
      </w:tblGrid>
      <w:tr w:rsidR="00F10DA8" w:rsidRPr="00DE5957" w:rsidTr="00497C4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F10DA8" w:rsidRDefault="002A6B4D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F10DA8" w:rsidRDefault="002A6B4D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Custo 01/01/2020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Aquisições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Transferências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Baixas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537792" w:rsidP="001F3542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 xml:space="preserve">Custo </w:t>
            </w:r>
            <w:r w:rsidR="00FE6289" w:rsidRPr="00DE5957">
              <w:rPr>
                <w:b/>
                <w:bCs/>
              </w:rPr>
              <w:t>31/12/2020</w:t>
            </w:r>
          </w:p>
        </w:tc>
      </w:tr>
      <w:tr w:rsidR="00915AEE" w:rsidRPr="00DE5957" w:rsidTr="00974CC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Edifícios </w:t>
            </w:r>
            <w:r w:rsidRPr="00DE5957">
              <w:rPr>
                <w:sz w:val="16"/>
                <w:szCs w:val="16"/>
              </w:rPr>
              <w:t>[2]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220.044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DE5957" w:rsidP="00DE595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521.347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CF6F8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AEE" w:rsidRPr="00DE5957" w:rsidRDefault="00915AEE" w:rsidP="00915AEE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741.39</w:t>
            </w:r>
            <w:r w:rsidR="00DE5957" w:rsidRPr="00DE5957">
              <w:rPr>
                <w:sz w:val="18"/>
                <w:szCs w:val="18"/>
              </w:rPr>
              <w:t>1</w:t>
            </w:r>
          </w:p>
        </w:tc>
      </w:tr>
      <w:tr w:rsidR="00915AEE" w:rsidRPr="00DE5957" w:rsidTr="00974CC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Terrenos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68.786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CF6F8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AEE" w:rsidRPr="00DE5957" w:rsidRDefault="00915AEE" w:rsidP="00915AEE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68.786</w:t>
            </w:r>
          </w:p>
        </w:tc>
      </w:tr>
      <w:tr w:rsidR="00915AEE" w:rsidRPr="00DE5957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Obras em Andamento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74CC9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603.509</w:t>
            </w:r>
            <w:r w:rsidR="00915AEE" w:rsidRPr="00DE59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DE5957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28.256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DE5957" w:rsidP="00DE595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(521.347</w:t>
            </w:r>
            <w:r w:rsidR="00915AEE" w:rsidRPr="00DE5957">
              <w:rPr>
                <w:sz w:val="18"/>
                <w:szCs w:val="18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</w:t>
            </w:r>
            <w:r w:rsidR="00DE5957" w:rsidRPr="00DE5957">
              <w:rPr>
                <w:sz w:val="18"/>
                <w:szCs w:val="18"/>
              </w:rPr>
              <w:t>(95</w:t>
            </w:r>
            <w:r w:rsidRPr="00DE5957">
              <w:rPr>
                <w:sz w:val="18"/>
                <w:szCs w:val="18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CF6F8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AEE" w:rsidRPr="00DE5957" w:rsidRDefault="00915AEE" w:rsidP="00915AEE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110.323</w:t>
            </w:r>
          </w:p>
        </w:tc>
      </w:tr>
      <w:tr w:rsidR="00915AEE" w:rsidRPr="00DE5957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253667">
            <w:pPr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74CC9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218.484</w:t>
            </w:r>
            <w:r w:rsidR="00915AEE" w:rsidRPr="00DE59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DE5957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52.236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(1.997)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CF6F8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AEE" w:rsidRPr="00DE5957" w:rsidRDefault="00915AEE" w:rsidP="00915AEE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268.719</w:t>
            </w:r>
          </w:p>
        </w:tc>
      </w:tr>
      <w:tr w:rsidR="00915AEE" w:rsidRPr="00DE5957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Informática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74CC9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 26.309</w:t>
            </w:r>
            <w:r w:rsidR="00915AEE" w:rsidRPr="00DE59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1.902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(254)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CF6F8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AEE" w:rsidRPr="00DE5957" w:rsidRDefault="00915AEE" w:rsidP="00915AEE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27.961</w:t>
            </w:r>
          </w:p>
        </w:tc>
      </w:tr>
      <w:tr w:rsidR="00915AEE" w:rsidRPr="00DE5957" w:rsidTr="00974CC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Veículos Diversos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               1.031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-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 xml:space="preserve">(27)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CF6F87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15AEE" w:rsidRPr="00DE5957" w:rsidRDefault="00915AEE" w:rsidP="00915AEE">
            <w:pPr>
              <w:jc w:val="right"/>
              <w:rPr>
                <w:sz w:val="18"/>
                <w:szCs w:val="18"/>
              </w:rPr>
            </w:pPr>
            <w:r w:rsidRPr="00DE5957">
              <w:rPr>
                <w:sz w:val="18"/>
                <w:szCs w:val="18"/>
              </w:rPr>
              <w:t>1.004</w:t>
            </w:r>
          </w:p>
        </w:tc>
      </w:tr>
      <w:tr w:rsidR="00915AEE" w:rsidRPr="00915AEE" w:rsidTr="00974CC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Total Imobilizado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 xml:space="preserve">       1.138.163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E42BC3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82.39</w:t>
            </w:r>
            <w:r w:rsidR="00DE5957" w:rsidRPr="00DE595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481375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481375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 xml:space="preserve">  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481375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7F3B80">
            <w:pPr>
              <w:jc w:val="right"/>
              <w:rPr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(2.3</w:t>
            </w:r>
            <w:r w:rsidR="00DE5957" w:rsidRPr="00DE5957">
              <w:rPr>
                <w:b/>
                <w:bCs/>
                <w:sz w:val="18"/>
                <w:szCs w:val="18"/>
              </w:rPr>
              <w:t>73</w:t>
            </w:r>
            <w:r w:rsidRPr="00DE595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DE5957" w:rsidRDefault="00915AEE" w:rsidP="00CF6F87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915AEE" w:rsidRPr="00B02B2B" w:rsidRDefault="00915AEE" w:rsidP="00915AEE">
            <w:pPr>
              <w:jc w:val="right"/>
              <w:rPr>
                <w:b/>
                <w:sz w:val="18"/>
                <w:szCs w:val="18"/>
              </w:rPr>
            </w:pPr>
            <w:r w:rsidRPr="00B02B2B">
              <w:rPr>
                <w:b/>
                <w:sz w:val="18"/>
                <w:szCs w:val="18"/>
              </w:rPr>
              <w:t>1.218.18</w:t>
            </w:r>
            <w:r w:rsidR="00974CC9" w:rsidRPr="00B02B2B">
              <w:rPr>
                <w:b/>
                <w:sz w:val="18"/>
                <w:szCs w:val="18"/>
              </w:rPr>
              <w:t>4</w:t>
            </w:r>
          </w:p>
        </w:tc>
      </w:tr>
    </w:tbl>
    <w:p w:rsidR="002A6B4D" w:rsidRDefault="002A6B4D" w:rsidP="002A6B4D"/>
    <w:p w:rsidR="002B15FC" w:rsidRPr="002B15FC" w:rsidRDefault="002B15FC" w:rsidP="002B15FC">
      <w:pPr>
        <w:jc w:val="both"/>
        <w:rPr>
          <w:sz w:val="16"/>
          <w:szCs w:val="16"/>
        </w:rPr>
      </w:pPr>
      <w:r w:rsidRPr="002B15FC">
        <w:rPr>
          <w:sz w:val="16"/>
          <w:szCs w:val="16"/>
        </w:rPr>
        <w:t>[2] Em abril de 2020 houve o encerramento das obras dos Blocos B e C, transferindo o saldo contábil das rubricas de Obras em Andamento para Edifícios.</w:t>
      </w:r>
    </w:p>
    <w:tbl>
      <w:tblPr>
        <w:tblW w:w="60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2066"/>
        <w:gridCol w:w="160"/>
        <w:gridCol w:w="1576"/>
        <w:gridCol w:w="180"/>
        <w:gridCol w:w="1875"/>
      </w:tblGrid>
      <w:tr w:rsidR="00596ADC" w:rsidRPr="00596ADC" w:rsidTr="00596ADC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96ADC" w:rsidRPr="00F10DA8" w:rsidRDefault="00596ADC" w:rsidP="002A6B4D"/>
    <w:p w:rsidR="002A6B4D" w:rsidRPr="008447DE" w:rsidRDefault="002A6B4D" w:rsidP="002A6B4D">
      <w:pPr>
        <w:pStyle w:val="Ttulo"/>
        <w:ind w:left="0"/>
        <w:outlineLvl w:val="0"/>
      </w:pPr>
      <w:bookmarkStart w:id="19" w:name="_Toc31373361"/>
      <w:bookmarkStart w:id="20" w:name="_Toc65061173"/>
      <w:r w:rsidRPr="008447DE">
        <w:t>Intangível</w:t>
      </w:r>
      <w:bookmarkEnd w:id="19"/>
      <w:bookmarkEnd w:id="20"/>
    </w:p>
    <w:p w:rsidR="002A6B4D" w:rsidRPr="008447DE" w:rsidRDefault="002A6B4D" w:rsidP="002A6B4D">
      <w:pPr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8"/>
        <w:gridCol w:w="241"/>
        <w:gridCol w:w="1159"/>
        <w:gridCol w:w="190"/>
        <w:gridCol w:w="1161"/>
        <w:gridCol w:w="190"/>
        <w:gridCol w:w="1288"/>
        <w:gridCol w:w="190"/>
        <w:gridCol w:w="1175"/>
      </w:tblGrid>
      <w:tr w:rsidR="00F10DA8" w:rsidRPr="008447DE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447DE">
              <w:rPr>
                <w:b/>
                <w:sz w:val="18"/>
                <w:szCs w:val="18"/>
              </w:rPr>
              <w:t>Tx</w:t>
            </w:r>
            <w:proofErr w:type="spellEnd"/>
            <w:r w:rsidRPr="008447DE">
              <w:rPr>
                <w:b/>
                <w:sz w:val="18"/>
                <w:szCs w:val="18"/>
              </w:rPr>
              <w:t xml:space="preserve">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center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84727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FE6289" w:rsidP="001F3542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</w:rPr>
              <w:t>31/12/2020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8447DE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31/12/2019</w:t>
            </w:r>
          </w:p>
        </w:tc>
      </w:tr>
      <w:tr w:rsidR="00915AEE" w:rsidRPr="008447DE" w:rsidTr="00974CC9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center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 xml:space="preserve">8.690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15AEE" w:rsidRPr="008447DE" w:rsidRDefault="00BA2E8F" w:rsidP="00915AEE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(6.615</w:t>
            </w:r>
            <w:r w:rsidR="00915AEE" w:rsidRPr="008447DE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2.075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 xml:space="preserve">    2.194 </w:t>
            </w:r>
          </w:p>
        </w:tc>
      </w:tr>
      <w:tr w:rsidR="00915AEE" w:rsidRPr="008447DE" w:rsidTr="00974CC9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8.690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915AEE" w:rsidRPr="008447DE" w:rsidRDefault="00BA2E8F" w:rsidP="00915AEE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(6.615</w:t>
            </w:r>
            <w:r w:rsidR="00915AEE" w:rsidRPr="008447D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915AEE" w:rsidRPr="008447DE" w:rsidRDefault="00915AEE" w:rsidP="00915AEE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2.075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15AEE" w:rsidRPr="008447DE" w:rsidRDefault="00915AEE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 xml:space="preserve">             2.194 </w:t>
            </w:r>
          </w:p>
        </w:tc>
      </w:tr>
    </w:tbl>
    <w:p w:rsidR="00B26FFC" w:rsidRPr="008447DE" w:rsidRDefault="00B26FFC" w:rsidP="002A6B4D">
      <w:pPr>
        <w:jc w:val="both"/>
        <w:rPr>
          <w:b/>
        </w:rPr>
      </w:pPr>
    </w:p>
    <w:p w:rsidR="002A6B4D" w:rsidRPr="004865B9" w:rsidRDefault="002A6B4D" w:rsidP="002A6B4D">
      <w:pPr>
        <w:jc w:val="both"/>
      </w:pPr>
      <w:r w:rsidRPr="008447DE">
        <w:t xml:space="preserve">O Intangível é mensurado pelo seu custo histórico, menos a amortização acumulada. A amortização está demonstrada pelo valor acumulado desde a data do início de operação na Instituição, acrescido da amortização </w:t>
      </w:r>
      <w:r w:rsidRPr="004865B9">
        <w:t>do custo atribuído a partir do exercício de 2010. As amortizações são calculadas usando o método linear, considerando os custos dos ativos durante a vida útil estimada dos mesmos.</w:t>
      </w:r>
    </w:p>
    <w:p w:rsidR="002A6B4D" w:rsidRPr="004865B9" w:rsidRDefault="002A6B4D" w:rsidP="002A6B4D">
      <w:pPr>
        <w:rPr>
          <w:b/>
        </w:rPr>
      </w:pPr>
    </w:p>
    <w:p w:rsidR="002A6B4D" w:rsidRPr="004865B9" w:rsidRDefault="002A6B4D" w:rsidP="002A6B4D">
      <w:pPr>
        <w:rPr>
          <w:b/>
        </w:rPr>
      </w:pPr>
    </w:p>
    <w:p w:rsidR="002A6B4D" w:rsidRPr="004865B9" w:rsidRDefault="002A6B4D" w:rsidP="002A6B4D">
      <w:pPr>
        <w:pStyle w:val="Ttulo"/>
        <w:ind w:left="0"/>
        <w:outlineLvl w:val="0"/>
      </w:pPr>
      <w:bookmarkStart w:id="21" w:name="_Toc31373362"/>
      <w:bookmarkStart w:id="22" w:name="_Toc65061174"/>
      <w:r w:rsidRPr="004865B9">
        <w:t>Fornecedores</w:t>
      </w:r>
      <w:bookmarkEnd w:id="21"/>
      <w:bookmarkEnd w:id="22"/>
      <w:r w:rsidRPr="004865B9">
        <w:t xml:space="preserve"> </w:t>
      </w:r>
    </w:p>
    <w:tbl>
      <w:tblPr>
        <w:tblW w:w="48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701"/>
        <w:gridCol w:w="426"/>
        <w:gridCol w:w="1574"/>
      </w:tblGrid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4D" w:rsidRPr="00AA758F" w:rsidRDefault="002A6B4D" w:rsidP="00B23A2A">
            <w:pPr>
              <w:rPr>
                <w:rFonts w:ascii="Calibri" w:hAnsi="Calibri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AA758F" w:rsidRDefault="00FE6289" w:rsidP="001F3542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31/12/2020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AA758F" w:rsidRDefault="002A6B4D" w:rsidP="00B23A2A"/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AA758F" w:rsidRDefault="002A6B4D" w:rsidP="00B23A2A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31/12/2019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>
            <w:r w:rsidRPr="00AA758F">
              <w:t>Unimed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 xml:space="preserve">      2.664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3.506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 w:rsidP="004865B9">
            <w:r w:rsidRPr="00AA758F">
              <w:t xml:space="preserve">GE </w:t>
            </w:r>
            <w:proofErr w:type="spellStart"/>
            <w:r w:rsidRPr="00AA758F">
              <w:t>Healthcare</w:t>
            </w:r>
            <w:proofErr w:type="spellEnd"/>
            <w:r w:rsidRPr="00AA758F">
              <w:t xml:space="preserve"> Brasil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 xml:space="preserve">2.283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-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>
            <w:proofErr w:type="spellStart"/>
            <w:r w:rsidRPr="00AA758F">
              <w:t>Barrfab</w:t>
            </w:r>
            <w:proofErr w:type="spellEnd"/>
            <w:r w:rsidRPr="00AA758F">
              <w:t xml:space="preserve"> Indústria Comércio Imp. e Exp.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 xml:space="preserve">       1.542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1.542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 w:rsidP="00CB07F8">
            <w:r w:rsidRPr="00AA758F">
              <w:t>R</w:t>
            </w:r>
            <w:r w:rsidR="00CB07F8" w:rsidRPr="00AA758F">
              <w:t>S</w:t>
            </w:r>
            <w:r w:rsidRPr="00AA758F">
              <w:t xml:space="preserve"> - Produtos Hospitalares 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 xml:space="preserve">       1.260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106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 w:rsidP="004865B9">
            <w:r w:rsidRPr="00AA758F">
              <w:t xml:space="preserve">Philips Medical Systems 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>1.058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-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 w:rsidP="00CB07F8">
            <w:proofErr w:type="spellStart"/>
            <w:r w:rsidRPr="00AA758F">
              <w:t>Crist</w:t>
            </w:r>
            <w:r w:rsidR="00CB07F8" w:rsidRPr="00AA758F">
              <w:t>á</w:t>
            </w:r>
            <w:r w:rsidRPr="00AA758F">
              <w:t>lia</w:t>
            </w:r>
            <w:proofErr w:type="spellEnd"/>
            <w:r w:rsidRPr="00AA758F">
              <w:t xml:space="preserve"> Produtos Químicos Farmacêuticos.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 xml:space="preserve">           810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385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 w:rsidP="004865B9">
            <w:r w:rsidRPr="00AA758F">
              <w:t xml:space="preserve">Cirúrgica Santa Cruz Comércio de Produtos Hospitalares 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 xml:space="preserve">             571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-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 w:rsidP="004865B9">
            <w:r w:rsidRPr="00AA758F">
              <w:t xml:space="preserve">TCA Farma Comércio 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</w:pPr>
            <w:r w:rsidRPr="00AA758F">
              <w:t xml:space="preserve">             481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-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>
            <w:r w:rsidRPr="00AA758F">
              <w:t>Tecnologia Eletrônica Brasileira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  <w:rPr>
                <w:color w:val="000000"/>
              </w:rPr>
            </w:pPr>
            <w:r w:rsidRPr="00AA758F">
              <w:rPr>
                <w:color w:val="000000"/>
              </w:rPr>
              <w:t xml:space="preserve">             439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-</w:t>
            </w:r>
          </w:p>
        </w:tc>
      </w:tr>
      <w:tr w:rsidR="00AA758F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5B9" w:rsidRPr="00AA758F" w:rsidRDefault="004865B9">
            <w:proofErr w:type="spellStart"/>
            <w:r w:rsidRPr="00AA758F">
              <w:t>Fresenius</w:t>
            </w:r>
            <w:proofErr w:type="spellEnd"/>
            <w:r w:rsidRPr="00AA758F">
              <w:t xml:space="preserve"> </w:t>
            </w:r>
            <w:proofErr w:type="spellStart"/>
            <w:r w:rsidRPr="00AA758F">
              <w:t>Kabi</w:t>
            </w:r>
            <w:proofErr w:type="spellEnd"/>
            <w:r w:rsidRPr="00AA758F">
              <w:t xml:space="preserve"> Brasil</w:t>
            </w:r>
          </w:p>
        </w:tc>
        <w:tc>
          <w:tcPr>
            <w:tcW w:w="94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865B9" w:rsidRPr="00AA758F" w:rsidRDefault="004865B9" w:rsidP="004865B9">
            <w:pPr>
              <w:jc w:val="right"/>
              <w:rPr>
                <w:color w:val="000000"/>
              </w:rPr>
            </w:pPr>
            <w:r w:rsidRPr="00AA758F">
              <w:rPr>
                <w:color w:val="000000"/>
              </w:rPr>
              <w:t xml:space="preserve">             407 </w:t>
            </w:r>
          </w:p>
        </w:tc>
        <w:tc>
          <w:tcPr>
            <w:tcW w:w="23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865B9" w:rsidRPr="00AA758F" w:rsidRDefault="004865B9" w:rsidP="00326CDF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4865B9" w:rsidRPr="00AA758F" w:rsidRDefault="00CB07F8" w:rsidP="00326CDF">
            <w:pPr>
              <w:jc w:val="right"/>
            </w:pPr>
            <w:r w:rsidRPr="00AA758F">
              <w:t>175</w:t>
            </w:r>
          </w:p>
        </w:tc>
      </w:tr>
      <w:tr w:rsidR="004865B9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5B9" w:rsidRPr="00AA758F" w:rsidRDefault="004865B9">
            <w:proofErr w:type="spellStart"/>
            <w:r w:rsidRPr="00AA758F">
              <w:t>Agfa</w:t>
            </w:r>
            <w:proofErr w:type="spellEnd"/>
            <w:r w:rsidRPr="00AA758F">
              <w:t xml:space="preserve"> </w:t>
            </w:r>
            <w:proofErr w:type="spellStart"/>
            <w:r w:rsidRPr="00AA758F">
              <w:t>Healthcare</w:t>
            </w:r>
            <w:proofErr w:type="spellEnd"/>
            <w:r w:rsidRPr="00AA758F">
              <w:t xml:space="preserve"> Brasil Imp. e Serviços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65B9" w:rsidRPr="00AA758F" w:rsidRDefault="004865B9" w:rsidP="004865B9">
            <w:pPr>
              <w:jc w:val="right"/>
              <w:rPr>
                <w:color w:val="000000"/>
              </w:rPr>
            </w:pPr>
            <w:r w:rsidRPr="00AA758F">
              <w:rPr>
                <w:color w:val="000000"/>
              </w:rPr>
              <w:t xml:space="preserve">             360 </w:t>
            </w:r>
          </w:p>
        </w:tc>
        <w:tc>
          <w:tcPr>
            <w:tcW w:w="23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865B9" w:rsidRPr="00AA758F" w:rsidRDefault="004865B9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865B9" w:rsidRPr="00AA758F" w:rsidRDefault="00CB07F8" w:rsidP="008447DE">
            <w:pPr>
              <w:jc w:val="right"/>
            </w:pPr>
            <w:r w:rsidRPr="00AA758F">
              <w:t>-</w:t>
            </w:r>
          </w:p>
        </w:tc>
      </w:tr>
      <w:tr w:rsidR="00CB07F8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7F8" w:rsidRPr="00AA758F" w:rsidRDefault="00CB07F8" w:rsidP="00B23A2A">
            <w:pPr>
              <w:rPr>
                <w:b/>
                <w:bCs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B07F8" w:rsidRPr="00AA758F" w:rsidRDefault="00AA758F" w:rsidP="008447DE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11.875</w:t>
            </w:r>
          </w:p>
        </w:tc>
        <w:tc>
          <w:tcPr>
            <w:tcW w:w="236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CB07F8" w:rsidRPr="00AA758F" w:rsidRDefault="00CB07F8" w:rsidP="00B23A2A">
            <w:pPr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CB07F8" w:rsidRPr="00AA758F" w:rsidRDefault="00AA758F" w:rsidP="00B23A2A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5.714</w:t>
            </w:r>
          </w:p>
        </w:tc>
      </w:tr>
      <w:tr w:rsidR="00CB07F8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7F8" w:rsidRPr="00AA758F" w:rsidRDefault="00CB07F8" w:rsidP="00B23A2A">
            <w:pPr>
              <w:rPr>
                <w:bCs/>
              </w:rPr>
            </w:pPr>
            <w:r w:rsidRPr="00AA758F">
              <w:rPr>
                <w:bCs/>
              </w:rPr>
              <w:t>Demais fornecedores</w:t>
            </w:r>
          </w:p>
        </w:tc>
        <w:tc>
          <w:tcPr>
            <w:tcW w:w="9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7F8" w:rsidRPr="00AA758F" w:rsidRDefault="00AA758F" w:rsidP="008447DE">
            <w:pPr>
              <w:jc w:val="right"/>
              <w:rPr>
                <w:bCs/>
              </w:rPr>
            </w:pPr>
            <w:r w:rsidRPr="00AA758F">
              <w:rPr>
                <w:bCs/>
              </w:rPr>
              <w:t>14.598</w:t>
            </w: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B07F8" w:rsidRPr="00AA758F" w:rsidRDefault="00CB07F8" w:rsidP="00B23A2A"/>
        </w:tc>
        <w:tc>
          <w:tcPr>
            <w:tcW w:w="87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B07F8" w:rsidRPr="00AA758F" w:rsidRDefault="00AA758F" w:rsidP="00B23A2A">
            <w:pPr>
              <w:jc w:val="right"/>
              <w:rPr>
                <w:bCs/>
              </w:rPr>
            </w:pPr>
            <w:r w:rsidRPr="00AA758F">
              <w:rPr>
                <w:bCs/>
              </w:rPr>
              <w:t>18.548</w:t>
            </w:r>
          </w:p>
        </w:tc>
      </w:tr>
      <w:tr w:rsidR="00AD18DC" w:rsidRPr="00AA758F" w:rsidTr="00AA758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AA758F" w:rsidRDefault="002A6B4D" w:rsidP="00B23A2A">
            <w:pPr>
              <w:rPr>
                <w:b/>
                <w:bCs/>
              </w:rPr>
            </w:pPr>
            <w:r w:rsidRPr="00AA758F">
              <w:rPr>
                <w:b/>
                <w:bCs/>
              </w:rPr>
              <w:t>Saldo Contábil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AA758F" w:rsidRDefault="00E614D5" w:rsidP="008447DE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2</w:t>
            </w:r>
            <w:r w:rsidR="008447DE" w:rsidRPr="00AA758F">
              <w:rPr>
                <w:b/>
                <w:bCs/>
              </w:rPr>
              <w:t>6</w:t>
            </w:r>
            <w:r w:rsidR="002A6B4D" w:rsidRPr="00AA758F">
              <w:rPr>
                <w:b/>
                <w:bCs/>
              </w:rPr>
              <w:t>.</w:t>
            </w:r>
            <w:r w:rsidR="008447DE" w:rsidRPr="00AA758F">
              <w:rPr>
                <w:b/>
                <w:bCs/>
              </w:rPr>
              <w:t>473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AA758F" w:rsidRDefault="002A6B4D" w:rsidP="00B23A2A">
            <w:r w:rsidRPr="00AA758F"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AA758F" w:rsidRDefault="002A6B4D" w:rsidP="00B23A2A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24.262</w:t>
            </w:r>
          </w:p>
        </w:tc>
      </w:tr>
    </w:tbl>
    <w:p w:rsidR="002A6B4D" w:rsidRPr="00336582" w:rsidRDefault="002A6B4D" w:rsidP="00C00515">
      <w:pPr>
        <w:tabs>
          <w:tab w:val="left" w:pos="851"/>
        </w:tabs>
        <w:jc w:val="both"/>
      </w:pPr>
    </w:p>
    <w:p w:rsidR="00DD0650" w:rsidRDefault="001B0EF5" w:rsidP="001B0EF5">
      <w:pPr>
        <w:jc w:val="both"/>
      </w:pPr>
      <w:r w:rsidRPr="00DD0650">
        <w:t xml:space="preserve">O saldo com o fornecedor </w:t>
      </w:r>
      <w:proofErr w:type="spellStart"/>
      <w:r w:rsidRPr="00DD0650">
        <w:t>Barrfab</w:t>
      </w:r>
      <w:proofErr w:type="spellEnd"/>
      <w:r w:rsidRPr="00DD0650">
        <w:t xml:space="preserve"> Indústria Comércio Importação e Exportação </w:t>
      </w:r>
      <w:r w:rsidR="008F7EBB" w:rsidRPr="00DD0650">
        <w:t xml:space="preserve">permanece devido aos equipamentos entregues terem apresentado defeitos. O pagamento ou não </w:t>
      </w:r>
      <w:r w:rsidRPr="00DD0650">
        <w:t xml:space="preserve">depende de </w:t>
      </w:r>
      <w:r w:rsidR="004B1B36" w:rsidRPr="00DD0650">
        <w:t xml:space="preserve">processo </w:t>
      </w:r>
      <w:r w:rsidRPr="00DD0650">
        <w:t xml:space="preserve">judicial, </w:t>
      </w:r>
      <w:r w:rsidR="004B1B36" w:rsidRPr="00DD0650">
        <w:t>o</w:t>
      </w:r>
      <w:r w:rsidRPr="00DD0650">
        <w:t xml:space="preserve"> qual está </w:t>
      </w:r>
      <w:r w:rsidR="00DD0650">
        <w:t>na fase de abertura de prazo para impugnação do laudo pericial, pois foram identificadas inconformidades e inconsistências no laudo juntado ao processo.</w:t>
      </w:r>
    </w:p>
    <w:p w:rsidR="00101483" w:rsidRDefault="00101483" w:rsidP="001B0EF5">
      <w:pPr>
        <w:jc w:val="both"/>
      </w:pPr>
    </w:p>
    <w:p w:rsidR="00944CE7" w:rsidRDefault="00944CE7">
      <w:pPr>
        <w:rPr>
          <w:color w:val="FF0000"/>
        </w:rPr>
      </w:pPr>
      <w:bookmarkStart w:id="23" w:name="_Ref466465991"/>
      <w:bookmarkStart w:id="24" w:name="_Ref466472218"/>
      <w:r>
        <w:rPr>
          <w:b/>
          <w:color w:val="FF0000"/>
        </w:rPr>
        <w:br w:type="page"/>
      </w:r>
    </w:p>
    <w:p w:rsidR="00B20F98" w:rsidRPr="00336582" w:rsidRDefault="00FE0281" w:rsidP="00B670FD">
      <w:pPr>
        <w:pStyle w:val="Ttulo"/>
        <w:ind w:left="0"/>
        <w:outlineLvl w:val="0"/>
      </w:pPr>
      <w:bookmarkStart w:id="25" w:name="_Toc65061175"/>
      <w:r w:rsidRPr="00336582">
        <w:lastRenderedPageBreak/>
        <w:t>Obrigações Tributárias e Sociais</w:t>
      </w:r>
      <w:bookmarkEnd w:id="23"/>
      <w:bookmarkEnd w:id="24"/>
      <w:bookmarkEnd w:id="25"/>
      <w:r w:rsidR="00A35EF4" w:rsidRPr="00336582">
        <w:t xml:space="preserve"> </w:t>
      </w:r>
    </w:p>
    <w:p w:rsidR="00AA303E" w:rsidRPr="00336582" w:rsidRDefault="00AA303E" w:rsidP="00AA303E">
      <w:pPr>
        <w:rPr>
          <w:b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4"/>
        <w:gridCol w:w="1701"/>
        <w:gridCol w:w="428"/>
        <w:gridCol w:w="1557"/>
      </w:tblGrid>
      <w:tr w:rsidR="006E6789" w:rsidRPr="006E6789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F84870" w:rsidP="00F84870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FE6289" w:rsidP="001F35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F84870" w:rsidP="00F84870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F84870" w:rsidP="005918F6">
            <w:pPr>
              <w:jc w:val="right"/>
              <w:rPr>
                <w:b/>
                <w:bCs/>
              </w:rPr>
            </w:pPr>
            <w:r w:rsidRPr="006E6789">
              <w:rPr>
                <w:b/>
                <w:bCs/>
              </w:rPr>
              <w:t>31/12/201</w:t>
            </w:r>
            <w:r w:rsidR="005918F6" w:rsidRPr="006E6789">
              <w:rPr>
                <w:b/>
                <w:bCs/>
              </w:rPr>
              <w:t>9</w:t>
            </w:r>
          </w:p>
        </w:tc>
      </w:tr>
      <w:tr w:rsidR="00757094" w:rsidRPr="006E6789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r w:rsidRPr="006E6789">
              <w:t>Tributos Federais e Municipais retidos de Fornecedores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094" w:rsidRPr="00383BC3" w:rsidRDefault="00757094" w:rsidP="00757094">
            <w:pPr>
              <w:jc w:val="right"/>
            </w:pPr>
            <w:r w:rsidRPr="00383BC3">
              <w:t>1.494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094" w:rsidRPr="006E6789" w:rsidRDefault="00757094" w:rsidP="008A1483">
            <w:pPr>
              <w:jc w:val="right"/>
            </w:pPr>
            <w:r w:rsidRPr="006E6789">
              <w:t>912</w:t>
            </w:r>
          </w:p>
        </w:tc>
      </w:tr>
      <w:tr w:rsidR="00757094" w:rsidRPr="006E6789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r w:rsidRPr="006E6789">
              <w:t>COFINS sobre Faturamento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094" w:rsidRPr="00383BC3" w:rsidRDefault="00757094" w:rsidP="00757094">
            <w:pPr>
              <w:jc w:val="right"/>
            </w:pPr>
            <w:r>
              <w:t>168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094" w:rsidRPr="006E6789" w:rsidRDefault="00757094" w:rsidP="008A1483">
            <w:pPr>
              <w:jc w:val="right"/>
            </w:pPr>
            <w:r w:rsidRPr="006E6789">
              <w:t>157</w:t>
            </w:r>
          </w:p>
        </w:tc>
      </w:tr>
      <w:tr w:rsidR="00757094" w:rsidRPr="006E6789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r w:rsidRPr="006E6789">
              <w:t>PIS sobre Faturamento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094" w:rsidRPr="00383BC3" w:rsidRDefault="00757094" w:rsidP="00757094">
            <w:pPr>
              <w:jc w:val="right"/>
            </w:pPr>
            <w:r w:rsidRPr="00383BC3">
              <w:t>36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7094" w:rsidRPr="006E6789" w:rsidRDefault="00757094" w:rsidP="008A1483">
            <w:pPr>
              <w:jc w:val="right"/>
            </w:pPr>
            <w:r w:rsidRPr="006E6789">
              <w:t>36</w:t>
            </w:r>
          </w:p>
        </w:tc>
      </w:tr>
      <w:tr w:rsidR="00757094" w:rsidRPr="00757094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F84870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Obrigações Tributárias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094" w:rsidRPr="00757094" w:rsidRDefault="00757094" w:rsidP="00757094">
            <w:pPr>
              <w:jc w:val="right"/>
              <w:rPr>
                <w:b/>
              </w:rPr>
            </w:pPr>
            <w:r w:rsidRPr="00757094">
              <w:rPr>
                <w:b/>
              </w:rPr>
              <w:t>1.698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8A1483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1.105</w:t>
            </w:r>
          </w:p>
        </w:tc>
      </w:tr>
      <w:tr w:rsidR="00757094" w:rsidRPr="006E6789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r w:rsidRPr="006E6789">
              <w:t>Obrigações Sociais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094" w:rsidRPr="00383BC3" w:rsidRDefault="00757094" w:rsidP="00757094">
            <w:pPr>
              <w:jc w:val="right"/>
            </w:pPr>
            <w:r w:rsidRPr="00383BC3">
              <w:t>138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F84870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6E6789" w:rsidRDefault="00757094" w:rsidP="008A1483">
            <w:pPr>
              <w:jc w:val="right"/>
            </w:pPr>
            <w:r w:rsidRPr="006E6789">
              <w:t>152</w:t>
            </w:r>
          </w:p>
        </w:tc>
      </w:tr>
      <w:tr w:rsidR="00757094" w:rsidRPr="00757094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F84870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Obrigações Sociais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57094" w:rsidRPr="00757094" w:rsidRDefault="00757094" w:rsidP="00757094">
            <w:pPr>
              <w:jc w:val="right"/>
              <w:rPr>
                <w:b/>
              </w:rPr>
            </w:pPr>
            <w:r w:rsidRPr="00757094">
              <w:rPr>
                <w:b/>
              </w:rPr>
              <w:t>138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8A1483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152</w:t>
            </w:r>
          </w:p>
        </w:tc>
      </w:tr>
      <w:tr w:rsidR="00757094" w:rsidRPr="00757094" w:rsidTr="00AA758F">
        <w:tc>
          <w:tcPr>
            <w:tcW w:w="2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F84870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Saldo Contábil</w:t>
            </w:r>
          </w:p>
        </w:tc>
        <w:tc>
          <w:tcPr>
            <w:tcW w:w="9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57094" w:rsidRPr="00757094" w:rsidRDefault="00757094" w:rsidP="00757094">
            <w:pPr>
              <w:jc w:val="right"/>
              <w:rPr>
                <w:b/>
              </w:rPr>
            </w:pPr>
            <w:r w:rsidRPr="00757094">
              <w:rPr>
                <w:b/>
              </w:rPr>
              <w:t>1.836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57094" w:rsidRPr="00757094" w:rsidRDefault="00757094" w:rsidP="008A1483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1.257</w:t>
            </w:r>
          </w:p>
        </w:tc>
      </w:tr>
    </w:tbl>
    <w:p w:rsidR="009A289D" w:rsidRPr="001F3542" w:rsidRDefault="009A289D" w:rsidP="00AA303E">
      <w:pPr>
        <w:rPr>
          <w:b/>
          <w:color w:val="FF0000"/>
        </w:rPr>
      </w:pPr>
    </w:p>
    <w:p w:rsidR="00D56E5A" w:rsidRPr="00EA358B" w:rsidRDefault="00ED5B2D" w:rsidP="00116BD5">
      <w:pPr>
        <w:tabs>
          <w:tab w:val="left" w:pos="851"/>
        </w:tabs>
        <w:jc w:val="both"/>
      </w:pPr>
      <w:r w:rsidRPr="00EA358B">
        <w:t>Na conta Obrigações Tributárias</w:t>
      </w:r>
      <w:r w:rsidR="00B20F98" w:rsidRPr="00EA358B">
        <w:t xml:space="preserve"> são registrados os impostos federais PIS e</w:t>
      </w:r>
      <w:r w:rsidR="00B72E90" w:rsidRPr="00EA358B">
        <w:t xml:space="preserve"> COFINS e os valores retidos de</w:t>
      </w:r>
      <w:r w:rsidR="00B20F98" w:rsidRPr="00EA358B">
        <w:t xml:space="preserve"> fornecedores, conforme Lei Complementar Municipal n° 306/93 e 07/73 e </w:t>
      </w:r>
      <w:r w:rsidR="00B72E90" w:rsidRPr="00EA358B">
        <w:t>IN/RFB n° 1</w:t>
      </w:r>
      <w:r w:rsidR="00916468" w:rsidRPr="00EA358B">
        <w:t>.</w:t>
      </w:r>
      <w:r w:rsidR="00B72E90" w:rsidRPr="00EA358B">
        <w:t>23</w:t>
      </w:r>
      <w:r w:rsidR="00B20F98" w:rsidRPr="00EA358B">
        <w:t>4</w:t>
      </w:r>
      <w:r w:rsidR="003349E3" w:rsidRPr="00EA358B">
        <w:t xml:space="preserve"> ou</w:t>
      </w:r>
      <w:r w:rsidR="00B20F98" w:rsidRPr="00EA358B">
        <w:t xml:space="preserve"> de 30/01/2012 e IN/RFB n° 971 de 2009. Todos os valores retidos dos fornecedores são recolhidos aos cofres públicos por ocasião do pagamento ao fornecedor. A Instituição goza de isenção de </w:t>
      </w:r>
      <w:r w:rsidR="00610AA6" w:rsidRPr="00EA358B">
        <w:t>impostos</w:t>
      </w:r>
      <w:r w:rsidR="00B20F98" w:rsidRPr="00EA358B">
        <w:t xml:space="preserve"> federais conforme artigo n° 15 da Lei 5.604 de 02 de setembro de 1970</w:t>
      </w:r>
      <w:r w:rsidR="00116BD5" w:rsidRPr="00EA358B">
        <w:t>.</w:t>
      </w:r>
      <w:r w:rsidR="00D10B2E" w:rsidRPr="00EA358B">
        <w:t xml:space="preserve"> </w:t>
      </w:r>
    </w:p>
    <w:p w:rsidR="00780A31" w:rsidRPr="001F3542" w:rsidRDefault="00780A31" w:rsidP="00116BD5">
      <w:pPr>
        <w:tabs>
          <w:tab w:val="left" w:pos="851"/>
        </w:tabs>
        <w:jc w:val="both"/>
        <w:rPr>
          <w:color w:val="FF0000"/>
        </w:rPr>
      </w:pPr>
    </w:p>
    <w:p w:rsidR="004452E7" w:rsidRPr="001F3542" w:rsidRDefault="004452E7" w:rsidP="00116BD5">
      <w:pPr>
        <w:tabs>
          <w:tab w:val="left" w:pos="851"/>
        </w:tabs>
        <w:jc w:val="both"/>
        <w:rPr>
          <w:color w:val="FF0000"/>
        </w:rPr>
      </w:pPr>
    </w:p>
    <w:p w:rsidR="00B85AF2" w:rsidRPr="00574DCA" w:rsidRDefault="006110E4" w:rsidP="00B670FD">
      <w:pPr>
        <w:pStyle w:val="Ttulo"/>
        <w:ind w:left="0"/>
        <w:outlineLvl w:val="0"/>
      </w:pPr>
      <w:bookmarkStart w:id="26" w:name="_Toc65061176"/>
      <w:r w:rsidRPr="00574DCA">
        <w:t>Obrigações com Pessoal</w:t>
      </w:r>
      <w:bookmarkEnd w:id="26"/>
      <w:r w:rsidRPr="00574DCA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1F3542" w:rsidRPr="00574DCA" w:rsidTr="005D29A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574DCA" w:rsidRDefault="005D29A2" w:rsidP="005D29A2">
            <w:r w:rsidRPr="00574DCA"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574DCA" w:rsidRDefault="00FE6289" w:rsidP="001F354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31/12/2020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574DCA" w:rsidRDefault="005D29A2" w:rsidP="005D29A2"/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574DCA" w:rsidRDefault="005D29A2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31/12/201</w:t>
            </w:r>
            <w:r w:rsidR="005918F6" w:rsidRPr="00574DCA">
              <w:rPr>
                <w:b/>
                <w:bCs/>
              </w:rPr>
              <w:t>9</w:t>
            </w:r>
          </w:p>
        </w:tc>
      </w:tr>
      <w:tr w:rsidR="00574DCA" w:rsidRPr="00574DCA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995B92">
            <w:r w:rsidRPr="00574DCA">
              <w:t xml:space="preserve">Salários, Remuneração e </w:t>
            </w:r>
            <w:proofErr w:type="gramStart"/>
            <w:r w:rsidRPr="00574DCA">
              <w:t>Benefícios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DCA" w:rsidRPr="00574DCA" w:rsidRDefault="00574DCA" w:rsidP="00326CDF">
            <w:pPr>
              <w:jc w:val="right"/>
            </w:pPr>
            <w:r w:rsidRPr="00574DCA">
              <w:t>56.885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DCA" w:rsidRPr="00574DCA" w:rsidRDefault="00574DCA" w:rsidP="008A1483">
            <w:pPr>
              <w:jc w:val="right"/>
            </w:pPr>
            <w:r w:rsidRPr="00574DCA">
              <w:t>51.529</w:t>
            </w:r>
          </w:p>
        </w:tc>
      </w:tr>
      <w:tr w:rsidR="00574DCA" w:rsidRPr="00574DCA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995B92">
            <w:r w:rsidRPr="00574DCA">
              <w:t>Previdência e Assistência Médica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DCA" w:rsidRPr="00574DCA" w:rsidRDefault="00574DCA" w:rsidP="00326CDF">
            <w:pPr>
              <w:jc w:val="right"/>
            </w:pPr>
            <w:r w:rsidRPr="00574DCA">
              <w:t>7.147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DCA" w:rsidRPr="00574DCA" w:rsidRDefault="00574DCA" w:rsidP="008A1483">
            <w:pPr>
              <w:jc w:val="right"/>
            </w:pPr>
            <w:r w:rsidRPr="00574DCA">
              <w:t>7.488</w:t>
            </w:r>
          </w:p>
        </w:tc>
      </w:tr>
      <w:tr w:rsidR="00574DCA" w:rsidRPr="00574DCA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5D29A2">
            <w:r w:rsidRPr="00574DCA">
              <w:t>Empréstimos e Financiamentos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DCA" w:rsidRPr="00574DCA" w:rsidRDefault="00574DCA" w:rsidP="00326CDF">
            <w:pPr>
              <w:jc w:val="right"/>
            </w:pPr>
            <w:r w:rsidRPr="00574DCA">
              <w:t>3.356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DCA" w:rsidRPr="00574DCA" w:rsidRDefault="00574DCA" w:rsidP="008A1483">
            <w:pPr>
              <w:jc w:val="right"/>
            </w:pPr>
            <w:r w:rsidRPr="00574DCA">
              <w:t>3.192</w:t>
            </w:r>
          </w:p>
        </w:tc>
      </w:tr>
      <w:tr w:rsidR="00574DCA" w:rsidRPr="00574DCA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5D29A2">
            <w:r w:rsidRPr="00574DCA">
              <w:t>Outras Despesas de Pessoal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74DCA" w:rsidRPr="00574DCA" w:rsidRDefault="00574DCA" w:rsidP="00326CDF">
            <w:pPr>
              <w:jc w:val="right"/>
            </w:pPr>
            <w:r w:rsidRPr="00574DCA">
              <w:t>1.431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DCA" w:rsidRPr="00574DCA" w:rsidRDefault="00574DCA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74DCA" w:rsidRPr="00574DCA" w:rsidRDefault="00574DCA" w:rsidP="008A1483">
            <w:pPr>
              <w:jc w:val="right"/>
            </w:pPr>
            <w:r w:rsidRPr="00574DCA">
              <w:t>1.370</w:t>
            </w:r>
          </w:p>
        </w:tc>
      </w:tr>
      <w:tr w:rsidR="001F3542" w:rsidRPr="00672906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8F6" w:rsidRPr="00574DCA" w:rsidRDefault="005918F6" w:rsidP="005D29A2">
            <w:pPr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918F6" w:rsidRPr="00574DCA" w:rsidRDefault="00574DCA" w:rsidP="00574DCA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68</w:t>
            </w:r>
            <w:r w:rsidR="00136A88" w:rsidRPr="00574DCA">
              <w:rPr>
                <w:b/>
                <w:bCs/>
              </w:rPr>
              <w:t>.</w:t>
            </w:r>
            <w:r w:rsidRPr="00574DCA">
              <w:rPr>
                <w:b/>
                <w:bCs/>
              </w:rPr>
              <w:t>819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F6" w:rsidRPr="00574DCA" w:rsidRDefault="005918F6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672906" w:rsidRDefault="005918F6" w:rsidP="008A1483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63.579</w:t>
            </w:r>
          </w:p>
        </w:tc>
      </w:tr>
    </w:tbl>
    <w:p w:rsidR="005D29A2" w:rsidRPr="001F3542" w:rsidRDefault="005D29A2" w:rsidP="00B20F98">
      <w:pPr>
        <w:jc w:val="both"/>
        <w:rPr>
          <w:color w:val="FF0000"/>
        </w:rPr>
      </w:pPr>
    </w:p>
    <w:p w:rsidR="00162BC0" w:rsidRDefault="00CF1F80" w:rsidP="00B20F98">
      <w:pPr>
        <w:jc w:val="both"/>
      </w:pPr>
      <w:r w:rsidRPr="00EA358B">
        <w:t>C</w:t>
      </w:r>
      <w:r w:rsidR="00385F14" w:rsidRPr="00EA358B">
        <w:t>ompõe o saldo</w:t>
      </w:r>
      <w:r w:rsidRPr="00EA358B">
        <w:t xml:space="preserve"> de obrigações</w:t>
      </w:r>
      <w:r w:rsidR="002A2DA7" w:rsidRPr="00EA358B">
        <w:t xml:space="preserve"> com pessoal o valor referente à</w:t>
      </w:r>
      <w:r w:rsidRPr="00EA358B">
        <w:t xml:space="preserve"> folha de pagamento de </w:t>
      </w:r>
      <w:r w:rsidR="009C13B6">
        <w:t>dez</w:t>
      </w:r>
      <w:r w:rsidR="003B3E6B" w:rsidRPr="00EA358B">
        <w:t>embro</w:t>
      </w:r>
      <w:r w:rsidRPr="00EA358B">
        <w:t xml:space="preserve"> de 20</w:t>
      </w:r>
      <w:r w:rsidR="006051D0" w:rsidRPr="00EA358B">
        <w:t>20</w:t>
      </w:r>
      <w:r w:rsidRPr="00EA358B">
        <w:t>. Em contrapartida</w:t>
      </w:r>
      <w:r w:rsidR="003349E3" w:rsidRPr="00EA358B">
        <w:t>,</w:t>
      </w:r>
      <w:r w:rsidRPr="00EA358B">
        <w:t xml:space="preserve"> encontram-se depositados na c</w:t>
      </w:r>
      <w:r w:rsidR="00385F14" w:rsidRPr="00EA358B">
        <w:t xml:space="preserve">onta única os </w:t>
      </w:r>
      <w:r w:rsidR="00D27736" w:rsidRPr="00EA358B">
        <w:t>recurso</w:t>
      </w:r>
      <w:r w:rsidR="00385F14" w:rsidRPr="00EA358B">
        <w:t>s</w:t>
      </w:r>
      <w:r w:rsidR="00D27736" w:rsidRPr="00EA358B">
        <w:t xml:space="preserve"> financeiro</w:t>
      </w:r>
      <w:r w:rsidR="00385F14" w:rsidRPr="00EA358B">
        <w:t xml:space="preserve">s para </w:t>
      </w:r>
      <w:r w:rsidRPr="00EA358B">
        <w:t xml:space="preserve">o seu pagamento. </w:t>
      </w:r>
      <w:r w:rsidR="00E232AA">
        <w:t>A</w:t>
      </w:r>
      <w:r w:rsidR="006343BA" w:rsidRPr="00EA358B">
        <w:t xml:space="preserve"> </w:t>
      </w:r>
      <w:r w:rsidR="0000094D" w:rsidRPr="00EA358B">
        <w:t>compensação</w:t>
      </w:r>
      <w:r w:rsidR="00E53603" w:rsidRPr="00EA358B">
        <w:t xml:space="preserve"> ocorreu no primeiro </w:t>
      </w:r>
      <w:r w:rsidR="00EA358B">
        <w:t xml:space="preserve">dia útil </w:t>
      </w:r>
      <w:r w:rsidR="006343BA" w:rsidRPr="00EA358B">
        <w:t xml:space="preserve">de </w:t>
      </w:r>
      <w:r w:rsidR="008B2D62">
        <w:t>janeiro de 2021</w:t>
      </w:r>
      <w:r w:rsidR="00DE00EF" w:rsidRPr="00EA358B">
        <w:t>.</w:t>
      </w:r>
    </w:p>
    <w:p w:rsidR="006110E4" w:rsidRPr="001F3542" w:rsidRDefault="006110E4" w:rsidP="00B20F98">
      <w:pPr>
        <w:jc w:val="both"/>
        <w:rPr>
          <w:color w:val="FF0000"/>
        </w:rPr>
      </w:pPr>
    </w:p>
    <w:p w:rsidR="000B743D" w:rsidRPr="001F3542" w:rsidRDefault="000B743D" w:rsidP="00B20F98">
      <w:pPr>
        <w:jc w:val="both"/>
        <w:rPr>
          <w:color w:val="FF0000"/>
        </w:rPr>
      </w:pPr>
    </w:p>
    <w:p w:rsidR="0021705F" w:rsidRPr="004E7291" w:rsidRDefault="0021705F" w:rsidP="0021705F">
      <w:pPr>
        <w:pStyle w:val="Ttulo"/>
        <w:ind w:left="0"/>
        <w:outlineLvl w:val="0"/>
      </w:pPr>
      <w:bookmarkStart w:id="27" w:name="_Ref466465804"/>
      <w:bookmarkStart w:id="28" w:name="_Ref466465880"/>
      <w:bookmarkStart w:id="29" w:name="_Ref466466046"/>
      <w:bookmarkStart w:id="30" w:name="_Ref466466081"/>
      <w:bookmarkStart w:id="31" w:name="_Ref466467762"/>
      <w:bookmarkStart w:id="32" w:name="_Ref466467846"/>
      <w:bookmarkStart w:id="33" w:name="_Ref466472309"/>
      <w:bookmarkStart w:id="34" w:name="_Toc65061177"/>
      <w:r w:rsidRPr="004E7291">
        <w:t>Contingências Passivas e Apropriações de Despesas de Pessoal por Competência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21705F" w:rsidRPr="004E7291" w:rsidRDefault="0021705F" w:rsidP="0021705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181"/>
        <w:gridCol w:w="206"/>
        <w:gridCol w:w="1181"/>
        <w:gridCol w:w="350"/>
        <w:gridCol w:w="1185"/>
        <w:gridCol w:w="446"/>
        <w:gridCol w:w="1339"/>
      </w:tblGrid>
      <w:tr w:rsidR="00561B35" w:rsidRPr="003A087E" w:rsidTr="003A087E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26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31/12/2020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31/12/2019</w:t>
            </w:r>
          </w:p>
        </w:tc>
      </w:tr>
      <w:tr w:rsidR="00561B35" w:rsidRPr="00561B35" w:rsidTr="003A087E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</w:tr>
      <w:tr w:rsidR="00561B35" w:rsidRPr="00561B35" w:rsidTr="003A087E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Curto Prazo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Longo Prazo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Total</w:t>
            </w:r>
          </w:p>
        </w:tc>
      </w:tr>
      <w:tr w:rsidR="00561B35" w:rsidRPr="002C0407" w:rsidTr="003A087E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r w:rsidRPr="002C0407">
              <w:t>Contingências (a)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11.618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420.707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432.325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423.957</w:t>
            </w:r>
          </w:p>
        </w:tc>
      </w:tr>
      <w:tr w:rsidR="00561B35" w:rsidRPr="002C0407" w:rsidTr="003A087E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r w:rsidRPr="002C0407">
              <w:t>Férias a Pagar (b)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115.402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 xml:space="preserve">             -</w:t>
            </w:r>
            <w:proofErr w:type="gramStart"/>
            <w:r w:rsidRPr="002C0407">
              <w:t xml:space="preserve"> 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115.402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103.398</w:t>
            </w:r>
          </w:p>
        </w:tc>
      </w:tr>
      <w:tr w:rsidR="00561B35" w:rsidRPr="002C0407" w:rsidTr="00561B35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r w:rsidRPr="002C0407">
              <w:t>Licença Especial (c)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59.656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 xml:space="preserve">        -</w:t>
            </w:r>
            <w:proofErr w:type="gramStart"/>
            <w:r w:rsidRPr="002C0407">
              <w:t xml:space="preserve">  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  <w:proofErr w:type="gramEnd"/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59.656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54.693</w:t>
            </w:r>
          </w:p>
        </w:tc>
      </w:tr>
      <w:tr w:rsidR="00561B35" w:rsidRPr="002C0407" w:rsidTr="00561B35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AF19EF">
            <w:r w:rsidRPr="002C0407">
              <w:t>Tempo de Serviço Passado TSP (</w:t>
            </w:r>
            <w:r w:rsidR="00AF19EF">
              <w:t>d</w:t>
            </w:r>
            <w:r w:rsidRPr="002C0407">
              <w:t>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3.752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2C0407">
            <w:pPr>
              <w:jc w:val="right"/>
            </w:pPr>
            <w:r w:rsidRPr="002C0407">
              <w:t>10.3</w:t>
            </w:r>
            <w:r w:rsidR="002C0407" w:rsidRPr="002C0407">
              <w:t>70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2C0407">
            <w:pPr>
              <w:jc w:val="right"/>
            </w:pPr>
            <w:r w:rsidRPr="002C0407">
              <w:t>14.12</w:t>
            </w:r>
            <w:r w:rsidR="002C0407" w:rsidRPr="002C0407"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</w:pPr>
            <w:r w:rsidRPr="002C0407">
              <w:t>18.524</w:t>
            </w:r>
          </w:p>
        </w:tc>
      </w:tr>
      <w:tr w:rsidR="00561B35" w:rsidRPr="00561B35" w:rsidTr="00561B35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b/>
                <w:bCs/>
              </w:rPr>
            </w:pPr>
            <w:r w:rsidRPr="002C0407">
              <w:rPr>
                <w:b/>
                <w:bCs/>
              </w:rPr>
              <w:t>Saldo Contábil</w:t>
            </w: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  <w:rPr>
                <w:b/>
                <w:bCs/>
              </w:rPr>
            </w:pPr>
            <w:r w:rsidRPr="002C0407">
              <w:rPr>
                <w:b/>
                <w:bCs/>
              </w:rPr>
              <w:t>190.428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  <w:rPr>
                <w:b/>
                <w:bCs/>
              </w:rPr>
            </w:pPr>
            <w:r w:rsidRPr="002C0407">
              <w:rPr>
                <w:b/>
                <w:bCs/>
              </w:rPr>
              <w:t>431.077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jc w:val="right"/>
              <w:rPr>
                <w:b/>
              </w:rPr>
            </w:pPr>
            <w:r w:rsidRPr="002C0407">
              <w:rPr>
                <w:b/>
              </w:rPr>
              <w:t>621.505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2C0407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2C0407">
              <w:rPr>
                <w:b/>
                <w:bCs/>
              </w:rPr>
              <w:t>600.572</w:t>
            </w:r>
          </w:p>
        </w:tc>
      </w:tr>
    </w:tbl>
    <w:p w:rsidR="00407390" w:rsidRPr="001F3542" w:rsidRDefault="00407390" w:rsidP="00407390">
      <w:pPr>
        <w:rPr>
          <w:b/>
          <w:color w:val="FF0000"/>
        </w:rPr>
      </w:pPr>
    </w:p>
    <w:p w:rsidR="00407390" w:rsidRPr="00EA358B" w:rsidRDefault="00407390" w:rsidP="00407390">
      <w:pPr>
        <w:jc w:val="both"/>
      </w:pPr>
      <w:r w:rsidRPr="00EA358B">
        <w:t>A Instituição registra no ativo o direito a receber relativo aos recursos para cobertura das provisões de despesas com pessoal e contingências passivas, recursos que provêm do Tesouro Nacional.</w:t>
      </w:r>
    </w:p>
    <w:p w:rsidR="00407390" w:rsidRPr="00EA358B" w:rsidRDefault="00407390" w:rsidP="00407390">
      <w:pPr>
        <w:jc w:val="both"/>
      </w:pPr>
    </w:p>
    <w:p w:rsidR="00407390" w:rsidRPr="004E7291" w:rsidRDefault="00407390" w:rsidP="00407390">
      <w:pPr>
        <w:jc w:val="both"/>
      </w:pPr>
      <w:r w:rsidRPr="00EA358B">
        <w:t xml:space="preserve">Os recursos a receber, bem como os valores a pagar e provisões relacionadas estão mensurados pelo valor </w:t>
      </w:r>
      <w:r w:rsidRPr="004E7291">
        <w:t>presente dos gastos, conforme segue:</w:t>
      </w:r>
    </w:p>
    <w:p w:rsidR="00FB047F" w:rsidRDefault="00FB047F">
      <w:r>
        <w:rPr>
          <w:b/>
        </w:rPr>
        <w:br w:type="page"/>
      </w:r>
    </w:p>
    <w:p w:rsidR="00407390" w:rsidRPr="004E7291" w:rsidRDefault="00FB6C8E" w:rsidP="00407390">
      <w:pPr>
        <w:pStyle w:val="Subttulo"/>
        <w:numPr>
          <w:ilvl w:val="0"/>
          <w:numId w:val="5"/>
        </w:numPr>
        <w:jc w:val="both"/>
      </w:pPr>
      <w:r w:rsidRPr="004E7291">
        <w:lastRenderedPageBreak/>
        <w:tab/>
        <w:t>Contingências</w:t>
      </w:r>
    </w:p>
    <w:p w:rsidR="00645071" w:rsidRDefault="00645071" w:rsidP="0021705F">
      <w:pPr>
        <w:jc w:val="both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1833"/>
        <w:gridCol w:w="175"/>
        <w:gridCol w:w="1312"/>
        <w:gridCol w:w="184"/>
        <w:gridCol w:w="1185"/>
        <w:gridCol w:w="260"/>
        <w:gridCol w:w="1336"/>
      </w:tblGrid>
      <w:tr w:rsidR="00645071" w:rsidRPr="00645071" w:rsidTr="00A93303"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5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31/12/2020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31/12/2019</w:t>
            </w:r>
          </w:p>
        </w:tc>
      </w:tr>
      <w:tr w:rsidR="00645071" w:rsidRPr="00645071" w:rsidTr="00A93303"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ind w:right="-67"/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Total</w:t>
            </w:r>
          </w:p>
        </w:tc>
      </w:tr>
      <w:tr w:rsidR="00645071" w:rsidRPr="00645071" w:rsidTr="00A93303"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Trabalhistas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10.958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398.258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409.216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402.069</w:t>
            </w:r>
          </w:p>
        </w:tc>
      </w:tr>
      <w:tr w:rsidR="00645071" w:rsidRPr="00645071" w:rsidTr="003C1607"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Cíveis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660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21.243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21.903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20.715</w:t>
            </w:r>
          </w:p>
        </w:tc>
      </w:tr>
      <w:tr w:rsidR="00645071" w:rsidRPr="00645071" w:rsidTr="003C1607"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Tributárias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1.206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1.206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1.173</w:t>
            </w:r>
          </w:p>
        </w:tc>
      </w:tr>
      <w:tr w:rsidR="00645071" w:rsidRPr="00645071" w:rsidTr="003C1607"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99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11.618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420.707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432.325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423.957</w:t>
            </w:r>
          </w:p>
        </w:tc>
      </w:tr>
    </w:tbl>
    <w:p w:rsidR="00645071" w:rsidRDefault="00645071" w:rsidP="0021705F">
      <w:pPr>
        <w:jc w:val="both"/>
        <w:rPr>
          <w:color w:val="FF0000"/>
        </w:rPr>
      </w:pPr>
    </w:p>
    <w:p w:rsidR="00DB0F7A" w:rsidRPr="00DB0F7A" w:rsidRDefault="00DB0F7A" w:rsidP="00DB0F7A">
      <w:pPr>
        <w:ind w:left="851" w:hanging="851"/>
        <w:jc w:val="both"/>
      </w:pPr>
      <w:r w:rsidRPr="002D0F86">
        <w:t>A movimentação de precatórios e provisões de contingências do período está demonstrada a seguir:</w:t>
      </w:r>
    </w:p>
    <w:p w:rsidR="00DB0F7A" w:rsidRPr="00DB0F7A" w:rsidRDefault="00DB0F7A" w:rsidP="00DB0F7A">
      <w:pPr>
        <w:ind w:left="851" w:hanging="851"/>
        <w:jc w:val="both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227"/>
        <w:gridCol w:w="208"/>
        <w:gridCol w:w="1369"/>
        <w:gridCol w:w="208"/>
        <w:gridCol w:w="1271"/>
        <w:gridCol w:w="208"/>
        <w:gridCol w:w="1152"/>
        <w:gridCol w:w="219"/>
        <w:gridCol w:w="1467"/>
      </w:tblGrid>
      <w:tr w:rsidR="00812146" w:rsidRPr="00EA50C1" w:rsidTr="00974CC9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r w:rsidRPr="00EA50C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r w:rsidRPr="00EA50C1">
              <w:t> 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</w:pPr>
            <w:r w:rsidRPr="00EA50C1">
              <w:t> </w:t>
            </w:r>
          </w:p>
        </w:tc>
        <w:tc>
          <w:tcPr>
            <w:tcW w:w="319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812146">
            <w:pPr>
              <w:jc w:val="right"/>
              <w:rPr>
                <w:b/>
                <w:bCs/>
              </w:rPr>
            </w:pPr>
            <w:r w:rsidRPr="00EA50C1">
              <w:rPr>
                <w:b/>
                <w:bCs/>
              </w:rPr>
              <w:t>31/12/20</w:t>
            </w:r>
            <w:r w:rsidR="00812146" w:rsidRPr="00EA50C1">
              <w:rPr>
                <w:b/>
                <w:bCs/>
              </w:rPr>
              <w:t>20</w:t>
            </w:r>
          </w:p>
        </w:tc>
      </w:tr>
      <w:tr w:rsidR="00812146" w:rsidRPr="00EA50C1" w:rsidTr="00974CC9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r w:rsidRPr="00EA50C1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r w:rsidRPr="00EA50C1">
              <w:t> </w:t>
            </w:r>
          </w:p>
        </w:tc>
        <w:tc>
          <w:tcPr>
            <w:tcW w:w="11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</w:pPr>
            <w:r w:rsidRPr="00EA50C1"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  <w:rPr>
                <w:b/>
                <w:bCs/>
              </w:rPr>
            </w:pPr>
            <w:r w:rsidRPr="00EA50C1">
              <w:rPr>
                <w:b/>
                <w:bCs/>
              </w:rPr>
              <w:t>Trabalhista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  <w:rPr>
                <w:b/>
                <w:bCs/>
              </w:rPr>
            </w:pPr>
            <w:r w:rsidRPr="00EA50C1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  <w:rPr>
                <w:b/>
                <w:bCs/>
              </w:rPr>
            </w:pPr>
            <w:r w:rsidRPr="00EA50C1">
              <w:rPr>
                <w:b/>
                <w:bCs/>
              </w:rPr>
              <w:t>Cível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  <w:rPr>
                <w:b/>
                <w:bCs/>
              </w:rPr>
            </w:pPr>
            <w:r w:rsidRPr="00EA50C1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0F7A" w:rsidRPr="00326CDF" w:rsidRDefault="00DB0F7A" w:rsidP="00974CC9">
            <w:pPr>
              <w:jc w:val="right"/>
              <w:rPr>
                <w:b/>
                <w:bCs/>
              </w:rPr>
            </w:pPr>
            <w:r w:rsidRPr="00326CDF">
              <w:rPr>
                <w:b/>
                <w:bCs/>
              </w:rPr>
              <w:t>Tributária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  <w:rPr>
                <w:b/>
                <w:bCs/>
              </w:rPr>
            </w:pPr>
            <w:r w:rsidRPr="00EA50C1">
              <w:rPr>
                <w:b/>
                <w:bCs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0F7A" w:rsidRPr="00EA50C1" w:rsidRDefault="00DB0F7A" w:rsidP="00974CC9">
            <w:pPr>
              <w:jc w:val="right"/>
              <w:rPr>
                <w:b/>
                <w:bCs/>
              </w:rPr>
            </w:pPr>
            <w:r w:rsidRPr="00EA50C1">
              <w:rPr>
                <w:b/>
                <w:bCs/>
              </w:rPr>
              <w:t>Total</w:t>
            </w:r>
          </w:p>
        </w:tc>
      </w:tr>
      <w:tr w:rsidR="00812146" w:rsidRPr="00C43CC4" w:rsidTr="00974CC9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146" w:rsidRPr="00C43CC4" w:rsidRDefault="00812146" w:rsidP="00974CC9">
            <w:r w:rsidRPr="00C43CC4">
              <w:t>Saldo Inicial em 01/01/2020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146" w:rsidRPr="00C43CC4" w:rsidRDefault="00812146" w:rsidP="00974CC9">
            <w:r w:rsidRPr="00C43CC4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2146" w:rsidRPr="00C43CC4" w:rsidRDefault="00812146" w:rsidP="00974CC9">
            <w:pPr>
              <w:jc w:val="right"/>
            </w:pPr>
            <w:r w:rsidRPr="00C43CC4"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146" w:rsidRPr="00C43CC4" w:rsidRDefault="00812146" w:rsidP="00812146">
            <w:pPr>
              <w:jc w:val="right"/>
            </w:pPr>
            <w:r w:rsidRPr="00C43CC4">
              <w:t>402.069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146" w:rsidRPr="00C43CC4" w:rsidRDefault="00812146" w:rsidP="00812146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146" w:rsidRPr="00C43CC4" w:rsidRDefault="00812146" w:rsidP="00812146">
            <w:pPr>
              <w:jc w:val="right"/>
            </w:pPr>
            <w:r w:rsidRPr="00C43CC4">
              <w:t>20.715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146" w:rsidRPr="00C43CC4" w:rsidRDefault="00812146" w:rsidP="00812146">
            <w:pPr>
              <w:jc w:val="right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146" w:rsidRPr="00C43CC4" w:rsidRDefault="00812146" w:rsidP="00812146">
            <w:pPr>
              <w:jc w:val="right"/>
            </w:pPr>
            <w:r w:rsidRPr="00C43CC4">
              <w:t>1.173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146" w:rsidRPr="00C43CC4" w:rsidRDefault="00812146" w:rsidP="00812146">
            <w:pPr>
              <w:jc w:val="right"/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2146" w:rsidRPr="00C43CC4" w:rsidRDefault="00812146" w:rsidP="00812146">
            <w:pPr>
              <w:jc w:val="right"/>
            </w:pPr>
            <w:r w:rsidRPr="00C43CC4">
              <w:t>423.957</w:t>
            </w:r>
          </w:p>
        </w:tc>
      </w:tr>
      <w:tr w:rsidR="00DB0F7A" w:rsidRPr="00C43CC4" w:rsidTr="00974CC9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r w:rsidRPr="00C43CC4">
              <w:t>Adições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r w:rsidRPr="00C43CC4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pPr>
              <w:jc w:val="right"/>
            </w:pPr>
            <w:r w:rsidRPr="00C43CC4"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C43CC4">
            <w:pPr>
              <w:jc w:val="right"/>
            </w:pPr>
            <w:r w:rsidRPr="00C43CC4">
              <w:t xml:space="preserve"> </w:t>
            </w:r>
            <w:r w:rsidR="00C43CC4" w:rsidRPr="00C43CC4">
              <w:t>15</w:t>
            </w:r>
            <w:r w:rsidRPr="00C43CC4">
              <w:t>.</w:t>
            </w:r>
            <w:r w:rsidR="00C43CC4" w:rsidRPr="00C43CC4">
              <w:t>752</w:t>
            </w:r>
            <w:r w:rsidRPr="00C43CC4">
              <w:t xml:space="preserve">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C43CC4">
            <w:pPr>
              <w:jc w:val="right"/>
            </w:pPr>
            <w:r w:rsidRPr="00C43CC4">
              <w:t xml:space="preserve"> </w:t>
            </w:r>
            <w:r w:rsidR="00C43CC4" w:rsidRPr="00C43CC4">
              <w:t>2.273</w:t>
            </w:r>
            <w:r w:rsidRPr="00C43CC4">
              <w:t xml:space="preserve">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326CDF" w:rsidP="00974CC9">
            <w:pPr>
              <w:jc w:val="right"/>
            </w:pPr>
            <w:r w:rsidRPr="00C43CC4">
              <w:t xml:space="preserve"> 33</w:t>
            </w:r>
            <w:r w:rsidR="00DB0F7A" w:rsidRPr="00C43CC4">
              <w:t xml:space="preserve">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C43CC4">
            <w:pPr>
              <w:jc w:val="right"/>
            </w:pPr>
            <w:r w:rsidRPr="00C43CC4">
              <w:t xml:space="preserve"> </w:t>
            </w:r>
            <w:r w:rsidR="00C43CC4" w:rsidRPr="00C43CC4">
              <w:t>18</w:t>
            </w:r>
            <w:r w:rsidRPr="00C43CC4">
              <w:t>.</w:t>
            </w:r>
            <w:r w:rsidR="00C43CC4" w:rsidRPr="00C43CC4">
              <w:t>058</w:t>
            </w:r>
            <w:r w:rsidRPr="00C43CC4">
              <w:t xml:space="preserve"> </w:t>
            </w:r>
          </w:p>
        </w:tc>
      </w:tr>
      <w:tr w:rsidR="00DB0F7A" w:rsidRPr="00C43CC4" w:rsidTr="00974CC9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r w:rsidRPr="00C43CC4">
              <w:t>Baixas por Pagamento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r w:rsidRPr="00C43CC4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pPr>
              <w:jc w:val="right"/>
            </w:pPr>
            <w:r w:rsidRPr="00C43CC4"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C43CC4">
            <w:pPr>
              <w:jc w:val="right"/>
            </w:pPr>
            <w:r w:rsidRPr="00C43CC4">
              <w:t>(</w:t>
            </w:r>
            <w:r w:rsidR="00C43CC4" w:rsidRPr="00C43CC4">
              <w:t>8</w:t>
            </w:r>
            <w:r w:rsidRPr="00C43CC4">
              <w:t>.</w:t>
            </w:r>
            <w:r w:rsidR="00C43CC4" w:rsidRPr="00C43CC4">
              <w:t>605</w:t>
            </w:r>
            <w:r w:rsidRPr="00C43CC4">
              <w:t xml:space="preserve">)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  <w:r w:rsidRPr="00C43CC4">
              <w:t xml:space="preserve"> -</w:t>
            </w:r>
            <w:proofErr w:type="gramStart"/>
            <w:r w:rsidRPr="00C43CC4">
              <w:t xml:space="preserve"> 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  <w:proofErr w:type="gramEnd"/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  <w:r w:rsidRPr="00C43CC4">
              <w:t xml:space="preserve"> -</w:t>
            </w:r>
            <w:proofErr w:type="gramStart"/>
            <w:r w:rsidRPr="00C43CC4">
              <w:t xml:space="preserve">  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C43CC4">
            <w:pPr>
              <w:jc w:val="right"/>
            </w:pPr>
            <w:r w:rsidRPr="00C43CC4">
              <w:t>(</w:t>
            </w:r>
            <w:r w:rsidR="00C43CC4" w:rsidRPr="00C43CC4">
              <w:t>8</w:t>
            </w:r>
            <w:r w:rsidRPr="00C43CC4">
              <w:t>.</w:t>
            </w:r>
            <w:r w:rsidR="00C43CC4" w:rsidRPr="00C43CC4">
              <w:t>605</w:t>
            </w:r>
            <w:r w:rsidRPr="00C43CC4">
              <w:t xml:space="preserve">) </w:t>
            </w:r>
          </w:p>
        </w:tc>
      </w:tr>
      <w:tr w:rsidR="00DB0F7A" w:rsidRPr="00C43CC4" w:rsidTr="00974CC9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r w:rsidRPr="00C43CC4">
              <w:t>Baixas por Reversão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r w:rsidRPr="00C43CC4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pPr>
              <w:jc w:val="right"/>
            </w:pPr>
            <w:r w:rsidRPr="00C43CC4"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C43CC4" w:rsidP="00974CC9">
            <w:pPr>
              <w:jc w:val="right"/>
            </w:pPr>
            <w:r w:rsidRPr="00C43CC4">
              <w:t>-</w:t>
            </w:r>
            <w:r w:rsidR="00DB0F7A" w:rsidRPr="00C43CC4">
              <w:t xml:space="preserve">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DB0F7A" w:rsidP="00C43CC4">
            <w:pPr>
              <w:jc w:val="right"/>
            </w:pPr>
            <w:r w:rsidRPr="00C43CC4">
              <w:t>(</w:t>
            </w:r>
            <w:r w:rsidR="00C43CC4" w:rsidRPr="00C43CC4">
              <w:t>1.085</w:t>
            </w:r>
            <w:r w:rsidRPr="00C43CC4">
              <w:t xml:space="preserve">)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  <w:r w:rsidRPr="00C43CC4">
              <w:t xml:space="preserve"> -</w:t>
            </w:r>
            <w:proofErr w:type="gramStart"/>
            <w:r w:rsidRPr="00C43CC4">
              <w:t xml:space="preserve">  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</w:pPr>
            <w:proofErr w:type="gramEnd"/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DB0F7A" w:rsidP="00C43CC4">
            <w:pPr>
              <w:jc w:val="right"/>
            </w:pPr>
            <w:r w:rsidRPr="00C43CC4">
              <w:t>(</w:t>
            </w:r>
            <w:r w:rsidR="00C43CC4" w:rsidRPr="00C43CC4">
              <w:t>1</w:t>
            </w:r>
            <w:r w:rsidRPr="00C43CC4">
              <w:t>.</w:t>
            </w:r>
            <w:r w:rsidR="00C43CC4" w:rsidRPr="00C43CC4">
              <w:t>085</w:t>
            </w:r>
            <w:r w:rsidRPr="00C43CC4">
              <w:t xml:space="preserve">) </w:t>
            </w:r>
          </w:p>
        </w:tc>
      </w:tr>
      <w:tr w:rsidR="0068404D" w:rsidRPr="00C43CC4" w:rsidTr="00974CC9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pPr>
              <w:rPr>
                <w:b/>
                <w:bCs/>
              </w:rPr>
            </w:pPr>
            <w:r w:rsidRPr="00C43CC4">
              <w:rPr>
                <w:b/>
                <w:bCs/>
              </w:rPr>
              <w:t>Saldo de Contingências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pPr>
              <w:rPr>
                <w:b/>
                <w:bCs/>
              </w:rPr>
            </w:pPr>
            <w:r w:rsidRPr="00C43CC4">
              <w:rPr>
                <w:b/>
                <w:bCs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0F7A" w:rsidRPr="00C43CC4" w:rsidRDefault="00DB0F7A" w:rsidP="00974CC9">
            <w:pPr>
              <w:jc w:val="right"/>
              <w:rPr>
                <w:b/>
                <w:bCs/>
              </w:rPr>
            </w:pPr>
            <w:r w:rsidRPr="00C43CC4">
              <w:rPr>
                <w:b/>
                <w:bCs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DB0F7A" w:rsidP="0068404D">
            <w:pPr>
              <w:jc w:val="right"/>
              <w:rPr>
                <w:b/>
              </w:rPr>
            </w:pPr>
            <w:r w:rsidRPr="00C43CC4">
              <w:rPr>
                <w:b/>
              </w:rPr>
              <w:t>40</w:t>
            </w:r>
            <w:r w:rsidR="0068404D" w:rsidRPr="00C43CC4">
              <w:rPr>
                <w:b/>
              </w:rPr>
              <w:t>9</w:t>
            </w:r>
            <w:r w:rsidRPr="00C43CC4">
              <w:rPr>
                <w:b/>
              </w:rPr>
              <w:t>.</w:t>
            </w:r>
            <w:r w:rsidR="0068404D" w:rsidRPr="00C43CC4">
              <w:rPr>
                <w:b/>
              </w:rPr>
              <w:t>216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  <w:rPr>
                <w:b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DB0F7A" w:rsidP="0068404D">
            <w:pPr>
              <w:jc w:val="right"/>
              <w:rPr>
                <w:b/>
              </w:rPr>
            </w:pPr>
            <w:r w:rsidRPr="00C43CC4">
              <w:rPr>
                <w:b/>
              </w:rPr>
              <w:t>2</w:t>
            </w:r>
            <w:r w:rsidR="0068404D" w:rsidRPr="00C43CC4">
              <w:rPr>
                <w:b/>
              </w:rPr>
              <w:t>1</w:t>
            </w:r>
            <w:r w:rsidRPr="00C43CC4">
              <w:rPr>
                <w:b/>
              </w:rPr>
              <w:t>.</w:t>
            </w:r>
            <w:r w:rsidR="0068404D" w:rsidRPr="00C43CC4">
              <w:rPr>
                <w:b/>
              </w:rPr>
              <w:t>903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  <w:rPr>
                <w:b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DB0F7A" w:rsidP="0068404D">
            <w:pPr>
              <w:jc w:val="right"/>
              <w:rPr>
                <w:b/>
              </w:rPr>
            </w:pPr>
            <w:r w:rsidRPr="00C43CC4">
              <w:rPr>
                <w:b/>
              </w:rPr>
              <w:t>1.</w:t>
            </w:r>
            <w:r w:rsidR="0068404D" w:rsidRPr="00C43CC4">
              <w:rPr>
                <w:b/>
              </w:rPr>
              <w:t>206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0F7A" w:rsidRPr="00C43CC4" w:rsidRDefault="00DB0F7A" w:rsidP="00974CC9">
            <w:pPr>
              <w:jc w:val="right"/>
              <w:rPr>
                <w:b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B0F7A" w:rsidRPr="00C43CC4" w:rsidRDefault="00DB0F7A" w:rsidP="003C1607">
            <w:pPr>
              <w:jc w:val="right"/>
              <w:rPr>
                <w:b/>
              </w:rPr>
            </w:pPr>
            <w:r w:rsidRPr="00C43CC4">
              <w:rPr>
                <w:b/>
              </w:rPr>
              <w:t>4</w:t>
            </w:r>
            <w:r w:rsidR="003C1607" w:rsidRPr="00C43CC4">
              <w:rPr>
                <w:b/>
              </w:rPr>
              <w:t>32</w:t>
            </w:r>
            <w:r w:rsidRPr="00C43CC4">
              <w:rPr>
                <w:b/>
              </w:rPr>
              <w:t>.</w:t>
            </w:r>
            <w:r w:rsidR="003C1607" w:rsidRPr="00C43CC4">
              <w:rPr>
                <w:b/>
              </w:rPr>
              <w:t>325</w:t>
            </w:r>
          </w:p>
        </w:tc>
      </w:tr>
    </w:tbl>
    <w:p w:rsidR="00DB0F7A" w:rsidRDefault="00DB0F7A" w:rsidP="00852127">
      <w:pPr>
        <w:jc w:val="both"/>
      </w:pPr>
    </w:p>
    <w:p w:rsidR="00852127" w:rsidRPr="00EA358B" w:rsidRDefault="000A6A29" w:rsidP="00852127">
      <w:pPr>
        <w:jc w:val="both"/>
      </w:pPr>
      <w:r w:rsidRPr="00EA358B">
        <w:t>São reconhecidas como contingências</w:t>
      </w:r>
      <w:r w:rsidR="00E82794" w:rsidRPr="00EA358B">
        <w:t xml:space="preserve"> </w:t>
      </w:r>
      <w:r w:rsidRPr="00EA358B">
        <w:t>a</w:t>
      </w:r>
      <w:r w:rsidR="007E750D" w:rsidRPr="00EA358B">
        <w:t>s ações judiciais, classificadas como perdas prováveis</w:t>
      </w:r>
      <w:r w:rsidR="001B1787" w:rsidRPr="00EA358B">
        <w:t>. D</w:t>
      </w:r>
      <w:r w:rsidR="004A0DE1" w:rsidRPr="00EA358B">
        <w:t>esta forma</w:t>
      </w:r>
      <w:r w:rsidR="00780D14" w:rsidRPr="00EA358B">
        <w:t>,</w:t>
      </w:r>
      <w:r w:rsidR="004A0DE1" w:rsidRPr="00EA358B">
        <w:t xml:space="preserve"> </w:t>
      </w:r>
      <w:r w:rsidR="0025677A" w:rsidRPr="00EA358B">
        <w:t>as con</w:t>
      </w:r>
      <w:r w:rsidRPr="00EA358B">
        <w:t>tingências</w:t>
      </w:r>
      <w:r w:rsidR="00852127" w:rsidRPr="00EA358B">
        <w:t xml:space="preserve"> (trabalhistas, cíveis e tributárias) </w:t>
      </w:r>
      <w:r w:rsidR="0025677A" w:rsidRPr="00EA358B">
        <w:t>seguem os seguintes critérios</w:t>
      </w:r>
      <w:r w:rsidR="001B1787" w:rsidRPr="00EA358B">
        <w:t xml:space="preserve"> para contabilização</w:t>
      </w:r>
      <w:r w:rsidR="00852127" w:rsidRPr="00EA358B">
        <w:t>: (i) a Instituição tem uma obrigação presente ou não formalizada como resultado de eventos já ocorridos; (</w:t>
      </w:r>
      <w:proofErr w:type="spellStart"/>
      <w:proofErr w:type="gramStart"/>
      <w:r w:rsidR="00852127" w:rsidRPr="00EA358B">
        <w:t>ii</w:t>
      </w:r>
      <w:proofErr w:type="spellEnd"/>
      <w:proofErr w:type="gramEnd"/>
      <w:r w:rsidR="00852127" w:rsidRPr="00EA358B">
        <w:t>) é provável que uma saída de recursos seja necessária para liquidar a obrigação e (</w:t>
      </w:r>
      <w:proofErr w:type="spellStart"/>
      <w:r w:rsidR="00852127" w:rsidRPr="00EA358B">
        <w:t>iii</w:t>
      </w:r>
      <w:proofErr w:type="spellEnd"/>
      <w:r w:rsidR="00852127" w:rsidRPr="00EA358B">
        <w:t xml:space="preserve">) o valor puder ser estimado com segurança. </w:t>
      </w:r>
    </w:p>
    <w:p w:rsidR="00852127" w:rsidRPr="00EA358B" w:rsidRDefault="00852127" w:rsidP="00852127">
      <w:pPr>
        <w:jc w:val="both"/>
      </w:pPr>
    </w:p>
    <w:p w:rsidR="00852127" w:rsidRPr="00EA358B" w:rsidRDefault="00852127" w:rsidP="00852127">
      <w:pPr>
        <w:jc w:val="both"/>
      </w:pPr>
      <w:r w:rsidRPr="00EA358B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>
        <w:t>iscos específicos da obrigação.</w:t>
      </w:r>
    </w:p>
    <w:p w:rsidR="00C372AC" w:rsidRPr="001F3542" w:rsidRDefault="00C372AC">
      <w:pPr>
        <w:rPr>
          <w:color w:val="FF0000"/>
        </w:rPr>
      </w:pPr>
    </w:p>
    <w:p w:rsidR="00F71BF5" w:rsidRPr="00A16F80" w:rsidRDefault="00F71BF5" w:rsidP="00F71BF5">
      <w:pPr>
        <w:pStyle w:val="Subttulo"/>
        <w:numPr>
          <w:ilvl w:val="0"/>
          <w:numId w:val="5"/>
        </w:numPr>
      </w:pPr>
      <w:r w:rsidRPr="00317602">
        <w:tab/>
      </w:r>
      <w:bookmarkStart w:id="35" w:name="_Ref466467866"/>
      <w:r w:rsidRPr="00A16F80">
        <w:t>Férias a Pagar</w:t>
      </w:r>
      <w:bookmarkEnd w:id="35"/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2097"/>
        <w:gridCol w:w="331"/>
        <w:gridCol w:w="2134"/>
      </w:tblGrid>
      <w:tr w:rsidR="001F3542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E6289" w:rsidP="00E571C1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31/12/2020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31/12/2019</w:t>
            </w:r>
          </w:p>
        </w:tc>
      </w:tr>
      <w:tr w:rsidR="001F3542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>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           75.298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                  71.962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A16F80" w:rsidP="00436ACB">
            <w:pPr>
              <w:jc w:val="right"/>
            </w:pPr>
            <w:r w:rsidRPr="00A16F80">
              <w:t>(68.784)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(71.178)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436ACB">
            <w:pPr>
              <w:jc w:val="right"/>
            </w:pPr>
            <w:r w:rsidRPr="00A16F80">
              <w:t xml:space="preserve">           </w:t>
            </w:r>
            <w:r w:rsidR="00A16F80" w:rsidRPr="00A16F80">
              <w:t>77.527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                  74.514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rPr>
                <w:b/>
                <w:bCs/>
              </w:rPr>
            </w:pPr>
            <w:r w:rsidRPr="00A16F80">
              <w:rPr>
                <w:b/>
                <w:bCs/>
              </w:rPr>
              <w:t xml:space="preserve">Total de Férias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 xml:space="preserve">         </w:t>
            </w:r>
            <w:r w:rsidR="00A16F80" w:rsidRPr="00A16F80">
              <w:rPr>
                <w:b/>
                <w:bCs/>
              </w:rPr>
              <w:t>84.041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 xml:space="preserve">                75.298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>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           28.100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                  25.537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A16F80" w:rsidP="00436ACB">
            <w:pPr>
              <w:jc w:val="right"/>
            </w:pPr>
            <w:r w:rsidRPr="00A16F80">
              <w:t>(25.546)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(25.771)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r w:rsidRPr="00A16F80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t>             28.807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</w:pPr>
            <w:r w:rsidRPr="00A16F80">
              <w:t xml:space="preserve">                  28.334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rPr>
                <w:b/>
                <w:bCs/>
              </w:rPr>
            </w:pPr>
            <w:r w:rsidRPr="00A16F80">
              <w:rPr>
                <w:b/>
                <w:bCs/>
              </w:rPr>
              <w:t>Total de 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rPr>
                <w:b/>
                <w:bCs/>
              </w:rPr>
              <w:t>         31.361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 xml:space="preserve">                28.100 </w:t>
            </w:r>
          </w:p>
        </w:tc>
      </w:tr>
      <w:tr w:rsidR="00A16F80" w:rsidRPr="00A16F80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rPr>
                <w:b/>
                <w:bCs/>
              </w:rPr>
            </w:pPr>
            <w:r w:rsidRPr="00A16F80">
              <w:rPr>
                <w:b/>
                <w:bCs/>
              </w:rPr>
              <w:t>Saldo de Férias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rPr>
                <w:b/>
                <w:bCs/>
              </w:rPr>
              <w:t>115.402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 xml:space="preserve">              103.398 </w:t>
            </w:r>
          </w:p>
        </w:tc>
      </w:tr>
    </w:tbl>
    <w:p w:rsidR="00944CE7" w:rsidRDefault="00944CE7" w:rsidP="009538CA">
      <w:pPr>
        <w:pStyle w:val="Subttulo"/>
        <w:ind w:left="-4" w:firstLine="0"/>
        <w:rPr>
          <w:b w:val="0"/>
          <w:color w:val="FF0000"/>
        </w:rPr>
      </w:pPr>
    </w:p>
    <w:p w:rsidR="00944CE7" w:rsidRDefault="00944CE7">
      <w:pPr>
        <w:rPr>
          <w:color w:val="FF0000"/>
        </w:rPr>
      </w:pPr>
      <w:r>
        <w:rPr>
          <w:b/>
          <w:color w:val="FF0000"/>
        </w:rPr>
        <w:br w:type="page"/>
      </w:r>
    </w:p>
    <w:p w:rsidR="00F71BF5" w:rsidRPr="00A16F80" w:rsidRDefault="00F71BF5" w:rsidP="00F71BF5">
      <w:pPr>
        <w:pStyle w:val="Subttulo"/>
        <w:numPr>
          <w:ilvl w:val="0"/>
          <w:numId w:val="5"/>
        </w:numPr>
      </w:pPr>
      <w:r w:rsidRPr="00A16F80">
        <w:lastRenderedPageBreak/>
        <w:t>Licença Especial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2114"/>
        <w:gridCol w:w="283"/>
        <w:gridCol w:w="2168"/>
      </w:tblGrid>
      <w:tr w:rsidR="001F3542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E6289" w:rsidP="00E571C1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31/12/2020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31/12/2019</w:t>
            </w:r>
          </w:p>
        </w:tc>
      </w:tr>
      <w:tr w:rsidR="001F3542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>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/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r w:rsidRPr="00A16F80"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 xml:space="preserve">           39.850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A16F80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A16F80" w:rsidRDefault="00F71BF5" w:rsidP="00C104FD">
            <w:pPr>
              <w:jc w:val="right"/>
            </w:pPr>
            <w:r w:rsidRPr="00A16F80">
              <w:t>38.324</w:t>
            </w:r>
          </w:p>
        </w:tc>
      </w:tr>
      <w:tr w:rsidR="00A16F80" w:rsidRPr="00A16F80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r w:rsidRPr="00A16F80"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t>(6.175)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</w:pPr>
            <w:r w:rsidRPr="00A16F80">
              <w:t>(6.453)</w:t>
            </w:r>
          </w:p>
        </w:tc>
      </w:tr>
      <w:tr w:rsidR="00A16F80" w:rsidRPr="00A16F80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r w:rsidRPr="00A16F80"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t>            9.788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</w:pPr>
            <w:r w:rsidRPr="00A16F80">
              <w:t>7.979</w:t>
            </w:r>
          </w:p>
        </w:tc>
      </w:tr>
      <w:tr w:rsidR="00A16F80" w:rsidRPr="00A16F80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rPr>
                <w:b/>
                <w:bCs/>
              </w:rPr>
            </w:pPr>
            <w:r w:rsidRPr="00A16F80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rPr>
                <w:b/>
                <w:bCs/>
              </w:rPr>
              <w:t>         43.463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39.850</w:t>
            </w:r>
          </w:p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r w:rsidRPr="00A16F80">
              <w:t>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/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r w:rsidRPr="00A16F80"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t>           14.843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</w:pPr>
            <w:r w:rsidRPr="00A16F80">
              <w:t>14.190</w:t>
            </w:r>
          </w:p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r w:rsidRPr="00A16F80"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t>(2.278)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</w:pPr>
            <w:r w:rsidRPr="00A16F80">
              <w:t>(2.396)</w:t>
            </w:r>
          </w:p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r w:rsidRPr="00A16F80"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t>             3.628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</w:pPr>
            <w:r w:rsidRPr="00A16F80">
              <w:t>3.049</w:t>
            </w:r>
          </w:p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rPr>
                <w:b/>
                <w:bCs/>
              </w:rPr>
            </w:pPr>
            <w:r w:rsidRPr="00A16F80">
              <w:rPr>
                <w:b/>
                <w:bCs/>
              </w:rPr>
              <w:t>Total de 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rPr>
                <w:b/>
                <w:bCs/>
              </w:rPr>
              <w:t>         16.193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14.843</w:t>
            </w:r>
          </w:p>
        </w:tc>
      </w:tr>
      <w:tr w:rsidR="00A16F80" w:rsidRPr="00A16F80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rPr>
                <w:b/>
                <w:bCs/>
              </w:rPr>
            </w:pPr>
            <w:r w:rsidRPr="00A16F80">
              <w:rPr>
                <w:b/>
                <w:bCs/>
              </w:rPr>
              <w:t>Total de Licença Especial a Pagar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326CDF">
            <w:pPr>
              <w:jc w:val="right"/>
            </w:pPr>
            <w:r w:rsidRPr="00A16F80">
              <w:rPr>
                <w:b/>
                <w:bCs/>
              </w:rPr>
              <w:t>                    59.656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6F80" w:rsidRPr="00A16F80" w:rsidRDefault="00A16F80" w:rsidP="00C104FD"/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6F80" w:rsidRPr="00A16F80" w:rsidRDefault="00A16F80" w:rsidP="00C104FD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54.693</w:t>
            </w:r>
          </w:p>
        </w:tc>
      </w:tr>
    </w:tbl>
    <w:p w:rsidR="00116BD5" w:rsidRDefault="00116BD5" w:rsidP="00F71BF5">
      <w:pPr>
        <w:pStyle w:val="Subttulo"/>
        <w:ind w:firstLine="0"/>
      </w:pPr>
    </w:p>
    <w:p w:rsidR="00C44995" w:rsidRPr="00573FB2" w:rsidRDefault="00A902F7" w:rsidP="005A2E85">
      <w:pPr>
        <w:pStyle w:val="Subttulo"/>
        <w:numPr>
          <w:ilvl w:val="0"/>
          <w:numId w:val="5"/>
        </w:numPr>
      </w:pPr>
      <w:bookmarkStart w:id="36" w:name="_Ref466467744"/>
      <w:r w:rsidRPr="00573FB2">
        <w:t>Tempo de Serviço Passado</w:t>
      </w:r>
      <w:bookmarkEnd w:id="36"/>
      <w:r w:rsidR="00A60300" w:rsidRPr="00573FB2">
        <w:t xml:space="preserve"> (TSP) </w:t>
      </w:r>
    </w:p>
    <w:p w:rsidR="00A902F7" w:rsidRPr="00573FB2" w:rsidRDefault="00A902F7" w:rsidP="00A902F7"/>
    <w:p w:rsidR="00095C30" w:rsidRDefault="00095C30" w:rsidP="00095C30">
      <w:pPr>
        <w:jc w:val="both"/>
      </w:pPr>
      <w:r w:rsidRPr="00573FB2">
        <w:t>O HCPA possui financiamento com o Banco do Brasil para</w:t>
      </w:r>
      <w:r w:rsidR="00D40200" w:rsidRPr="00573FB2">
        <w:t xml:space="preserve"> pagamento do plano de</w:t>
      </w:r>
      <w:r w:rsidRPr="00573FB2">
        <w:t xml:space="preserve"> Previdência Privada</w:t>
      </w:r>
      <w:r w:rsidR="00921282" w:rsidRPr="00573FB2">
        <w:t xml:space="preserve"> </w:t>
      </w:r>
      <w:r w:rsidR="00A60300" w:rsidRPr="00573FB2">
        <w:t>- T</w:t>
      </w:r>
      <w:r w:rsidRPr="00573FB2">
        <w:t>SP</w:t>
      </w:r>
      <w:r w:rsidR="00A60300" w:rsidRPr="00573FB2">
        <w:t xml:space="preserve"> -</w:t>
      </w:r>
      <w:r w:rsidRPr="00573FB2">
        <w:t xml:space="preserve"> a ser amortizado em 164 parcelas mensais a partir de 01 de junho de 2010</w:t>
      </w:r>
      <w:r w:rsidR="00D133D9" w:rsidRPr="00573FB2">
        <w:t>,</w:t>
      </w:r>
      <w:r w:rsidRPr="00573FB2">
        <w:t xml:space="preserve"> atualizadas pelo INPC</w:t>
      </w:r>
      <w:r w:rsidR="00D133D9" w:rsidRPr="00573FB2">
        <w:t xml:space="preserve"> com</w:t>
      </w:r>
      <w:r w:rsidRPr="00573FB2">
        <w:t xml:space="preserve"> juros mensais de 0,4868%. </w:t>
      </w:r>
      <w:r w:rsidR="00BC462F" w:rsidRPr="00573FB2">
        <w:t xml:space="preserve"> </w:t>
      </w:r>
      <w:r w:rsidR="001666B8" w:rsidRPr="00573FB2">
        <w:t>Por ser, este valor,</w:t>
      </w:r>
      <w:r w:rsidRPr="00573FB2">
        <w:t xml:space="preserve"> pago c</w:t>
      </w:r>
      <w:r w:rsidR="001666B8" w:rsidRPr="00573FB2">
        <w:t>om Recursos do Tesouro Nacional possui, também, registro em Direitos a Receber no Ativo</w:t>
      </w:r>
      <w:r w:rsidR="006F24C5" w:rsidRPr="00573FB2">
        <w:t>.</w:t>
      </w:r>
      <w:r w:rsidR="008C5DF8" w:rsidRPr="00573FB2">
        <w:t xml:space="preserve"> </w:t>
      </w:r>
      <w:r w:rsidR="001666B8" w:rsidRPr="00573FB2">
        <w:t>O valor correspondente a</w:t>
      </w:r>
      <w:r w:rsidR="00BB6753" w:rsidRPr="00573FB2">
        <w:t xml:space="preserve"> doze prestações</w:t>
      </w:r>
      <w:r w:rsidR="00836818" w:rsidRPr="00573FB2">
        <w:t xml:space="preserve"> está </w:t>
      </w:r>
      <w:r w:rsidR="00BB6753" w:rsidRPr="00573FB2">
        <w:t xml:space="preserve">registrado no Ativo e Passivo </w:t>
      </w:r>
      <w:r w:rsidR="00BB6753" w:rsidRPr="00EA358B">
        <w:t>Circulante</w:t>
      </w:r>
      <w:r w:rsidR="005A64EA" w:rsidRPr="00EA358B">
        <w:t xml:space="preserve"> e as demais prestações estão registradas n</w:t>
      </w:r>
      <w:r w:rsidRPr="00EA358B">
        <w:t xml:space="preserve">o Ativo </w:t>
      </w:r>
      <w:r w:rsidR="002900D5" w:rsidRPr="00EA358B">
        <w:t xml:space="preserve">e Passivo </w:t>
      </w:r>
      <w:r w:rsidR="00BB6753" w:rsidRPr="00EA358B">
        <w:t>N</w:t>
      </w:r>
      <w:r w:rsidRPr="00EA358B">
        <w:t>ão Circulante</w:t>
      </w:r>
      <w:r w:rsidR="002900D5" w:rsidRPr="00EA358B">
        <w:t>.</w:t>
      </w:r>
      <w:r w:rsidRPr="00EA358B">
        <w:t xml:space="preserve"> </w:t>
      </w:r>
    </w:p>
    <w:p w:rsidR="00BB0BFD" w:rsidRDefault="00BB0BFD" w:rsidP="00095C30">
      <w:pPr>
        <w:jc w:val="both"/>
      </w:pPr>
    </w:p>
    <w:p w:rsidR="00BD5469" w:rsidRDefault="00BD5469" w:rsidP="00095C30">
      <w:pPr>
        <w:jc w:val="both"/>
      </w:pPr>
    </w:p>
    <w:p w:rsidR="00BD5469" w:rsidRPr="00287FA7" w:rsidRDefault="00BD5469" w:rsidP="00BD5469">
      <w:pPr>
        <w:pStyle w:val="Ttulo"/>
        <w:ind w:left="0"/>
        <w:outlineLvl w:val="0"/>
      </w:pPr>
      <w:bookmarkStart w:id="37" w:name="_Toc1120452"/>
      <w:bookmarkStart w:id="38" w:name="_Toc31373366"/>
      <w:bookmarkStart w:id="39" w:name="_Toc65061178"/>
      <w:r w:rsidRPr="00287FA7">
        <w:t>Obrigações com o Plano de Previdência Complementar</w:t>
      </w:r>
      <w:bookmarkEnd w:id="37"/>
      <w:bookmarkEnd w:id="38"/>
      <w:bookmarkEnd w:id="39"/>
    </w:p>
    <w:p w:rsidR="00BD5469" w:rsidRPr="00287FA7" w:rsidRDefault="00BD5469" w:rsidP="00BD5469"/>
    <w:p w:rsidR="00BD5469" w:rsidRPr="00287FA7" w:rsidRDefault="00BD5469" w:rsidP="00BD5469">
      <w:pPr>
        <w:jc w:val="both"/>
      </w:pPr>
      <w:r w:rsidRPr="00287FA7">
        <w:t>O Plano de Benefícios HCPA PREV foi criado em 2009, é patrocinado pelo Hospital de Clínicas, administrado e executado pela BB Previdência – Fundo de Pensão Banco do Brasil, estruturado sob a modalidade de Contribuição Variável (CV), na forma definida pela Resolução MPS/CGPC nº 16, de 22 de novembro de 2005, observando ainda que os Benefícios Programados apresentam a conjugação das características das modalidades de Contribuição Definida (CD) e Benefício Definido (BD).</w:t>
      </w:r>
    </w:p>
    <w:p w:rsidR="00BD5469" w:rsidRPr="00287FA7" w:rsidRDefault="00BD5469" w:rsidP="00BD5469">
      <w:pPr>
        <w:jc w:val="both"/>
      </w:pPr>
    </w:p>
    <w:p w:rsidR="00BD5469" w:rsidRPr="00287FA7" w:rsidRDefault="00BD5469" w:rsidP="00BD5469">
      <w:pPr>
        <w:jc w:val="both"/>
      </w:pPr>
      <w:r w:rsidRPr="00287FA7">
        <w:t xml:space="preserve">Assim, observamos características de CD durante a fase de acumulação dos Benefícios Programados, onde o valor desses benefícios a serem concedidos quando da </w:t>
      </w:r>
      <w:proofErr w:type="gramStart"/>
      <w:r w:rsidRPr="00287FA7">
        <w:t>implementação</w:t>
      </w:r>
      <w:proofErr w:type="gramEnd"/>
      <w:r w:rsidRPr="00287FA7">
        <w:t xml:space="preserve"> das condições previstas pelos dispositivos regulamentares é conhecido, a posteriori, a partir da transformação do saldo acumulado nos Fundos Individual e Patrocinado ao longo da vida laborativa, conforme opção do Participante, em função do fator atuarial correspondente às características individuais dos Participantes e o respectivo grupo familiar. Na modalidade BD está </w:t>
      </w:r>
      <w:proofErr w:type="gramStart"/>
      <w:r w:rsidRPr="00287FA7">
        <w:t>a</w:t>
      </w:r>
      <w:proofErr w:type="gramEnd"/>
      <w:r w:rsidRPr="00287FA7">
        <w:t xml:space="preserve"> parte de risco que, a partir da sua concessão, o pagamento deste é garantido vitaliciamente, independente da cobertura patrimonial existente nos saldos individuais.</w:t>
      </w:r>
    </w:p>
    <w:p w:rsidR="00BD5469" w:rsidRPr="00BD5469" w:rsidRDefault="00BD5469" w:rsidP="00BD5469">
      <w:pPr>
        <w:jc w:val="both"/>
        <w:rPr>
          <w:color w:val="FF0000"/>
          <w:sz w:val="18"/>
          <w:szCs w:val="18"/>
        </w:rPr>
      </w:pPr>
    </w:p>
    <w:p w:rsidR="00BD5469" w:rsidRPr="00A74493" w:rsidRDefault="00BD5469" w:rsidP="00BD5469">
      <w:pPr>
        <w:jc w:val="both"/>
      </w:pPr>
      <w:r w:rsidRPr="00821F93">
        <w:t xml:space="preserve">Os mais recentes estudos atuariais do valor presente da obrigação de benefício definido foram realizados em 31 de </w:t>
      </w:r>
      <w:r w:rsidR="00821F93" w:rsidRPr="00821F93">
        <w:t>dezembro</w:t>
      </w:r>
      <w:r w:rsidRPr="00821F93">
        <w:t xml:space="preserve"> de 20</w:t>
      </w:r>
      <w:r w:rsidR="00287FA7" w:rsidRPr="00821F93">
        <w:t>20</w:t>
      </w:r>
      <w:r w:rsidRPr="00821F93">
        <w:t xml:space="preserve"> </w:t>
      </w:r>
      <w:proofErr w:type="gramStart"/>
      <w:r w:rsidRPr="00821F93">
        <w:t>pela Mirador</w:t>
      </w:r>
      <w:proofErr w:type="gramEnd"/>
      <w:r w:rsidRPr="00821F93">
        <w:t xml:space="preserve"> Assessoria Atuarial, membro do Instituto Brasileiro de Atuários. O</w:t>
      </w:r>
      <w:r w:rsidRPr="004F0660">
        <w:t xml:space="preserve"> valor presente da obrigação de benefício definido, o custo do serviço corrente e custo do serviço passado, foram medidos utilizando o método de </w:t>
      </w:r>
      <w:r w:rsidRPr="00A74493">
        <w:t>crédito unitário projetado.</w:t>
      </w:r>
    </w:p>
    <w:p w:rsidR="00BD5469" w:rsidRPr="00BD5469" w:rsidRDefault="00944CE7" w:rsidP="00963DE3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139"/>
        <w:gridCol w:w="158"/>
        <w:gridCol w:w="542"/>
        <w:gridCol w:w="158"/>
        <w:gridCol w:w="1253"/>
        <w:gridCol w:w="562"/>
      </w:tblGrid>
      <w:tr w:rsidR="00BD5469" w:rsidRPr="004F0660" w:rsidTr="00974CC9">
        <w:trPr>
          <w:gridAfter w:val="1"/>
          <w:wAfter w:w="305" w:type="pct"/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  <w:rPr>
                <w:b/>
                <w:bCs/>
              </w:rPr>
            </w:pPr>
            <w:r w:rsidRPr="004F0660">
              <w:rPr>
                <w:b/>
                <w:bCs/>
              </w:rPr>
              <w:lastRenderedPageBreak/>
              <w:t>Principais Premissas Utilizadas na Avaliação Atuarial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rPr>
                <w:b/>
                <w:bCs/>
              </w:rPr>
            </w:pPr>
          </w:p>
        </w:tc>
        <w:tc>
          <w:tcPr>
            <w:tcW w:w="1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  <w:rPr>
                <w:b/>
                <w:bCs/>
              </w:rPr>
            </w:pPr>
          </w:p>
        </w:tc>
      </w:tr>
      <w:tr w:rsidR="00BD5469" w:rsidRPr="004F0660" w:rsidTr="00974CC9">
        <w:trPr>
          <w:gridAfter w:val="1"/>
          <w:wAfter w:w="305" w:type="pct"/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  <w:tc>
          <w:tcPr>
            <w:tcW w:w="1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</w:tr>
      <w:tr w:rsidR="00BD5469" w:rsidRPr="004F0660" w:rsidTr="007D0477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  <w:r w:rsidRPr="004F0660">
              <w:t xml:space="preserve">   Taxa de Desconto (real)                                    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83038D" w:rsidP="0083038D">
            <w:pPr>
              <w:ind w:left="-91"/>
              <w:jc w:val="right"/>
            </w:pPr>
            <w:r>
              <w:rPr>
                <w:lang w:val="en-GB"/>
              </w:rPr>
              <w:t>3,69</w:t>
            </w:r>
            <w:r w:rsidR="00BD5469" w:rsidRPr="004F0660">
              <w:rPr>
                <w:lang w:val="en-GB"/>
              </w:rPr>
              <w:t xml:space="preserve">% </w:t>
            </w:r>
            <w:proofErr w:type="spellStart"/>
            <w:r w:rsidR="00BD5469" w:rsidRPr="004F0660">
              <w:rPr>
                <w:lang w:val="en-GB"/>
              </w:rPr>
              <w:t>a.a</w:t>
            </w:r>
            <w:proofErr w:type="spellEnd"/>
            <w:r w:rsidR="00BD5469" w:rsidRPr="004F0660">
              <w:rPr>
                <w:lang w:val="en-GB"/>
              </w:rPr>
              <w:t>.</w:t>
            </w:r>
          </w:p>
        </w:tc>
      </w:tr>
      <w:tr w:rsidR="00A74493" w:rsidRPr="004F0660" w:rsidTr="007D0477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  <w:r w:rsidRPr="004F0660">
              <w:t xml:space="preserve">   Taxa de Rotatividade                                      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A74493" w:rsidP="00A74493">
            <w:pPr>
              <w:jc w:val="right"/>
            </w:pPr>
            <w:r w:rsidRPr="004F0660">
              <w:t>2,40</w:t>
            </w:r>
            <w:r w:rsidR="00BD5469" w:rsidRPr="004F0660">
              <w:t>% a.a.</w:t>
            </w:r>
          </w:p>
        </w:tc>
      </w:tr>
      <w:tr w:rsidR="00BD5469" w:rsidRPr="004F0660" w:rsidTr="007D0477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  <w:r w:rsidRPr="004F0660">
              <w:t xml:space="preserve">   Projeção de Aumento Real Média dos Salários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  <w:r w:rsidRPr="004F0660">
              <w:t xml:space="preserve"> </w:t>
            </w: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A74493" w:rsidP="00974CC9">
            <w:pPr>
              <w:jc w:val="right"/>
            </w:pPr>
            <w:r w:rsidRPr="004F0660">
              <w:t>1,09</w:t>
            </w:r>
            <w:r w:rsidR="00BD5469" w:rsidRPr="004F0660">
              <w:t xml:space="preserve">% a.a. </w:t>
            </w:r>
          </w:p>
        </w:tc>
      </w:tr>
      <w:tr w:rsidR="00BD5469" w:rsidRPr="004F0660" w:rsidTr="007D0477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  <w:r w:rsidRPr="004F0660">
              <w:t xml:space="preserve">   Tábua de Mortalidade/Sobrevivência de Ativos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  <w:r w:rsidRPr="004F0660">
              <w:t xml:space="preserve">AT-2000 Masculina </w:t>
            </w:r>
          </w:p>
        </w:tc>
      </w:tr>
      <w:tr w:rsidR="00BD5469" w:rsidRPr="004F0660" w:rsidTr="007D0477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  <w:r w:rsidRPr="004F0660">
              <w:t xml:space="preserve">   Tábua de Mortalidade/Sobrevivência de Aposentados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  <w:r w:rsidRPr="004F0660">
              <w:t>AT-2000 Masculina</w:t>
            </w:r>
          </w:p>
        </w:tc>
      </w:tr>
      <w:tr w:rsidR="00BD5469" w:rsidRPr="004F0660" w:rsidTr="007D0477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  <w:r w:rsidRPr="004F0660">
              <w:t xml:space="preserve">   Tábua de Mortalidade/Sobrevivência de Inválidos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  <w:r w:rsidRPr="004F0660">
              <w:t>EX-IAPC</w:t>
            </w:r>
          </w:p>
        </w:tc>
      </w:tr>
      <w:tr w:rsidR="00BD5469" w:rsidRPr="004F0660" w:rsidTr="007D0477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both"/>
            </w:pPr>
            <w:r w:rsidRPr="004F0660">
              <w:t xml:space="preserve">   Tábua de Entrada em Invalidez                    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</w:p>
        </w:tc>
        <w:tc>
          <w:tcPr>
            <w:tcW w:w="136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D5469" w:rsidRPr="004F0660" w:rsidRDefault="00BD5469" w:rsidP="00974CC9">
            <w:pPr>
              <w:jc w:val="right"/>
            </w:pPr>
            <w:r w:rsidRPr="004F0660">
              <w:t>TASA-1927</w:t>
            </w:r>
          </w:p>
        </w:tc>
      </w:tr>
      <w:tr w:rsidR="00BD5469" w:rsidRPr="004F0660" w:rsidTr="00974CC9">
        <w:trPr>
          <w:gridAfter w:val="1"/>
          <w:wAfter w:w="305" w:type="pct"/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469" w:rsidRPr="004F0660" w:rsidRDefault="00BD5469" w:rsidP="00974CC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5469" w:rsidRPr="004F0660" w:rsidRDefault="00BD5469" w:rsidP="0097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5469" w:rsidRPr="004F0660" w:rsidRDefault="00BD5469" w:rsidP="0097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D5469" w:rsidRPr="004F0660" w:rsidRDefault="00BD5469" w:rsidP="0097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7D0477" w:rsidRPr="004F0660" w:rsidTr="00974CC9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rPr>
                <w:b/>
                <w:bCs/>
              </w:rPr>
            </w:pPr>
            <w:r w:rsidRPr="004F0660">
              <w:rPr>
                <w:b/>
                <w:bCs/>
              </w:rPr>
              <w:t xml:space="preserve">Status do Fundo e Passivo/Ativo                                    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7D0477">
            <w:pPr>
              <w:jc w:val="right"/>
              <w:rPr>
                <w:b/>
                <w:bCs/>
              </w:rPr>
            </w:pPr>
            <w:r w:rsidRPr="004F0660">
              <w:rPr>
                <w:b/>
                <w:bCs/>
              </w:rPr>
              <w:t>31/12/2020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right"/>
              <w:rPr>
                <w:b/>
                <w:bCs/>
              </w:rPr>
            </w:pPr>
          </w:p>
        </w:tc>
        <w:tc>
          <w:tcPr>
            <w:tcW w:w="985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right"/>
              <w:rPr>
                <w:b/>
                <w:bCs/>
              </w:rPr>
            </w:pPr>
            <w:r w:rsidRPr="004F0660">
              <w:rPr>
                <w:b/>
                <w:bCs/>
              </w:rPr>
              <w:t>31/12/2019</w:t>
            </w:r>
          </w:p>
        </w:tc>
      </w:tr>
      <w:tr w:rsidR="007D0477" w:rsidRPr="004F0660" w:rsidTr="00974CC9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both"/>
            </w:pPr>
            <w:r w:rsidRPr="004F0660">
              <w:t xml:space="preserve">   Valor presente da Obrigação Atuarial Líquida               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477" w:rsidRPr="004F0660" w:rsidRDefault="007D0477" w:rsidP="00A74493">
            <w:pPr>
              <w:jc w:val="right"/>
            </w:pPr>
            <w:r w:rsidRPr="004F0660">
              <w:t>(</w:t>
            </w:r>
            <w:r w:rsidR="00A74493" w:rsidRPr="004F0660">
              <w:t>148</w:t>
            </w:r>
            <w:r w:rsidRPr="004F0660">
              <w:t>.</w:t>
            </w:r>
            <w:r w:rsidR="00A74493" w:rsidRPr="004F0660">
              <w:t>880</w:t>
            </w:r>
            <w:r w:rsidRPr="004F0660">
              <w:t>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right"/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right"/>
            </w:pPr>
            <w:r w:rsidRPr="004F0660">
              <w:t>(136.369)</w:t>
            </w:r>
          </w:p>
        </w:tc>
      </w:tr>
      <w:tr w:rsidR="007D0477" w:rsidRPr="004F0660" w:rsidTr="00974CC9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both"/>
            </w:pPr>
            <w:r w:rsidRPr="004F0660">
              <w:t xml:space="preserve">   Valor Justo dos Ativos do plano no Final do Período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0477" w:rsidRPr="004F0660" w:rsidRDefault="00821F93" w:rsidP="00A74493">
            <w:pPr>
              <w:jc w:val="right"/>
            </w:pPr>
            <w:r>
              <w:t>171.267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right"/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0477" w:rsidRPr="004F0660" w:rsidRDefault="007D0477" w:rsidP="00974CC9">
            <w:pPr>
              <w:jc w:val="right"/>
            </w:pPr>
            <w:r w:rsidRPr="004F0660">
              <w:t>148.547</w:t>
            </w:r>
          </w:p>
        </w:tc>
      </w:tr>
      <w:tr w:rsidR="007D0477" w:rsidRPr="00944CE7" w:rsidTr="00974CC9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944CE7" w:rsidRDefault="007D0477" w:rsidP="00974CC9">
            <w:pPr>
              <w:jc w:val="both"/>
            </w:pPr>
            <w:r w:rsidRPr="00944CE7">
              <w:t xml:space="preserve">   Status do Plano de Benefícios/Superávit                        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D0477" w:rsidRPr="00944CE7" w:rsidRDefault="00821F93" w:rsidP="00821F93">
            <w:pPr>
              <w:jc w:val="right"/>
            </w:pPr>
            <w:r>
              <w:t>22</w:t>
            </w:r>
            <w:r w:rsidR="00A74493" w:rsidRPr="00944CE7">
              <w:t>.</w:t>
            </w:r>
            <w:r>
              <w:t>387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477" w:rsidRPr="00944CE7" w:rsidRDefault="007D0477" w:rsidP="00974CC9">
            <w:pPr>
              <w:jc w:val="right"/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D0477" w:rsidRPr="00944CE7" w:rsidRDefault="007D0477" w:rsidP="00974CC9">
            <w:pPr>
              <w:jc w:val="right"/>
            </w:pPr>
            <w:r w:rsidRPr="00944CE7">
              <w:t>12.178</w:t>
            </w:r>
          </w:p>
        </w:tc>
      </w:tr>
    </w:tbl>
    <w:p w:rsidR="00BD5469" w:rsidRPr="00944CE7" w:rsidRDefault="00BD5469" w:rsidP="00BD5469">
      <w:pPr>
        <w:jc w:val="both"/>
        <w:rPr>
          <w:sz w:val="18"/>
          <w:szCs w:val="18"/>
        </w:rPr>
      </w:pPr>
    </w:p>
    <w:p w:rsidR="00BD5469" w:rsidRPr="00944CE7" w:rsidRDefault="00BD5469" w:rsidP="00BD5469">
      <w:r w:rsidRPr="00944CE7">
        <w:t>Considerando a posição de 31 de dezembro de 20</w:t>
      </w:r>
      <w:r w:rsidR="007D0477" w:rsidRPr="00944CE7">
        <w:t>20</w:t>
      </w:r>
      <w:r w:rsidRPr="00944CE7">
        <w:t xml:space="preserve"> dos cálculos apresentados </w:t>
      </w:r>
      <w:proofErr w:type="gramStart"/>
      <w:r w:rsidRPr="00944CE7">
        <w:t>pela Mirador</w:t>
      </w:r>
      <w:proofErr w:type="gramEnd"/>
      <w:r w:rsidRPr="00944CE7">
        <w:t xml:space="preserve"> Assessoria Atuarial, o Plano HCPA Previdência apresentou resultado superavitário.</w:t>
      </w:r>
    </w:p>
    <w:p w:rsidR="00944CE7" w:rsidRPr="00944CE7" w:rsidRDefault="00944CE7" w:rsidP="00BD5469"/>
    <w:p w:rsidR="00944CE7" w:rsidRPr="00944CE7" w:rsidRDefault="00944CE7" w:rsidP="00BD5469"/>
    <w:p w:rsidR="00BD5469" w:rsidRPr="00944CE7" w:rsidRDefault="00BD5469" w:rsidP="00BD5469">
      <w:pPr>
        <w:pStyle w:val="Ttulo"/>
        <w:ind w:left="0"/>
        <w:outlineLvl w:val="0"/>
      </w:pPr>
      <w:bookmarkStart w:id="40" w:name="_Ref466466451"/>
      <w:bookmarkStart w:id="41" w:name="_Toc1120453"/>
      <w:bookmarkStart w:id="42" w:name="_Toc31373367"/>
      <w:bookmarkStart w:id="43" w:name="_Toc65061179"/>
      <w:r w:rsidRPr="00944CE7">
        <w:t>Capital Social</w:t>
      </w:r>
      <w:bookmarkEnd w:id="40"/>
      <w:bookmarkEnd w:id="41"/>
      <w:bookmarkEnd w:id="42"/>
      <w:bookmarkEnd w:id="43"/>
    </w:p>
    <w:p w:rsidR="00BD5469" w:rsidRPr="00944CE7" w:rsidRDefault="00BD5469" w:rsidP="00BD5469">
      <w:pPr>
        <w:jc w:val="both"/>
      </w:pPr>
    </w:p>
    <w:p w:rsidR="00757094" w:rsidRPr="00944CE7" w:rsidRDefault="00757094" w:rsidP="00757094">
      <w:pPr>
        <w:jc w:val="both"/>
      </w:pPr>
      <w:r w:rsidRPr="00944CE7">
        <w:t xml:space="preserve">O Capital Social da empresa pertence integralmente a União, sendo seu valor em 31/12/2020 de R$ 1.163.342 (um bilhão, cento e sessenta e três milhões, trezentos e quarenta e dois mil reais), composto da seguinte forma: </w:t>
      </w:r>
    </w:p>
    <w:p w:rsidR="00757094" w:rsidRPr="00944CE7" w:rsidRDefault="00757094" w:rsidP="00757094">
      <w:pPr>
        <w:jc w:val="both"/>
      </w:pPr>
    </w:p>
    <w:tbl>
      <w:tblPr>
        <w:tblStyle w:val="Tabelacomgrade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</w:tblGrid>
      <w:tr w:rsidR="00757094" w:rsidRPr="00944CE7" w:rsidTr="004F0660">
        <w:tc>
          <w:tcPr>
            <w:tcW w:w="5495" w:type="dxa"/>
          </w:tcPr>
          <w:p w:rsidR="00757094" w:rsidRPr="00944CE7" w:rsidRDefault="00757094" w:rsidP="00180A4F">
            <w:pPr>
              <w:jc w:val="both"/>
            </w:pPr>
            <w:r w:rsidRPr="00944CE7">
              <w:t>Saldo em 31/12/2019</w:t>
            </w:r>
          </w:p>
        </w:tc>
        <w:tc>
          <w:tcPr>
            <w:tcW w:w="1843" w:type="dxa"/>
          </w:tcPr>
          <w:p w:rsidR="00757094" w:rsidRPr="00944CE7" w:rsidRDefault="00262DCE" w:rsidP="00180A4F">
            <w:pPr>
              <w:jc w:val="right"/>
            </w:pPr>
            <w:r>
              <w:t>R$ 1.</w:t>
            </w:r>
            <w:r w:rsidR="00810C15" w:rsidRPr="00944CE7">
              <w:t>107.522</w:t>
            </w:r>
          </w:p>
        </w:tc>
      </w:tr>
      <w:tr w:rsidR="00757094" w:rsidRPr="00944CE7" w:rsidTr="004F0660">
        <w:tc>
          <w:tcPr>
            <w:tcW w:w="5495" w:type="dxa"/>
          </w:tcPr>
          <w:p w:rsidR="00757094" w:rsidRPr="00944CE7" w:rsidRDefault="00757094" w:rsidP="00180A4F">
            <w:pPr>
              <w:jc w:val="both"/>
            </w:pPr>
            <w:r w:rsidRPr="00944CE7">
              <w:t>Capitalização do AFAC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57094" w:rsidRPr="00944CE7" w:rsidRDefault="00810C15" w:rsidP="00757094">
            <w:pPr>
              <w:jc w:val="right"/>
            </w:pPr>
            <w:r w:rsidRPr="00944CE7">
              <w:t>R$ 55.820</w:t>
            </w:r>
          </w:p>
        </w:tc>
      </w:tr>
      <w:tr w:rsidR="00757094" w:rsidRPr="00944CE7" w:rsidTr="004F0660">
        <w:tc>
          <w:tcPr>
            <w:tcW w:w="5495" w:type="dxa"/>
          </w:tcPr>
          <w:p w:rsidR="00757094" w:rsidRPr="00944CE7" w:rsidRDefault="00757094" w:rsidP="00180A4F">
            <w:pPr>
              <w:jc w:val="both"/>
              <w:rPr>
                <w:b/>
              </w:rPr>
            </w:pPr>
            <w:r w:rsidRPr="00944CE7">
              <w:rPr>
                <w:b/>
              </w:rPr>
              <w:t>Total em 31/12/2020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757094" w:rsidRPr="00944CE7" w:rsidRDefault="00757094" w:rsidP="004F0660">
            <w:pPr>
              <w:jc w:val="right"/>
              <w:rPr>
                <w:b/>
              </w:rPr>
            </w:pPr>
            <w:r w:rsidRPr="00944CE7">
              <w:rPr>
                <w:b/>
              </w:rPr>
              <w:t>R$ 1.163.342</w:t>
            </w:r>
          </w:p>
        </w:tc>
      </w:tr>
    </w:tbl>
    <w:p w:rsidR="004F0660" w:rsidRPr="00944CE7" w:rsidRDefault="004F0660" w:rsidP="00757094">
      <w:pPr>
        <w:jc w:val="both"/>
      </w:pPr>
    </w:p>
    <w:p w:rsidR="00757094" w:rsidRPr="00944CE7" w:rsidRDefault="00757094" w:rsidP="00757094">
      <w:pPr>
        <w:jc w:val="both"/>
      </w:pPr>
      <w:r w:rsidRPr="00944CE7">
        <w:t>A capitalização foi autorizada na Assembleia Geral Extraordinária de nº 014</w:t>
      </w:r>
      <w:r w:rsidR="00A51D52">
        <w:t>/2020, realizada em 16/06/2020</w:t>
      </w:r>
      <w:r w:rsidRPr="00944CE7">
        <w:t xml:space="preserve">, sendo os valores incorporados referentes a repasses recebidos da União para investimento e </w:t>
      </w:r>
      <w:proofErr w:type="gramStart"/>
      <w:r w:rsidRPr="00944CE7">
        <w:t>registrados em conta de Adiantamento para Futuro Aumento</w:t>
      </w:r>
      <w:proofErr w:type="gramEnd"/>
      <w:r w:rsidRPr="00944CE7">
        <w:t xml:space="preserve"> de Capital – AFAC.</w:t>
      </w:r>
    </w:p>
    <w:p w:rsidR="00BD5469" w:rsidRPr="00944CE7" w:rsidRDefault="00BD5469" w:rsidP="00095C30">
      <w:pPr>
        <w:jc w:val="both"/>
      </w:pPr>
    </w:p>
    <w:p w:rsidR="00BB0BFD" w:rsidRPr="00944CE7" w:rsidRDefault="00BB0BFD" w:rsidP="00095C30">
      <w:pPr>
        <w:jc w:val="both"/>
      </w:pPr>
    </w:p>
    <w:p w:rsidR="00247020" w:rsidRPr="00944CE7" w:rsidRDefault="00247020" w:rsidP="00247020">
      <w:pPr>
        <w:pStyle w:val="Ttulo"/>
        <w:ind w:left="0"/>
        <w:outlineLvl w:val="0"/>
      </w:pPr>
      <w:bookmarkStart w:id="44" w:name="_Toc65061180"/>
      <w:r w:rsidRPr="00944CE7">
        <w:t>Ajuste de Avaliação Patrimonial</w:t>
      </w:r>
      <w:bookmarkEnd w:id="44"/>
    </w:p>
    <w:p w:rsidR="00247020" w:rsidRPr="00944CE7" w:rsidRDefault="00247020" w:rsidP="007D0477">
      <w:pPr>
        <w:pStyle w:val="Ttulo"/>
        <w:numPr>
          <w:ilvl w:val="0"/>
          <w:numId w:val="0"/>
        </w:numPr>
        <w:jc w:val="both"/>
        <w:outlineLvl w:val="0"/>
      </w:pPr>
    </w:p>
    <w:p w:rsidR="00247020" w:rsidRPr="00944CE7" w:rsidRDefault="00247020" w:rsidP="00247020">
      <w:pPr>
        <w:jc w:val="both"/>
      </w:pPr>
      <w:r w:rsidRPr="00944CE7">
        <w:t xml:space="preserve">A partir da competência 2010, na medida em que o valor dos bens, objetos do ajuste de avaliação patrimonial, são </w:t>
      </w:r>
      <w:proofErr w:type="gramStart"/>
      <w:r w:rsidRPr="00944CE7">
        <w:t>depreciados, amortizados ou baixados em contrapartida</w:t>
      </w:r>
      <w:proofErr w:type="gramEnd"/>
      <w:r w:rsidRPr="00944CE7">
        <w:t xml:space="preserve">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7360D0" w:rsidRPr="00757094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57094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757094" w:rsidRDefault="00FE6289" w:rsidP="00E571C1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31/12/2020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757094" w:rsidRDefault="004B5A89" w:rsidP="00780A31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31/12/2019</w:t>
            </w:r>
          </w:p>
        </w:tc>
      </w:tr>
      <w:tr w:rsidR="007360D0" w:rsidRPr="00757094" w:rsidTr="004B5A89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757094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757094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757094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757094" w:rsidRDefault="004B5A89" w:rsidP="00C104FD">
            <w:pPr>
              <w:rPr>
                <w:b/>
                <w:bCs/>
              </w:rPr>
            </w:pPr>
          </w:p>
        </w:tc>
      </w:tr>
      <w:tr w:rsidR="007360D0" w:rsidRPr="00757094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703EB1" w:rsidP="00703EB1">
            <w:pPr>
              <w:jc w:val="both"/>
            </w:pPr>
            <w:r w:rsidRPr="00757094">
              <w:t xml:space="preserve">   Saldo i</w:t>
            </w:r>
            <w:r w:rsidR="004B5A89" w:rsidRPr="00757094">
              <w:t>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57094" w:rsidRDefault="004B5A89" w:rsidP="00C104FD">
            <w:pPr>
              <w:jc w:val="right"/>
            </w:pPr>
            <w:r w:rsidRPr="00757094">
              <w:t>(16.030)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</w:pPr>
            <w:r w:rsidRPr="00757094">
              <w:t>(15.329)</w:t>
            </w:r>
          </w:p>
        </w:tc>
      </w:tr>
      <w:tr w:rsidR="007360D0" w:rsidRPr="00757094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both"/>
            </w:pPr>
            <w:r w:rsidRPr="00757094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57094" w:rsidRDefault="004B5A89" w:rsidP="00CD4404">
            <w:pPr>
              <w:jc w:val="right"/>
            </w:pPr>
            <w:r w:rsidRPr="00757094">
              <w:t>(</w:t>
            </w:r>
            <w:r w:rsidR="00915AEE" w:rsidRPr="00757094">
              <w:t>844</w:t>
            </w:r>
            <w:r w:rsidRPr="00757094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</w:pPr>
            <w:r w:rsidRPr="00757094">
              <w:t>(1.191)</w:t>
            </w:r>
          </w:p>
        </w:tc>
      </w:tr>
      <w:tr w:rsidR="007360D0" w:rsidRPr="00757094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both"/>
            </w:pPr>
            <w:r w:rsidRPr="00757094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57094" w:rsidRDefault="00916E67" w:rsidP="00915AEE">
            <w:pPr>
              <w:jc w:val="right"/>
            </w:pPr>
            <w:r w:rsidRPr="00757094">
              <w:t>7</w:t>
            </w:r>
            <w:r w:rsidR="00915AEE" w:rsidRPr="00757094">
              <w:t>11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</w:pPr>
            <w:r w:rsidRPr="00757094">
              <w:t>490</w:t>
            </w:r>
          </w:p>
        </w:tc>
      </w:tr>
      <w:tr w:rsidR="007360D0" w:rsidRPr="00757094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703EB1">
            <w:pPr>
              <w:jc w:val="both"/>
            </w:pPr>
            <w:r w:rsidRPr="00757094">
              <w:t xml:space="preserve">   Saldo </w:t>
            </w:r>
            <w:r w:rsidR="00703EB1" w:rsidRPr="00757094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B5A89" w:rsidRPr="00757094" w:rsidRDefault="00916E67" w:rsidP="00915AEE">
            <w:pPr>
              <w:jc w:val="right"/>
              <w:rPr>
                <w:b/>
              </w:rPr>
            </w:pPr>
            <w:r w:rsidRPr="00757094">
              <w:rPr>
                <w:b/>
              </w:rPr>
              <w:t>(1</w:t>
            </w:r>
            <w:r w:rsidR="00915AEE" w:rsidRPr="00757094">
              <w:rPr>
                <w:b/>
              </w:rPr>
              <w:t>6</w:t>
            </w:r>
            <w:r w:rsidR="004B5A89" w:rsidRPr="00757094">
              <w:rPr>
                <w:b/>
              </w:rPr>
              <w:t>.</w:t>
            </w:r>
            <w:r w:rsidR="00915AEE" w:rsidRPr="00757094">
              <w:rPr>
                <w:b/>
              </w:rPr>
              <w:t>163</w:t>
            </w:r>
            <w:r w:rsidR="004B5A89" w:rsidRPr="00757094">
              <w:rPr>
                <w:b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B5A89" w:rsidRPr="00757094" w:rsidRDefault="004B5A89" w:rsidP="00C104FD">
            <w:pPr>
              <w:jc w:val="right"/>
              <w:rPr>
                <w:b/>
              </w:rPr>
            </w:pPr>
            <w:r w:rsidRPr="00757094">
              <w:rPr>
                <w:b/>
              </w:rPr>
              <w:t>(16.030)</w:t>
            </w:r>
          </w:p>
        </w:tc>
      </w:tr>
    </w:tbl>
    <w:p w:rsidR="004B5A89" w:rsidRPr="00757094" w:rsidRDefault="004B5A89" w:rsidP="004B5A89">
      <w:pPr>
        <w:jc w:val="both"/>
      </w:pPr>
    </w:p>
    <w:p w:rsidR="004B5A89" w:rsidRPr="007D0477" w:rsidRDefault="004B5A89" w:rsidP="004B5A89">
      <w:pPr>
        <w:jc w:val="both"/>
      </w:pPr>
      <w:r w:rsidRPr="00757094">
        <w:t xml:space="preserve">Os valores revertidos de Menos-Valia, </w:t>
      </w:r>
      <w:r w:rsidR="007360D0" w:rsidRPr="00757094">
        <w:t xml:space="preserve">de </w:t>
      </w:r>
      <w:r w:rsidR="00BE4748" w:rsidRPr="00757094">
        <w:t xml:space="preserve">R$ 711 </w:t>
      </w:r>
      <w:r w:rsidR="007360D0" w:rsidRPr="00757094">
        <w:t xml:space="preserve">e R$ 490 </w:t>
      </w:r>
      <w:r w:rsidRPr="00757094">
        <w:t>(respectivamente 3</w:t>
      </w:r>
      <w:r w:rsidR="007D0477" w:rsidRPr="00757094">
        <w:t>1</w:t>
      </w:r>
      <w:r w:rsidRPr="00757094">
        <w:t>/</w:t>
      </w:r>
      <w:r w:rsidR="007D0477" w:rsidRPr="00757094">
        <w:t>12</w:t>
      </w:r>
      <w:r w:rsidRPr="00757094">
        <w:t>/2020 e 31/12/2019), referem-se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</w:p>
    <w:p w:rsidR="00287FA7" w:rsidRDefault="00287FA7">
      <w:bookmarkStart w:id="45" w:name="_Toc31373369"/>
    </w:p>
    <w:p w:rsidR="00944CE7" w:rsidRDefault="00944CE7">
      <w:r>
        <w:rPr>
          <w:b/>
        </w:rPr>
        <w:br w:type="page"/>
      </w:r>
    </w:p>
    <w:p w:rsidR="004B5A89" w:rsidRPr="007E4BC2" w:rsidRDefault="004B5A89" w:rsidP="004B5A89">
      <w:pPr>
        <w:pStyle w:val="Ttulo"/>
        <w:ind w:left="0"/>
        <w:outlineLvl w:val="0"/>
      </w:pPr>
      <w:bookmarkStart w:id="46" w:name="_Toc65061181"/>
      <w:r w:rsidRPr="007E4BC2">
        <w:lastRenderedPageBreak/>
        <w:t>Receita Operacional Líquida</w:t>
      </w:r>
      <w:bookmarkEnd w:id="45"/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298"/>
        <w:gridCol w:w="1660"/>
        <w:gridCol w:w="374"/>
        <w:gridCol w:w="1660"/>
      </w:tblGrid>
      <w:tr w:rsidR="007E4BC2" w:rsidRPr="007E4BC2" w:rsidTr="002708E9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4B5A89" w:rsidP="00C104FD">
            <w:r w:rsidRPr="007E4BC2"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E4BC2" w:rsidRDefault="004B5A89" w:rsidP="00C104FD">
            <w:pPr>
              <w:rPr>
                <w:rFonts w:ascii="Calibri" w:hAnsi="Calibri"/>
              </w:rPr>
            </w:pPr>
            <w:r w:rsidRPr="007E4BC2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FE6289" w:rsidP="00E571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4B5A89" w:rsidP="00C104FD">
            <w:pPr>
              <w:rPr>
                <w:b/>
                <w:bCs/>
              </w:rPr>
            </w:pPr>
            <w:r w:rsidRPr="007E4BC2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FE6289" w:rsidP="00FE62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</w:t>
            </w:r>
            <w:r>
              <w:rPr>
                <w:b/>
                <w:bCs/>
              </w:rPr>
              <w:t>19</w:t>
            </w:r>
          </w:p>
        </w:tc>
      </w:tr>
      <w:tr w:rsidR="009A70AC" w:rsidRPr="009A70AC" w:rsidTr="002708E9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r w:rsidRPr="009A70AC">
              <w:t>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9A70AC" w:rsidRDefault="004B5A89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pPr>
              <w:jc w:val="right"/>
            </w:pPr>
            <w:r w:rsidRPr="009A70AC">
              <w:t> 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 xml:space="preserve">   Sistema Único de Saúde – SUS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>199.933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247020" w:rsidRDefault="00757094" w:rsidP="00974CC9">
            <w:pPr>
              <w:jc w:val="right"/>
            </w:pPr>
            <w:r w:rsidRPr="00247020">
              <w:t>174.255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 xml:space="preserve">   Convênios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>41.107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247020" w:rsidRDefault="00757094" w:rsidP="00974CC9">
            <w:pPr>
              <w:jc w:val="right"/>
            </w:pPr>
            <w:r w:rsidRPr="00247020">
              <w:t>56.749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 xml:space="preserve">   Particulares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>4.520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247020" w:rsidRDefault="00757094" w:rsidP="00974CC9">
            <w:pPr>
              <w:jc w:val="right"/>
            </w:pPr>
            <w:r w:rsidRPr="00247020">
              <w:t>6.370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 xml:space="preserve">   Pesquisas e Análises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>6.117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247020" w:rsidRDefault="00757094" w:rsidP="00974CC9">
            <w:pPr>
              <w:jc w:val="right"/>
            </w:pPr>
            <w:r w:rsidRPr="00247020">
              <w:t>5.277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46642C">
            <w:r w:rsidRPr="009A70AC">
              <w:t xml:space="preserve">   Outros Serviços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>950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7094" w:rsidRPr="00247020" w:rsidRDefault="00757094" w:rsidP="00974CC9">
            <w:pPr>
              <w:jc w:val="right"/>
            </w:pPr>
            <w:r w:rsidRPr="00247020">
              <w:t>971</w:t>
            </w:r>
          </w:p>
        </w:tc>
      </w:tr>
      <w:tr w:rsidR="00757094" w:rsidRPr="00757094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57094" w:rsidRDefault="00757094" w:rsidP="00C104FD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Total de 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757094" w:rsidRDefault="00757094" w:rsidP="00C104FD">
            <w:pPr>
              <w:rPr>
                <w:rFonts w:ascii="Calibri" w:hAnsi="Calibri"/>
                <w:b/>
                <w:bCs/>
              </w:rPr>
            </w:pPr>
            <w:r w:rsidRPr="0075709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57094" w:rsidRPr="00757094" w:rsidRDefault="00757094" w:rsidP="00757094">
            <w:pPr>
              <w:jc w:val="right"/>
              <w:rPr>
                <w:b/>
              </w:rPr>
            </w:pPr>
            <w:r w:rsidRPr="00757094">
              <w:rPr>
                <w:b/>
              </w:rPr>
              <w:t>252.627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57094" w:rsidRDefault="00757094" w:rsidP="00C104FD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7094" w:rsidRPr="00757094" w:rsidRDefault="00757094" w:rsidP="00D31F7D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243.622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>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9A70AC" w:rsidRDefault="00757094" w:rsidP="00D31F7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 xml:space="preserve">   PIS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 xml:space="preserve">            (361) 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57094" w:rsidRPr="00247020" w:rsidRDefault="00757094" w:rsidP="00974CC9">
            <w:pPr>
              <w:jc w:val="right"/>
            </w:pPr>
            <w:r w:rsidRPr="00247020">
              <w:t>(466)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r w:rsidRPr="009A70AC">
              <w:t xml:space="preserve">   COFINS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757094" w:rsidRPr="00625CD2" w:rsidRDefault="00757094" w:rsidP="00757094">
            <w:pPr>
              <w:jc w:val="right"/>
            </w:pPr>
            <w:r w:rsidRPr="00625CD2">
              <w:t xml:space="preserve">(1.668) 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57094" w:rsidRPr="009A70AC" w:rsidRDefault="00757094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57094" w:rsidRPr="00247020" w:rsidRDefault="00757094" w:rsidP="00974CC9">
            <w:pPr>
              <w:jc w:val="right"/>
            </w:pPr>
            <w:r w:rsidRPr="00247020">
              <w:t>(2.149)</w:t>
            </w:r>
          </w:p>
        </w:tc>
      </w:tr>
      <w:tr w:rsidR="00757094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9A70AC" w:rsidRDefault="00757094" w:rsidP="00C104FD">
            <w:r w:rsidRPr="009A70AC">
              <w:t xml:space="preserve">   ISS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57094" w:rsidRPr="009A70AC" w:rsidRDefault="00757094" w:rsidP="00C104FD">
            <w:pPr>
              <w:rPr>
                <w:rFonts w:ascii="Calibri" w:hAnsi="Calibri"/>
              </w:rPr>
            </w:pPr>
          </w:p>
        </w:tc>
        <w:tc>
          <w:tcPr>
            <w:tcW w:w="90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57094" w:rsidRPr="00625CD2" w:rsidRDefault="00757094" w:rsidP="00757094">
            <w:pPr>
              <w:jc w:val="right"/>
            </w:pPr>
            <w:r w:rsidRPr="00625CD2">
              <w:t>(34)</w:t>
            </w:r>
          </w:p>
        </w:tc>
        <w:tc>
          <w:tcPr>
            <w:tcW w:w="20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9A70AC" w:rsidRDefault="00757094" w:rsidP="00C104FD">
            <w:pPr>
              <w:jc w:val="right"/>
            </w:pPr>
          </w:p>
        </w:tc>
        <w:tc>
          <w:tcPr>
            <w:tcW w:w="90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7094" w:rsidRPr="009A70AC" w:rsidRDefault="00757094" w:rsidP="00C104FD">
            <w:pPr>
              <w:jc w:val="right"/>
            </w:pPr>
            <w:r w:rsidRPr="009A70AC">
              <w:t>-</w:t>
            </w:r>
          </w:p>
        </w:tc>
      </w:tr>
      <w:tr w:rsidR="00757094" w:rsidRPr="00757094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57094" w:rsidRDefault="00757094" w:rsidP="00C104FD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Total das 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757094" w:rsidRDefault="00757094" w:rsidP="00C104FD">
            <w:pPr>
              <w:rPr>
                <w:rFonts w:ascii="Calibri" w:hAnsi="Calibri"/>
                <w:b/>
                <w:bCs/>
              </w:rPr>
            </w:pPr>
            <w:r w:rsidRPr="0075709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57094" w:rsidRPr="00757094" w:rsidRDefault="00757094" w:rsidP="00757094">
            <w:pPr>
              <w:jc w:val="right"/>
              <w:rPr>
                <w:b/>
              </w:rPr>
            </w:pPr>
            <w:r w:rsidRPr="00757094">
              <w:rPr>
                <w:b/>
              </w:rPr>
              <w:t xml:space="preserve">   (2.063)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57094" w:rsidRDefault="00757094" w:rsidP="00C104FD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7094" w:rsidRPr="00757094" w:rsidRDefault="00757094" w:rsidP="00974CC9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(2.615)</w:t>
            </w:r>
          </w:p>
        </w:tc>
      </w:tr>
      <w:tr w:rsidR="00757094" w:rsidRPr="00757094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57094" w:rsidRDefault="00757094" w:rsidP="00C104FD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Receita Líquida Operacional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7094" w:rsidRPr="00757094" w:rsidRDefault="00757094" w:rsidP="00C104FD">
            <w:pPr>
              <w:rPr>
                <w:rFonts w:ascii="Calibri" w:hAnsi="Calibri"/>
                <w:b/>
                <w:bCs/>
              </w:rPr>
            </w:pPr>
            <w:r w:rsidRPr="00757094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757094" w:rsidRPr="00757094" w:rsidRDefault="00757094" w:rsidP="00757094">
            <w:pPr>
              <w:jc w:val="right"/>
              <w:rPr>
                <w:b/>
              </w:rPr>
            </w:pPr>
            <w:r w:rsidRPr="00757094">
              <w:rPr>
                <w:b/>
              </w:rPr>
              <w:t>250.564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57094" w:rsidRDefault="00757094" w:rsidP="00C104FD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757094" w:rsidRPr="00757094" w:rsidRDefault="00757094" w:rsidP="00974CC9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241.007</w:t>
            </w:r>
          </w:p>
        </w:tc>
      </w:tr>
    </w:tbl>
    <w:p w:rsidR="004B5A89" w:rsidRPr="001F3542" w:rsidRDefault="004B5A89" w:rsidP="00247020">
      <w:pPr>
        <w:jc w:val="both"/>
        <w:rPr>
          <w:color w:val="FF0000"/>
        </w:rPr>
      </w:pPr>
    </w:p>
    <w:p w:rsidR="005D2C53" w:rsidRPr="00EA358B" w:rsidRDefault="002858D8" w:rsidP="00205C9B">
      <w:pPr>
        <w:jc w:val="both"/>
      </w:pPr>
      <w:r w:rsidRPr="00EA358B">
        <w:t>A apresentação</w:t>
      </w:r>
      <w:r w:rsidR="005518A4" w:rsidRPr="00EA358B">
        <w:t xml:space="preserve"> do Demonstrat</w:t>
      </w:r>
      <w:r w:rsidR="00692C3A" w:rsidRPr="00EA358B">
        <w:t>ivo de Resultado do Exercício está</w:t>
      </w:r>
      <w:r w:rsidR="005518A4" w:rsidRPr="00EA358B">
        <w:t xml:space="preserve"> adequada </w:t>
      </w:r>
      <w:r w:rsidR="00167D19" w:rsidRPr="00EA358B">
        <w:t xml:space="preserve">à estrutura </w:t>
      </w:r>
      <w:r w:rsidR="0098715D" w:rsidRPr="00EA358B">
        <w:t xml:space="preserve">da Secretaria </w:t>
      </w:r>
      <w:r w:rsidR="00167D19" w:rsidRPr="00EA358B">
        <w:t>de Coordenação e Gov</w:t>
      </w:r>
      <w:r w:rsidR="0098715D" w:rsidRPr="00EA358B">
        <w:t>ernança das Empresas Estatais (S</w:t>
      </w:r>
      <w:r w:rsidR="00167D19" w:rsidRPr="00EA358B">
        <w:t>EST)</w:t>
      </w:r>
      <w:r w:rsidR="0052271A" w:rsidRPr="00EA358B">
        <w:t>. D</w:t>
      </w:r>
      <w:r w:rsidR="007E1D17" w:rsidRPr="00EA358B">
        <w:t>esta forma</w:t>
      </w:r>
      <w:r w:rsidRPr="00EA358B">
        <w:t>,</w:t>
      </w:r>
      <w:r w:rsidR="00167D19" w:rsidRPr="00EA358B">
        <w:t xml:space="preserve"> os repasses recebidos </w:t>
      </w:r>
      <w:r w:rsidR="00692C3A" w:rsidRPr="00EA358B">
        <w:t>não</w:t>
      </w:r>
      <w:r w:rsidR="00205C9B" w:rsidRPr="00EA358B">
        <w:t xml:space="preserve"> comp</w:t>
      </w:r>
      <w:r w:rsidR="00692C3A" w:rsidRPr="00EA358B">
        <w:t>õem</w:t>
      </w:r>
      <w:r w:rsidRPr="00EA358B">
        <w:t xml:space="preserve"> o grupo de</w:t>
      </w:r>
      <w:r w:rsidR="00205C9B" w:rsidRPr="00EA358B">
        <w:t xml:space="preserve"> receitas operacionais</w:t>
      </w:r>
      <w:r w:rsidRPr="00EA358B">
        <w:t>,</w:t>
      </w:r>
      <w:r w:rsidR="00692C3A" w:rsidRPr="00EA358B">
        <w:t xml:space="preserve"> sendo apresentados</w:t>
      </w:r>
      <w:r w:rsidR="003E4760" w:rsidRPr="00EA358B">
        <w:t xml:space="preserve"> </w:t>
      </w:r>
      <w:r w:rsidR="00205C9B" w:rsidRPr="00EA358B">
        <w:t>separadamente</w:t>
      </w:r>
      <w:r w:rsidR="00A33B83" w:rsidRPr="00EA358B">
        <w:t xml:space="preserve"> na</w:t>
      </w:r>
      <w:r w:rsidR="007325ED" w:rsidRPr="00EA358B">
        <w:t xml:space="preserve"> Demonstra</w:t>
      </w:r>
      <w:r w:rsidR="00A33B83" w:rsidRPr="00EA358B">
        <w:t>ção do Resultado do Exercício</w:t>
      </w:r>
      <w:r w:rsidR="007325ED" w:rsidRPr="00EA358B">
        <w:t>.</w:t>
      </w:r>
    </w:p>
    <w:p w:rsidR="007E1D17" w:rsidRPr="00EA358B" w:rsidRDefault="007E1D17" w:rsidP="007108BE">
      <w:pPr>
        <w:jc w:val="right"/>
      </w:pPr>
    </w:p>
    <w:p w:rsidR="00C65F56" w:rsidRPr="001F3542" w:rsidRDefault="00C65F56" w:rsidP="007108BE">
      <w:pPr>
        <w:jc w:val="right"/>
        <w:rPr>
          <w:color w:val="FF0000"/>
        </w:rPr>
      </w:pPr>
    </w:p>
    <w:p w:rsidR="00940536" w:rsidRPr="007E4BC2" w:rsidRDefault="00940536" w:rsidP="005A2E85">
      <w:pPr>
        <w:pStyle w:val="Ttulo"/>
        <w:ind w:left="0"/>
        <w:outlineLvl w:val="0"/>
      </w:pPr>
      <w:bookmarkStart w:id="47" w:name="_Ref466466536"/>
      <w:bookmarkStart w:id="48" w:name="_Ref466466548"/>
      <w:bookmarkStart w:id="49" w:name="_Ref466472624"/>
      <w:bookmarkStart w:id="50" w:name="_Ref476905318"/>
      <w:bookmarkStart w:id="51" w:name="_Toc1120457"/>
      <w:bookmarkStart w:id="52" w:name="_Toc65061182"/>
      <w:r w:rsidRPr="004D0326">
        <w:t xml:space="preserve">Custos dos Serviços e Despesas </w:t>
      </w:r>
      <w:r w:rsidR="00D45A90" w:rsidRPr="004D0326">
        <w:t>Operacionais</w:t>
      </w:r>
      <w:r w:rsidRPr="004D0326">
        <w:t xml:space="preserve"> por </w:t>
      </w:r>
      <w:r w:rsidRPr="007E4BC2">
        <w:t>Natureza</w:t>
      </w:r>
      <w:bookmarkEnd w:id="47"/>
      <w:bookmarkEnd w:id="48"/>
      <w:bookmarkEnd w:id="49"/>
      <w:bookmarkEnd w:id="50"/>
      <w:bookmarkEnd w:id="51"/>
      <w:bookmarkEnd w:id="52"/>
    </w:p>
    <w:p w:rsidR="00940536" w:rsidRPr="007E4BC2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935"/>
        <w:gridCol w:w="230"/>
        <w:gridCol w:w="831"/>
        <w:gridCol w:w="185"/>
        <w:gridCol w:w="961"/>
        <w:gridCol w:w="146"/>
        <w:gridCol w:w="885"/>
        <w:gridCol w:w="185"/>
        <w:gridCol w:w="887"/>
        <w:gridCol w:w="185"/>
        <w:gridCol w:w="1019"/>
      </w:tblGrid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E571C1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31/12/2020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C210A" w:rsidRPr="00B3699E" w:rsidRDefault="007C210A" w:rsidP="00E571C1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31/12/2019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Total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10A" w:rsidRPr="00B3699E" w:rsidRDefault="007C210A" w:rsidP="009B00AF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B3699E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Salários e Encargos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985.17</w:t>
            </w:r>
            <w:r w:rsidR="00AA758F">
              <w:rPr>
                <w:sz w:val="18"/>
                <w:szCs w:val="18"/>
              </w:rPr>
              <w:t>7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163.414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1.148.59</w:t>
            </w:r>
            <w:r w:rsidR="00AA758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912.591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160.476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1.073.067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Benefícios de Pessoal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70.87</w:t>
            </w:r>
            <w:r w:rsidR="00AA758F">
              <w:rPr>
                <w:sz w:val="18"/>
                <w:szCs w:val="18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11.753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82.63</w:t>
            </w:r>
            <w:r w:rsidR="00AA758F">
              <w:rPr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68.471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12.048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80.519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Consumo de Materiais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143.731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23.773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167.504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127.106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22.203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149.309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26.075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4.328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30.403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20.040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3.510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23.550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110.001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18.258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128.259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103.809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19.371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123.180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1.335.862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221.526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1.557.388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1.232.017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217.608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1.449.625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bCs/>
                <w:sz w:val="18"/>
                <w:szCs w:val="18"/>
              </w:rPr>
            </w:pPr>
            <w:r w:rsidRPr="00B3699E">
              <w:rPr>
                <w:bCs/>
                <w:sz w:val="18"/>
                <w:szCs w:val="18"/>
              </w:rPr>
              <w:t>Provisões de Contingências e Pessoal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 xml:space="preserve"> -</w:t>
            </w:r>
            <w:proofErr w:type="gramStart"/>
            <w:r w:rsidRPr="00B3699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 xml:space="preserve"> 8.368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 xml:space="preserve"> 8.368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6.871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126.522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sz w:val="18"/>
                <w:szCs w:val="18"/>
              </w:rPr>
            </w:pPr>
            <w:r w:rsidRPr="00B3699E">
              <w:rPr>
                <w:sz w:val="18"/>
                <w:szCs w:val="18"/>
              </w:rPr>
              <w:t>133.393</w:t>
            </w:r>
          </w:p>
        </w:tc>
      </w:tr>
      <w:tr w:rsidR="00D94EC8" w:rsidRPr="00B3699E" w:rsidTr="00D94EC8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</w:pPr>
            <w:r w:rsidRPr="00B3699E">
              <w:rPr>
                <w:b/>
                <w:bCs/>
                <w:sz w:val="18"/>
                <w:szCs w:val="18"/>
              </w:rPr>
              <w:t>1.335.862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</w:pPr>
            <w:r w:rsidRPr="00B3699E">
              <w:rPr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</w:pPr>
            <w:r w:rsidRPr="00B3699E">
              <w:rPr>
                <w:b/>
                <w:bCs/>
                <w:sz w:val="18"/>
                <w:szCs w:val="18"/>
              </w:rPr>
              <w:t> 229.894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AA758F">
            <w:pPr>
              <w:jc w:val="right"/>
            </w:pPr>
            <w:r w:rsidRPr="00B3699E">
              <w:rPr>
                <w:b/>
                <w:bCs/>
                <w:sz w:val="18"/>
                <w:szCs w:val="18"/>
              </w:rPr>
              <w:t> 1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B3699E">
              <w:rPr>
                <w:b/>
                <w:bCs/>
                <w:sz w:val="18"/>
                <w:szCs w:val="18"/>
              </w:rPr>
              <w:t>565.756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1.238.888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344.130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1.583.018</w:t>
            </w:r>
          </w:p>
        </w:tc>
      </w:tr>
    </w:tbl>
    <w:p w:rsidR="002A20B2" w:rsidRPr="00EA02B9" w:rsidRDefault="002A20B2" w:rsidP="00DA782A">
      <w:pPr>
        <w:jc w:val="both"/>
      </w:pPr>
    </w:p>
    <w:p w:rsidR="00DA782A" w:rsidRDefault="00DA782A" w:rsidP="00DA782A">
      <w:pPr>
        <w:jc w:val="both"/>
      </w:pPr>
      <w:r w:rsidRPr="00EA02B9">
        <w:t>Os</w:t>
      </w:r>
      <w:r w:rsidR="00204A30" w:rsidRPr="00EA02B9">
        <w:t xml:space="preserve"> </w:t>
      </w:r>
      <w:r w:rsidRPr="00EA02B9">
        <w:t>custos dos serviços e despesas administrativas foram apropriados de acordo com o sistema de apuração de custos contábeis. Os valores dos custos diretos são distribuídos em: pessoal, material, depreciação, serviços,</w:t>
      </w:r>
      <w:r w:rsidRPr="00EA358B">
        <w:t xml:space="preserve"> água, energia e telefone. Não são considerados os grupos de centro de custos referentes aos complementos patrimoniais, custos não operacionais e obras em andamento.</w:t>
      </w:r>
    </w:p>
    <w:p w:rsidR="00D52EF9" w:rsidRDefault="00D52EF9" w:rsidP="00DA782A">
      <w:pPr>
        <w:jc w:val="both"/>
      </w:pPr>
    </w:p>
    <w:p w:rsidR="00DA782A" w:rsidRPr="00B16C25" w:rsidRDefault="00D52EF9" w:rsidP="00B16C25">
      <w:pPr>
        <w:pStyle w:val="Ttulo"/>
        <w:numPr>
          <w:ilvl w:val="0"/>
          <w:numId w:val="0"/>
        </w:numPr>
        <w:outlineLvl w:val="0"/>
        <w:rPr>
          <w:b w:val="0"/>
        </w:rPr>
      </w:pPr>
      <w:r w:rsidRPr="00B16C25">
        <w:rPr>
          <w:b w:val="0"/>
        </w:rPr>
        <w:t xml:space="preserve">As variações ocorridas nos saldos apresentados entre os exercícios de 2019 e 2020 estão descritas, em sua maioria, na nota explicativa 27 – </w:t>
      </w:r>
      <w:r w:rsidR="00B16C25" w:rsidRPr="00B16C25">
        <w:rPr>
          <w:b w:val="0"/>
        </w:rPr>
        <w:t>Impactos – COVID 19</w:t>
      </w:r>
      <w:r w:rsidRPr="00B16C25">
        <w:rPr>
          <w:b w:val="0"/>
        </w:rPr>
        <w:t>.</w:t>
      </w:r>
    </w:p>
    <w:p w:rsidR="00D52EF9" w:rsidRPr="00EA358B" w:rsidRDefault="00D52EF9" w:rsidP="00DA782A">
      <w:pPr>
        <w:jc w:val="both"/>
        <w:rPr>
          <w:highlight w:val="yellow"/>
        </w:rPr>
      </w:pPr>
    </w:p>
    <w:p w:rsidR="00940536" w:rsidRDefault="00B16C25" w:rsidP="00940536">
      <w:pPr>
        <w:jc w:val="both"/>
      </w:pPr>
      <w:r>
        <w:t xml:space="preserve">Na determinação do resultado </w:t>
      </w:r>
      <w:r w:rsidR="00940536" w:rsidRPr="00EA358B">
        <w:t>foram computados os custos e despesas pagos ou incorridos</w:t>
      </w:r>
      <w:r>
        <w:t>,</w:t>
      </w:r>
      <w:r w:rsidR="00940536" w:rsidRPr="00EA358B">
        <w:t xml:space="preserve"> os quais correspondem às receitas de serviços reconhecidas no exercício.</w:t>
      </w:r>
    </w:p>
    <w:p w:rsidR="007852F7" w:rsidRDefault="007852F7" w:rsidP="00940536">
      <w:pPr>
        <w:jc w:val="both"/>
      </w:pPr>
    </w:p>
    <w:p w:rsidR="007852F7" w:rsidRPr="00EA358B" w:rsidRDefault="007852F7" w:rsidP="00940536">
      <w:pPr>
        <w:jc w:val="both"/>
      </w:pPr>
    </w:p>
    <w:p w:rsidR="00944CE7" w:rsidRDefault="00944CE7">
      <w:pPr>
        <w:rPr>
          <w:color w:val="FF0000"/>
        </w:rPr>
      </w:pPr>
      <w:bookmarkStart w:id="53" w:name="_Ref466472278"/>
      <w:bookmarkStart w:id="54" w:name="_Toc529341297"/>
      <w:r>
        <w:rPr>
          <w:b/>
          <w:color w:val="FF0000"/>
        </w:rPr>
        <w:br w:type="page"/>
      </w:r>
    </w:p>
    <w:p w:rsidR="00056B52" w:rsidRPr="00FA28B8" w:rsidRDefault="00056B52" w:rsidP="00204A30">
      <w:pPr>
        <w:pStyle w:val="Ttulo"/>
        <w:ind w:left="0"/>
        <w:outlineLvl w:val="0"/>
      </w:pPr>
      <w:bookmarkStart w:id="55" w:name="_Toc65061183"/>
      <w:r w:rsidRPr="00FA28B8">
        <w:lastRenderedPageBreak/>
        <w:t>Despesas de Benefícios a Empregados</w:t>
      </w:r>
      <w:bookmarkEnd w:id="53"/>
      <w:bookmarkEnd w:id="54"/>
      <w:bookmarkEnd w:id="55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FA28B8" w:rsidRPr="00FA28B8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03" w:rsidRPr="00FA28B8" w:rsidRDefault="001F5C03" w:rsidP="00A21AA7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C03" w:rsidRPr="00FA28B8" w:rsidRDefault="00FE6289" w:rsidP="00E571C1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31/12/2020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C03" w:rsidRPr="00FA28B8" w:rsidRDefault="001F5C03" w:rsidP="00A21AA7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FA28B8" w:rsidRDefault="00FE6289" w:rsidP="00E571C1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31/12</w:t>
            </w:r>
            <w:r w:rsidR="001F5C03" w:rsidRPr="00FA28B8">
              <w:rPr>
                <w:b/>
                <w:bCs/>
              </w:rPr>
              <w:t>/201</w:t>
            </w:r>
            <w:r w:rsidR="000F6A4B" w:rsidRPr="00FA28B8">
              <w:rPr>
                <w:b/>
                <w:bCs/>
              </w:rPr>
              <w:t>9</w:t>
            </w:r>
          </w:p>
        </w:tc>
      </w:tr>
      <w:tr w:rsidR="00FA28B8" w:rsidRPr="00FA28B8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3531E" w:rsidRPr="00FA28B8" w:rsidRDefault="0013531E" w:rsidP="003A7111"/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FA28B8" w:rsidRDefault="0013531E" w:rsidP="00782847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FA28B8" w:rsidRDefault="0013531E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FA28B8" w:rsidRDefault="0013531E" w:rsidP="00C77BA9">
            <w:pPr>
              <w:jc w:val="right"/>
            </w:pPr>
          </w:p>
        </w:tc>
      </w:tr>
      <w:tr w:rsidR="00FA28B8" w:rsidRPr="00FA28B8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28B8" w:rsidRPr="00FA28B8" w:rsidRDefault="00FA28B8" w:rsidP="003A7111">
            <w:r w:rsidRPr="00FA28B8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326CDF">
            <w:pPr>
              <w:jc w:val="right"/>
            </w:pPr>
            <w:r w:rsidRPr="00FA28B8">
              <w:t> 10.743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8B8" w:rsidRPr="00FA28B8" w:rsidRDefault="00FA28B8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974CC9">
            <w:pPr>
              <w:jc w:val="right"/>
            </w:pPr>
            <w:r w:rsidRPr="00FA28B8">
              <w:t>11.009</w:t>
            </w:r>
          </w:p>
        </w:tc>
      </w:tr>
      <w:tr w:rsidR="00FA28B8" w:rsidRPr="00FA28B8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28B8" w:rsidRPr="00FA28B8" w:rsidRDefault="00FA28B8" w:rsidP="003A7111">
            <w:r w:rsidRPr="00FA28B8">
              <w:t>Vale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326CDF">
            <w:pPr>
              <w:jc w:val="right"/>
            </w:pPr>
            <w:r w:rsidRPr="00FA28B8">
              <w:t> 3.393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8B8" w:rsidRPr="00FA28B8" w:rsidRDefault="00FA28B8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974CC9">
            <w:pPr>
              <w:jc w:val="right"/>
            </w:pPr>
            <w:r w:rsidRPr="00FA28B8">
              <w:t>3.491</w:t>
            </w:r>
          </w:p>
        </w:tc>
      </w:tr>
      <w:tr w:rsidR="00FA28B8" w:rsidRPr="00FA28B8" w:rsidTr="00974CC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28B8" w:rsidRPr="00FA28B8" w:rsidRDefault="00FA28B8" w:rsidP="003A7111">
            <w:r w:rsidRPr="00FA28B8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326CDF">
            <w:pPr>
              <w:jc w:val="right"/>
            </w:pPr>
            <w:r w:rsidRPr="00FA28B8">
              <w:t> 1.219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8B8" w:rsidRPr="00FA28B8" w:rsidRDefault="00FA28B8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974CC9">
            <w:pPr>
              <w:jc w:val="right"/>
            </w:pPr>
            <w:r w:rsidRPr="00FA28B8">
              <w:t>1.472</w:t>
            </w:r>
          </w:p>
        </w:tc>
      </w:tr>
      <w:tr w:rsidR="00FA28B8" w:rsidRPr="00FA28B8" w:rsidTr="00974CC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28B8" w:rsidRPr="00FA28B8" w:rsidRDefault="00FA28B8" w:rsidP="003A7111">
            <w:r w:rsidRPr="00FA28B8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326CDF">
            <w:pPr>
              <w:jc w:val="right"/>
            </w:pPr>
            <w:r w:rsidRPr="00FA28B8">
              <w:t> 35.302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8B8" w:rsidRPr="00FA28B8" w:rsidRDefault="00FA28B8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A28B8" w:rsidRPr="00FA28B8" w:rsidRDefault="00FA28B8" w:rsidP="00974CC9">
            <w:pPr>
              <w:jc w:val="right"/>
            </w:pPr>
            <w:r w:rsidRPr="00FA28B8">
              <w:t>33.701</w:t>
            </w:r>
          </w:p>
        </w:tc>
      </w:tr>
      <w:tr w:rsidR="00FA28B8" w:rsidRPr="00FA28B8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A28B8" w:rsidRPr="00FA28B8" w:rsidRDefault="00FA28B8" w:rsidP="003A7111">
            <w:r w:rsidRPr="00FA28B8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A28B8" w:rsidRPr="00FA28B8" w:rsidRDefault="00FA28B8" w:rsidP="00326CDF">
            <w:pPr>
              <w:jc w:val="right"/>
            </w:pPr>
            <w:r w:rsidRPr="00FA28B8">
              <w:t>31.974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8B8" w:rsidRPr="00FA28B8" w:rsidRDefault="00FA28B8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A28B8" w:rsidRPr="00FA28B8" w:rsidRDefault="00FA28B8" w:rsidP="00974CC9">
            <w:pPr>
              <w:jc w:val="right"/>
            </w:pPr>
            <w:r w:rsidRPr="00FA28B8">
              <w:t>30.846</w:t>
            </w:r>
          </w:p>
        </w:tc>
      </w:tr>
      <w:tr w:rsidR="00FA28B8" w:rsidRPr="00FA28B8" w:rsidTr="00974CC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5505" w:rsidRPr="00FA28B8" w:rsidRDefault="006C5505" w:rsidP="00A21AA7">
            <w:pPr>
              <w:rPr>
                <w:b/>
                <w:bCs/>
              </w:rPr>
            </w:pPr>
            <w:r w:rsidRPr="00FA28B8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6C5505" w:rsidRPr="00FA28B8" w:rsidRDefault="00FA28B8" w:rsidP="00AA276A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82.631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FA28B8" w:rsidRDefault="006C5505" w:rsidP="00A21AA7">
            <w:pPr>
              <w:rPr>
                <w:b/>
                <w:bCs/>
              </w:rPr>
            </w:pPr>
            <w:r w:rsidRPr="00FA28B8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6C5505" w:rsidRPr="00FA28B8" w:rsidRDefault="006C5505" w:rsidP="00974CC9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80.519</w:t>
            </w:r>
          </w:p>
        </w:tc>
      </w:tr>
    </w:tbl>
    <w:p w:rsidR="00056B52" w:rsidRPr="00FA28B8" w:rsidRDefault="00056B52" w:rsidP="00A21AA7">
      <w:pPr>
        <w:tabs>
          <w:tab w:val="left" w:pos="993"/>
        </w:tabs>
        <w:jc w:val="both"/>
        <w:rPr>
          <w:b/>
        </w:rPr>
      </w:pPr>
    </w:p>
    <w:p w:rsidR="00056B52" w:rsidRDefault="00056B52" w:rsidP="00A21AA7">
      <w:pPr>
        <w:ind w:left="-100"/>
        <w:jc w:val="both"/>
      </w:pPr>
      <w:r w:rsidRPr="00FA28B8">
        <w:t>Representa os benefícios a empregados, que são reconhecidos no resultado do período em que ocorre a prestação do serviço do empregado. Como benefício pós-emprego a Instituição oferece plano de previdência privada de aposentadoria complementar.</w:t>
      </w:r>
      <w:r w:rsidRPr="0078552D">
        <w:t xml:space="preserve"> </w:t>
      </w:r>
    </w:p>
    <w:p w:rsidR="00187357" w:rsidRPr="0078552D" w:rsidRDefault="00187357" w:rsidP="00187357">
      <w:bookmarkStart w:id="56" w:name="_Ref466466697"/>
    </w:p>
    <w:p w:rsidR="003177BD" w:rsidRPr="0078552D" w:rsidRDefault="003177BD" w:rsidP="00187357"/>
    <w:p w:rsidR="00DD7ADA" w:rsidRPr="0013531E" w:rsidRDefault="00DD7ADA" w:rsidP="00DD7ADA">
      <w:pPr>
        <w:pStyle w:val="Ttulo"/>
        <w:ind w:left="0"/>
        <w:outlineLvl w:val="0"/>
      </w:pPr>
      <w:bookmarkStart w:id="57" w:name="_Toc65061184"/>
      <w:r w:rsidRPr="0013531E">
        <w:t>Outras Receitas e Despesas</w:t>
      </w:r>
      <w:bookmarkEnd w:id="57"/>
      <w:r w:rsidRPr="0013531E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685352" w:rsidRPr="0013531E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13531E" w:rsidRDefault="00DD7ADA" w:rsidP="001424C2">
            <w:r w:rsidRPr="0013531E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ADA" w:rsidRPr="0013531E" w:rsidRDefault="00FE6289" w:rsidP="00E571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13531E" w:rsidRDefault="00DD7ADA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ADA" w:rsidRPr="0013531E" w:rsidRDefault="00E571C1" w:rsidP="00FE6289">
            <w:pPr>
              <w:jc w:val="right"/>
              <w:rPr>
                <w:b/>
                <w:bCs/>
              </w:rPr>
            </w:pPr>
            <w:r w:rsidRPr="0013531E">
              <w:rPr>
                <w:b/>
                <w:bCs/>
              </w:rPr>
              <w:t>3</w:t>
            </w:r>
            <w:r w:rsidR="00FE6289">
              <w:rPr>
                <w:b/>
                <w:bCs/>
              </w:rPr>
              <w:t>1</w:t>
            </w:r>
            <w:r w:rsidR="00DD7ADA" w:rsidRPr="0013531E">
              <w:rPr>
                <w:b/>
                <w:bCs/>
              </w:rPr>
              <w:t>/</w:t>
            </w:r>
            <w:r w:rsidR="00FE6289">
              <w:rPr>
                <w:b/>
                <w:bCs/>
              </w:rPr>
              <w:t>12</w:t>
            </w:r>
            <w:r w:rsidR="00DD7ADA" w:rsidRPr="0013531E">
              <w:rPr>
                <w:b/>
                <w:bCs/>
              </w:rPr>
              <w:t>/201</w:t>
            </w:r>
            <w:r w:rsidR="000F6A4B" w:rsidRPr="0013531E">
              <w:rPr>
                <w:b/>
                <w:bCs/>
              </w:rPr>
              <w:t>9</w:t>
            </w:r>
          </w:p>
        </w:tc>
      </w:tr>
      <w:tr w:rsidR="00685352" w:rsidRPr="0013531E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/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>
            <w:pPr>
              <w:jc w:val="right"/>
            </w:pPr>
          </w:p>
        </w:tc>
      </w:tr>
      <w:tr w:rsidR="00685352" w:rsidRPr="002A6A8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r w:rsidRPr="002A6A8D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pPr>
              <w:jc w:val="right"/>
              <w:rPr>
                <w:b/>
                <w:bCs/>
              </w:rPr>
            </w:pPr>
            <w:r w:rsidRPr="002A6A8D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r w:rsidRPr="002A6A8D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pPr>
              <w:jc w:val="right"/>
            </w:pPr>
            <w:r w:rsidRPr="002A6A8D">
              <w:t> </w:t>
            </w:r>
          </w:p>
        </w:tc>
      </w:tr>
      <w:tr w:rsidR="002D0F86" w:rsidRPr="002A6A8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r w:rsidRPr="002A6A8D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F0348F">
            <w:pPr>
              <w:jc w:val="right"/>
            </w:pPr>
            <w:r w:rsidRPr="002A6A8D">
              <w:t>2.189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974CC9">
            <w:pPr>
              <w:jc w:val="right"/>
            </w:pPr>
            <w:r w:rsidRPr="002A6A8D">
              <w:t>3.874</w:t>
            </w:r>
          </w:p>
        </w:tc>
      </w:tr>
      <w:tr w:rsidR="002D0F86" w:rsidRPr="002A6A8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r w:rsidRPr="002A6A8D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F0348F">
            <w:pPr>
              <w:jc w:val="right"/>
            </w:pPr>
            <w:r w:rsidRPr="002A6A8D">
              <w:t>64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974CC9">
            <w:pPr>
              <w:jc w:val="right"/>
            </w:pPr>
            <w:r w:rsidRPr="002A6A8D">
              <w:t>36</w:t>
            </w:r>
          </w:p>
        </w:tc>
      </w:tr>
      <w:tr w:rsidR="002D0F86" w:rsidRPr="002A6A8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AF23FB">
            <w:r w:rsidRPr="002A6A8D">
              <w:t xml:space="preserve">   Reversão de Provisões e Depreciação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F0348F">
            <w:pPr>
              <w:jc w:val="right"/>
            </w:pPr>
            <w:r w:rsidRPr="002A6A8D">
              <w:t>2.538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974CC9">
            <w:pPr>
              <w:jc w:val="right"/>
            </w:pPr>
            <w:r w:rsidRPr="002A6A8D">
              <w:t>2.206</w:t>
            </w:r>
          </w:p>
        </w:tc>
      </w:tr>
      <w:tr w:rsidR="002D0F86" w:rsidRPr="002A6A8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r w:rsidRPr="002A6A8D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F0348F">
            <w:pPr>
              <w:jc w:val="right"/>
            </w:pPr>
            <w:r w:rsidRPr="002A6A8D">
              <w:t>4.185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pPr>
              <w:jc w:val="right"/>
            </w:pPr>
            <w:r w:rsidRPr="002A6A8D">
              <w:t>2.654</w:t>
            </w:r>
          </w:p>
        </w:tc>
      </w:tr>
      <w:tr w:rsidR="002D0F86" w:rsidRPr="002A6A8D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2A6A8D" w:rsidRDefault="002D0F86" w:rsidP="001F3542">
            <w:r w:rsidRPr="002A6A8D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2D0F86" w:rsidRPr="00DA18F6" w:rsidRDefault="002D0F86" w:rsidP="00F0348F">
            <w:pPr>
              <w:jc w:val="right"/>
            </w:pPr>
            <w:r w:rsidRPr="00DA18F6">
              <w:t>2.826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D0F86" w:rsidRPr="00DA18F6" w:rsidRDefault="002D0F86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2D0F86" w:rsidRPr="00DA18F6" w:rsidRDefault="002A6A8D" w:rsidP="001F3542">
            <w:pPr>
              <w:jc w:val="right"/>
            </w:pPr>
            <w:r w:rsidRPr="00DA18F6">
              <w:t>2.545</w:t>
            </w:r>
          </w:p>
        </w:tc>
      </w:tr>
      <w:tr w:rsidR="0079012C" w:rsidRPr="002A6A8D" w:rsidTr="001F3542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22FDD" w:rsidRPr="002A6A8D" w:rsidRDefault="0079012C" w:rsidP="001F3542">
            <w:r w:rsidRPr="002A6A8D">
              <w:t xml:space="preserve">   </w:t>
            </w:r>
            <w:r w:rsidR="00D22FDD" w:rsidRPr="002A6A8D">
              <w:t>Restituições</w:t>
            </w:r>
            <w:r w:rsidRPr="002A6A8D">
              <w:t xml:space="preserve"> e Outros Acréscimos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2FDD" w:rsidRPr="00DA18F6" w:rsidRDefault="0079012C" w:rsidP="002D0F86">
            <w:pPr>
              <w:jc w:val="right"/>
            </w:pPr>
            <w:r w:rsidRPr="00DA18F6">
              <w:t>1</w:t>
            </w:r>
            <w:r w:rsidR="00D22FDD" w:rsidRPr="00DA18F6">
              <w:t>.</w:t>
            </w:r>
            <w:r w:rsidR="002D0F86" w:rsidRPr="00DA18F6">
              <w:t>664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2FDD" w:rsidRPr="00DA18F6" w:rsidRDefault="00D22FDD" w:rsidP="00D22FDD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2FDD" w:rsidRPr="00DA18F6" w:rsidRDefault="002A6A8D" w:rsidP="002A6A8D">
            <w:pPr>
              <w:jc w:val="right"/>
            </w:pPr>
            <w:r w:rsidRPr="00DA18F6">
              <w:t>1</w:t>
            </w:r>
            <w:r w:rsidR="006C5505" w:rsidRPr="00DA18F6">
              <w:t>.</w:t>
            </w:r>
            <w:r w:rsidRPr="00DA18F6">
              <w:t>668</w:t>
            </w:r>
          </w:p>
        </w:tc>
      </w:tr>
      <w:tr w:rsidR="006C5505" w:rsidRPr="0079012C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A6A8D" w:rsidRDefault="006C5505" w:rsidP="001F3542">
            <w:r w:rsidRPr="002A6A8D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C5505" w:rsidRPr="00DA18F6" w:rsidRDefault="006C5505" w:rsidP="002D0F86">
            <w:pPr>
              <w:jc w:val="right"/>
              <w:rPr>
                <w:b/>
                <w:bCs/>
              </w:rPr>
            </w:pPr>
            <w:r w:rsidRPr="00DA18F6">
              <w:rPr>
                <w:b/>
                <w:bCs/>
              </w:rPr>
              <w:t>1</w:t>
            </w:r>
            <w:r w:rsidR="002D0F86" w:rsidRPr="00DA18F6">
              <w:rPr>
                <w:b/>
                <w:bCs/>
              </w:rPr>
              <w:t>3</w:t>
            </w:r>
            <w:r w:rsidRPr="00DA18F6">
              <w:rPr>
                <w:b/>
                <w:bCs/>
              </w:rPr>
              <w:t>.</w:t>
            </w:r>
            <w:r w:rsidR="002D0F86" w:rsidRPr="00DA18F6">
              <w:rPr>
                <w:b/>
                <w:bCs/>
              </w:rPr>
              <w:t>466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DA18F6" w:rsidRDefault="006C5505" w:rsidP="001F3542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C5505" w:rsidRPr="00DA18F6" w:rsidRDefault="006C5505" w:rsidP="00974CC9">
            <w:pPr>
              <w:jc w:val="right"/>
              <w:rPr>
                <w:b/>
                <w:bCs/>
              </w:rPr>
            </w:pPr>
            <w:r w:rsidRPr="00DA18F6">
              <w:rPr>
                <w:b/>
                <w:bCs/>
              </w:rPr>
              <w:t>12.983</w:t>
            </w:r>
          </w:p>
        </w:tc>
      </w:tr>
      <w:tr w:rsidR="006C5505" w:rsidRPr="001F3542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1F3542" w:rsidRDefault="006C5505" w:rsidP="001424C2">
            <w:pPr>
              <w:rPr>
                <w:color w:val="FF000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/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  <w:rPr>
                <w:b/>
                <w:bCs/>
                <w:sz w:val="16"/>
                <w:szCs w:val="16"/>
              </w:rPr>
            </w:pPr>
            <w:r w:rsidRPr="002D0F86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C5505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79012C" w:rsidRDefault="006C5505" w:rsidP="001424C2">
            <w:r w:rsidRPr="0079012C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  <w:rPr>
                <w:b/>
                <w:bCs/>
              </w:rPr>
            </w:pPr>
            <w:r w:rsidRPr="002D0F86">
              <w:rPr>
                <w:b/>
                <w:bCs/>
              </w:rPr>
              <w:t> </w:t>
            </w:r>
          </w:p>
        </w:tc>
      </w:tr>
      <w:tr w:rsidR="006C5505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79012C" w:rsidRDefault="006C5505" w:rsidP="00187357">
            <w:r w:rsidRPr="0079012C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2D0F86">
            <w:pPr>
              <w:jc w:val="right"/>
            </w:pPr>
            <w:r w:rsidRPr="002D0F86">
              <w:t>(</w:t>
            </w:r>
            <w:r w:rsidR="002D0F86" w:rsidRPr="002D0F86">
              <w:t>1.679</w:t>
            </w:r>
            <w:r w:rsidRPr="002D0F86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</w:pPr>
            <w:r w:rsidRPr="002D0F86">
              <w:t>(2.470)</w:t>
            </w:r>
          </w:p>
        </w:tc>
      </w:tr>
      <w:tr w:rsidR="006C5505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79012C" w:rsidRDefault="006C5505" w:rsidP="001424C2">
            <w:r w:rsidRPr="0079012C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  <w:rPr>
                <w:sz w:val="16"/>
                <w:szCs w:val="16"/>
              </w:rPr>
            </w:pPr>
            <w:r w:rsidRPr="002D0F86">
              <w:rPr>
                <w:sz w:val="16"/>
                <w:szCs w:val="16"/>
              </w:rPr>
              <w:t> </w:t>
            </w:r>
          </w:p>
        </w:tc>
      </w:tr>
      <w:tr w:rsidR="006C5505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79012C" w:rsidRDefault="006C5505" w:rsidP="001424C2">
            <w:r w:rsidRPr="0079012C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</w:pPr>
            <w:r w:rsidRPr="002D0F86">
              <w:t> </w:t>
            </w:r>
          </w:p>
        </w:tc>
      </w:tr>
      <w:tr w:rsidR="006C5505" w:rsidRPr="0079012C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79012C" w:rsidRDefault="006C5505" w:rsidP="001424C2">
            <w:r w:rsidRPr="0079012C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2D0F86">
            <w:pPr>
              <w:jc w:val="right"/>
            </w:pPr>
            <w:r w:rsidRPr="002D0F86">
              <w:t>(1</w:t>
            </w:r>
            <w:r w:rsidR="002D0F86" w:rsidRPr="002D0F86">
              <w:t>46</w:t>
            </w:r>
            <w:r w:rsidRPr="002D0F86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</w:pPr>
            <w:r w:rsidRPr="002D0F86">
              <w:t>(125)</w:t>
            </w:r>
          </w:p>
        </w:tc>
      </w:tr>
      <w:tr w:rsidR="006C5505" w:rsidRPr="0079012C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79012C" w:rsidRDefault="006C5505" w:rsidP="001424C2">
            <w:r w:rsidRPr="0079012C">
              <w:t>Baixa de Bens e Outras Despesas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2D0F86">
            <w:pPr>
              <w:jc w:val="right"/>
              <w:rPr>
                <w:b/>
                <w:bCs/>
              </w:rPr>
            </w:pPr>
            <w:r w:rsidRPr="002D0F86">
              <w:rPr>
                <w:b/>
                <w:bCs/>
              </w:rPr>
              <w:t>(</w:t>
            </w:r>
            <w:r w:rsidR="002D0F86" w:rsidRPr="002D0F86">
              <w:rPr>
                <w:b/>
                <w:bCs/>
              </w:rPr>
              <w:t>1.825</w:t>
            </w:r>
            <w:r w:rsidRPr="002D0F86">
              <w:rPr>
                <w:b/>
                <w:bCs/>
              </w:rPr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/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  <w:rPr>
                <w:b/>
                <w:bCs/>
              </w:rPr>
            </w:pPr>
            <w:r w:rsidRPr="002D0F86">
              <w:rPr>
                <w:b/>
                <w:bCs/>
              </w:rPr>
              <w:t>(2.595)</w:t>
            </w:r>
          </w:p>
        </w:tc>
      </w:tr>
      <w:tr w:rsidR="006C5505" w:rsidRPr="0079012C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505" w:rsidRPr="0079012C" w:rsidRDefault="006C5505" w:rsidP="001424C2">
            <w:pPr>
              <w:rPr>
                <w:b/>
                <w:bCs/>
              </w:rPr>
            </w:pPr>
            <w:r w:rsidRPr="0079012C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2D0F86">
            <w:pPr>
              <w:jc w:val="right"/>
              <w:rPr>
                <w:b/>
                <w:bCs/>
              </w:rPr>
            </w:pPr>
            <w:r w:rsidRPr="002D0F86">
              <w:rPr>
                <w:b/>
                <w:bCs/>
              </w:rPr>
              <w:t>1</w:t>
            </w:r>
            <w:r w:rsidR="002D0F86" w:rsidRPr="002D0F86">
              <w:rPr>
                <w:b/>
                <w:bCs/>
              </w:rPr>
              <w:t>1</w:t>
            </w:r>
            <w:r w:rsidRPr="002D0F86">
              <w:rPr>
                <w:b/>
                <w:bCs/>
              </w:rPr>
              <w:t>.</w:t>
            </w:r>
            <w:r w:rsidR="002D0F86" w:rsidRPr="002D0F86">
              <w:rPr>
                <w:b/>
                <w:bCs/>
              </w:rPr>
              <w:t>641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1424C2"/>
        </w:tc>
        <w:tc>
          <w:tcPr>
            <w:tcW w:w="103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6C5505" w:rsidRPr="002D0F86" w:rsidRDefault="006C5505" w:rsidP="00974CC9">
            <w:pPr>
              <w:jc w:val="right"/>
              <w:rPr>
                <w:b/>
                <w:bCs/>
              </w:rPr>
            </w:pPr>
            <w:r w:rsidRPr="002D0F86">
              <w:rPr>
                <w:b/>
                <w:bCs/>
              </w:rPr>
              <w:t>10.388</w:t>
            </w:r>
          </w:p>
        </w:tc>
      </w:tr>
      <w:bookmarkEnd w:id="56"/>
    </w:tbl>
    <w:p w:rsidR="003177BD" w:rsidRPr="001F3542" w:rsidRDefault="003177BD">
      <w:pPr>
        <w:rPr>
          <w:color w:val="FF0000"/>
        </w:rPr>
      </w:pPr>
    </w:p>
    <w:p w:rsidR="003177BD" w:rsidRPr="001F3542" w:rsidRDefault="003177BD">
      <w:pPr>
        <w:rPr>
          <w:color w:val="FF0000"/>
        </w:rPr>
      </w:pPr>
    </w:p>
    <w:p w:rsidR="00DD7ADA" w:rsidRPr="0078552D" w:rsidRDefault="00DD7ADA" w:rsidP="00DD7ADA">
      <w:pPr>
        <w:pStyle w:val="Ttulo"/>
        <w:ind w:left="0"/>
        <w:outlineLvl w:val="0"/>
      </w:pPr>
      <w:bookmarkStart w:id="58" w:name="_Toc65061185"/>
      <w:r w:rsidRPr="0078552D">
        <w:t>Resultado Financeiro</w:t>
      </w:r>
      <w:bookmarkEnd w:id="58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FE6289" w:rsidRPr="0078552D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289" w:rsidRPr="0078552D" w:rsidRDefault="00FE6289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E6289" w:rsidRPr="0013531E" w:rsidRDefault="00FE6289" w:rsidP="0022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6289" w:rsidRPr="0013531E" w:rsidRDefault="00FE6289" w:rsidP="00221716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E6289" w:rsidRPr="0013531E" w:rsidRDefault="00FE6289" w:rsidP="00221716">
            <w:pPr>
              <w:jc w:val="right"/>
              <w:rPr>
                <w:b/>
                <w:bCs/>
              </w:rPr>
            </w:pPr>
            <w:r w:rsidRPr="0013531E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13531E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13531E">
              <w:rPr>
                <w:b/>
                <w:bCs/>
              </w:rPr>
              <w:t>/2019</w:t>
            </w:r>
          </w:p>
        </w:tc>
      </w:tr>
      <w:tr w:rsidR="0078552D" w:rsidRPr="0078552D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r w:rsidRPr="0078552D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78552D" w:rsidRDefault="00DD7ADA" w:rsidP="001424C2">
            <w:pPr>
              <w:jc w:val="right"/>
              <w:rPr>
                <w:b/>
                <w:bCs/>
              </w:rPr>
            </w:pPr>
            <w:r w:rsidRPr="0078552D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r w:rsidRPr="0078552D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pPr>
              <w:jc w:val="right"/>
            </w:pPr>
            <w:r w:rsidRPr="0078552D">
              <w:t> </w:t>
            </w:r>
          </w:p>
        </w:tc>
      </w:tr>
      <w:tr w:rsidR="0075709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8552D" w:rsidRDefault="00757094" w:rsidP="001424C2">
            <w:r w:rsidRPr="0078552D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094" w:rsidRPr="003E654E" w:rsidRDefault="00757094" w:rsidP="00757094">
            <w:pPr>
              <w:jc w:val="right"/>
            </w:pPr>
            <w:r w:rsidRPr="003E654E">
              <w:t>464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1F3542" w:rsidRDefault="00757094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DD7ADA" w:rsidRDefault="00757094" w:rsidP="00974CC9">
            <w:pPr>
              <w:jc w:val="right"/>
            </w:pPr>
            <w:r w:rsidRPr="00DD7ADA">
              <w:t>1.451</w:t>
            </w:r>
          </w:p>
        </w:tc>
      </w:tr>
      <w:tr w:rsidR="00757094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8552D" w:rsidRDefault="00757094" w:rsidP="001424C2">
            <w:r w:rsidRPr="0078552D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57094" w:rsidRPr="003E654E" w:rsidRDefault="00757094" w:rsidP="00757094">
            <w:pPr>
              <w:jc w:val="right"/>
            </w:pPr>
            <w:r w:rsidRPr="003E654E">
              <w:t>537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1F3542" w:rsidRDefault="00757094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57094" w:rsidRPr="00DD7ADA" w:rsidRDefault="00757094" w:rsidP="00974CC9">
            <w:pPr>
              <w:jc w:val="right"/>
            </w:pPr>
            <w:r w:rsidRPr="00DD7ADA">
              <w:t>194</w:t>
            </w:r>
          </w:p>
        </w:tc>
      </w:tr>
      <w:tr w:rsidR="00757094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8552D" w:rsidRDefault="00757094" w:rsidP="001424C2">
            <w:r w:rsidRPr="0078552D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094" w:rsidRPr="003E654E" w:rsidRDefault="00757094" w:rsidP="00757094">
            <w:pPr>
              <w:jc w:val="right"/>
            </w:pPr>
            <w:r w:rsidRPr="003E654E">
              <w:t>3.178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1F3542" w:rsidRDefault="00757094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7094" w:rsidRPr="00DD7ADA" w:rsidRDefault="00757094" w:rsidP="00974CC9">
            <w:pPr>
              <w:jc w:val="right"/>
            </w:pPr>
            <w:r w:rsidRPr="00DD7ADA">
              <w:t>879</w:t>
            </w:r>
          </w:p>
        </w:tc>
      </w:tr>
      <w:tr w:rsidR="00757094" w:rsidRPr="00757094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57094" w:rsidRDefault="00757094" w:rsidP="001424C2">
            <w:pPr>
              <w:rPr>
                <w:b/>
                <w:bCs/>
              </w:rPr>
            </w:pPr>
            <w:r w:rsidRPr="00757094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57094" w:rsidRPr="00757094" w:rsidRDefault="00757094" w:rsidP="00757094">
            <w:pPr>
              <w:jc w:val="right"/>
              <w:rPr>
                <w:b/>
              </w:rPr>
            </w:pPr>
            <w:r w:rsidRPr="00757094">
              <w:rPr>
                <w:b/>
              </w:rPr>
              <w:t>4.179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757094" w:rsidRDefault="00757094" w:rsidP="001424C2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7094" w:rsidRPr="00757094" w:rsidRDefault="00757094" w:rsidP="00974CC9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2.524</w:t>
            </w:r>
          </w:p>
        </w:tc>
      </w:tr>
      <w:tr w:rsidR="0075709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8552D" w:rsidRDefault="00757094" w:rsidP="001424C2">
            <w:r w:rsidRPr="0078552D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57094" w:rsidRPr="003E654E" w:rsidRDefault="00757094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1F3542" w:rsidRDefault="00757094" w:rsidP="001424C2">
            <w:pPr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DD7ADA" w:rsidRDefault="00757094" w:rsidP="00974CC9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</w:tr>
      <w:tr w:rsidR="0075709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8552D" w:rsidRDefault="00757094" w:rsidP="001424C2">
            <w:r w:rsidRPr="0078552D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57094" w:rsidRPr="003E654E" w:rsidRDefault="00757094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1F3542" w:rsidRDefault="00757094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DD7ADA" w:rsidRDefault="00757094" w:rsidP="00974CC9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</w:tr>
      <w:tr w:rsidR="00757094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8552D" w:rsidRDefault="00757094" w:rsidP="001424C2">
            <w:r w:rsidRPr="0078552D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57094" w:rsidRPr="00E4402A" w:rsidRDefault="00757094" w:rsidP="00E4402A">
            <w:pPr>
              <w:jc w:val="right"/>
            </w:pPr>
            <w:r w:rsidRPr="00E4402A">
              <w:t>(</w:t>
            </w:r>
            <w:r w:rsidR="00E4402A" w:rsidRPr="00E4402A">
              <w:t>1.014</w:t>
            </w:r>
            <w:r w:rsidRPr="00E4402A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974CC9">
            <w:pPr>
              <w:jc w:val="right"/>
            </w:pPr>
            <w:r w:rsidRPr="00E4402A">
              <w:t>(1.295)</w:t>
            </w:r>
          </w:p>
        </w:tc>
      </w:tr>
      <w:tr w:rsidR="00757094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78552D" w:rsidRDefault="00757094" w:rsidP="001424C2">
            <w:r w:rsidRPr="0078552D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57094" w:rsidRPr="00E4402A" w:rsidRDefault="00757094" w:rsidP="00757094">
            <w:pPr>
              <w:jc w:val="right"/>
            </w:pPr>
            <w:r w:rsidRPr="00E4402A">
              <w:t>(1.483)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974CC9">
            <w:pPr>
              <w:jc w:val="right"/>
            </w:pPr>
            <w:r w:rsidRPr="00E4402A">
              <w:t>(1.715)</w:t>
            </w:r>
          </w:p>
        </w:tc>
      </w:tr>
      <w:tr w:rsidR="00757094" w:rsidRPr="00810C15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810C15" w:rsidRDefault="00757094" w:rsidP="001424C2">
            <w:pPr>
              <w:rPr>
                <w:b/>
                <w:bCs/>
              </w:rPr>
            </w:pPr>
            <w:r w:rsidRPr="00810C15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57094" w:rsidRPr="00E4402A" w:rsidRDefault="00757094" w:rsidP="00757094">
            <w:pPr>
              <w:jc w:val="right"/>
              <w:rPr>
                <w:b/>
              </w:rPr>
            </w:pPr>
            <w:r w:rsidRPr="00E4402A">
              <w:rPr>
                <w:b/>
              </w:rPr>
              <w:t>(2.497)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1424C2">
            <w:pPr>
              <w:rPr>
                <w:b/>
                <w:bCs/>
                <w:color w:val="FF000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974CC9">
            <w:pPr>
              <w:jc w:val="right"/>
              <w:rPr>
                <w:b/>
                <w:bCs/>
              </w:rPr>
            </w:pPr>
            <w:r w:rsidRPr="00E4402A">
              <w:rPr>
                <w:b/>
                <w:bCs/>
              </w:rPr>
              <w:t>(3.010)</w:t>
            </w:r>
          </w:p>
        </w:tc>
      </w:tr>
      <w:tr w:rsidR="00757094" w:rsidRPr="00757094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7094" w:rsidRPr="00810C15" w:rsidRDefault="00757094" w:rsidP="001424C2">
            <w:pPr>
              <w:rPr>
                <w:b/>
                <w:bCs/>
              </w:rPr>
            </w:pPr>
            <w:r w:rsidRPr="00810C15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57094" w:rsidRPr="00E4402A" w:rsidRDefault="00757094" w:rsidP="00757094">
            <w:pPr>
              <w:jc w:val="right"/>
              <w:rPr>
                <w:b/>
              </w:rPr>
            </w:pPr>
            <w:r w:rsidRPr="00E4402A">
              <w:rPr>
                <w:b/>
              </w:rPr>
              <w:t>1.682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1424C2">
            <w:pPr>
              <w:rPr>
                <w:b/>
                <w:bCs/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757094" w:rsidRPr="00E4402A" w:rsidRDefault="00757094" w:rsidP="00974CC9">
            <w:pPr>
              <w:jc w:val="right"/>
              <w:rPr>
                <w:b/>
                <w:bCs/>
              </w:rPr>
            </w:pPr>
            <w:r w:rsidRPr="00E4402A">
              <w:rPr>
                <w:b/>
                <w:bCs/>
              </w:rPr>
              <w:t>(486)</w:t>
            </w:r>
          </w:p>
        </w:tc>
      </w:tr>
    </w:tbl>
    <w:p w:rsidR="00A17D31" w:rsidRPr="0078552D" w:rsidRDefault="00A17D31" w:rsidP="00DD7ADA">
      <w:pPr>
        <w:tabs>
          <w:tab w:val="left" w:pos="851"/>
        </w:tabs>
        <w:jc w:val="both"/>
      </w:pPr>
    </w:p>
    <w:p w:rsidR="00DD7ADA" w:rsidRDefault="00DD7ADA" w:rsidP="00DD7ADA">
      <w:pPr>
        <w:tabs>
          <w:tab w:val="left" w:pos="851"/>
        </w:tabs>
        <w:jc w:val="both"/>
      </w:pPr>
      <w:r w:rsidRPr="0078552D">
        <w:t xml:space="preserve">A receita financeira é reconhecida conforme o prazo decorrido pelo regime de competência, usando o método da taxa efetiva de juros. </w:t>
      </w:r>
    </w:p>
    <w:p w:rsidR="006C5505" w:rsidRDefault="006C5505" w:rsidP="00DD7ADA">
      <w:pPr>
        <w:tabs>
          <w:tab w:val="left" w:pos="851"/>
        </w:tabs>
        <w:jc w:val="both"/>
      </w:pPr>
    </w:p>
    <w:p w:rsidR="006C5505" w:rsidRDefault="006C5505" w:rsidP="00DD7ADA">
      <w:pPr>
        <w:tabs>
          <w:tab w:val="left" w:pos="851"/>
        </w:tabs>
        <w:jc w:val="both"/>
      </w:pPr>
    </w:p>
    <w:p w:rsidR="00F04D79" w:rsidRPr="0078552D" w:rsidRDefault="00F04D79" w:rsidP="00DD7ADA">
      <w:pPr>
        <w:tabs>
          <w:tab w:val="left" w:pos="851"/>
        </w:tabs>
        <w:jc w:val="both"/>
      </w:pPr>
    </w:p>
    <w:p w:rsidR="006C5505" w:rsidRPr="00A405EF" w:rsidRDefault="006C5505" w:rsidP="006C5505">
      <w:pPr>
        <w:pStyle w:val="Ttulo"/>
        <w:ind w:left="0"/>
        <w:outlineLvl w:val="0"/>
      </w:pPr>
      <w:bookmarkStart w:id="59" w:name="_Toc31373375"/>
      <w:bookmarkStart w:id="60" w:name="_Toc65061186"/>
      <w:r w:rsidRPr="00A405EF">
        <w:t>Partes Relacionadas</w:t>
      </w:r>
      <w:bookmarkEnd w:id="59"/>
      <w:bookmarkEnd w:id="60"/>
    </w:p>
    <w:p w:rsidR="006C5505" w:rsidRDefault="006C5505" w:rsidP="006C5505"/>
    <w:p w:rsidR="00757094" w:rsidRPr="00757094" w:rsidRDefault="00757094" w:rsidP="00757094">
      <w:pPr>
        <w:tabs>
          <w:tab w:val="left" w:pos="851"/>
        </w:tabs>
        <w:jc w:val="both"/>
      </w:pPr>
      <w:r w:rsidRPr="00757094">
        <w:t>Os saldos contábeis e as transações relativas a operações com partes relacionadas decorrem de transações da instituição com outra pessoa ou entidade que se enquadre na definição de parte relacionada constante na Política Institucional do HCPA.</w:t>
      </w:r>
    </w:p>
    <w:p w:rsidR="00757094" w:rsidRPr="00757094" w:rsidRDefault="00757094" w:rsidP="00757094">
      <w:pPr>
        <w:tabs>
          <w:tab w:val="left" w:pos="851"/>
        </w:tabs>
        <w:jc w:val="both"/>
      </w:pPr>
    </w:p>
    <w:p w:rsidR="00757094" w:rsidRPr="00757094" w:rsidRDefault="00757094" w:rsidP="00757094">
      <w:pPr>
        <w:tabs>
          <w:tab w:val="left" w:pos="851"/>
        </w:tabs>
        <w:jc w:val="both"/>
      </w:pPr>
      <w:r w:rsidRPr="002D0F86">
        <w:t>Quanto aos valores recebidos, o principal refere-se ao gerenciamento do pagamento de créditos provenientes da folha de pagamento dos empregados do HCPA pelo Banco do Brasil. No exercício de 2020, esse montante foi de R$ 2.826.</w:t>
      </w:r>
    </w:p>
    <w:p w:rsidR="00757094" w:rsidRPr="00757094" w:rsidRDefault="00757094" w:rsidP="00757094">
      <w:pPr>
        <w:tabs>
          <w:tab w:val="left" w:pos="851"/>
        </w:tabs>
        <w:jc w:val="both"/>
      </w:pPr>
    </w:p>
    <w:p w:rsidR="00757094" w:rsidRPr="00757094" w:rsidRDefault="00757094" w:rsidP="00757094">
      <w:pPr>
        <w:tabs>
          <w:tab w:val="left" w:pos="851"/>
        </w:tabs>
        <w:jc w:val="both"/>
      </w:pPr>
      <w:r w:rsidRPr="00757094">
        <w:t>Abaixo demonstramos os totais pagos no exercício, caracterizados como partes relacionadas da instituição:</w:t>
      </w:r>
    </w:p>
    <w:p w:rsidR="00757094" w:rsidRPr="00757094" w:rsidRDefault="00757094" w:rsidP="00757094">
      <w:pPr>
        <w:tabs>
          <w:tab w:val="left" w:pos="851"/>
        </w:tabs>
        <w:jc w:val="both"/>
        <w:rPr>
          <w:color w:val="FF000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984"/>
        <w:gridCol w:w="284"/>
        <w:gridCol w:w="1842"/>
      </w:tblGrid>
      <w:tr w:rsidR="00757094" w:rsidRPr="00757094" w:rsidTr="00180A4F">
        <w:trPr>
          <w:trHeight w:val="255"/>
        </w:trPr>
        <w:tc>
          <w:tcPr>
            <w:tcW w:w="4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757094" w:rsidRDefault="00757094" w:rsidP="00180A4F">
            <w:pPr>
              <w:jc w:val="right"/>
            </w:pPr>
            <w:r w:rsidRPr="00757094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757094" w:rsidRDefault="00757094" w:rsidP="00180A4F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57094" w:rsidRPr="00757094" w:rsidRDefault="00757094" w:rsidP="00180A4F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757094" w:rsidRDefault="00757094" w:rsidP="00180A4F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2019</w:t>
            </w:r>
          </w:p>
        </w:tc>
      </w:tr>
      <w:tr w:rsidR="00757094" w:rsidRPr="00757094" w:rsidTr="00180A4F">
        <w:trPr>
          <w:trHeight w:val="255"/>
        </w:trPr>
        <w:tc>
          <w:tcPr>
            <w:tcW w:w="4977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757094" w:rsidRDefault="00757094" w:rsidP="00180A4F">
            <w:r w:rsidRPr="00757094">
              <w:t>Comissão Nacional de Energia Nuclear-IPEN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57094" w:rsidRPr="00757094" w:rsidRDefault="00E71362" w:rsidP="00180A4F">
            <w:pPr>
              <w:jc w:val="right"/>
            </w:pPr>
            <w:r>
              <w:t>285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094" w:rsidRPr="00757094" w:rsidRDefault="00757094" w:rsidP="00180A4F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57094" w:rsidRPr="00757094" w:rsidRDefault="00757094" w:rsidP="00180A4F">
            <w:pPr>
              <w:jc w:val="right"/>
            </w:pPr>
            <w:r w:rsidRPr="00757094">
              <w:t>373</w:t>
            </w:r>
          </w:p>
        </w:tc>
      </w:tr>
      <w:tr w:rsidR="00757094" w:rsidRPr="00757094" w:rsidTr="00180A4F">
        <w:trPr>
          <w:trHeight w:val="255"/>
        </w:trPr>
        <w:tc>
          <w:tcPr>
            <w:tcW w:w="4977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757094" w:rsidRDefault="00757094" w:rsidP="00180A4F">
            <w:r w:rsidRPr="00757094">
              <w:t>Empresa Brasil de Comunicação S.A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57094" w:rsidRPr="00757094" w:rsidRDefault="00E71362" w:rsidP="00180A4F">
            <w:pPr>
              <w:jc w:val="right"/>
            </w:pPr>
            <w:r>
              <w:t>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094" w:rsidRPr="00757094" w:rsidRDefault="00757094" w:rsidP="00180A4F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57094" w:rsidRPr="00757094" w:rsidRDefault="00757094" w:rsidP="00180A4F">
            <w:pPr>
              <w:jc w:val="right"/>
            </w:pPr>
            <w:r w:rsidRPr="00757094">
              <w:t>186</w:t>
            </w:r>
          </w:p>
        </w:tc>
      </w:tr>
      <w:tr w:rsidR="00757094" w:rsidRPr="00757094" w:rsidTr="00180A4F">
        <w:trPr>
          <w:trHeight w:val="255"/>
        </w:trPr>
        <w:tc>
          <w:tcPr>
            <w:tcW w:w="4977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757094" w:rsidRDefault="00E71362" w:rsidP="00180A4F">
            <w:r>
              <w:t>Outras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757094" w:rsidRPr="00757094" w:rsidRDefault="00E71362" w:rsidP="00180A4F">
            <w:pPr>
              <w:jc w:val="right"/>
            </w:pPr>
            <w: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7094" w:rsidRPr="00757094" w:rsidRDefault="00757094" w:rsidP="00180A4F">
            <w:pPr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57094" w:rsidRPr="00757094" w:rsidRDefault="00757094" w:rsidP="00180A4F">
            <w:pPr>
              <w:jc w:val="right"/>
            </w:pPr>
            <w:r w:rsidRPr="00757094">
              <w:t>276</w:t>
            </w:r>
          </w:p>
        </w:tc>
      </w:tr>
      <w:tr w:rsidR="00757094" w:rsidRPr="00A85B94" w:rsidTr="00180A4F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757094" w:rsidRDefault="00757094" w:rsidP="00180A4F">
            <w:pPr>
              <w:rPr>
                <w:b/>
              </w:rPr>
            </w:pPr>
            <w:r w:rsidRPr="00757094">
              <w:rPr>
                <w:b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57094" w:rsidRPr="00757094" w:rsidRDefault="00E71362" w:rsidP="00180A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57094" w:rsidRPr="00757094" w:rsidRDefault="00757094" w:rsidP="00180A4F">
            <w:pPr>
              <w:jc w:val="right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7094" w:rsidRPr="00A85B94" w:rsidRDefault="00757094" w:rsidP="00180A4F">
            <w:pPr>
              <w:jc w:val="right"/>
              <w:rPr>
                <w:b/>
                <w:bCs/>
              </w:rPr>
            </w:pPr>
            <w:r w:rsidRPr="00757094">
              <w:rPr>
                <w:b/>
                <w:bCs/>
              </w:rPr>
              <w:t>835</w:t>
            </w:r>
          </w:p>
        </w:tc>
      </w:tr>
    </w:tbl>
    <w:p w:rsidR="003177BD" w:rsidRPr="001F3542" w:rsidRDefault="003177BD" w:rsidP="00DD7ADA">
      <w:pPr>
        <w:tabs>
          <w:tab w:val="left" w:pos="851"/>
        </w:tabs>
        <w:jc w:val="both"/>
        <w:rPr>
          <w:color w:val="FF0000"/>
        </w:rPr>
      </w:pPr>
    </w:p>
    <w:p w:rsidR="003177BD" w:rsidRPr="001F3542" w:rsidRDefault="003177BD" w:rsidP="00DD7ADA">
      <w:pPr>
        <w:tabs>
          <w:tab w:val="left" w:pos="851"/>
        </w:tabs>
        <w:jc w:val="both"/>
        <w:rPr>
          <w:color w:val="FF0000"/>
        </w:rPr>
      </w:pPr>
    </w:p>
    <w:p w:rsidR="001045BD" w:rsidRPr="007C77B6" w:rsidRDefault="001045BD" w:rsidP="005A2E85">
      <w:pPr>
        <w:pStyle w:val="Ttulo"/>
        <w:ind w:left="0"/>
        <w:outlineLvl w:val="0"/>
      </w:pPr>
      <w:bookmarkStart w:id="61" w:name="_Toc65061187"/>
      <w:r w:rsidRPr="007C77B6">
        <w:t>Seguros de Riscos</w:t>
      </w:r>
      <w:bookmarkEnd w:id="61"/>
      <w:r w:rsidR="00923D20" w:rsidRPr="007C77B6">
        <w:t xml:space="preserve"> </w:t>
      </w:r>
    </w:p>
    <w:p w:rsidR="003177BD" w:rsidRPr="007C77B6" w:rsidRDefault="003177BD" w:rsidP="001045BD">
      <w:pPr>
        <w:tabs>
          <w:tab w:val="left" w:pos="851"/>
        </w:tabs>
        <w:jc w:val="both"/>
        <w:rPr>
          <w:b/>
        </w:rPr>
      </w:pPr>
    </w:p>
    <w:p w:rsidR="008602D8" w:rsidRPr="008433AA" w:rsidRDefault="008602D8" w:rsidP="008602D8">
      <w:pPr>
        <w:tabs>
          <w:tab w:val="left" w:pos="851"/>
        </w:tabs>
        <w:jc w:val="both"/>
      </w:pPr>
      <w:r w:rsidRPr="008433AA">
        <w:t>Incêndio Vultoso e Riscos Nomeados:</w:t>
      </w:r>
    </w:p>
    <w:p w:rsidR="008602D8" w:rsidRPr="008433AA" w:rsidRDefault="008602D8" w:rsidP="008602D8">
      <w:pPr>
        <w:tabs>
          <w:tab w:val="left" w:pos="851"/>
        </w:tabs>
        <w:jc w:val="both"/>
      </w:pPr>
      <w:r w:rsidRPr="008433AA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8433AA">
        <w:t xml:space="preserve"> com a empresa AIG Seguros Brasil S.A</w:t>
      </w:r>
      <w:r w:rsidRPr="008433AA">
        <w:t xml:space="preserve"> é de R$ </w:t>
      </w:r>
      <w:r w:rsidR="005B5A17" w:rsidRPr="008433AA">
        <w:t xml:space="preserve">737.474 </w:t>
      </w:r>
      <w:r w:rsidRPr="008433AA">
        <w:t xml:space="preserve">e a vigência da apólice é de 01 de </w:t>
      </w:r>
      <w:r w:rsidR="005B5A17" w:rsidRPr="008433AA">
        <w:t>agosto</w:t>
      </w:r>
      <w:r w:rsidRPr="008433AA">
        <w:t xml:space="preserve"> de </w:t>
      </w:r>
      <w:r w:rsidR="00C96BA3" w:rsidRPr="008433AA">
        <w:t>20</w:t>
      </w:r>
      <w:r w:rsidR="005B5A17" w:rsidRPr="008433AA">
        <w:t>20</w:t>
      </w:r>
      <w:r w:rsidRPr="008433AA">
        <w:t xml:space="preserve"> a 01 de </w:t>
      </w:r>
      <w:r w:rsidR="005B5A17" w:rsidRPr="008433AA">
        <w:t>agosto</w:t>
      </w:r>
      <w:r w:rsidRPr="008433AA">
        <w:t xml:space="preserve"> de 20</w:t>
      </w:r>
      <w:r w:rsidR="00B14B0D" w:rsidRPr="008433AA">
        <w:t>2</w:t>
      </w:r>
      <w:r w:rsidR="005B5A17" w:rsidRPr="008433AA">
        <w:t>1</w:t>
      </w:r>
      <w:r w:rsidRPr="008433AA">
        <w:t>.</w:t>
      </w:r>
    </w:p>
    <w:p w:rsidR="005B5A17" w:rsidRPr="008433AA" w:rsidRDefault="005B5A17" w:rsidP="008602D8">
      <w:pPr>
        <w:tabs>
          <w:tab w:val="left" w:pos="851"/>
        </w:tabs>
        <w:jc w:val="both"/>
        <w:rPr>
          <w:highlight w:val="yellow"/>
        </w:rPr>
      </w:pPr>
    </w:p>
    <w:p w:rsidR="008602D8" w:rsidRPr="008433AA" w:rsidRDefault="008602D8" w:rsidP="005B5A17">
      <w:pPr>
        <w:tabs>
          <w:tab w:val="left" w:pos="851"/>
        </w:tabs>
        <w:jc w:val="both"/>
      </w:pPr>
      <w:r w:rsidRPr="008433AA">
        <w:t>Responsabilidade Civil:</w:t>
      </w:r>
    </w:p>
    <w:p w:rsidR="000361F7" w:rsidRPr="008433AA" w:rsidRDefault="008602D8" w:rsidP="005B5A17">
      <w:pPr>
        <w:tabs>
          <w:tab w:val="left" w:pos="851"/>
        </w:tabs>
        <w:jc w:val="both"/>
      </w:pPr>
      <w:r w:rsidRPr="008433AA">
        <w:t xml:space="preserve">Cobertura garantindo pagamento de indenização de Responsabilidade Civil com vigência de </w:t>
      </w:r>
      <w:r w:rsidR="005B5A17" w:rsidRPr="008433AA">
        <w:t>31</w:t>
      </w:r>
      <w:r w:rsidRPr="008433AA">
        <w:t xml:space="preserve"> de </w:t>
      </w:r>
      <w:r w:rsidR="005B5A17" w:rsidRPr="008433AA">
        <w:t>julho</w:t>
      </w:r>
      <w:r w:rsidRPr="008433AA">
        <w:t xml:space="preserve"> de </w:t>
      </w:r>
      <w:r w:rsidR="00C96BA3" w:rsidRPr="008433AA">
        <w:t>20</w:t>
      </w:r>
      <w:r w:rsidR="005B5A17" w:rsidRPr="008433AA">
        <w:t>20</w:t>
      </w:r>
      <w:r w:rsidRPr="008433AA">
        <w:t xml:space="preserve"> a </w:t>
      </w:r>
      <w:r w:rsidR="005B5A17" w:rsidRPr="008433AA">
        <w:t>31</w:t>
      </w:r>
      <w:r w:rsidRPr="008433AA">
        <w:t xml:space="preserve"> de </w:t>
      </w:r>
      <w:r w:rsidR="005B5A17" w:rsidRPr="008433AA">
        <w:t>julho</w:t>
      </w:r>
      <w:r w:rsidRPr="008433AA">
        <w:t xml:space="preserve"> de 20</w:t>
      </w:r>
      <w:r w:rsidR="00B14B0D" w:rsidRPr="008433AA">
        <w:t>2</w:t>
      </w:r>
      <w:r w:rsidR="005B5A17" w:rsidRPr="008433AA">
        <w:t>1</w:t>
      </w:r>
      <w:r w:rsidRPr="008433AA">
        <w:t>. A</w:t>
      </w:r>
      <w:r w:rsidR="005B5A17" w:rsidRPr="008433AA">
        <w:t xml:space="preserve"> importância segurada com a empresa Mapfre Seguros Gerais S.A. é de R$ 14.000</w:t>
      </w:r>
      <w:r w:rsidR="00534046" w:rsidRPr="008433AA">
        <w:t>.</w:t>
      </w:r>
    </w:p>
    <w:p w:rsidR="006C5505" w:rsidRPr="008433AA" w:rsidRDefault="006C5505" w:rsidP="005B5A17">
      <w:pPr>
        <w:tabs>
          <w:tab w:val="left" w:pos="851"/>
        </w:tabs>
        <w:jc w:val="both"/>
      </w:pPr>
    </w:p>
    <w:p w:rsidR="006C5505" w:rsidRPr="008433AA" w:rsidRDefault="006C5505" w:rsidP="005B5A17">
      <w:pPr>
        <w:tabs>
          <w:tab w:val="left" w:pos="851"/>
        </w:tabs>
        <w:jc w:val="both"/>
      </w:pPr>
    </w:p>
    <w:p w:rsidR="006C5505" w:rsidRPr="00C37862" w:rsidRDefault="006C5505" w:rsidP="006C5505">
      <w:pPr>
        <w:pStyle w:val="Ttulo"/>
        <w:ind w:left="0"/>
        <w:outlineLvl w:val="0"/>
      </w:pPr>
      <w:bookmarkStart w:id="62" w:name="_Toc31373377"/>
      <w:bookmarkStart w:id="63" w:name="_Toc65061188"/>
      <w:r w:rsidRPr="00C37862">
        <w:t>Conciliação das Demonstrações Financeiras com Base na Lei nº 6.404/76 e Lei nº 4.320/64</w:t>
      </w:r>
      <w:bookmarkEnd w:id="62"/>
      <w:bookmarkEnd w:id="63"/>
      <w:r w:rsidRPr="00C37862">
        <w:t xml:space="preserve"> </w:t>
      </w:r>
    </w:p>
    <w:p w:rsidR="006C5505" w:rsidRPr="00C37862" w:rsidRDefault="006C5505" w:rsidP="006C5505"/>
    <w:p w:rsidR="00C37862" w:rsidRPr="00C37862" w:rsidRDefault="00C37862" w:rsidP="00C37862">
      <w:pPr>
        <w:tabs>
          <w:tab w:val="left" w:pos="851"/>
        </w:tabs>
        <w:jc w:val="both"/>
      </w:pPr>
      <w:r w:rsidRPr="00C37862">
        <w:t>O Hospital de Clínicas de Porto Alegre é uma empresa pública de direito privado sujeita às disposições da Lei nº 6.404/76 e as mudanças impostas pela Lei nº 11.638/07 para fins contábeis e societários. Segundo a Lei de responsabilidade Fiscal (LRF), a Instituição é considerada estatal dependente, vinculada ao Ministério da Educação que, por determinação legal, utiliza o sistema de Administração Financeira Federal (SIAFI), na modalidade total, para registro de sua execução orçamentária, financeira e patrimonial, cuja base é a Lei nº 4.320/94.</w:t>
      </w:r>
    </w:p>
    <w:p w:rsidR="00C37862" w:rsidRPr="00C37862" w:rsidRDefault="00C37862" w:rsidP="00C37862">
      <w:pPr>
        <w:tabs>
          <w:tab w:val="left" w:pos="851"/>
        </w:tabs>
        <w:jc w:val="both"/>
      </w:pPr>
    </w:p>
    <w:p w:rsidR="00C37862" w:rsidRPr="00C37862" w:rsidRDefault="00C37862" w:rsidP="00C37862">
      <w:pPr>
        <w:tabs>
          <w:tab w:val="left" w:pos="851"/>
        </w:tabs>
        <w:jc w:val="both"/>
      </w:pPr>
      <w:r w:rsidRPr="00C37862">
        <w:t>No quadro abaixo estão demonstrados os valores na posição em 31 de dezembro de 2020 em cada uma das leis mencionadas.</w:t>
      </w:r>
    </w:p>
    <w:p w:rsidR="00944CE7" w:rsidRDefault="00944CE7">
      <w:r>
        <w:br w:type="page"/>
      </w:r>
    </w:p>
    <w:p w:rsidR="00C37862" w:rsidRDefault="00C37862" w:rsidP="00C37862">
      <w:pPr>
        <w:tabs>
          <w:tab w:val="left" w:pos="851"/>
        </w:tabs>
        <w:jc w:val="both"/>
        <w:rPr>
          <w:b/>
        </w:rPr>
      </w:pPr>
      <w:r w:rsidRPr="00C37862">
        <w:rPr>
          <w:b/>
        </w:rPr>
        <w:lastRenderedPageBreak/>
        <w:t>Balanço Patrimonial</w:t>
      </w:r>
    </w:p>
    <w:p w:rsidR="00C37862" w:rsidRDefault="00C37862" w:rsidP="00C37862">
      <w:pPr>
        <w:tabs>
          <w:tab w:val="left" w:pos="851"/>
        </w:tabs>
        <w:jc w:val="both"/>
        <w:rPr>
          <w:b/>
        </w:rPr>
      </w:pPr>
    </w:p>
    <w:tbl>
      <w:tblPr>
        <w:tblW w:w="50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666"/>
        <w:gridCol w:w="161"/>
        <w:gridCol w:w="1545"/>
        <w:gridCol w:w="146"/>
        <w:gridCol w:w="1535"/>
      </w:tblGrid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Ativo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6.404/76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4.320/64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Diferença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Circulante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Caixa e Equivalente de Caixa 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122.980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122.988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(8)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Créditos a Receber Curto Prazo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238.591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53.927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184.664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Estoques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32.125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32.125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(-) Ajuste de perdas de Créditos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    (6.327)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(6.327)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Despesas Pagas Antecipadamente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  291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291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 387.660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203.004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184.656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Não Circulante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Créditos a Receber 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>a Longo Prazo</w:t>
            </w:r>
            <w:proofErr w:type="gramEnd"/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431.077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proofErr w:type="gramEnd"/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431.077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Depósitos Judiciais </w:t>
            </w:r>
          </w:p>
        </w:tc>
        <w:tc>
          <w:tcPr>
            <w:tcW w:w="9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1.865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1.865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Imobilizado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969.532 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969.488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>44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1.402.474 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971.353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431.121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62" w:rsidRPr="00C37862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Total do Ativo</w:t>
            </w:r>
          </w:p>
        </w:tc>
        <w:tc>
          <w:tcPr>
            <w:tcW w:w="9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1.790.134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1.174.357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615.777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Passivo</w:t>
            </w:r>
          </w:p>
        </w:tc>
        <w:tc>
          <w:tcPr>
            <w:tcW w:w="90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6.404/76</w:t>
            </w: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4.320/64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Diferença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  <w:r w:rsidRPr="00C37862">
              <w:rPr>
                <w:sz w:val="18"/>
                <w:szCs w:val="18"/>
              </w:rPr>
              <w:t> </w:t>
            </w:r>
          </w:p>
        </w:tc>
        <w:tc>
          <w:tcPr>
            <w:tcW w:w="7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  <w:r w:rsidRPr="00C37862">
              <w:rPr>
                <w:sz w:val="18"/>
                <w:szCs w:val="18"/>
              </w:rPr>
              <w:t> 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37862">
              <w:rPr>
                <w:b/>
                <w:bCs/>
                <w:i/>
                <w:iCs/>
                <w:sz w:val="18"/>
                <w:szCs w:val="18"/>
              </w:rPr>
              <w:t>Circulante</w:t>
            </w:r>
          </w:p>
        </w:tc>
        <w:tc>
          <w:tcPr>
            <w:tcW w:w="90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  <w:tc>
          <w:tcPr>
            <w:tcW w:w="83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Fornecedores </w:t>
            </w:r>
          </w:p>
        </w:tc>
        <w:tc>
          <w:tcPr>
            <w:tcW w:w="9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26.473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24.284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2.189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Outras Obrigações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26</w:t>
            </w:r>
            <w:r>
              <w:rPr>
                <w:color w:val="000000" w:themeColor="text1"/>
                <w:sz w:val="18"/>
                <w:szCs w:val="18"/>
              </w:rPr>
              <w:t>8.064</w:t>
            </w:r>
            <w:r w:rsidRPr="00C3786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380.761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(112.69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 w:rsidRPr="00C37862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294.53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405.045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(110.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508</w:t>
            </w: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C37862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>Não Circulante</w:t>
            </w:r>
          </w:p>
        </w:tc>
        <w:tc>
          <w:tcPr>
            <w:tcW w:w="9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37862" w:rsidRPr="00C37862" w:rsidRDefault="00C37862" w:rsidP="00326CDF">
            <w:pPr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862" w:rsidRPr="00C37862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C37862">
              <w:rPr>
                <w:bCs/>
                <w:color w:val="000000" w:themeColor="text1"/>
                <w:sz w:val="18"/>
                <w:szCs w:val="18"/>
              </w:rPr>
              <w:t>Subvenções e Doações</w:t>
            </w:r>
          </w:p>
        </w:tc>
        <w:tc>
          <w:tcPr>
            <w:tcW w:w="90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C31531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bCs/>
                <w:color w:val="000000" w:themeColor="text1"/>
                <w:sz w:val="18"/>
                <w:szCs w:val="18"/>
              </w:rPr>
              <w:t>7.</w:t>
            </w:r>
            <w:r w:rsidR="00C31531">
              <w:rPr>
                <w:bCs/>
                <w:color w:val="000000" w:themeColor="text1"/>
                <w:sz w:val="18"/>
                <w:szCs w:val="18"/>
              </w:rPr>
              <w:t>915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1531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bCs/>
                <w:color w:val="000000" w:themeColor="text1"/>
                <w:sz w:val="18"/>
                <w:szCs w:val="18"/>
              </w:rPr>
              <w:t>7.655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C37862">
              <w:rPr>
                <w:color w:val="000000" w:themeColor="text1"/>
                <w:sz w:val="18"/>
                <w:szCs w:val="18"/>
              </w:rPr>
              <w:t>Provisões p/ Contingências e TSP</w:t>
            </w:r>
          </w:p>
        </w:tc>
        <w:tc>
          <w:tcPr>
            <w:tcW w:w="903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431.077 </w:t>
            </w:r>
          </w:p>
        </w:tc>
        <w:tc>
          <w:tcPr>
            <w:tcW w:w="8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431.077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862" w:rsidRPr="00C37862" w:rsidRDefault="00C37862" w:rsidP="00326CD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color w:val="000000" w:themeColor="text1"/>
                <w:sz w:val="18"/>
                <w:szCs w:val="18"/>
              </w:rPr>
              <w:t>438.992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color w:val="000000" w:themeColor="text1"/>
                <w:sz w:val="18"/>
                <w:szCs w:val="18"/>
              </w:rPr>
              <w:t>431.337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color w:val="000000" w:themeColor="text1"/>
                <w:sz w:val="18"/>
                <w:szCs w:val="18"/>
              </w:rPr>
              <w:t>7.655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sz w:val="18"/>
                <w:szCs w:val="18"/>
              </w:rPr>
            </w:pPr>
            <w:r w:rsidRPr="00C37862">
              <w:rPr>
                <w:b/>
                <w:bCs/>
                <w:sz w:val="18"/>
                <w:szCs w:val="18"/>
              </w:rPr>
              <w:t>Patrimônio Líquido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sz w:val="18"/>
                <w:szCs w:val="18"/>
              </w:rPr>
            </w:pP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Capital Realizado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1.163.342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1.163.342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Adiantamento p/ Futuro Aumento de Capital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59.820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59.820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Ajustes de Avaliação Patrimonial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(16.163)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(16.163)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-</w:t>
            </w:r>
            <w:proofErr w:type="gramStart"/>
            <w:r w:rsidRPr="00C37862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Reservas de Lucro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     133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      4.200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 (4.067)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Resultado de Exercícios Anteriores - Prejuízos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   (126.529)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(818.982)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692.453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Prejuízos Acumulados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    (23.999)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551415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   (54.243</w:t>
            </w:r>
            <w:r w:rsidR="00C37862" w:rsidRPr="008A168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551415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  30.244</w:t>
            </w:r>
            <w:r w:rsidR="00C37862" w:rsidRPr="008A168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               </w:t>
            </w:r>
            <w:proofErr w:type="gramStart"/>
            <w:r w:rsidRPr="008A168C">
              <w:rPr>
                <w:color w:val="000000" w:themeColor="text1"/>
                <w:sz w:val="18"/>
                <w:szCs w:val="18"/>
              </w:rPr>
              <w:t>1</w:t>
            </w:r>
            <w:proofErr w:type="gramEnd"/>
            <w:r w:rsidRPr="008A168C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        </w:t>
            </w:r>
            <w:proofErr w:type="gramStart"/>
            <w:r w:rsidRPr="008A168C">
              <w:rPr>
                <w:color w:val="000000" w:themeColor="text1"/>
                <w:sz w:val="18"/>
                <w:szCs w:val="18"/>
              </w:rPr>
              <w:t>1</w:t>
            </w:r>
            <w:proofErr w:type="gramEnd"/>
            <w:r w:rsidRPr="008A168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8A168C">
              <w:rPr>
                <w:color w:val="000000" w:themeColor="text1"/>
                <w:sz w:val="18"/>
                <w:szCs w:val="18"/>
              </w:rPr>
              <w:t xml:space="preserve">          -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168C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1.056.605 </w:t>
            </w: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168C">
              <w:rPr>
                <w:b/>
                <w:bCs/>
                <w:color w:val="000000" w:themeColor="text1"/>
                <w:sz w:val="18"/>
                <w:szCs w:val="18"/>
              </w:rPr>
              <w:t xml:space="preserve">       337.975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37862" w:rsidRPr="008A168C" w:rsidRDefault="00551415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A168C">
              <w:rPr>
                <w:b/>
                <w:bCs/>
                <w:color w:val="000000" w:themeColor="text1"/>
                <w:sz w:val="18"/>
                <w:szCs w:val="18"/>
              </w:rPr>
              <w:t xml:space="preserve">   718.630</w:t>
            </w:r>
          </w:p>
        </w:tc>
      </w:tr>
      <w:tr w:rsidR="00C37862" w:rsidRPr="00C37862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37862" w:rsidRPr="00D23E97" w:rsidTr="00C37862"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62" w:rsidRPr="00C37862" w:rsidRDefault="00C37862" w:rsidP="00326CDF">
            <w:pPr>
              <w:rPr>
                <w:color w:val="000000" w:themeColor="text1"/>
                <w:sz w:val="18"/>
                <w:szCs w:val="18"/>
              </w:rPr>
            </w:pPr>
            <w:r w:rsidRPr="00C37862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>Total do Passivo</w:t>
            </w:r>
          </w:p>
        </w:tc>
        <w:tc>
          <w:tcPr>
            <w:tcW w:w="903" w:type="pct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 1.790.134 </w:t>
            </w: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pct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      1.174.357 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pct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37862" w:rsidRPr="00C37862" w:rsidRDefault="00C37862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37862">
              <w:rPr>
                <w:b/>
                <w:bCs/>
                <w:color w:val="000000" w:themeColor="text1"/>
                <w:sz w:val="18"/>
                <w:szCs w:val="18"/>
              </w:rPr>
              <w:t xml:space="preserve"> 615.777 </w:t>
            </w:r>
          </w:p>
        </w:tc>
      </w:tr>
    </w:tbl>
    <w:p w:rsidR="00C37862" w:rsidRDefault="00C37862" w:rsidP="00C37862">
      <w:pPr>
        <w:tabs>
          <w:tab w:val="left" w:pos="851"/>
        </w:tabs>
        <w:jc w:val="both"/>
        <w:rPr>
          <w:b/>
        </w:rPr>
      </w:pPr>
    </w:p>
    <w:p w:rsidR="00D04F06" w:rsidRPr="00D04F06" w:rsidRDefault="00D04F06" w:rsidP="00D04F06">
      <w:pPr>
        <w:tabs>
          <w:tab w:val="left" w:pos="851"/>
        </w:tabs>
        <w:jc w:val="both"/>
        <w:rPr>
          <w:color w:val="000000" w:themeColor="text1"/>
        </w:rPr>
      </w:pPr>
      <w:r w:rsidRPr="00D04F06">
        <w:rPr>
          <w:color w:val="000000" w:themeColor="text1"/>
          <w:u w:val="single"/>
        </w:rPr>
        <w:t>Ativo Circulante e Não Circulante:</w:t>
      </w:r>
      <w:r w:rsidRPr="00D04F06">
        <w:rPr>
          <w:color w:val="000000" w:themeColor="text1"/>
        </w:rPr>
        <w:t xml:space="preserve"> o valor de (R$ 8) refere-se a registros contábeis de pagamentos recebidos de depósitos e cauções transferidos indevidamente para a conta única em 2020, todos foram registrados em janeiro de 2021. Os valores de R$ 184.664 e R$ 431.077 correspondem aos recursos a receber relativos às apropriações por competência e às provisões para contingências com pessoal custeadas com Recursos do Tesouro Nacional. O valor de R$ 44 refere-se importação de bens que será ajustada em janeiro de 2021.</w:t>
      </w:r>
    </w:p>
    <w:p w:rsidR="00D04F06" w:rsidRPr="00D04F06" w:rsidRDefault="00D04F06" w:rsidP="00D04F06">
      <w:pPr>
        <w:tabs>
          <w:tab w:val="left" w:pos="851"/>
        </w:tabs>
        <w:jc w:val="both"/>
        <w:rPr>
          <w:color w:val="000000" w:themeColor="text1"/>
        </w:rPr>
      </w:pPr>
    </w:p>
    <w:p w:rsidR="00D04F06" w:rsidRDefault="00D04F06" w:rsidP="00D04F06">
      <w:pPr>
        <w:tabs>
          <w:tab w:val="left" w:pos="851"/>
        </w:tabs>
        <w:jc w:val="both"/>
        <w:rPr>
          <w:color w:val="000000" w:themeColor="text1"/>
        </w:rPr>
      </w:pPr>
      <w:r w:rsidRPr="00D04F06">
        <w:rPr>
          <w:color w:val="000000" w:themeColor="text1"/>
          <w:u w:val="single"/>
        </w:rPr>
        <w:t>Passivo Circulante e Não Circulante</w:t>
      </w:r>
      <w:r w:rsidRPr="00D04F06">
        <w:rPr>
          <w:color w:val="000000" w:themeColor="text1"/>
        </w:rPr>
        <w:t xml:space="preserve">: o valor de R$ 2.189 na </w:t>
      </w:r>
      <w:proofErr w:type="gramStart"/>
      <w:r w:rsidRPr="00D04F06">
        <w:rPr>
          <w:color w:val="000000" w:themeColor="text1"/>
        </w:rPr>
        <w:t>conta Fornecedores</w:t>
      </w:r>
      <w:proofErr w:type="gramEnd"/>
      <w:r w:rsidRPr="00D04F06">
        <w:rPr>
          <w:color w:val="000000" w:themeColor="text1"/>
        </w:rPr>
        <w:t xml:space="preserve"> refere-se a: R$ 2.040 nota fiscal da empresa Unimed (plano de saúde), correspondente à retenção dos funcionários na folha de pagamento de dezembro de 2020, a qual será ressarcida em janeiro de 2021 e R$ 169 apropriações por competência. O valor de (R$ 112.69</w:t>
      </w:r>
      <w:r>
        <w:rPr>
          <w:color w:val="000000" w:themeColor="text1"/>
        </w:rPr>
        <w:t>7</w:t>
      </w:r>
      <w:r w:rsidRPr="00D04F06">
        <w:rPr>
          <w:color w:val="000000" w:themeColor="text1"/>
        </w:rPr>
        <w:t>) refere-se a: R$ 677 provisões trabalhistas; (R$ 112.687) estorno do passivo referente recurso recebido por descentralização e (R$ 686) estorno do passivo apropriado pelo TRF4 referente precatórios de pessoal e terceiros. O valor de R$ 7.655 refere-se a Recursos do Tesouro Nacional recebidos para pagamento de adiantamento de pessoal de competência do exercício de 2021.</w:t>
      </w:r>
    </w:p>
    <w:p w:rsidR="005B1517" w:rsidRDefault="005B1517" w:rsidP="00D04F06">
      <w:pPr>
        <w:tabs>
          <w:tab w:val="left" w:pos="851"/>
        </w:tabs>
        <w:jc w:val="both"/>
        <w:rPr>
          <w:color w:val="000000" w:themeColor="text1"/>
        </w:rPr>
      </w:pPr>
    </w:p>
    <w:p w:rsidR="00D04F06" w:rsidRPr="00D04F06" w:rsidRDefault="00D04F06" w:rsidP="00D04F06">
      <w:pPr>
        <w:jc w:val="both"/>
        <w:rPr>
          <w:color w:val="000000" w:themeColor="text1"/>
        </w:rPr>
      </w:pPr>
      <w:r w:rsidRPr="00D04F06">
        <w:rPr>
          <w:color w:val="000000" w:themeColor="text1"/>
          <w:u w:val="single"/>
        </w:rPr>
        <w:t>Patrimônio Líquido:</w:t>
      </w:r>
      <w:r w:rsidR="008A168C">
        <w:rPr>
          <w:color w:val="000000" w:themeColor="text1"/>
        </w:rPr>
        <w:t xml:space="preserve"> do valor de R$ 718.630</w:t>
      </w:r>
      <w:r w:rsidRPr="00D04F06">
        <w:rPr>
          <w:color w:val="000000" w:themeColor="text1"/>
        </w:rPr>
        <w:t>, R$ 615.777 refere-se aos ajustes no Ativo Circulante e</w:t>
      </w:r>
      <w:r w:rsidR="008A168C">
        <w:rPr>
          <w:color w:val="000000" w:themeColor="text1"/>
        </w:rPr>
        <w:t xml:space="preserve"> Não Circulante e R$ 102.853</w:t>
      </w:r>
      <w:r w:rsidRPr="00D04F06">
        <w:rPr>
          <w:color w:val="000000" w:themeColor="text1"/>
        </w:rPr>
        <w:t xml:space="preserve"> refere-se aos ajustes no Passivo Circulante e Não Circulante.</w:t>
      </w:r>
    </w:p>
    <w:p w:rsidR="00944CE7" w:rsidRDefault="00944CE7">
      <w:pPr>
        <w:rPr>
          <w:color w:val="FF0000"/>
        </w:rPr>
      </w:pPr>
      <w:r>
        <w:rPr>
          <w:color w:val="FF0000"/>
        </w:rPr>
        <w:br w:type="page"/>
      </w:r>
    </w:p>
    <w:p w:rsidR="00D04F06" w:rsidRPr="00D04F06" w:rsidRDefault="00D04F06" w:rsidP="00D04F06">
      <w:pPr>
        <w:tabs>
          <w:tab w:val="left" w:pos="851"/>
        </w:tabs>
        <w:jc w:val="both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759"/>
        <w:gridCol w:w="227"/>
        <w:gridCol w:w="1677"/>
        <w:gridCol w:w="188"/>
        <w:gridCol w:w="1745"/>
      </w:tblGrid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Demonstração do Resultado do Exercício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6.404/76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4.320/64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Diferença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Receita Operacional Bruta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A47C96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1.598.5</w:t>
            </w:r>
            <w:r w:rsidR="00ED3622" w:rsidRPr="00ED3622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A47C96"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1.580.923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17.66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sz w:val="18"/>
                <w:szCs w:val="18"/>
              </w:rPr>
            </w:pPr>
            <w:r w:rsidRPr="00ED3622">
              <w:rPr>
                <w:bCs/>
                <w:sz w:val="18"/>
                <w:szCs w:val="18"/>
              </w:rPr>
              <w:t xml:space="preserve">    Ajustes da Receita Bruta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11.471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19.126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  (7.655)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sz w:val="18"/>
                <w:szCs w:val="18"/>
              </w:rPr>
            </w:pPr>
            <w:r w:rsidRPr="00ED3622">
              <w:rPr>
                <w:bCs/>
                <w:sz w:val="18"/>
                <w:szCs w:val="18"/>
              </w:rPr>
              <w:t xml:space="preserve">    Deduções da Receita Bruta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(2.063)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(2.063)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       -</w:t>
            </w:r>
            <w:proofErr w:type="gramStart"/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sz w:val="18"/>
                <w:szCs w:val="18"/>
              </w:rPr>
            </w:pPr>
            <w:r w:rsidRPr="00ED3622">
              <w:rPr>
                <w:bCs/>
                <w:sz w:val="18"/>
                <w:szCs w:val="18"/>
              </w:rPr>
              <w:t xml:space="preserve">    Repasses Transferidos para AFAC 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(79.558)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(79.558)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   -</w:t>
            </w:r>
            <w:proofErr w:type="gramStart"/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</w:p>
        </w:tc>
        <w:proofErr w:type="gramEnd"/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Receita Operacional Líquida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1.528.434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1.518.42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10.00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sz w:val="18"/>
                <w:szCs w:val="18"/>
              </w:rPr>
            </w:pPr>
            <w:r w:rsidRPr="00ED3622">
              <w:rPr>
                <w:bCs/>
                <w:sz w:val="18"/>
                <w:szCs w:val="18"/>
              </w:rPr>
              <w:t xml:space="preserve">   Custo dos Serviços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(1.3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35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862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(1.3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34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415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   (1.447) </w:t>
            </w:r>
          </w:p>
        </w:tc>
      </w:tr>
      <w:tr w:rsidR="00D04F06" w:rsidRPr="00ED3622" w:rsidTr="00326CDF">
        <w:trPr>
          <w:trHeight w:val="207"/>
        </w:trPr>
        <w:tc>
          <w:tcPr>
            <w:tcW w:w="1963" w:type="pct"/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Resultado Operacional Bruto</w:t>
            </w:r>
          </w:p>
        </w:tc>
        <w:tc>
          <w:tcPr>
            <w:tcW w:w="955" w:type="pct"/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1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92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572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3" w:type="pct"/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1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84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013</w:t>
            </w:r>
          </w:p>
        </w:tc>
        <w:tc>
          <w:tcPr>
            <w:tcW w:w="102" w:type="pct"/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8.5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59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04F06" w:rsidRPr="00ED3622" w:rsidTr="00326CDF">
        <w:trPr>
          <w:trHeight w:val="207"/>
        </w:trPr>
        <w:tc>
          <w:tcPr>
            <w:tcW w:w="1963" w:type="pct"/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sz w:val="18"/>
                <w:szCs w:val="18"/>
              </w:rPr>
            </w:pPr>
            <w:r w:rsidRPr="00ED3622">
              <w:rPr>
                <w:bCs/>
                <w:sz w:val="18"/>
                <w:szCs w:val="18"/>
              </w:rPr>
              <w:t xml:space="preserve">   Despesas Operacionais</w:t>
            </w:r>
          </w:p>
        </w:tc>
        <w:tc>
          <w:tcPr>
            <w:tcW w:w="955" w:type="pct"/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(22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9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894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3" w:type="pct"/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(22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9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DA5612">
              <w:rPr>
                <w:bCs/>
                <w:color w:val="000000" w:themeColor="text1"/>
                <w:sz w:val="18"/>
                <w:szCs w:val="18"/>
              </w:rPr>
              <w:t>697</w:t>
            </w:r>
            <w:r w:rsidRPr="00ED3622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2" w:type="pct"/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bCs/>
                <w:color w:val="000000" w:themeColor="text1"/>
                <w:sz w:val="18"/>
                <w:szCs w:val="18"/>
              </w:rPr>
              <w:t xml:space="preserve">                        (197) </w:t>
            </w:r>
          </w:p>
        </w:tc>
      </w:tr>
      <w:tr w:rsidR="00D04F06" w:rsidRPr="00ED3622" w:rsidTr="00326CDF">
        <w:tc>
          <w:tcPr>
            <w:tcW w:w="196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sz w:val="18"/>
                <w:szCs w:val="18"/>
              </w:rPr>
            </w:pPr>
            <w:r w:rsidRPr="00ED3622">
              <w:rPr>
                <w:bCs/>
                <w:sz w:val="18"/>
                <w:szCs w:val="18"/>
              </w:rPr>
              <w:t xml:space="preserve">   Outras Receitas e Despesas      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 xml:space="preserve">                       11.641 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 xml:space="preserve">                  (10.209) </w:t>
            </w:r>
          </w:p>
        </w:tc>
        <w:tc>
          <w:tcPr>
            <w:tcW w:w="10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 xml:space="preserve">                     21.850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Lucro Antes do Resultado Financeiro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(25.681)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(55.89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30.21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sz w:val="18"/>
                <w:szCs w:val="18"/>
              </w:rPr>
            </w:pPr>
            <w:r w:rsidRPr="00ED3622">
              <w:rPr>
                <w:iCs/>
                <w:sz w:val="18"/>
                <w:szCs w:val="18"/>
              </w:rPr>
              <w:t xml:space="preserve">   Resultado Financeiro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 xml:space="preserve">                     1.682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 xml:space="preserve">                  1.652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 xml:space="preserve">                       30 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F06" w:rsidRPr="00ED3622" w:rsidRDefault="00D04F06" w:rsidP="00326CDF">
            <w:pPr>
              <w:rPr>
                <w:sz w:val="18"/>
                <w:szCs w:val="18"/>
              </w:rPr>
            </w:pPr>
            <w:r w:rsidRPr="00ED3622">
              <w:rPr>
                <w:sz w:val="18"/>
                <w:szCs w:val="18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D3622">
              <w:rPr>
                <w:color w:val="000000" w:themeColor="text1"/>
                <w:sz w:val="18"/>
                <w:szCs w:val="18"/>
              </w:rPr>
              <w:t> </w:t>
            </w:r>
          </w:p>
        </w:tc>
      </w:tr>
      <w:tr w:rsidR="00D04F06" w:rsidRPr="00ED3622" w:rsidTr="00326CDF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4F06" w:rsidRPr="00ED3622" w:rsidRDefault="00D04F06" w:rsidP="00326CDF">
            <w:pPr>
              <w:jc w:val="both"/>
              <w:rPr>
                <w:b/>
                <w:bCs/>
                <w:sz w:val="18"/>
                <w:szCs w:val="18"/>
              </w:rPr>
            </w:pPr>
            <w:r w:rsidRPr="00ED3622">
              <w:rPr>
                <w:b/>
                <w:bCs/>
                <w:sz w:val="18"/>
                <w:szCs w:val="18"/>
              </w:rPr>
              <w:t>Prejuízo do Exercício</w:t>
            </w:r>
          </w:p>
        </w:tc>
        <w:tc>
          <w:tcPr>
            <w:tcW w:w="9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(23.999)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(54.24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326CD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04F06" w:rsidRPr="00ED3622" w:rsidRDefault="00D04F06" w:rsidP="00DA5612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30.24</w:t>
            </w:r>
            <w:r w:rsidR="00DA5612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ED3622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D04F06" w:rsidRPr="00ED3622" w:rsidRDefault="00D04F06" w:rsidP="00D04F06">
      <w:pPr>
        <w:rPr>
          <w:color w:val="FF0000"/>
        </w:rPr>
      </w:pPr>
    </w:p>
    <w:p w:rsidR="00D04F06" w:rsidRPr="00ED3622" w:rsidRDefault="00DA5612" w:rsidP="00D04F06">
      <w:pPr>
        <w:tabs>
          <w:tab w:val="left" w:pos="851"/>
        </w:tabs>
        <w:jc w:val="both"/>
        <w:rPr>
          <w:color w:val="000000" w:themeColor="text1"/>
        </w:rPr>
      </w:pPr>
      <w:r>
        <w:rPr>
          <w:color w:val="000000" w:themeColor="text1"/>
        </w:rPr>
        <w:t>O valor de R$ 17.661</w:t>
      </w:r>
      <w:r w:rsidR="00D04F06" w:rsidRPr="00ED3622">
        <w:rPr>
          <w:color w:val="000000" w:themeColor="text1"/>
        </w:rPr>
        <w:t xml:space="preserve"> do grupo Receita Bruta Operacional refere-se à contrapartida do registro de recursos a receber para cobertura de despesas com pessoal apropriadas por competência e a provisão para contingências, pagas com recursos do Tesouro Nacional e o valor de (R$ 7.655) de ajustes da Receita Bruta refere-se a Recursos do Tesouro Nacional recebidos para pagamento de adiantamento de pessoal de competência do exercício de 2021.</w:t>
      </w:r>
    </w:p>
    <w:p w:rsidR="00D04F06" w:rsidRPr="00ED3622" w:rsidRDefault="00D04F06" w:rsidP="00D04F06">
      <w:pPr>
        <w:tabs>
          <w:tab w:val="left" w:pos="851"/>
        </w:tabs>
        <w:jc w:val="both"/>
        <w:rPr>
          <w:color w:val="FF0000"/>
        </w:rPr>
      </w:pPr>
    </w:p>
    <w:p w:rsidR="00D04F06" w:rsidRPr="00ED3622" w:rsidRDefault="00D04F06" w:rsidP="00D04F06">
      <w:pPr>
        <w:tabs>
          <w:tab w:val="left" w:pos="851"/>
        </w:tabs>
        <w:jc w:val="both"/>
        <w:rPr>
          <w:color w:val="000000" w:themeColor="text1"/>
        </w:rPr>
      </w:pPr>
      <w:r w:rsidRPr="00ED3622">
        <w:rPr>
          <w:color w:val="000000" w:themeColor="text1"/>
        </w:rPr>
        <w:t xml:space="preserve">O valor de R$ 1.447 no grupo Custos dos Serviços e R$ 197 no grupo Despesas Operacionais, refere-se à baixa de R$ 936 referente provisões trabalhistas e apropriações de despesas por competência registradas na contabilidade societária em 2020 e, no SIAFI, em janeiro de 2021; R$ 708 </w:t>
      </w:r>
      <w:r w:rsidR="00ED3622">
        <w:rPr>
          <w:color w:val="000000" w:themeColor="text1"/>
        </w:rPr>
        <w:t xml:space="preserve">refere-se a </w:t>
      </w:r>
      <w:r w:rsidRPr="00ED3622">
        <w:rPr>
          <w:color w:val="000000" w:themeColor="text1"/>
        </w:rPr>
        <w:t>estorno do passivo apropriado pelo TRF4 referente precatórios de pessoal e terceiros.</w:t>
      </w:r>
    </w:p>
    <w:p w:rsidR="00D04F06" w:rsidRPr="00ED3622" w:rsidRDefault="00D04F06" w:rsidP="00D04F06">
      <w:pPr>
        <w:tabs>
          <w:tab w:val="left" w:pos="851"/>
        </w:tabs>
        <w:jc w:val="both"/>
        <w:rPr>
          <w:color w:val="FF0000"/>
        </w:rPr>
      </w:pPr>
    </w:p>
    <w:p w:rsidR="00D04F06" w:rsidRPr="00EF11D3" w:rsidRDefault="00ED3622" w:rsidP="00D04F06">
      <w:pPr>
        <w:tabs>
          <w:tab w:val="left" w:pos="851"/>
        </w:tabs>
        <w:jc w:val="both"/>
        <w:rPr>
          <w:color w:val="000000" w:themeColor="text1"/>
        </w:rPr>
      </w:pPr>
      <w:r w:rsidRPr="00ED3622">
        <w:rPr>
          <w:color w:val="000000" w:themeColor="text1"/>
        </w:rPr>
        <w:t>Quanto ao</w:t>
      </w:r>
      <w:r w:rsidR="00D04F06" w:rsidRPr="00ED3622">
        <w:rPr>
          <w:color w:val="000000" w:themeColor="text1"/>
        </w:rPr>
        <w:t xml:space="preserve"> valor de R$ 21.850 no grupo de outras receitas e outras despesas, o montante de (R$ 4.402) refere-se à baixa das parcelas pagas em 2020 de financiamento do tempo de Serviço Passado (TSP) o qual foi integralmente provisionado em 2015; R$ 25.376 </w:t>
      </w:r>
      <w:r>
        <w:rPr>
          <w:color w:val="000000" w:themeColor="text1"/>
        </w:rPr>
        <w:t xml:space="preserve">referente a </w:t>
      </w:r>
      <w:r w:rsidR="00D04F06" w:rsidRPr="00ED3622">
        <w:rPr>
          <w:color w:val="000000" w:themeColor="text1"/>
        </w:rPr>
        <w:t xml:space="preserve">estorno do passivo </w:t>
      </w:r>
      <w:r>
        <w:rPr>
          <w:color w:val="000000" w:themeColor="text1"/>
        </w:rPr>
        <w:t>de</w:t>
      </w:r>
      <w:r w:rsidR="00D04F06" w:rsidRPr="00ED3622">
        <w:rPr>
          <w:color w:val="000000" w:themeColor="text1"/>
        </w:rPr>
        <w:t xml:space="preserve"> recursos recebidos por descentralização</w:t>
      </w:r>
      <w:r w:rsidR="00D04F06" w:rsidRPr="00EF11D3">
        <w:rPr>
          <w:color w:val="000000" w:themeColor="text1"/>
        </w:rPr>
        <w:t xml:space="preserve">; (R$ 1.283) estorno do ativo apropriado pelo TRF4 referente </w:t>
      </w:r>
      <w:r w:rsidR="00EF11D3" w:rsidRPr="00EF11D3">
        <w:rPr>
          <w:color w:val="000000" w:themeColor="text1"/>
        </w:rPr>
        <w:t xml:space="preserve">a </w:t>
      </w:r>
      <w:r w:rsidR="00D04F06" w:rsidRPr="00EF11D3">
        <w:rPr>
          <w:color w:val="000000" w:themeColor="text1"/>
        </w:rPr>
        <w:t xml:space="preserve">precatórios de pessoal e terceiros; (R$ 32) referente transferência para Receita Operacional Bruta de valores recebidos em 2019, mas somente reclassificados contabilmente em janeiro de 2020; (R$ 8) referente </w:t>
      </w:r>
      <w:r w:rsidR="005B1517" w:rsidRPr="00EF11D3">
        <w:rPr>
          <w:color w:val="000000" w:themeColor="text1"/>
        </w:rPr>
        <w:t>à</w:t>
      </w:r>
      <w:r w:rsidR="00D04F06" w:rsidRPr="00EF11D3">
        <w:rPr>
          <w:color w:val="000000" w:themeColor="text1"/>
        </w:rPr>
        <w:t xml:space="preserve"> transferência para Receita Operacional Bruta de valores recebidos por depósito e cauções, mas somente reclassificados contabilmente em janeiro de 2020</w:t>
      </w:r>
      <w:r w:rsidR="00EF11D3">
        <w:rPr>
          <w:color w:val="000000" w:themeColor="text1"/>
        </w:rPr>
        <w:t xml:space="preserve">; (R$ 30) referente a </w:t>
      </w:r>
      <w:r w:rsidR="00D04F06" w:rsidRPr="00EF11D3">
        <w:rPr>
          <w:color w:val="000000" w:themeColor="text1"/>
        </w:rPr>
        <w:t>ajustes</w:t>
      </w:r>
      <w:r w:rsidR="00EF11D3">
        <w:rPr>
          <w:color w:val="000000" w:themeColor="text1"/>
        </w:rPr>
        <w:t xml:space="preserve"> de</w:t>
      </w:r>
      <w:r w:rsidR="00D04F06" w:rsidRPr="00EF11D3">
        <w:rPr>
          <w:color w:val="000000" w:themeColor="text1"/>
        </w:rPr>
        <w:t xml:space="preserve"> classificação </w:t>
      </w:r>
      <w:r w:rsidR="00EF11D3">
        <w:rPr>
          <w:color w:val="000000" w:themeColor="text1"/>
        </w:rPr>
        <w:t>de</w:t>
      </w:r>
      <w:r w:rsidR="00D04F06" w:rsidRPr="00EF11D3">
        <w:rPr>
          <w:color w:val="000000" w:themeColor="text1"/>
        </w:rPr>
        <w:t xml:space="preserve"> variação cambial de importação e R$ 2.229</w:t>
      </w:r>
      <w:r w:rsidR="00EF11D3">
        <w:rPr>
          <w:color w:val="000000" w:themeColor="text1"/>
        </w:rPr>
        <w:t xml:space="preserve"> referente </w:t>
      </w:r>
      <w:proofErr w:type="gramStart"/>
      <w:r w:rsidR="00EF11D3">
        <w:rPr>
          <w:color w:val="000000" w:themeColor="text1"/>
        </w:rPr>
        <w:t>a</w:t>
      </w:r>
      <w:proofErr w:type="gramEnd"/>
      <w:r w:rsidR="00D04F06" w:rsidRPr="00EF11D3">
        <w:rPr>
          <w:color w:val="000000" w:themeColor="text1"/>
        </w:rPr>
        <w:t xml:space="preserve"> reversão da depreciação bens móveis e imóveis.</w:t>
      </w:r>
    </w:p>
    <w:p w:rsidR="00C37862" w:rsidRDefault="00C37862" w:rsidP="00C37862">
      <w:pPr>
        <w:tabs>
          <w:tab w:val="left" w:pos="851"/>
        </w:tabs>
        <w:jc w:val="both"/>
        <w:rPr>
          <w:b/>
        </w:rPr>
      </w:pPr>
    </w:p>
    <w:p w:rsidR="00C37862" w:rsidRDefault="00C37862" w:rsidP="00C37862">
      <w:pPr>
        <w:tabs>
          <w:tab w:val="left" w:pos="851"/>
        </w:tabs>
        <w:jc w:val="both"/>
        <w:rPr>
          <w:b/>
        </w:rPr>
      </w:pPr>
    </w:p>
    <w:p w:rsidR="006C5505" w:rsidRPr="000B1B09" w:rsidRDefault="006C5505" w:rsidP="006C5505">
      <w:pPr>
        <w:pStyle w:val="Ttulo"/>
        <w:ind w:left="0"/>
        <w:outlineLvl w:val="0"/>
      </w:pPr>
      <w:bookmarkStart w:id="64" w:name="_Toc1120464"/>
      <w:bookmarkStart w:id="65" w:name="_Toc31373378"/>
      <w:bookmarkStart w:id="66" w:name="_Toc65061189"/>
      <w:r w:rsidRPr="000B1B09">
        <w:t>Remunerações Pagas a Empregados e Administradores</w:t>
      </w:r>
      <w:bookmarkEnd w:id="64"/>
      <w:bookmarkEnd w:id="65"/>
      <w:bookmarkEnd w:id="66"/>
    </w:p>
    <w:p w:rsidR="006C5505" w:rsidRPr="000B1B09" w:rsidRDefault="006C5505" w:rsidP="006C5505"/>
    <w:p w:rsidR="006C5505" w:rsidRPr="000B1B09" w:rsidRDefault="006C5505" w:rsidP="006C5505">
      <w:pPr>
        <w:jc w:val="both"/>
      </w:pPr>
      <w:r w:rsidRPr="000B1B09">
        <w:t>De acordo com a Resolução nº 03, de 31 de dezembro de 2010 da Comissão Interministerial de Governança Corporativa e de Administração de Participações Societárias da União (CGPAR) publicada no Diário Oficial da União em 28 de março de 2011, apresentamos o quadro abaixo. O valor da remuneração contempla os adicionais fixos.</w:t>
      </w:r>
    </w:p>
    <w:p w:rsidR="006C5505" w:rsidRPr="000B1B09" w:rsidRDefault="006C5505" w:rsidP="006C5505">
      <w:pPr>
        <w:jc w:val="both"/>
      </w:pPr>
    </w:p>
    <w:tbl>
      <w:tblPr>
        <w:tblW w:w="912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1520"/>
        <w:gridCol w:w="1427"/>
        <w:gridCol w:w="1206"/>
        <w:gridCol w:w="1608"/>
        <w:gridCol w:w="1340"/>
        <w:gridCol w:w="1205"/>
      </w:tblGrid>
      <w:tr w:rsidR="000B1B09" w:rsidRPr="000B1B09" w:rsidTr="00974CC9">
        <w:trPr>
          <w:trHeight w:val="247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Mensal</w:t>
            </w: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2020 – R$</w:t>
            </w: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2019 – R$</w:t>
            </w:r>
          </w:p>
        </w:tc>
      </w:tr>
      <w:tr w:rsidR="000B1B09" w:rsidRPr="000B1B09" w:rsidTr="00974CC9">
        <w:trPr>
          <w:trHeight w:val="233"/>
        </w:trPr>
        <w:tc>
          <w:tcPr>
            <w:tcW w:w="8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42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Salário Base</w:t>
            </w:r>
          </w:p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60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180A4F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180A4F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0B1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Salário Base</w:t>
            </w:r>
          </w:p>
          <w:p w:rsidR="000B1B09" w:rsidRPr="000B1B09" w:rsidRDefault="000B1B09" w:rsidP="000B1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Empregados</w:t>
            </w:r>
          </w:p>
        </w:tc>
      </w:tr>
      <w:tr w:rsidR="000B1B09" w:rsidRPr="000B1B09" w:rsidTr="00974CC9">
        <w:trPr>
          <w:trHeight w:val="247"/>
        </w:trPr>
        <w:tc>
          <w:tcPr>
            <w:tcW w:w="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180A4F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1B09" w:rsidRPr="000B1B09" w:rsidRDefault="000B1B09" w:rsidP="00180A4F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B1B09" w:rsidRPr="000B1B09" w:rsidRDefault="000B1B09" w:rsidP="0097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B1B09" w:rsidRPr="000B1B09" w:rsidTr="00974CC9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Maior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32.501,87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39.293,32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24.417,56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32.501,87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39.293,32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24.417,56</w:t>
            </w:r>
          </w:p>
        </w:tc>
      </w:tr>
      <w:tr w:rsidR="000B1B09" w:rsidRPr="000B1B09" w:rsidTr="00180A4F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Menor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32.501,87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1.842,51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1.613,13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32.501,87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1.796,86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1.559,81</w:t>
            </w:r>
          </w:p>
        </w:tc>
      </w:tr>
      <w:tr w:rsidR="000B1B09" w:rsidRPr="00984818" w:rsidTr="00180A4F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974CC9">
            <w:pPr>
              <w:jc w:val="center"/>
              <w:rPr>
                <w:b/>
                <w:bCs/>
                <w:sz w:val="18"/>
                <w:szCs w:val="18"/>
              </w:rPr>
            </w:pPr>
            <w:r w:rsidRPr="000B1B09">
              <w:rPr>
                <w:b/>
                <w:bCs/>
                <w:sz w:val="18"/>
                <w:szCs w:val="18"/>
              </w:rPr>
              <w:t>Média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32.501,87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7.268,75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5.522,49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32.501,87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7.486,53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B09" w:rsidRPr="000B1B09" w:rsidRDefault="000B1B09" w:rsidP="000B1B09">
            <w:pPr>
              <w:jc w:val="right"/>
              <w:rPr>
                <w:color w:val="222222"/>
                <w:sz w:val="18"/>
                <w:szCs w:val="18"/>
              </w:rPr>
            </w:pPr>
            <w:r w:rsidRPr="000B1B09">
              <w:rPr>
                <w:color w:val="222222"/>
                <w:sz w:val="18"/>
                <w:szCs w:val="18"/>
              </w:rPr>
              <w:t>5.608,26</w:t>
            </w:r>
          </w:p>
        </w:tc>
      </w:tr>
    </w:tbl>
    <w:p w:rsidR="006C5505" w:rsidRDefault="006C5505" w:rsidP="006C5505">
      <w:pPr>
        <w:tabs>
          <w:tab w:val="left" w:pos="851"/>
        </w:tabs>
        <w:rPr>
          <w:b/>
          <w:color w:val="FF0000"/>
        </w:rPr>
      </w:pPr>
    </w:p>
    <w:p w:rsidR="00944CE7" w:rsidRDefault="00944CE7">
      <w:pPr>
        <w:rPr>
          <w:color w:val="FF0000"/>
        </w:rPr>
      </w:pPr>
      <w:r>
        <w:rPr>
          <w:b/>
          <w:color w:val="FF0000"/>
        </w:rPr>
        <w:br w:type="page"/>
      </w:r>
    </w:p>
    <w:p w:rsidR="002879B5" w:rsidRPr="00FB047F" w:rsidRDefault="002879B5" w:rsidP="002879B5">
      <w:pPr>
        <w:pStyle w:val="Ttulo"/>
        <w:ind w:left="0"/>
        <w:outlineLvl w:val="0"/>
      </w:pPr>
      <w:bookmarkStart w:id="67" w:name="_Toc65061190"/>
      <w:r w:rsidRPr="00FB047F">
        <w:lastRenderedPageBreak/>
        <w:t>Impactos – COVID 19</w:t>
      </w:r>
      <w:bookmarkEnd w:id="67"/>
    </w:p>
    <w:p w:rsidR="003177BD" w:rsidRPr="00FB047F" w:rsidRDefault="003177BD" w:rsidP="005518AF"/>
    <w:p w:rsidR="002879B5" w:rsidRPr="007E7501" w:rsidRDefault="002879B5" w:rsidP="002879B5">
      <w:pPr>
        <w:jc w:val="both"/>
      </w:pPr>
      <w:r w:rsidRPr="007E7501">
        <w:t xml:space="preserve">Em função da pandemia do novo </w:t>
      </w:r>
      <w:proofErr w:type="spellStart"/>
      <w:r w:rsidRPr="007E7501">
        <w:t>Coronavírus</w:t>
      </w:r>
      <w:proofErr w:type="spellEnd"/>
      <w:r w:rsidRPr="007E7501">
        <w:t>, declarada em março de 2020 pela Organização Mundial da Saúde, em 13 de março de 2020 o HCPA recebeu</w:t>
      </w:r>
      <w:r w:rsidR="008F75FE" w:rsidRPr="007E7501">
        <w:t xml:space="preserve">, por meio </w:t>
      </w:r>
      <w:r w:rsidRPr="007E7501">
        <w:t xml:space="preserve">da Medida Provisória nº 924 (Enfrentamento da Emergência de Saúde Pública de Importância Internacional Decorrente do </w:t>
      </w:r>
      <w:proofErr w:type="spellStart"/>
      <w:r w:rsidRPr="007E7501">
        <w:t>Coronavírus</w:t>
      </w:r>
      <w:proofErr w:type="spellEnd"/>
      <w:r w:rsidRPr="007E7501">
        <w:t xml:space="preserve">) crédito extraordinário no </w:t>
      </w:r>
      <w:r w:rsidR="008F75FE" w:rsidRPr="007E7501">
        <w:t>montante</w:t>
      </w:r>
      <w:r w:rsidRPr="007E7501">
        <w:t xml:space="preserve"> de R$ 57 milhões para custeio e investimento, com o objetivo de instalação de </w:t>
      </w:r>
      <w:r w:rsidR="00EF3039" w:rsidRPr="007E7501">
        <w:t>105 leitos de terapia intensiva.</w:t>
      </w:r>
    </w:p>
    <w:p w:rsidR="002879B5" w:rsidRPr="00812146" w:rsidRDefault="002879B5" w:rsidP="002879B5">
      <w:pPr>
        <w:jc w:val="both"/>
        <w:rPr>
          <w:color w:val="FF0000"/>
        </w:rPr>
      </w:pPr>
    </w:p>
    <w:p w:rsidR="002879B5" w:rsidRPr="003A188B" w:rsidRDefault="00111AA0" w:rsidP="002879B5">
      <w:pPr>
        <w:jc w:val="both"/>
      </w:pPr>
      <w:r w:rsidRPr="003A188B">
        <w:t xml:space="preserve">A Medida Provisória deixou de ter validade em 31 de julho de 2020, </w:t>
      </w:r>
      <w:r w:rsidR="005D3D4C" w:rsidRPr="003A188B">
        <w:t>portanto</w:t>
      </w:r>
      <w:r w:rsidRPr="003A188B">
        <w:t xml:space="preserve"> o HCPA devolveu o monta</w:t>
      </w:r>
      <w:r w:rsidR="006429D2" w:rsidRPr="003A188B">
        <w:t>nte</w:t>
      </w:r>
      <w:r w:rsidRPr="003A188B">
        <w:t xml:space="preserve"> de R$ 6.344 devido </w:t>
      </w:r>
      <w:r w:rsidR="00F74BCD" w:rsidRPr="003A188B">
        <w:t xml:space="preserve">à dificuldade de entrega </w:t>
      </w:r>
      <w:r w:rsidR="005D3D4C" w:rsidRPr="003A188B">
        <w:t>de itens</w:t>
      </w:r>
      <w:r w:rsidR="00F74BCD" w:rsidRPr="003A188B">
        <w:t xml:space="preserve"> dentro do prazo previsto para utilização</w:t>
      </w:r>
      <w:r w:rsidR="005D3D4C" w:rsidRPr="003A188B">
        <w:t xml:space="preserve"> do recurso</w:t>
      </w:r>
      <w:r w:rsidR="00F74BCD" w:rsidRPr="003A188B">
        <w:t>.</w:t>
      </w:r>
    </w:p>
    <w:p w:rsidR="005D3D4C" w:rsidRPr="00812146" w:rsidRDefault="005D3D4C" w:rsidP="002879B5">
      <w:pPr>
        <w:jc w:val="both"/>
        <w:rPr>
          <w:color w:val="FF0000"/>
        </w:rPr>
      </w:pPr>
    </w:p>
    <w:p w:rsidR="005A1860" w:rsidRPr="005A1860" w:rsidRDefault="005D3D4C" w:rsidP="009729A3">
      <w:pPr>
        <w:jc w:val="both"/>
        <w:rPr>
          <w:rFonts w:ascii="Open Sans" w:hAnsi="Open Sans" w:cs="Open Sans"/>
          <w:color w:val="333333"/>
          <w:sz w:val="19"/>
          <w:szCs w:val="19"/>
        </w:rPr>
      </w:pPr>
      <w:r w:rsidRPr="008433AA">
        <w:t xml:space="preserve">Adicionalmente, por meio da Portaria nº 8767 do Ministério da Economia, de 30 de março de 2020, foi autorizada, por até </w:t>
      </w:r>
      <w:proofErr w:type="gramStart"/>
      <w:r w:rsidRPr="008433AA">
        <w:t>2</w:t>
      </w:r>
      <w:proofErr w:type="gramEnd"/>
      <w:r w:rsidRPr="008433AA">
        <w:t xml:space="preserve"> (dois) anos, a contratação temporária de 775 profissionais para atendimento aos leitos criados para pacientes da Covid-19.</w:t>
      </w:r>
      <w:r w:rsidR="00314026" w:rsidRPr="008433AA">
        <w:t xml:space="preserve"> </w:t>
      </w:r>
      <w:r w:rsidRPr="008433AA">
        <w:t xml:space="preserve">A instalação dos 105 leitos críticos previstos para atendimento a casos </w:t>
      </w:r>
      <w:r w:rsidRPr="005A1860">
        <w:t xml:space="preserve">graves de covid-19 foi concluída em 05 de agosto de 2020, com a implantação do novo Centro de Terapia Intensiva (CTI) no Bloco B, um dos prédios novos concluídos no final de 2019. Essa instalação ocorreu por módulos desde o início da pandemia. </w:t>
      </w:r>
      <w:r w:rsidR="0009005B" w:rsidRPr="005A1860">
        <w:t>Em 3</w:t>
      </w:r>
      <w:r w:rsidR="008433AA" w:rsidRPr="005A1860">
        <w:t>1 de dezembro</w:t>
      </w:r>
      <w:r w:rsidR="0009005B" w:rsidRPr="005A1860">
        <w:t xml:space="preserve"> de 2020, a instituição contava com</w:t>
      </w:r>
      <w:r w:rsidRPr="005A1860">
        <w:t xml:space="preserve"> </w:t>
      </w:r>
      <w:r w:rsidR="008433AA" w:rsidRPr="005A1860">
        <w:t>704</w:t>
      </w:r>
      <w:r w:rsidRPr="005A1860">
        <w:t xml:space="preserve"> profissionais temporários contratados para as vagas liberadas, além da convocação de voluntários para diversas atividades</w:t>
      </w:r>
      <w:r w:rsidR="009729A3">
        <w:t xml:space="preserve">, todos </w:t>
      </w:r>
      <w:r w:rsidR="005B1517" w:rsidRPr="005A1860">
        <w:t>destinad</w:t>
      </w:r>
      <w:r w:rsidR="009729A3">
        <w:t>os</w:t>
      </w:r>
      <w:r w:rsidR="005B1517" w:rsidRPr="005A1860">
        <w:t xml:space="preserve"> ao atendimento de 87 leitos críticos dedicados à covid-19.</w:t>
      </w:r>
      <w:r w:rsidR="005A1860" w:rsidRPr="005A1860">
        <w:t xml:space="preserve"> </w:t>
      </w:r>
    </w:p>
    <w:p w:rsidR="00C15311" w:rsidRDefault="00C15311" w:rsidP="00C15311">
      <w:pPr>
        <w:jc w:val="both"/>
      </w:pPr>
    </w:p>
    <w:p w:rsidR="00C15311" w:rsidRPr="003E1EBB" w:rsidRDefault="00C15311" w:rsidP="00C15311">
      <w:pPr>
        <w:jc w:val="both"/>
      </w:pPr>
      <w:r w:rsidRPr="003E1EBB">
        <w:t>Até 3</w:t>
      </w:r>
      <w:r>
        <w:t>1</w:t>
      </w:r>
      <w:r w:rsidRPr="003E1EBB">
        <w:t xml:space="preserve"> de </w:t>
      </w:r>
      <w:r>
        <w:t>dezembro</w:t>
      </w:r>
      <w:r w:rsidRPr="003E1EBB">
        <w:t xml:space="preserve"> de 2020, a Instituição havia atendido </w:t>
      </w:r>
      <w:r>
        <w:t xml:space="preserve">4.598 </w:t>
      </w:r>
      <w:r w:rsidRPr="003E1EBB">
        <w:t xml:space="preserve">pacientes suspeitos de Covid-19 na emergência, </w:t>
      </w:r>
      <w:r>
        <w:t xml:space="preserve">2.342 </w:t>
      </w:r>
      <w:r w:rsidRPr="003E1EBB">
        <w:t xml:space="preserve">pacientes passaram pela enfermaria e </w:t>
      </w:r>
      <w:r>
        <w:t>1.358</w:t>
      </w:r>
      <w:r w:rsidRPr="003E1EBB">
        <w:t xml:space="preserve"> pacientes foram internados na Unidad</w:t>
      </w:r>
      <w:r>
        <w:t>e de Tratamento Intensivo (UTI), além de 11.801 atendimentos a funcionários</w:t>
      </w:r>
      <w:r w:rsidR="005B1517">
        <w:t>,</w:t>
      </w:r>
      <w:r>
        <w:t xml:space="preserve"> que resultaram em 4.418 coletas.</w:t>
      </w:r>
    </w:p>
    <w:p w:rsidR="003867DA" w:rsidRPr="008433AA" w:rsidRDefault="003867DA" w:rsidP="00314026">
      <w:pPr>
        <w:jc w:val="both"/>
      </w:pPr>
    </w:p>
    <w:p w:rsidR="002879B5" w:rsidRPr="006A406B" w:rsidRDefault="008272D7" w:rsidP="002879B5">
      <w:pPr>
        <w:jc w:val="both"/>
      </w:pPr>
      <w:r w:rsidRPr="006A406B">
        <w:t xml:space="preserve">Na data-base dessas demonstrações, </w:t>
      </w:r>
      <w:r w:rsidR="002879B5" w:rsidRPr="006A406B">
        <w:t>o</w:t>
      </w:r>
      <w:r w:rsidR="004D646F" w:rsidRPr="006A406B">
        <w:t>s principais</w:t>
      </w:r>
      <w:r w:rsidR="002879B5" w:rsidRPr="006A406B">
        <w:t xml:space="preserve"> impacto</w:t>
      </w:r>
      <w:r w:rsidR="004D646F" w:rsidRPr="006A406B">
        <w:t>s</w:t>
      </w:r>
      <w:r w:rsidR="002879B5" w:rsidRPr="006A406B">
        <w:t xml:space="preserve"> nas contas contábeis </w:t>
      </w:r>
      <w:r w:rsidRPr="006A406B">
        <w:t>ocorreram</w:t>
      </w:r>
      <w:r w:rsidR="004D646F" w:rsidRPr="006A406B">
        <w:t xml:space="preserve"> </w:t>
      </w:r>
      <w:r w:rsidR="002879B5" w:rsidRPr="006A406B">
        <w:t>nos</w:t>
      </w:r>
      <w:r w:rsidR="004D646F" w:rsidRPr="006A406B">
        <w:t xml:space="preserve"> saldos dos seguintes grupos</w:t>
      </w:r>
      <w:r w:rsidR="002879B5" w:rsidRPr="006A406B">
        <w:t>:</w:t>
      </w:r>
    </w:p>
    <w:tbl>
      <w:tblPr>
        <w:tblW w:w="49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1"/>
        <w:gridCol w:w="2049"/>
        <w:gridCol w:w="238"/>
        <w:gridCol w:w="1084"/>
        <w:gridCol w:w="227"/>
        <w:gridCol w:w="1115"/>
        <w:gridCol w:w="161"/>
        <w:gridCol w:w="396"/>
      </w:tblGrid>
      <w:tr w:rsidR="002F6596" w:rsidRPr="003D278E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96" w:rsidRPr="006A406B" w:rsidRDefault="002F6596" w:rsidP="002E1FB6">
            <w:pPr>
              <w:rPr>
                <w:b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6596" w:rsidRPr="003D278E" w:rsidRDefault="002F6596" w:rsidP="002F6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Nota Explicativa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96" w:rsidRPr="003D278E" w:rsidRDefault="002F6596" w:rsidP="002E1FB6">
            <w:pPr>
              <w:rPr>
                <w:b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596" w:rsidRPr="003D278E" w:rsidRDefault="002F6596" w:rsidP="00FE6289">
            <w:pPr>
              <w:jc w:val="right"/>
              <w:rPr>
                <w:b/>
                <w:bCs/>
              </w:rPr>
            </w:pPr>
            <w:r w:rsidRPr="003D278E">
              <w:rPr>
                <w:b/>
                <w:bCs/>
              </w:rPr>
              <w:t>31/12/2020</w:t>
            </w: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1101A2">
            <w:pPr>
              <w:jc w:val="right"/>
              <w:rPr>
                <w:b/>
                <w:bCs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F6596" w:rsidRPr="003D278E" w:rsidRDefault="002F6596" w:rsidP="002F6596">
            <w:pPr>
              <w:ind w:left="-174" w:firstLine="174"/>
              <w:jc w:val="right"/>
              <w:rPr>
                <w:b/>
                <w:bCs/>
              </w:rPr>
            </w:pPr>
            <w:r w:rsidRPr="003D278E">
              <w:rPr>
                <w:b/>
                <w:bCs/>
              </w:rPr>
              <w:t>31/12/2019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1101A2">
            <w:pPr>
              <w:jc w:val="right"/>
              <w:rPr>
                <w:b/>
                <w:bCs/>
              </w:rPr>
            </w:pPr>
          </w:p>
        </w:tc>
        <w:tc>
          <w:tcPr>
            <w:tcW w:w="2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1101A2">
            <w:pPr>
              <w:jc w:val="right"/>
              <w:rPr>
                <w:b/>
                <w:bCs/>
              </w:rPr>
            </w:pPr>
          </w:p>
        </w:tc>
      </w:tr>
      <w:tr w:rsidR="002F6596" w:rsidRPr="003D278E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F6596" w:rsidRPr="003D278E" w:rsidRDefault="002F6596" w:rsidP="002E1FB6">
            <w:r w:rsidRPr="003D278E">
              <w:t>Convênios Privados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center"/>
            </w:pPr>
            <w:r w:rsidRPr="003D278E">
              <w:t>06 e 18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right"/>
            </w:pPr>
            <w:r w:rsidRPr="003D278E">
              <w:t>11.364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  <w:r w:rsidRPr="003D278E">
              <w:t>15.117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C571F9">
            <w:r w:rsidRPr="003D278E">
              <w:t>(a)</w:t>
            </w:r>
          </w:p>
        </w:tc>
      </w:tr>
      <w:tr w:rsidR="002F6596" w:rsidRPr="003D278E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F6596" w:rsidRPr="003D278E" w:rsidRDefault="002F6596" w:rsidP="00D91B5B">
            <w:r w:rsidRPr="003D278E">
              <w:t>Estoques de Materiais de Consumo</w:t>
            </w:r>
          </w:p>
        </w:tc>
        <w:tc>
          <w:tcPr>
            <w:tcW w:w="11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3D278E">
            <w:pPr>
              <w:jc w:val="center"/>
            </w:pPr>
            <w:r w:rsidRPr="003D278E">
              <w:t xml:space="preserve">08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right"/>
            </w:pPr>
            <w:r w:rsidRPr="003D278E">
              <w:t>30.929</w:t>
            </w: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  <w:r w:rsidRPr="003D278E">
              <w:t>18.152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r w:rsidRPr="003D278E">
              <w:t>(b)</w:t>
            </w:r>
          </w:p>
        </w:tc>
      </w:tr>
      <w:tr w:rsidR="002F6596" w:rsidRPr="003D278E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F6596" w:rsidRPr="003D278E" w:rsidRDefault="002F6596" w:rsidP="00D91B5B">
            <w:r w:rsidRPr="003D278E">
              <w:t>Bens Móveis e Máquinas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1101A2">
            <w:pPr>
              <w:jc w:val="center"/>
            </w:pPr>
            <w:r w:rsidRPr="003D278E">
              <w:t>09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right"/>
            </w:pPr>
            <w:r w:rsidRPr="003D278E">
              <w:t>111.768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  <w:r w:rsidRPr="003D278E">
              <w:t>77.867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r w:rsidRPr="003D278E">
              <w:t>(c)</w:t>
            </w:r>
          </w:p>
        </w:tc>
      </w:tr>
      <w:tr w:rsidR="002F6596" w:rsidRPr="003D278E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F6596" w:rsidRPr="003D278E" w:rsidRDefault="002F6596" w:rsidP="002E1FB6"/>
        </w:tc>
        <w:tc>
          <w:tcPr>
            <w:tcW w:w="11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1101A2">
            <w:pPr>
              <w:jc w:val="center"/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591" w:type="pct"/>
            <w:tcBorders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  <w:tc>
          <w:tcPr>
            <w:tcW w:w="2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</w:tr>
      <w:tr w:rsidR="002F6596" w:rsidRPr="003D278E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F6596" w:rsidRPr="003D278E" w:rsidRDefault="002F6596" w:rsidP="002E1FB6"/>
        </w:tc>
        <w:tc>
          <w:tcPr>
            <w:tcW w:w="11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1101A2">
            <w:pPr>
              <w:jc w:val="center"/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59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6596" w:rsidRPr="003D278E" w:rsidRDefault="002F6596" w:rsidP="00221716">
            <w:pPr>
              <w:jc w:val="right"/>
              <w:rPr>
                <w:b/>
                <w:bCs/>
              </w:rPr>
            </w:pPr>
            <w:r w:rsidRPr="003D278E">
              <w:rPr>
                <w:b/>
                <w:bCs/>
              </w:rPr>
              <w:t>31/12/2020</w:t>
            </w: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2F6596" w:rsidRPr="003D278E" w:rsidRDefault="002F6596" w:rsidP="00221716"/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F6596" w:rsidRPr="003D278E" w:rsidRDefault="002F6596" w:rsidP="00221716">
            <w:pPr>
              <w:jc w:val="right"/>
              <w:rPr>
                <w:b/>
                <w:bCs/>
              </w:rPr>
            </w:pPr>
            <w:r w:rsidRPr="003D278E">
              <w:rPr>
                <w:b/>
                <w:bCs/>
              </w:rPr>
              <w:t>31/12/2019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  <w:tc>
          <w:tcPr>
            <w:tcW w:w="2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</w:tr>
      <w:tr w:rsidR="002F6596" w:rsidRPr="003D278E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F6596" w:rsidRPr="003D278E" w:rsidRDefault="002F6596" w:rsidP="00314026">
            <w:r w:rsidRPr="003D278E">
              <w:t>Receita Operacional - Sistema Único de Saúde</w:t>
            </w:r>
          </w:p>
        </w:tc>
        <w:tc>
          <w:tcPr>
            <w:tcW w:w="11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center"/>
            </w:pPr>
            <w:r w:rsidRPr="003D278E">
              <w:t>18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314026">
            <w:pPr>
              <w:jc w:val="right"/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right"/>
            </w:pPr>
            <w:r w:rsidRPr="003D278E">
              <w:t>199.933</w:t>
            </w:r>
          </w:p>
        </w:tc>
        <w:tc>
          <w:tcPr>
            <w:tcW w:w="12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842ECF">
            <w:pPr>
              <w:jc w:val="right"/>
            </w:pPr>
            <w:r w:rsidRPr="003D278E">
              <w:t xml:space="preserve"> 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right"/>
            </w:pPr>
            <w:r w:rsidRPr="003D278E">
              <w:t>174.255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314026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r w:rsidRPr="003D278E">
              <w:t>(</w:t>
            </w:r>
            <w:r>
              <w:t>a</w:t>
            </w:r>
            <w:r w:rsidRPr="003D278E">
              <w:t>)</w:t>
            </w:r>
          </w:p>
        </w:tc>
      </w:tr>
      <w:tr w:rsidR="002F6596" w:rsidRPr="00EF11D3" w:rsidTr="002F6596"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F6596" w:rsidRPr="003D278E" w:rsidRDefault="002F6596" w:rsidP="002E1FB6">
            <w:r w:rsidRPr="003D278E">
              <w:t>Doações de Estoque e Uso Permanente</w:t>
            </w:r>
          </w:p>
        </w:tc>
        <w:tc>
          <w:tcPr>
            <w:tcW w:w="11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1101A2">
            <w:pPr>
              <w:jc w:val="center"/>
            </w:pPr>
            <w:r w:rsidRPr="003D278E">
              <w:t>21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591" w:type="pct"/>
            <w:tcBorders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right"/>
            </w:pPr>
            <w:r w:rsidRPr="003D278E">
              <w:t>4.185</w:t>
            </w:r>
          </w:p>
        </w:tc>
        <w:tc>
          <w:tcPr>
            <w:tcW w:w="124" w:type="pct"/>
            <w:tcBorders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2E1FB6">
            <w:pPr>
              <w:jc w:val="right"/>
            </w:pPr>
          </w:p>
        </w:tc>
        <w:tc>
          <w:tcPr>
            <w:tcW w:w="608" w:type="pct"/>
            <w:tcBorders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EF11D3">
            <w:pPr>
              <w:jc w:val="right"/>
            </w:pPr>
            <w:r w:rsidRPr="003D278E">
              <w:t>2.654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3D278E" w:rsidRDefault="002F6596" w:rsidP="00C571F9"/>
        </w:tc>
        <w:tc>
          <w:tcPr>
            <w:tcW w:w="21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F6596" w:rsidRPr="00EF11D3" w:rsidRDefault="002F6596" w:rsidP="00EF11D3">
            <w:r w:rsidRPr="003D278E">
              <w:t>(d)</w:t>
            </w:r>
          </w:p>
        </w:tc>
      </w:tr>
    </w:tbl>
    <w:p w:rsidR="002A2013" w:rsidRPr="00EF11D3" w:rsidRDefault="002A2013" w:rsidP="002879B5">
      <w:pPr>
        <w:jc w:val="both"/>
      </w:pPr>
    </w:p>
    <w:p w:rsidR="00923E8A" w:rsidRPr="00EF11D3" w:rsidRDefault="002032A7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EF11D3">
        <w:t xml:space="preserve">A redução </w:t>
      </w:r>
      <w:r w:rsidR="00B920B0" w:rsidRPr="00EF11D3">
        <w:t>n</w:t>
      </w:r>
      <w:r w:rsidRPr="00EF11D3">
        <w:t>o</w:t>
      </w:r>
      <w:r w:rsidR="00B920B0" w:rsidRPr="00EF11D3">
        <w:t xml:space="preserve"> saldo</w:t>
      </w:r>
      <w:r w:rsidRPr="00EF11D3">
        <w:t xml:space="preserve"> a receber de convênios privados </w:t>
      </w:r>
      <w:r w:rsidR="004D3A1F" w:rsidRPr="00EF11D3">
        <w:t>deve-se</w:t>
      </w:r>
      <w:r w:rsidRPr="00EF11D3">
        <w:t xml:space="preserve"> ao faturamento ter registrado o pior desempenho d</w:t>
      </w:r>
      <w:r w:rsidR="000F176F" w:rsidRPr="00EF11D3">
        <w:t>os últimos 05 anos, ficando em torno</w:t>
      </w:r>
      <w:r w:rsidRPr="00EF11D3">
        <w:t xml:space="preserve"> de 30% abaixo da meta prevista para 2020. </w:t>
      </w:r>
      <w:r w:rsidR="004D3A1F" w:rsidRPr="00EF11D3">
        <w:t>Além da red</w:t>
      </w:r>
      <w:r w:rsidR="00B920B0" w:rsidRPr="00EF11D3">
        <w:t xml:space="preserve">ução da </w:t>
      </w:r>
      <w:r w:rsidR="00C75652" w:rsidRPr="00EF11D3">
        <w:t xml:space="preserve">chegada de pacientes aos serviços de saúde em geral, </w:t>
      </w:r>
      <w:r w:rsidR="004D3A1F" w:rsidRPr="00EF11D3">
        <w:t xml:space="preserve">o HCPA </w:t>
      </w:r>
      <w:r w:rsidR="00B920B0" w:rsidRPr="00EF11D3">
        <w:t xml:space="preserve">precisou reduzir </w:t>
      </w:r>
      <w:r w:rsidR="00C75652" w:rsidRPr="00EF11D3">
        <w:t>os atendimentos eletivos, especialmente os cirúrgicos, ocupando os leitos de convênios para pacientes SUS</w:t>
      </w:r>
      <w:r w:rsidR="007155B8" w:rsidRPr="00EF11D3">
        <w:t>. Já</w:t>
      </w:r>
      <w:r w:rsidR="00735A86" w:rsidRPr="00EF11D3">
        <w:t xml:space="preserve"> o aumento da receita operacional</w:t>
      </w:r>
      <w:r w:rsidR="007155B8" w:rsidRPr="00EF11D3">
        <w:t xml:space="preserve"> </w:t>
      </w:r>
      <w:r w:rsidR="00735A86" w:rsidRPr="00EF11D3">
        <w:t>com recursos do Sistema Único de Saúde refere-se aos créditos extraordinários p</w:t>
      </w:r>
      <w:r w:rsidR="00EF11D3" w:rsidRPr="00EF11D3">
        <w:t xml:space="preserve">ara habilitação de leitos </w:t>
      </w:r>
      <w:proofErr w:type="spellStart"/>
      <w:r w:rsidR="00EF11D3" w:rsidRPr="00EF11D3">
        <w:t>covid</w:t>
      </w:r>
      <w:proofErr w:type="spellEnd"/>
      <w:r w:rsidR="008225C9" w:rsidRPr="00EF11D3">
        <w:t>;</w:t>
      </w:r>
    </w:p>
    <w:p w:rsidR="002879B5" w:rsidRPr="00EF11D3" w:rsidRDefault="00D91B5B" w:rsidP="00785268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EF11D3">
        <w:t>O saldo dos estoques teve</w:t>
      </w:r>
      <w:r w:rsidR="009F38DB" w:rsidRPr="00EF11D3">
        <w:t xml:space="preserve"> aumento</w:t>
      </w:r>
      <w:r w:rsidR="00EF11D3" w:rsidRPr="00EF11D3">
        <w:t xml:space="preserve"> de 70% no</w:t>
      </w:r>
      <w:r w:rsidR="00785268" w:rsidRPr="00EF11D3">
        <w:t xml:space="preserve"> último</w:t>
      </w:r>
      <w:r w:rsidR="00EF11D3" w:rsidRPr="00EF11D3">
        <w:t xml:space="preserve"> ano</w:t>
      </w:r>
      <w:r w:rsidRPr="00EF11D3">
        <w:t>, principalmente nas categ</w:t>
      </w:r>
      <w:r w:rsidR="009F38DB" w:rsidRPr="00EF11D3">
        <w:t>orias de medicamentos e material</w:t>
      </w:r>
      <w:r w:rsidRPr="00EF11D3">
        <w:t xml:space="preserve"> médico, hospitalar e laboratorial</w:t>
      </w:r>
      <w:r w:rsidR="00405CA6" w:rsidRPr="00EF11D3">
        <w:t xml:space="preserve">, como forma de proteção à eventual escassez de itens essenciais no mercado. </w:t>
      </w:r>
      <w:r w:rsidR="009F38DB" w:rsidRPr="00EF11D3">
        <w:t xml:space="preserve">Apesar da queda na produção das internações, cirurgias, consultas e exames, o consumo de materiais no </w:t>
      </w:r>
      <w:r w:rsidR="00EF11D3" w:rsidRPr="00EF11D3">
        <w:t xml:space="preserve">exercício </w:t>
      </w:r>
      <w:r w:rsidR="009F38DB" w:rsidRPr="00EF11D3">
        <w:t xml:space="preserve">permaneceu </w:t>
      </w:r>
      <w:r w:rsidR="00AA70E5" w:rsidRPr="00EF11D3">
        <w:t xml:space="preserve">relativamente </w:t>
      </w:r>
      <w:r w:rsidR="009F38DB" w:rsidRPr="00EF11D3">
        <w:t>estável quando comparado com o</w:t>
      </w:r>
      <w:r w:rsidR="00567CFD" w:rsidRPr="00EF11D3">
        <w:t xml:space="preserve"> </w:t>
      </w:r>
      <w:r w:rsidR="00EF11D3" w:rsidRPr="00EF11D3">
        <w:t>exercício</w:t>
      </w:r>
      <w:r w:rsidR="00567CFD" w:rsidRPr="00EF11D3">
        <w:t xml:space="preserve"> anterior.</w:t>
      </w:r>
    </w:p>
    <w:p w:rsidR="00925CEC" w:rsidRPr="00EF11D3" w:rsidRDefault="00D91B5B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EF11D3">
        <w:t>Os</w:t>
      </w:r>
      <w:r w:rsidR="00925CEC" w:rsidRPr="00EF11D3">
        <w:t xml:space="preserve"> Bens Móveis e </w:t>
      </w:r>
      <w:r w:rsidRPr="00EF11D3">
        <w:t>Máquinas</w:t>
      </w:r>
      <w:r w:rsidR="00925CEC" w:rsidRPr="00EF11D3">
        <w:t xml:space="preserve"> </w:t>
      </w:r>
      <w:r w:rsidRPr="00EF11D3">
        <w:t xml:space="preserve">tiveram </w:t>
      </w:r>
      <w:r w:rsidR="007155B8" w:rsidRPr="00EF11D3">
        <w:t xml:space="preserve">aumento líquido da depreciação </w:t>
      </w:r>
      <w:r w:rsidR="00925CEC" w:rsidRPr="00EF11D3">
        <w:t xml:space="preserve">de R$ </w:t>
      </w:r>
      <w:r w:rsidR="00EF11D3" w:rsidRPr="00EF11D3">
        <w:t>33.901</w:t>
      </w:r>
      <w:r w:rsidR="007155B8" w:rsidRPr="00EF11D3">
        <w:t xml:space="preserve">, </w:t>
      </w:r>
      <w:r w:rsidRPr="00EF11D3">
        <w:t xml:space="preserve">em virtude </w:t>
      </w:r>
      <w:r w:rsidR="00050DDE" w:rsidRPr="00EF11D3">
        <w:t xml:space="preserve">de bens adquiridos com recursos recebidos </w:t>
      </w:r>
      <w:r w:rsidRPr="00EF11D3">
        <w:t>pela</w:t>
      </w:r>
      <w:r w:rsidR="005B2CE7" w:rsidRPr="00EF11D3">
        <w:t xml:space="preserve"> Medida Provisória </w:t>
      </w:r>
      <w:r w:rsidRPr="00EF11D3">
        <w:t xml:space="preserve">nº </w:t>
      </w:r>
      <w:r w:rsidR="005B2CE7" w:rsidRPr="00EF11D3">
        <w:t>924;</w:t>
      </w:r>
    </w:p>
    <w:p w:rsidR="009729A3" w:rsidRPr="002540FA" w:rsidRDefault="00671D46" w:rsidP="009729A3">
      <w:pPr>
        <w:pStyle w:val="PargrafodaLista"/>
        <w:numPr>
          <w:ilvl w:val="0"/>
          <w:numId w:val="24"/>
        </w:numPr>
        <w:spacing w:after="120" w:line="276" w:lineRule="auto"/>
        <w:ind w:left="5" w:hanging="357"/>
        <w:jc w:val="both"/>
      </w:pPr>
      <w:r w:rsidRPr="00EF11D3">
        <w:t>O</w:t>
      </w:r>
      <w:r w:rsidR="001E6254" w:rsidRPr="00EF11D3">
        <w:t>s valores recebidos em doações para o atendimento da pandemia somam</w:t>
      </w:r>
      <w:r w:rsidRPr="00EF11D3">
        <w:t>, até</w:t>
      </w:r>
      <w:r w:rsidR="00EF11D3" w:rsidRPr="00EF11D3">
        <w:t xml:space="preserve"> 31</w:t>
      </w:r>
      <w:r w:rsidR="00052CFE" w:rsidRPr="00EF11D3">
        <w:t xml:space="preserve"> de </w:t>
      </w:r>
      <w:r w:rsidR="00EF11D3" w:rsidRPr="00EF11D3">
        <w:t xml:space="preserve">dezembro de 2020, R$ </w:t>
      </w:r>
      <w:r w:rsidR="00EF11D3" w:rsidRPr="002540FA">
        <w:t>4</w:t>
      </w:r>
      <w:r w:rsidR="00052CFE" w:rsidRPr="002540FA">
        <w:t>.</w:t>
      </w:r>
      <w:r w:rsidR="00EF11D3" w:rsidRPr="002540FA">
        <w:t>185</w:t>
      </w:r>
      <w:r w:rsidR="00052CFE" w:rsidRPr="002540FA">
        <w:t>.</w:t>
      </w:r>
    </w:p>
    <w:p w:rsidR="00ED0024" w:rsidRDefault="009729A3" w:rsidP="009729A3">
      <w:pPr>
        <w:pStyle w:val="PargrafodaLista"/>
        <w:spacing w:after="120" w:line="276" w:lineRule="auto"/>
        <w:ind w:left="5"/>
        <w:jc w:val="both"/>
      </w:pPr>
      <w:r w:rsidRPr="00160E77">
        <w:t>Na data de autorização destas demonstrações, devido ao aumento no número de atendimentos a casos de covid-19, o HCPA adotava novas</w:t>
      </w:r>
      <w:r w:rsidR="00ED0024" w:rsidRPr="00160E77">
        <w:t xml:space="preserve"> medidas de contingência, com</w:t>
      </w:r>
      <w:r w:rsidR="00D33531" w:rsidRPr="00160E77">
        <w:t xml:space="preserve"> 65</w:t>
      </w:r>
      <w:r w:rsidR="00480E1F" w:rsidRPr="00160E77">
        <w:t xml:space="preserve"> leitos de enfermaria e </w:t>
      </w:r>
      <w:r w:rsidR="00D33531" w:rsidRPr="00160E77">
        <w:t>108</w:t>
      </w:r>
      <w:r w:rsidRPr="00160E77">
        <w:t xml:space="preserve"> leitos de CTI exclusivos ativos, </w:t>
      </w:r>
      <w:r w:rsidR="00D33531" w:rsidRPr="00160E77">
        <w:t xml:space="preserve">este último representando 103% da capacidade contratada. Seguem </w:t>
      </w:r>
      <w:r w:rsidRPr="00160E77">
        <w:t>em atividade somente consultas ambulatoriais muito essenciais e transplantes urgentes, estando suspensas as internações clínicas, cirurgias e procedimentos eletivos (SUS e convênios).</w:t>
      </w:r>
      <w:r w:rsidRPr="009729A3">
        <w:t xml:space="preserve"> </w:t>
      </w:r>
    </w:p>
    <w:p w:rsidR="00666E6C" w:rsidRPr="00AA276A" w:rsidRDefault="00666E6C" w:rsidP="00666E6C">
      <w:pPr>
        <w:pStyle w:val="Ttulo"/>
        <w:ind w:left="705"/>
        <w:outlineLvl w:val="0"/>
      </w:pPr>
      <w:bookmarkStart w:id="68" w:name="_Toc65061191"/>
      <w:bookmarkStart w:id="69" w:name="_GoBack"/>
      <w:bookmarkEnd w:id="69"/>
      <w:r w:rsidRPr="00AA276A">
        <w:lastRenderedPageBreak/>
        <w:t>Eventos Subsequentes</w:t>
      </w:r>
      <w:bookmarkEnd w:id="68"/>
    </w:p>
    <w:p w:rsidR="00666E6C" w:rsidRPr="00AA276A" w:rsidRDefault="00666E6C" w:rsidP="00666E6C">
      <w:pPr>
        <w:jc w:val="both"/>
      </w:pPr>
    </w:p>
    <w:p w:rsidR="00666E6C" w:rsidRDefault="00666E6C" w:rsidP="00666E6C">
      <w:pPr>
        <w:jc w:val="both"/>
      </w:pPr>
      <w:r w:rsidRPr="00DA7F88">
        <w:t>De </w:t>
      </w:r>
      <w:r w:rsidR="00FE6289">
        <w:t>31</w:t>
      </w:r>
      <w:r w:rsidRPr="00DA7F88">
        <w:t> de </w:t>
      </w:r>
      <w:r w:rsidR="00FE6289">
        <w:t>dez</w:t>
      </w:r>
      <w:r w:rsidR="001F3542" w:rsidRPr="00DA7F88">
        <w:t>embro</w:t>
      </w:r>
      <w:r w:rsidR="00D33531">
        <w:t xml:space="preserve"> de 2020</w:t>
      </w:r>
      <w:r w:rsidR="001F3542" w:rsidRPr="00DA7F88">
        <w:t xml:space="preserve"> </w:t>
      </w:r>
      <w:r w:rsidRPr="00AC7428">
        <w:t xml:space="preserve">até </w:t>
      </w:r>
      <w:r w:rsidR="00FE6289" w:rsidRPr="00AC7428">
        <w:t>01</w:t>
      </w:r>
      <w:r w:rsidR="008A7F0C" w:rsidRPr="00AC7428">
        <w:t xml:space="preserve"> de </w:t>
      </w:r>
      <w:r w:rsidR="00FE6289" w:rsidRPr="00AC7428">
        <w:t>março</w:t>
      </w:r>
      <w:r w:rsidR="008A7F0C" w:rsidRPr="00AC7428">
        <w:t xml:space="preserve"> de 202</w:t>
      </w:r>
      <w:r w:rsidR="00FE6289" w:rsidRPr="00AC7428">
        <w:t>1</w:t>
      </w:r>
      <w:r w:rsidR="008A7F0C" w:rsidRPr="00AC7428">
        <w:t>,</w:t>
      </w:r>
      <w:r w:rsidR="008A7F0C" w:rsidRPr="00DA7F88">
        <w:t xml:space="preserve"> </w:t>
      </w:r>
      <w:r w:rsidRPr="00DA7F88">
        <w:t>data d</w:t>
      </w:r>
      <w:r w:rsidR="00AA276A" w:rsidRPr="00DA7F88">
        <w:t xml:space="preserve">e autorização </w:t>
      </w:r>
      <w:r w:rsidR="002D0F86">
        <w:t>destas</w:t>
      </w:r>
      <w:r w:rsidR="00AA276A" w:rsidRPr="00DA7F88">
        <w:t xml:space="preserve"> </w:t>
      </w:r>
      <w:r w:rsidRPr="00DA7F88">
        <w:t>demonstra</w:t>
      </w:r>
      <w:r w:rsidR="002D0F86">
        <w:t>ções</w:t>
      </w:r>
      <w:r w:rsidRPr="00DA7F88">
        <w:t>, não ocorreram quaisquer eventos que pudessem alterar de forma significativa a situação patrimonial, econômica e</w:t>
      </w:r>
      <w:r w:rsidRPr="00AA276A">
        <w:t xml:space="preserve"> financeira nas demonstrações contábeis apresentadas.</w:t>
      </w:r>
    </w:p>
    <w:p w:rsidR="00DE5B73" w:rsidRDefault="00DE5B73" w:rsidP="00666E6C">
      <w:pPr>
        <w:jc w:val="both"/>
      </w:pPr>
    </w:p>
    <w:p w:rsidR="00CB6F7C" w:rsidRPr="00C12A94" w:rsidRDefault="00CB6F7C" w:rsidP="00CB6F7C">
      <w:pPr>
        <w:jc w:val="both"/>
      </w:pPr>
    </w:p>
    <w:p w:rsidR="00DE5B73" w:rsidRDefault="00DE5B73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616"/>
      </w:tblGrid>
      <w:tr w:rsidR="00AB07CD" w:rsidRPr="00B13EAB" w:rsidTr="00381A3B">
        <w:trPr>
          <w:trHeight w:val="70"/>
        </w:trPr>
        <w:tc>
          <w:tcPr>
            <w:tcW w:w="5000" w:type="pct"/>
          </w:tcPr>
          <w:p w:rsidR="00050DDE" w:rsidRPr="00B13EAB" w:rsidRDefault="00050DDE" w:rsidP="004D6936">
            <w:pPr>
              <w:jc w:val="center"/>
            </w:pPr>
            <w:bookmarkStart w:id="70" w:name="_Toc457909667"/>
            <w:bookmarkStart w:id="71" w:name="_Toc457910655"/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proofErr w:type="spellStart"/>
            <w:r w:rsidRPr="00B13EAB">
              <w:t>Prof</w:t>
            </w:r>
            <w:r>
              <w:t>ª</w:t>
            </w:r>
            <w:proofErr w:type="spellEnd"/>
            <w:r w:rsidRPr="00B13EAB">
              <w:t xml:space="preserve">. </w:t>
            </w:r>
            <w:bookmarkEnd w:id="70"/>
            <w:bookmarkEnd w:id="71"/>
            <w:r w:rsidRPr="00B13EAB">
              <w:t xml:space="preserve">Nadine Oliveira </w:t>
            </w:r>
            <w:proofErr w:type="spellStart"/>
            <w:r w:rsidRPr="00B13EAB">
              <w:t>Clausell</w:t>
            </w:r>
            <w:proofErr w:type="spellEnd"/>
          </w:p>
        </w:tc>
      </w:tr>
      <w:tr w:rsidR="00AB07CD" w:rsidRPr="00B81BA9" w:rsidTr="00381A3B">
        <w:trPr>
          <w:trHeight w:val="70"/>
        </w:trPr>
        <w:tc>
          <w:tcPr>
            <w:tcW w:w="5000" w:type="pct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33B83" w:rsidRDefault="00A33B83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4491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 w:rsidRPr="00B13EAB">
                    <w:t xml:space="preserve">Me. Jorge </w:t>
                  </w:r>
                  <w:proofErr w:type="spellStart"/>
                  <w:r w:rsidRPr="00B13EAB">
                    <w:t>Luis</w:t>
                  </w:r>
                  <w:proofErr w:type="spellEnd"/>
                  <w:r w:rsidRPr="00B13EAB">
                    <w:t xml:space="preserve"> </w:t>
                  </w:r>
                  <w:proofErr w:type="spellStart"/>
                  <w:r w:rsidRPr="00B13EAB">
                    <w:t>Bajerski</w:t>
                  </w:r>
                  <w:proofErr w:type="spellEnd"/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62"/>
              <w:gridCol w:w="4358"/>
            </w:tblGrid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E39A8" w:rsidP="000D0348">
                  <w:pPr>
                    <w:jc w:val="center"/>
                  </w:pPr>
                  <w:r w:rsidRPr="00746F84">
                    <w:t xml:space="preserve">Luciana Raupp Rios </w:t>
                  </w:r>
                  <w:proofErr w:type="spellStart"/>
                  <w:r w:rsidRPr="00746F84">
                    <w:t>Wohlgemuth</w:t>
                  </w:r>
                  <w:proofErr w:type="spellEnd"/>
                </w:p>
              </w:tc>
              <w:tc>
                <w:tcPr>
                  <w:tcW w:w="4358" w:type="dxa"/>
                </w:tcPr>
                <w:p w:rsidR="002611D2" w:rsidRPr="00746F84" w:rsidRDefault="002E39A8" w:rsidP="000D0348">
                  <w:pPr>
                    <w:jc w:val="center"/>
                  </w:pPr>
                  <w:r>
                    <w:t xml:space="preserve">Juliana </w:t>
                  </w:r>
                  <w:proofErr w:type="spellStart"/>
                  <w:r>
                    <w:t>Zwetsch</w:t>
                  </w:r>
                  <w:proofErr w:type="spellEnd"/>
                </w:p>
              </w:tc>
            </w:tr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44110A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7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24" w:rsidRDefault="00ED0024">
      <w:r>
        <w:separator/>
      </w:r>
    </w:p>
  </w:endnote>
  <w:endnote w:type="continuationSeparator" w:id="0">
    <w:p w:rsidR="00ED0024" w:rsidRDefault="00ED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633375"/>
      <w:docPartObj>
        <w:docPartGallery w:val="Page Numbers (Bottom of Page)"/>
        <w:docPartUnique/>
      </w:docPartObj>
    </w:sdtPr>
    <w:sdtContent>
      <w:p w:rsidR="00ED0024" w:rsidRDefault="00ED00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96">
          <w:rPr>
            <w:noProof/>
          </w:rPr>
          <w:t>26</w:t>
        </w:r>
        <w:r>
          <w:fldChar w:fldCharType="end"/>
        </w:r>
      </w:p>
    </w:sdtContent>
  </w:sdt>
  <w:p w:rsidR="00ED0024" w:rsidRDefault="00ED00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24" w:rsidRDefault="00ED0024" w:rsidP="000C0BDC">
    <w:pPr>
      <w:pStyle w:val="Rodap"/>
      <w:jc w:val="right"/>
    </w:pPr>
  </w:p>
  <w:p w:rsidR="00ED0024" w:rsidRDefault="00ED00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24" w:rsidRDefault="00ED0024">
      <w:r>
        <w:separator/>
      </w:r>
    </w:p>
  </w:footnote>
  <w:footnote w:type="continuationSeparator" w:id="0">
    <w:p w:rsidR="00ED0024" w:rsidRDefault="00ED0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24" w:rsidRDefault="00ED0024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7AAD77B9" wp14:editId="6BD6E6EB">
          <wp:simplePos x="0" y="0"/>
          <wp:positionH relativeFrom="column">
            <wp:posOffset>-889000</wp:posOffset>
          </wp:positionH>
          <wp:positionV relativeFrom="paragraph">
            <wp:posOffset>-121920</wp:posOffset>
          </wp:positionV>
          <wp:extent cx="6974840" cy="1131570"/>
          <wp:effectExtent l="0" t="0" r="0" b="0"/>
          <wp:wrapThrough wrapText="bothSides">
            <wp:wrapPolygon edited="0">
              <wp:start x="0" y="0"/>
              <wp:lineTo x="0" y="21091"/>
              <wp:lineTo x="21533" y="21091"/>
              <wp:lineTo x="21533" y="0"/>
              <wp:lineTo x="0" y="0"/>
            </wp:wrapPolygon>
          </wp:wrapThrough>
          <wp:docPr id="2" name="Imagem 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4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0024" w:rsidRDefault="00ED0024" w:rsidP="009F4A48">
    <w:pPr>
      <w:pStyle w:val="Cabealho"/>
    </w:pPr>
  </w:p>
  <w:p w:rsidR="00ED0024" w:rsidRDefault="00ED0024" w:rsidP="002A4D93">
    <w:pPr>
      <w:pStyle w:val="Ttulo2"/>
      <w:jc w:val="left"/>
      <w:rPr>
        <w:b w:val="0"/>
        <w:sz w:val="20"/>
      </w:rPr>
    </w:pPr>
  </w:p>
  <w:p w:rsidR="00ED0024" w:rsidRDefault="00ED0024" w:rsidP="002A4D93">
    <w:pPr>
      <w:pStyle w:val="Ttulo2"/>
      <w:jc w:val="left"/>
      <w:rPr>
        <w:b w:val="0"/>
        <w:sz w:val="20"/>
      </w:rPr>
    </w:pPr>
  </w:p>
  <w:p w:rsidR="00ED0024" w:rsidRDefault="00ED0024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24" w:rsidRDefault="00ED0024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2E65C92C" wp14:editId="11E363F2">
          <wp:simplePos x="0" y="0"/>
          <wp:positionH relativeFrom="column">
            <wp:posOffset>-751840</wp:posOffset>
          </wp:positionH>
          <wp:positionV relativeFrom="paragraph">
            <wp:posOffset>-38735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3" name="Imagem 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ED0024" w:rsidRDefault="00ED0024" w:rsidP="00E44829">
    <w:pPr>
      <w:pStyle w:val="Cabealho"/>
    </w:pPr>
  </w:p>
  <w:p w:rsidR="00ED0024" w:rsidRDefault="00ED0024" w:rsidP="00E44829">
    <w:pPr>
      <w:pStyle w:val="Cabealho"/>
    </w:pPr>
  </w:p>
  <w:p w:rsidR="00ED0024" w:rsidRDefault="00ED0024" w:rsidP="00E44829">
    <w:pPr>
      <w:pStyle w:val="Cabealho"/>
    </w:pPr>
  </w:p>
  <w:p w:rsidR="00ED0024" w:rsidRDefault="00ED0024" w:rsidP="00E44829">
    <w:pPr>
      <w:pStyle w:val="Cabealho"/>
    </w:pPr>
    <w:sdt>
      <w:sdtPr>
        <w:id w:val="-834538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5B7DEEEA" wp14:editId="0943631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024" w:rsidRDefault="00ED0024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ED0024" w:rsidRDefault="00ED0024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ED0024" w:rsidRDefault="00ED0024" w:rsidP="00E44829">
    <w:pPr>
      <w:pStyle w:val="Cabealho"/>
    </w:pPr>
  </w:p>
  <w:p w:rsidR="00ED0024" w:rsidRDefault="00ED0024" w:rsidP="00E4482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24" w:rsidRDefault="00ED0024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3D729F" wp14:editId="456334F9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4" name="Imagem 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0024" w:rsidRDefault="00ED0024" w:rsidP="009F4A48">
    <w:pPr>
      <w:pStyle w:val="Cabealho"/>
    </w:pPr>
  </w:p>
  <w:p w:rsidR="00ED0024" w:rsidRDefault="00ED0024" w:rsidP="002A4D93">
    <w:pPr>
      <w:pStyle w:val="Ttulo2"/>
      <w:jc w:val="left"/>
      <w:rPr>
        <w:b w:val="0"/>
        <w:sz w:val="20"/>
      </w:rPr>
    </w:pPr>
  </w:p>
  <w:p w:rsidR="00ED0024" w:rsidRDefault="00ED0024" w:rsidP="002A4D93">
    <w:pPr>
      <w:pStyle w:val="Ttulo2"/>
      <w:jc w:val="left"/>
      <w:rPr>
        <w:b w:val="0"/>
        <w:sz w:val="20"/>
      </w:rPr>
    </w:pPr>
  </w:p>
  <w:p w:rsidR="00ED0024" w:rsidRDefault="00ED0024" w:rsidP="004A62B9">
    <w:pPr>
      <w:pStyle w:val="Ttulo2"/>
      <w:jc w:val="left"/>
      <w:rPr>
        <w:sz w:val="20"/>
      </w:rPr>
    </w:pPr>
  </w:p>
  <w:p w:rsidR="00ED0024" w:rsidRDefault="00ED0024" w:rsidP="00DC261B">
    <w:pPr>
      <w:pStyle w:val="Ttulo1"/>
      <w:jc w:val="left"/>
    </w:pPr>
    <w:r>
      <w:t>Demonstrações Contábeis</w:t>
    </w:r>
  </w:p>
  <w:p w:rsidR="00ED0024" w:rsidRPr="00F44460" w:rsidRDefault="00ED0024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31 de dezembro</w:t>
    </w:r>
    <w:r w:rsidRPr="00F44460">
      <w:rPr>
        <w:sz w:val="20"/>
      </w:rPr>
      <w:t xml:space="preserve"> </w:t>
    </w:r>
    <w:r>
      <w:rPr>
        <w:sz w:val="20"/>
      </w:rPr>
      <w:t>de 2020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 xml:space="preserve">, exceto quando indicado de outra </w:t>
    </w:r>
    <w:proofErr w:type="gramStart"/>
    <w:r w:rsidRPr="00F44460">
      <w:rPr>
        <w:sz w:val="16"/>
        <w:szCs w:val="16"/>
      </w:rPr>
      <w:t>forma</w:t>
    </w:r>
    <w:proofErr w:type="gramEnd"/>
  </w:p>
  <w:p w:rsidR="00ED0024" w:rsidRPr="009F4A48" w:rsidRDefault="00ED0024" w:rsidP="009F4A4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24" w:rsidRDefault="00ED0024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09F40E00" wp14:editId="72C9CBC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024" w:rsidRPr="009D32C1" w:rsidRDefault="00ED0024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ED0024" w:rsidRPr="009D32C1" w:rsidRDefault="00ED0024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anchor distT="0" distB="0" distL="114300" distR="114300" simplePos="0" relativeHeight="251655168" behindDoc="1" locked="0" layoutInCell="1" allowOverlap="1" wp14:anchorId="429C3AFC" wp14:editId="7E8FA258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5" name="Imagem 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0024" w:rsidRDefault="00ED0024" w:rsidP="00E44829">
    <w:pPr>
      <w:pStyle w:val="Cabealho"/>
    </w:pPr>
  </w:p>
  <w:p w:rsidR="00ED0024" w:rsidRDefault="00ED0024" w:rsidP="00E44829">
    <w:pPr>
      <w:pStyle w:val="Cabealho"/>
    </w:pPr>
  </w:p>
  <w:p w:rsidR="00ED0024" w:rsidRDefault="00ED0024" w:rsidP="00E44829">
    <w:pPr>
      <w:pStyle w:val="Ttulo2"/>
      <w:jc w:val="left"/>
      <w:rPr>
        <w:b w:val="0"/>
        <w:sz w:val="20"/>
      </w:rPr>
    </w:pPr>
  </w:p>
  <w:p w:rsidR="00ED0024" w:rsidRDefault="00ED0024" w:rsidP="00E44829">
    <w:pPr>
      <w:pStyle w:val="Ttulo2"/>
      <w:jc w:val="left"/>
      <w:rPr>
        <w:b w:val="0"/>
        <w:sz w:val="20"/>
      </w:rPr>
    </w:pPr>
  </w:p>
  <w:p w:rsidR="00ED0024" w:rsidRPr="00CD7310" w:rsidRDefault="00ED0024" w:rsidP="00DC261B">
    <w:pPr>
      <w:pStyle w:val="Ttulo1"/>
      <w:jc w:val="left"/>
    </w:pPr>
    <w:r>
      <w:t>Demonstrações Financeiras</w:t>
    </w:r>
  </w:p>
  <w:p w:rsidR="00ED0024" w:rsidRDefault="00ED0024" w:rsidP="00B57CE3">
    <w:pPr>
      <w:pStyle w:val="Ttulo2"/>
      <w:jc w:val="left"/>
      <w:rPr>
        <w:sz w:val="16"/>
        <w:szCs w:val="16"/>
      </w:rPr>
    </w:pPr>
    <w:r>
      <w:rPr>
        <w:sz w:val="20"/>
      </w:rPr>
      <w:t>Período findo em 30 de junho</w:t>
    </w:r>
    <w:proofErr w:type="gramStart"/>
    <w:r>
      <w:rPr>
        <w:sz w:val="20"/>
      </w:rPr>
      <w:t xml:space="preserve"> </w:t>
    </w:r>
    <w:r w:rsidRPr="00F44460">
      <w:rPr>
        <w:sz w:val="20"/>
      </w:rPr>
      <w:t xml:space="preserve"> </w:t>
    </w:r>
    <w:proofErr w:type="gramEnd"/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ED0024" w:rsidRPr="00A82EFE" w:rsidRDefault="00ED0024" w:rsidP="00A82EF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24" w:rsidRDefault="00ED0024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67541123" wp14:editId="1F225F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024" w:rsidRPr="009D32C1" w:rsidRDefault="00ED0024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ED0024" w:rsidRPr="009D32C1" w:rsidRDefault="00ED0024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anchor distT="0" distB="0" distL="114300" distR="114300" simplePos="0" relativeHeight="251663360" behindDoc="1" locked="0" layoutInCell="1" allowOverlap="1" wp14:anchorId="04BB7D42" wp14:editId="27C0F152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3" name="Imagem 1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0024" w:rsidRDefault="00ED0024" w:rsidP="00E44829">
    <w:pPr>
      <w:pStyle w:val="Cabealho"/>
    </w:pPr>
  </w:p>
  <w:p w:rsidR="00ED0024" w:rsidRDefault="00ED0024" w:rsidP="00E44829">
    <w:pPr>
      <w:pStyle w:val="Cabealho"/>
    </w:pPr>
  </w:p>
  <w:p w:rsidR="00ED0024" w:rsidRDefault="00ED0024" w:rsidP="00E44829">
    <w:pPr>
      <w:pStyle w:val="Ttulo2"/>
      <w:jc w:val="left"/>
      <w:rPr>
        <w:b w:val="0"/>
        <w:sz w:val="20"/>
      </w:rPr>
    </w:pPr>
  </w:p>
  <w:p w:rsidR="00ED0024" w:rsidRDefault="00ED0024" w:rsidP="00E44829">
    <w:pPr>
      <w:pStyle w:val="Ttulo2"/>
      <w:jc w:val="left"/>
      <w:rPr>
        <w:b w:val="0"/>
        <w:sz w:val="20"/>
      </w:rPr>
    </w:pPr>
  </w:p>
  <w:p w:rsidR="00ED0024" w:rsidRPr="00CD7310" w:rsidRDefault="00ED0024" w:rsidP="00DC261B">
    <w:pPr>
      <w:pStyle w:val="Ttulo1"/>
      <w:jc w:val="left"/>
    </w:pPr>
    <w:r>
      <w:t>Demonstrações Financeiras</w:t>
    </w:r>
  </w:p>
  <w:p w:rsidR="00ED0024" w:rsidRPr="00F44460" w:rsidRDefault="00ED0024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24" w:rsidRDefault="00ED0024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2FF68DF0" wp14:editId="20AFFE0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D0024" w:rsidRDefault="00ED0024" w:rsidP="00E44829">
    <w:pPr>
      <w:pStyle w:val="Cabealho"/>
    </w:pPr>
  </w:p>
  <w:p w:rsidR="00ED0024" w:rsidRDefault="00ED0024" w:rsidP="00E44829">
    <w:pPr>
      <w:pStyle w:val="Cabealho"/>
    </w:pPr>
  </w:p>
  <w:p w:rsidR="00ED0024" w:rsidRDefault="00ED0024" w:rsidP="00E44829">
    <w:pPr>
      <w:pStyle w:val="Ttulo2"/>
      <w:jc w:val="left"/>
      <w:rPr>
        <w:b w:val="0"/>
        <w:sz w:val="20"/>
      </w:rPr>
    </w:pPr>
  </w:p>
  <w:p w:rsidR="00ED0024" w:rsidRDefault="00ED0024" w:rsidP="00E44829">
    <w:pPr>
      <w:pStyle w:val="Ttulo2"/>
      <w:jc w:val="left"/>
      <w:rPr>
        <w:b w:val="0"/>
        <w:sz w:val="20"/>
      </w:rPr>
    </w:pPr>
  </w:p>
  <w:p w:rsidR="00ED0024" w:rsidRDefault="00ED0024" w:rsidP="00CD7310">
    <w:pPr>
      <w:pStyle w:val="Ttulo1"/>
      <w:jc w:val="left"/>
    </w:pPr>
    <w:r>
      <w:t xml:space="preserve">Demonstrações Financeiras </w:t>
    </w:r>
  </w:p>
  <w:p w:rsidR="00ED0024" w:rsidRDefault="00ED0024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57F418F"/>
    <w:multiLevelType w:val="hybridMultilevel"/>
    <w:tmpl w:val="3D8ECD90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71A03"/>
    <w:multiLevelType w:val="hybridMultilevel"/>
    <w:tmpl w:val="5F86F11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0"/>
  </w:num>
  <w:num w:numId="14">
    <w:abstractNumId w:val="12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4"/>
  </w:num>
  <w:num w:numId="21">
    <w:abstractNumId w:val="8"/>
  </w:num>
  <w:num w:numId="22">
    <w:abstractNumId w:val="7"/>
  </w:num>
  <w:num w:numId="23">
    <w:abstractNumId w:val="7"/>
  </w:num>
  <w:num w:numId="24">
    <w:abstractNumId w:val="15"/>
  </w:num>
  <w:num w:numId="25">
    <w:abstractNumId w:val="19"/>
  </w:num>
  <w:num w:numId="26">
    <w:abstractNumId w:val="7"/>
  </w:num>
  <w:num w:numId="27">
    <w:abstractNumId w:val="7"/>
  </w:num>
  <w:num w:numId="28">
    <w:abstractNumId w:val="7"/>
  </w:num>
  <w:num w:numId="29">
    <w:abstractNumId w:val="10"/>
  </w:num>
  <w:num w:numId="30">
    <w:abstractNumId w:val="9"/>
  </w:num>
  <w:num w:numId="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B4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B15"/>
    <w:rsid w:val="00064303"/>
    <w:rsid w:val="00064D35"/>
    <w:rsid w:val="00064FBC"/>
    <w:rsid w:val="0006513E"/>
    <w:rsid w:val="000657A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6374"/>
    <w:rsid w:val="000769AF"/>
    <w:rsid w:val="00076A98"/>
    <w:rsid w:val="00076C3A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5663"/>
    <w:rsid w:val="000A57AA"/>
    <w:rsid w:val="000A585F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7EA"/>
    <w:rsid w:val="000B1B09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505E"/>
    <w:rsid w:val="000D51BF"/>
    <w:rsid w:val="000D54A8"/>
    <w:rsid w:val="000D568C"/>
    <w:rsid w:val="000D5A64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0C9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BD"/>
    <w:rsid w:val="00104EE1"/>
    <w:rsid w:val="0010502D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DC0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BE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B2D"/>
    <w:rsid w:val="00134FEF"/>
    <w:rsid w:val="0013531E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F0D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2F0"/>
    <w:rsid w:val="001763E2"/>
    <w:rsid w:val="001765C8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E06"/>
    <w:rsid w:val="0018037E"/>
    <w:rsid w:val="0018096F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E11"/>
    <w:rsid w:val="00182341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667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E1"/>
    <w:rsid w:val="001A17B9"/>
    <w:rsid w:val="001A1DC1"/>
    <w:rsid w:val="001A22E4"/>
    <w:rsid w:val="001A248C"/>
    <w:rsid w:val="001A2A78"/>
    <w:rsid w:val="001A2BF7"/>
    <w:rsid w:val="001A2EB8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1C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087"/>
    <w:rsid w:val="00223444"/>
    <w:rsid w:val="00223C95"/>
    <w:rsid w:val="00224031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551"/>
    <w:rsid w:val="0025169A"/>
    <w:rsid w:val="002523BC"/>
    <w:rsid w:val="0025331A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5C35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F3"/>
    <w:rsid w:val="00260A29"/>
    <w:rsid w:val="00260B18"/>
    <w:rsid w:val="00260B77"/>
    <w:rsid w:val="00260E10"/>
    <w:rsid w:val="0026103B"/>
    <w:rsid w:val="00261113"/>
    <w:rsid w:val="002611D2"/>
    <w:rsid w:val="00261342"/>
    <w:rsid w:val="0026185B"/>
    <w:rsid w:val="00261933"/>
    <w:rsid w:val="00261BB7"/>
    <w:rsid w:val="00261CAC"/>
    <w:rsid w:val="002627D3"/>
    <w:rsid w:val="002628D1"/>
    <w:rsid w:val="00262B6C"/>
    <w:rsid w:val="00262DCE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8E9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831"/>
    <w:rsid w:val="002A6A3D"/>
    <w:rsid w:val="002A6A8D"/>
    <w:rsid w:val="002A6AD0"/>
    <w:rsid w:val="002A6B4D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C46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8FC"/>
    <w:rsid w:val="002D3A2B"/>
    <w:rsid w:val="002D3C2C"/>
    <w:rsid w:val="002D3F8C"/>
    <w:rsid w:val="002D418E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A54"/>
    <w:rsid w:val="002E2D0D"/>
    <w:rsid w:val="002E30E6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1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20E6"/>
    <w:rsid w:val="0031225D"/>
    <w:rsid w:val="00312636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762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605C"/>
    <w:rsid w:val="003360CC"/>
    <w:rsid w:val="00336292"/>
    <w:rsid w:val="003364B5"/>
    <w:rsid w:val="00336503"/>
    <w:rsid w:val="00336582"/>
    <w:rsid w:val="00336814"/>
    <w:rsid w:val="00336937"/>
    <w:rsid w:val="00336ACC"/>
    <w:rsid w:val="0033725F"/>
    <w:rsid w:val="003374A7"/>
    <w:rsid w:val="00337656"/>
    <w:rsid w:val="00337A85"/>
    <w:rsid w:val="00337D32"/>
    <w:rsid w:val="0034048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2BC4"/>
    <w:rsid w:val="0034321F"/>
    <w:rsid w:val="003432DF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705D"/>
    <w:rsid w:val="00347231"/>
    <w:rsid w:val="00347419"/>
    <w:rsid w:val="00347686"/>
    <w:rsid w:val="00347A61"/>
    <w:rsid w:val="00347A97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7B"/>
    <w:rsid w:val="003519AF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870"/>
    <w:rsid w:val="00381A3B"/>
    <w:rsid w:val="00381C14"/>
    <w:rsid w:val="00381CF1"/>
    <w:rsid w:val="00381FA4"/>
    <w:rsid w:val="0038230E"/>
    <w:rsid w:val="003827DC"/>
    <w:rsid w:val="00382AB8"/>
    <w:rsid w:val="00382F30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188B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8AC"/>
    <w:rsid w:val="003A78B2"/>
    <w:rsid w:val="003A7B27"/>
    <w:rsid w:val="003A7CE2"/>
    <w:rsid w:val="003A7E59"/>
    <w:rsid w:val="003B0399"/>
    <w:rsid w:val="003B0D2E"/>
    <w:rsid w:val="003B1386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607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4DF"/>
    <w:rsid w:val="003D15C8"/>
    <w:rsid w:val="003D19B4"/>
    <w:rsid w:val="003D1A20"/>
    <w:rsid w:val="003D1F50"/>
    <w:rsid w:val="003D1FA4"/>
    <w:rsid w:val="003D278E"/>
    <w:rsid w:val="003D2A0E"/>
    <w:rsid w:val="003D2C7F"/>
    <w:rsid w:val="003D2E35"/>
    <w:rsid w:val="003D2EA6"/>
    <w:rsid w:val="003D31AF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88"/>
    <w:rsid w:val="003D7682"/>
    <w:rsid w:val="003D7CAE"/>
    <w:rsid w:val="003D7D0F"/>
    <w:rsid w:val="003D7D31"/>
    <w:rsid w:val="003D7FC3"/>
    <w:rsid w:val="003E0290"/>
    <w:rsid w:val="003E0402"/>
    <w:rsid w:val="003E0441"/>
    <w:rsid w:val="003E0886"/>
    <w:rsid w:val="003E1790"/>
    <w:rsid w:val="003E180D"/>
    <w:rsid w:val="003E1BD4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5AA"/>
    <w:rsid w:val="004128EB"/>
    <w:rsid w:val="00412F9B"/>
    <w:rsid w:val="0041338D"/>
    <w:rsid w:val="00414029"/>
    <w:rsid w:val="0041456E"/>
    <w:rsid w:val="00414AD5"/>
    <w:rsid w:val="00414B3C"/>
    <w:rsid w:val="0041510E"/>
    <w:rsid w:val="00415358"/>
    <w:rsid w:val="00415A2F"/>
    <w:rsid w:val="00415C3C"/>
    <w:rsid w:val="00415CC5"/>
    <w:rsid w:val="0041607A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157"/>
    <w:rsid w:val="0044149F"/>
    <w:rsid w:val="00441987"/>
    <w:rsid w:val="00441ACA"/>
    <w:rsid w:val="00441EFF"/>
    <w:rsid w:val="00441FF1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6D4"/>
    <w:rsid w:val="00456AFE"/>
    <w:rsid w:val="00456C57"/>
    <w:rsid w:val="00456CCF"/>
    <w:rsid w:val="0045726D"/>
    <w:rsid w:val="004577E9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0E5C"/>
    <w:rsid w:val="0047104F"/>
    <w:rsid w:val="0047131B"/>
    <w:rsid w:val="00471435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21CF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A7DF5"/>
    <w:rsid w:val="004B0037"/>
    <w:rsid w:val="004B047E"/>
    <w:rsid w:val="004B08EE"/>
    <w:rsid w:val="004B0A1A"/>
    <w:rsid w:val="004B0C24"/>
    <w:rsid w:val="004B129B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8A3"/>
    <w:rsid w:val="004C7968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D6B"/>
    <w:rsid w:val="0053209A"/>
    <w:rsid w:val="005325DB"/>
    <w:rsid w:val="00532ABF"/>
    <w:rsid w:val="00532C3A"/>
    <w:rsid w:val="005331A1"/>
    <w:rsid w:val="00533368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ADF"/>
    <w:rsid w:val="00546CA3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9CA"/>
    <w:rsid w:val="00567CEA"/>
    <w:rsid w:val="00567CFD"/>
    <w:rsid w:val="00567FA2"/>
    <w:rsid w:val="005700D7"/>
    <w:rsid w:val="0057033F"/>
    <w:rsid w:val="005703CA"/>
    <w:rsid w:val="005704B5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3FB2"/>
    <w:rsid w:val="00574080"/>
    <w:rsid w:val="0057453E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BDA"/>
    <w:rsid w:val="00580C95"/>
    <w:rsid w:val="00580E85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14F"/>
    <w:rsid w:val="00585348"/>
    <w:rsid w:val="00585983"/>
    <w:rsid w:val="00585DAD"/>
    <w:rsid w:val="00585F8B"/>
    <w:rsid w:val="00586046"/>
    <w:rsid w:val="0058635D"/>
    <w:rsid w:val="00586B8C"/>
    <w:rsid w:val="00586F46"/>
    <w:rsid w:val="00586F6C"/>
    <w:rsid w:val="00586F8F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E6C"/>
    <w:rsid w:val="00590FEC"/>
    <w:rsid w:val="0059147F"/>
    <w:rsid w:val="005918F6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6ADC"/>
    <w:rsid w:val="00597200"/>
    <w:rsid w:val="005972F7"/>
    <w:rsid w:val="00597670"/>
    <w:rsid w:val="005977E4"/>
    <w:rsid w:val="00597C42"/>
    <w:rsid w:val="005A018C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400"/>
    <w:rsid w:val="005A4566"/>
    <w:rsid w:val="005A477F"/>
    <w:rsid w:val="005A4787"/>
    <w:rsid w:val="005A4D63"/>
    <w:rsid w:val="005A4DBB"/>
    <w:rsid w:val="005A4E69"/>
    <w:rsid w:val="005A563E"/>
    <w:rsid w:val="005A604E"/>
    <w:rsid w:val="005A627F"/>
    <w:rsid w:val="005A64EA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967"/>
    <w:rsid w:val="005B1E86"/>
    <w:rsid w:val="005B1F83"/>
    <w:rsid w:val="005B2358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2C8B"/>
    <w:rsid w:val="005D31FC"/>
    <w:rsid w:val="005D3523"/>
    <w:rsid w:val="005D3961"/>
    <w:rsid w:val="005D3A6A"/>
    <w:rsid w:val="005D3C26"/>
    <w:rsid w:val="005D3D4C"/>
    <w:rsid w:val="005D3DE0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A8F"/>
    <w:rsid w:val="005E0D92"/>
    <w:rsid w:val="005E1387"/>
    <w:rsid w:val="005E13B9"/>
    <w:rsid w:val="005E199C"/>
    <w:rsid w:val="005E1B16"/>
    <w:rsid w:val="005E1D6A"/>
    <w:rsid w:val="005E1E74"/>
    <w:rsid w:val="005E2192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0FF"/>
    <w:rsid w:val="005F732F"/>
    <w:rsid w:val="005F75D9"/>
    <w:rsid w:val="005F7A3E"/>
    <w:rsid w:val="005F7B98"/>
    <w:rsid w:val="005F7D2D"/>
    <w:rsid w:val="00600179"/>
    <w:rsid w:val="00600273"/>
    <w:rsid w:val="0060042F"/>
    <w:rsid w:val="00601014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8E5"/>
    <w:rsid w:val="00602DF4"/>
    <w:rsid w:val="006031E6"/>
    <w:rsid w:val="00603911"/>
    <w:rsid w:val="00603BCB"/>
    <w:rsid w:val="00603C77"/>
    <w:rsid w:val="00604172"/>
    <w:rsid w:val="0060461B"/>
    <w:rsid w:val="00604B6B"/>
    <w:rsid w:val="00604C10"/>
    <w:rsid w:val="006050BF"/>
    <w:rsid w:val="00605133"/>
    <w:rsid w:val="0060519C"/>
    <w:rsid w:val="006051C8"/>
    <w:rsid w:val="006051D0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EFF"/>
    <w:rsid w:val="0060715E"/>
    <w:rsid w:val="006071F8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750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84C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95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1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E6C"/>
    <w:rsid w:val="00666ED7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906"/>
    <w:rsid w:val="00672C7F"/>
    <w:rsid w:val="00672D1C"/>
    <w:rsid w:val="0067320F"/>
    <w:rsid w:val="00673379"/>
    <w:rsid w:val="00673388"/>
    <w:rsid w:val="0067446E"/>
    <w:rsid w:val="00674783"/>
    <w:rsid w:val="00674ADD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767"/>
    <w:rsid w:val="006848E6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1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609"/>
    <w:rsid w:val="006A276B"/>
    <w:rsid w:val="006A3635"/>
    <w:rsid w:val="006A406B"/>
    <w:rsid w:val="006A4ABB"/>
    <w:rsid w:val="006A4B67"/>
    <w:rsid w:val="006A4BE8"/>
    <w:rsid w:val="006A4D4B"/>
    <w:rsid w:val="006A50B0"/>
    <w:rsid w:val="006A565B"/>
    <w:rsid w:val="006A56C8"/>
    <w:rsid w:val="006A5C72"/>
    <w:rsid w:val="006A5E15"/>
    <w:rsid w:val="006A6256"/>
    <w:rsid w:val="006A6437"/>
    <w:rsid w:val="006A6805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5AE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505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B26"/>
    <w:rsid w:val="006D1EC7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5E2"/>
    <w:rsid w:val="007016DD"/>
    <w:rsid w:val="00701745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55B8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248E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C53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443"/>
    <w:rsid w:val="0075666F"/>
    <w:rsid w:val="00756A9F"/>
    <w:rsid w:val="00756E77"/>
    <w:rsid w:val="00757094"/>
    <w:rsid w:val="00757329"/>
    <w:rsid w:val="00760413"/>
    <w:rsid w:val="00760550"/>
    <w:rsid w:val="00760570"/>
    <w:rsid w:val="00760930"/>
    <w:rsid w:val="00760AA2"/>
    <w:rsid w:val="007612BA"/>
    <w:rsid w:val="007612C6"/>
    <w:rsid w:val="0076134C"/>
    <w:rsid w:val="00761771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1D7"/>
    <w:rsid w:val="007811E1"/>
    <w:rsid w:val="0078128E"/>
    <w:rsid w:val="007812D6"/>
    <w:rsid w:val="007815B3"/>
    <w:rsid w:val="007818C8"/>
    <w:rsid w:val="0078190D"/>
    <w:rsid w:val="0078210C"/>
    <w:rsid w:val="00782201"/>
    <w:rsid w:val="007822DC"/>
    <w:rsid w:val="00782847"/>
    <w:rsid w:val="00782CDE"/>
    <w:rsid w:val="00783004"/>
    <w:rsid w:val="007832DE"/>
    <w:rsid w:val="00783380"/>
    <w:rsid w:val="007833C0"/>
    <w:rsid w:val="0078376D"/>
    <w:rsid w:val="007844C5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359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3E5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25F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647"/>
    <w:rsid w:val="007E0960"/>
    <w:rsid w:val="007E0A4A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BC2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92"/>
    <w:rsid w:val="00812583"/>
    <w:rsid w:val="00812665"/>
    <w:rsid w:val="00812AE3"/>
    <w:rsid w:val="00812C8E"/>
    <w:rsid w:val="008130BE"/>
    <w:rsid w:val="008131AC"/>
    <w:rsid w:val="0081346B"/>
    <w:rsid w:val="008138D6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534"/>
    <w:rsid w:val="008218F7"/>
    <w:rsid w:val="00821AF8"/>
    <w:rsid w:val="00821F93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4005"/>
    <w:rsid w:val="008444CD"/>
    <w:rsid w:val="008447DE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D40"/>
    <w:rsid w:val="00893F76"/>
    <w:rsid w:val="0089403A"/>
    <w:rsid w:val="00894315"/>
    <w:rsid w:val="00894532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6FBC"/>
    <w:rsid w:val="008976FF"/>
    <w:rsid w:val="00897968"/>
    <w:rsid w:val="00897977"/>
    <w:rsid w:val="00897C9D"/>
    <w:rsid w:val="008A00E0"/>
    <w:rsid w:val="008A06F4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E2"/>
    <w:rsid w:val="008A78DD"/>
    <w:rsid w:val="008A7D87"/>
    <w:rsid w:val="008A7DFC"/>
    <w:rsid w:val="008A7EE8"/>
    <w:rsid w:val="008A7F0C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D2A"/>
    <w:rsid w:val="008B2D62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209A"/>
    <w:rsid w:val="008C263C"/>
    <w:rsid w:val="008C293C"/>
    <w:rsid w:val="008C2D49"/>
    <w:rsid w:val="008C3015"/>
    <w:rsid w:val="008C301A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4E0"/>
    <w:rsid w:val="008C65B4"/>
    <w:rsid w:val="008C65EC"/>
    <w:rsid w:val="008C6748"/>
    <w:rsid w:val="008C6BD2"/>
    <w:rsid w:val="008C710E"/>
    <w:rsid w:val="008C7553"/>
    <w:rsid w:val="008C7C06"/>
    <w:rsid w:val="008C7CE0"/>
    <w:rsid w:val="008D006E"/>
    <w:rsid w:val="008D011E"/>
    <w:rsid w:val="008D0122"/>
    <w:rsid w:val="008D0340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538"/>
    <w:rsid w:val="008D2804"/>
    <w:rsid w:val="008D2A30"/>
    <w:rsid w:val="008D2BBB"/>
    <w:rsid w:val="008D2D02"/>
    <w:rsid w:val="008D2D37"/>
    <w:rsid w:val="008D3747"/>
    <w:rsid w:val="008D396B"/>
    <w:rsid w:val="008D3B79"/>
    <w:rsid w:val="008D3ECA"/>
    <w:rsid w:val="008D4AF2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C1C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D32"/>
    <w:rsid w:val="008F70DC"/>
    <w:rsid w:val="008F74DB"/>
    <w:rsid w:val="008F75FE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6E61"/>
    <w:rsid w:val="0090744C"/>
    <w:rsid w:val="009079DE"/>
    <w:rsid w:val="00907CC7"/>
    <w:rsid w:val="00907D17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30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3A1"/>
    <w:rsid w:val="00914742"/>
    <w:rsid w:val="009150D0"/>
    <w:rsid w:val="00915343"/>
    <w:rsid w:val="00915366"/>
    <w:rsid w:val="009155FD"/>
    <w:rsid w:val="009158CE"/>
    <w:rsid w:val="00915AEE"/>
    <w:rsid w:val="00915DC6"/>
    <w:rsid w:val="009160FF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A26"/>
    <w:rsid w:val="00921CED"/>
    <w:rsid w:val="00921E67"/>
    <w:rsid w:val="00922108"/>
    <w:rsid w:val="00922240"/>
    <w:rsid w:val="00922B14"/>
    <w:rsid w:val="00922BEB"/>
    <w:rsid w:val="00922CF7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505C"/>
    <w:rsid w:val="00935A31"/>
    <w:rsid w:val="00935AE9"/>
    <w:rsid w:val="00935C4F"/>
    <w:rsid w:val="0093605B"/>
    <w:rsid w:val="00936297"/>
    <w:rsid w:val="0093671E"/>
    <w:rsid w:val="00936B31"/>
    <w:rsid w:val="00936EDD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BE5"/>
    <w:rsid w:val="00944CE7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12EB"/>
    <w:rsid w:val="0095165C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F13"/>
    <w:rsid w:val="0097306A"/>
    <w:rsid w:val="00973729"/>
    <w:rsid w:val="00973C57"/>
    <w:rsid w:val="00973F82"/>
    <w:rsid w:val="00974311"/>
    <w:rsid w:val="0097466C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3C1E"/>
    <w:rsid w:val="0099499B"/>
    <w:rsid w:val="00994F1A"/>
    <w:rsid w:val="00994FF5"/>
    <w:rsid w:val="0099506A"/>
    <w:rsid w:val="0099530C"/>
    <w:rsid w:val="00995524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995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232E"/>
    <w:rsid w:val="009C23A1"/>
    <w:rsid w:val="009C249F"/>
    <w:rsid w:val="009C2685"/>
    <w:rsid w:val="009C273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81F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C9D"/>
    <w:rsid w:val="009E7DC9"/>
    <w:rsid w:val="009F078F"/>
    <w:rsid w:val="009F0978"/>
    <w:rsid w:val="009F102A"/>
    <w:rsid w:val="009F1608"/>
    <w:rsid w:val="009F1747"/>
    <w:rsid w:val="009F1855"/>
    <w:rsid w:val="009F1D19"/>
    <w:rsid w:val="009F201C"/>
    <w:rsid w:val="009F290F"/>
    <w:rsid w:val="009F2ED6"/>
    <w:rsid w:val="009F34D7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3B"/>
    <w:rsid w:val="009F7C93"/>
    <w:rsid w:val="009F7CE4"/>
    <w:rsid w:val="00A0014A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6F80"/>
    <w:rsid w:val="00A17087"/>
    <w:rsid w:val="00A1750E"/>
    <w:rsid w:val="00A17747"/>
    <w:rsid w:val="00A17947"/>
    <w:rsid w:val="00A179EA"/>
    <w:rsid w:val="00A17BF2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4D7F"/>
    <w:rsid w:val="00A25000"/>
    <w:rsid w:val="00A252CC"/>
    <w:rsid w:val="00A256A1"/>
    <w:rsid w:val="00A25884"/>
    <w:rsid w:val="00A25C59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37DE7"/>
    <w:rsid w:val="00A405EF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E09"/>
    <w:rsid w:val="00A511B7"/>
    <w:rsid w:val="00A512D2"/>
    <w:rsid w:val="00A51997"/>
    <w:rsid w:val="00A51AD2"/>
    <w:rsid w:val="00A51D3F"/>
    <w:rsid w:val="00A51D52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C49"/>
    <w:rsid w:val="00A61D3C"/>
    <w:rsid w:val="00A61D9F"/>
    <w:rsid w:val="00A61F69"/>
    <w:rsid w:val="00A621A7"/>
    <w:rsid w:val="00A6221F"/>
    <w:rsid w:val="00A6248F"/>
    <w:rsid w:val="00A625A2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1944"/>
    <w:rsid w:val="00A72A1A"/>
    <w:rsid w:val="00A72DA9"/>
    <w:rsid w:val="00A73AC2"/>
    <w:rsid w:val="00A73B1D"/>
    <w:rsid w:val="00A73C83"/>
    <w:rsid w:val="00A73D27"/>
    <w:rsid w:val="00A73D33"/>
    <w:rsid w:val="00A73DB0"/>
    <w:rsid w:val="00A74145"/>
    <w:rsid w:val="00A742A7"/>
    <w:rsid w:val="00A74493"/>
    <w:rsid w:val="00A7469B"/>
    <w:rsid w:val="00A74DAD"/>
    <w:rsid w:val="00A74DE0"/>
    <w:rsid w:val="00A74F8E"/>
    <w:rsid w:val="00A75193"/>
    <w:rsid w:val="00A7529E"/>
    <w:rsid w:val="00A752C2"/>
    <w:rsid w:val="00A75864"/>
    <w:rsid w:val="00A759A2"/>
    <w:rsid w:val="00A75BA0"/>
    <w:rsid w:val="00A75C13"/>
    <w:rsid w:val="00A76036"/>
    <w:rsid w:val="00A76111"/>
    <w:rsid w:val="00A76508"/>
    <w:rsid w:val="00A76895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4C2"/>
    <w:rsid w:val="00AA0510"/>
    <w:rsid w:val="00AA0769"/>
    <w:rsid w:val="00AA09E4"/>
    <w:rsid w:val="00AA1194"/>
    <w:rsid w:val="00AA1966"/>
    <w:rsid w:val="00AA1AE7"/>
    <w:rsid w:val="00AA1BFE"/>
    <w:rsid w:val="00AA1C5C"/>
    <w:rsid w:val="00AA1D46"/>
    <w:rsid w:val="00AA21E9"/>
    <w:rsid w:val="00AA2531"/>
    <w:rsid w:val="00AA276A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EE9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807"/>
    <w:rsid w:val="00AB482B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77F"/>
    <w:rsid w:val="00AC3848"/>
    <w:rsid w:val="00AC3992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893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19EF"/>
    <w:rsid w:val="00AF23FB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A2A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9C"/>
    <w:rsid w:val="00B670FD"/>
    <w:rsid w:val="00B6714B"/>
    <w:rsid w:val="00B67191"/>
    <w:rsid w:val="00B67614"/>
    <w:rsid w:val="00B67A1F"/>
    <w:rsid w:val="00B708F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39"/>
    <w:rsid w:val="00B8349B"/>
    <w:rsid w:val="00B835A1"/>
    <w:rsid w:val="00B83778"/>
    <w:rsid w:val="00B83931"/>
    <w:rsid w:val="00B84CF1"/>
    <w:rsid w:val="00B84E1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1491"/>
    <w:rsid w:val="00BA1699"/>
    <w:rsid w:val="00BA16FA"/>
    <w:rsid w:val="00BA17FE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16C"/>
    <w:rsid w:val="00BB0BFD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A30"/>
    <w:rsid w:val="00BC2A71"/>
    <w:rsid w:val="00BC2DEB"/>
    <w:rsid w:val="00BC3258"/>
    <w:rsid w:val="00BC32F4"/>
    <w:rsid w:val="00BC3484"/>
    <w:rsid w:val="00BC3ED0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04FD"/>
    <w:rsid w:val="00C113A8"/>
    <w:rsid w:val="00C113ED"/>
    <w:rsid w:val="00C1150D"/>
    <w:rsid w:val="00C115DF"/>
    <w:rsid w:val="00C11893"/>
    <w:rsid w:val="00C11930"/>
    <w:rsid w:val="00C11A6A"/>
    <w:rsid w:val="00C11B1E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F70"/>
    <w:rsid w:val="00C203C0"/>
    <w:rsid w:val="00C2041D"/>
    <w:rsid w:val="00C20526"/>
    <w:rsid w:val="00C20795"/>
    <w:rsid w:val="00C20B6B"/>
    <w:rsid w:val="00C20B6D"/>
    <w:rsid w:val="00C20DD0"/>
    <w:rsid w:val="00C214BE"/>
    <w:rsid w:val="00C2172F"/>
    <w:rsid w:val="00C218FD"/>
    <w:rsid w:val="00C21908"/>
    <w:rsid w:val="00C21D61"/>
    <w:rsid w:val="00C22131"/>
    <w:rsid w:val="00C2245F"/>
    <w:rsid w:val="00C2260E"/>
    <w:rsid w:val="00C22EED"/>
    <w:rsid w:val="00C2362C"/>
    <w:rsid w:val="00C23663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627"/>
    <w:rsid w:val="00C3085D"/>
    <w:rsid w:val="00C30C34"/>
    <w:rsid w:val="00C31139"/>
    <w:rsid w:val="00C31531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B84"/>
    <w:rsid w:val="00C5329D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C53"/>
    <w:rsid w:val="00C54FDE"/>
    <w:rsid w:val="00C556BE"/>
    <w:rsid w:val="00C55949"/>
    <w:rsid w:val="00C55B4E"/>
    <w:rsid w:val="00C55C69"/>
    <w:rsid w:val="00C55FF5"/>
    <w:rsid w:val="00C56098"/>
    <w:rsid w:val="00C57087"/>
    <w:rsid w:val="00C571F9"/>
    <w:rsid w:val="00C57478"/>
    <w:rsid w:val="00C575FA"/>
    <w:rsid w:val="00C57CEE"/>
    <w:rsid w:val="00C6015A"/>
    <w:rsid w:val="00C60794"/>
    <w:rsid w:val="00C6140E"/>
    <w:rsid w:val="00C61887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B3E"/>
    <w:rsid w:val="00C67C86"/>
    <w:rsid w:val="00C67DBE"/>
    <w:rsid w:val="00C703F1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80225"/>
    <w:rsid w:val="00C804C8"/>
    <w:rsid w:val="00C80A18"/>
    <w:rsid w:val="00C80B8A"/>
    <w:rsid w:val="00C812DB"/>
    <w:rsid w:val="00C81505"/>
    <w:rsid w:val="00C8176C"/>
    <w:rsid w:val="00C81A1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4D96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23F"/>
    <w:rsid w:val="00CD0634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EED"/>
    <w:rsid w:val="00CF1F36"/>
    <w:rsid w:val="00CF1F80"/>
    <w:rsid w:val="00CF26DB"/>
    <w:rsid w:val="00CF2815"/>
    <w:rsid w:val="00CF2C28"/>
    <w:rsid w:val="00CF3314"/>
    <w:rsid w:val="00CF3648"/>
    <w:rsid w:val="00CF38EE"/>
    <w:rsid w:val="00CF392E"/>
    <w:rsid w:val="00CF3B25"/>
    <w:rsid w:val="00CF3BE0"/>
    <w:rsid w:val="00CF3C92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6F87"/>
    <w:rsid w:val="00CF7003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410B"/>
    <w:rsid w:val="00D04717"/>
    <w:rsid w:val="00D048C2"/>
    <w:rsid w:val="00D048C8"/>
    <w:rsid w:val="00D04F06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8DA"/>
    <w:rsid w:val="00D129D0"/>
    <w:rsid w:val="00D13396"/>
    <w:rsid w:val="00D133D9"/>
    <w:rsid w:val="00D133E5"/>
    <w:rsid w:val="00D13459"/>
    <w:rsid w:val="00D13B42"/>
    <w:rsid w:val="00D13CE7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2A"/>
    <w:rsid w:val="00D31336"/>
    <w:rsid w:val="00D314D7"/>
    <w:rsid w:val="00D317FB"/>
    <w:rsid w:val="00D31F7D"/>
    <w:rsid w:val="00D32242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2EF9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5E9E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DC0"/>
    <w:rsid w:val="00D87EA4"/>
    <w:rsid w:val="00D90020"/>
    <w:rsid w:val="00D901AA"/>
    <w:rsid w:val="00D90CE0"/>
    <w:rsid w:val="00D91313"/>
    <w:rsid w:val="00D91622"/>
    <w:rsid w:val="00D91A71"/>
    <w:rsid w:val="00D91AEB"/>
    <w:rsid w:val="00D91B5B"/>
    <w:rsid w:val="00D91BEE"/>
    <w:rsid w:val="00D91E8F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6331"/>
    <w:rsid w:val="00D96550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7B8"/>
    <w:rsid w:val="00DB0ABE"/>
    <w:rsid w:val="00DB0CE8"/>
    <w:rsid w:val="00DB0F7A"/>
    <w:rsid w:val="00DB1385"/>
    <w:rsid w:val="00DB13CC"/>
    <w:rsid w:val="00DB16D1"/>
    <w:rsid w:val="00DB1749"/>
    <w:rsid w:val="00DB17B3"/>
    <w:rsid w:val="00DB1A8E"/>
    <w:rsid w:val="00DB2C45"/>
    <w:rsid w:val="00DB34B2"/>
    <w:rsid w:val="00DB3607"/>
    <w:rsid w:val="00DB3BBC"/>
    <w:rsid w:val="00DB3E2E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C05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76"/>
    <w:rsid w:val="00DD6BE4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138"/>
    <w:rsid w:val="00DF02DD"/>
    <w:rsid w:val="00DF06DB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B28"/>
    <w:rsid w:val="00DF4B7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A8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2AA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6437"/>
    <w:rsid w:val="00E27725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BC3"/>
    <w:rsid w:val="00E42D72"/>
    <w:rsid w:val="00E42ED4"/>
    <w:rsid w:val="00E43092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878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0CF4"/>
    <w:rsid w:val="00E71362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546"/>
    <w:rsid w:val="00E8671F"/>
    <w:rsid w:val="00E867B3"/>
    <w:rsid w:val="00E86964"/>
    <w:rsid w:val="00E86E07"/>
    <w:rsid w:val="00E86F24"/>
    <w:rsid w:val="00E87205"/>
    <w:rsid w:val="00E872D5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2B9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B5F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F5E"/>
    <w:rsid w:val="00EB75D4"/>
    <w:rsid w:val="00EB77AE"/>
    <w:rsid w:val="00EB78D0"/>
    <w:rsid w:val="00EC011C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609C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024"/>
    <w:rsid w:val="00ED09AD"/>
    <w:rsid w:val="00ED09EB"/>
    <w:rsid w:val="00ED0BE8"/>
    <w:rsid w:val="00ED116F"/>
    <w:rsid w:val="00ED1370"/>
    <w:rsid w:val="00ED19DB"/>
    <w:rsid w:val="00ED1A63"/>
    <w:rsid w:val="00ED1E8A"/>
    <w:rsid w:val="00ED22F9"/>
    <w:rsid w:val="00ED24A6"/>
    <w:rsid w:val="00ED2518"/>
    <w:rsid w:val="00ED255B"/>
    <w:rsid w:val="00ED2D23"/>
    <w:rsid w:val="00ED313D"/>
    <w:rsid w:val="00ED31D1"/>
    <w:rsid w:val="00ED341D"/>
    <w:rsid w:val="00ED361F"/>
    <w:rsid w:val="00ED3622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D59"/>
    <w:rsid w:val="00EF1DDD"/>
    <w:rsid w:val="00EF263B"/>
    <w:rsid w:val="00EF272D"/>
    <w:rsid w:val="00EF283C"/>
    <w:rsid w:val="00EF2CDD"/>
    <w:rsid w:val="00EF2FB3"/>
    <w:rsid w:val="00EF3039"/>
    <w:rsid w:val="00EF33FD"/>
    <w:rsid w:val="00EF3496"/>
    <w:rsid w:val="00EF3626"/>
    <w:rsid w:val="00EF38DB"/>
    <w:rsid w:val="00EF3A0E"/>
    <w:rsid w:val="00EF3A53"/>
    <w:rsid w:val="00EF3A62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3072"/>
    <w:rsid w:val="00F13494"/>
    <w:rsid w:val="00F135F5"/>
    <w:rsid w:val="00F13D62"/>
    <w:rsid w:val="00F1415D"/>
    <w:rsid w:val="00F147F1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5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2A0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33C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4EC3"/>
    <w:rsid w:val="00F550C1"/>
    <w:rsid w:val="00F55239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0FF8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DF9"/>
    <w:rsid w:val="00F8562E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424C"/>
    <w:rsid w:val="00FA487A"/>
    <w:rsid w:val="00FA495A"/>
    <w:rsid w:val="00FA4B56"/>
    <w:rsid w:val="00FA4DAD"/>
    <w:rsid w:val="00FA532E"/>
    <w:rsid w:val="00FA53F3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9D0"/>
    <w:rsid w:val="00FB5CC3"/>
    <w:rsid w:val="00FB6636"/>
    <w:rsid w:val="00FB6A72"/>
    <w:rsid w:val="00FB6B10"/>
    <w:rsid w:val="00FB6C8E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4EE"/>
    <w:rsid w:val="00FD29E2"/>
    <w:rsid w:val="00FD2B5D"/>
    <w:rsid w:val="00FD2C14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hcpa.edu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FFF0-52F0-46D6-98B5-ACA7013C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24073</TotalTime>
  <Pages>28</Pages>
  <Words>9246</Words>
  <Characters>61843</Characters>
  <Application>Microsoft Office Word</Application>
  <DocSecurity>0</DocSecurity>
  <Lines>515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70948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Juliana Zwetsch</cp:lastModifiedBy>
  <cp:revision>676</cp:revision>
  <cp:lastPrinted>2021-02-24T19:07:00Z</cp:lastPrinted>
  <dcterms:created xsi:type="dcterms:W3CDTF">2020-07-21T19:34:00Z</dcterms:created>
  <dcterms:modified xsi:type="dcterms:W3CDTF">2021-03-01T14:45:00Z</dcterms:modified>
</cp:coreProperties>
</file>