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A1F" w:rsidRDefault="00766A1F" w:rsidP="00BB2EDD">
      <w:pPr>
        <w:pStyle w:val="Ttulo"/>
        <w:numPr>
          <w:ilvl w:val="0"/>
          <w:numId w:val="0"/>
        </w:numPr>
      </w:pPr>
    </w:p>
    <w:p w:rsidR="00104128" w:rsidRDefault="00104128"/>
    <w:p w:rsidR="00166CBD" w:rsidRDefault="00166CBD"/>
    <w:p w:rsidR="00166CBD" w:rsidRPr="00FD7B48" w:rsidRDefault="00166CBD"/>
    <w:p w:rsidR="00766A1F" w:rsidRPr="00FD7B48" w:rsidRDefault="00766A1F"/>
    <w:p w:rsidR="00766A1F" w:rsidRPr="00FD7B48" w:rsidRDefault="005208BD">
      <w:r w:rsidRPr="00FD7B48">
        <w:t xml:space="preserve"> </w:t>
      </w:r>
    </w:p>
    <w:p w:rsidR="00766A1F" w:rsidRPr="00FD7B48" w:rsidRDefault="00766A1F"/>
    <w:p w:rsidR="00766A1F" w:rsidRPr="00FD7B48" w:rsidRDefault="00766A1F"/>
    <w:p w:rsidR="00766A1F" w:rsidRPr="00FD7B48" w:rsidRDefault="00766A1F"/>
    <w:p w:rsidR="00766A1F" w:rsidRPr="00FD7B48" w:rsidRDefault="00766A1F"/>
    <w:p w:rsidR="00766A1F" w:rsidRPr="00FD7B48" w:rsidRDefault="00766A1F"/>
    <w:p w:rsidR="00766A1F" w:rsidRPr="00FD7B48" w:rsidRDefault="00766A1F"/>
    <w:p w:rsidR="00766A1F" w:rsidRPr="00FD7B48" w:rsidRDefault="00766A1F"/>
    <w:p w:rsidR="00766A1F" w:rsidRPr="00FD7B48" w:rsidRDefault="00766A1F" w:rsidP="00766A1F">
      <w:pPr>
        <w:tabs>
          <w:tab w:val="left" w:pos="2228"/>
        </w:tabs>
        <w:rPr>
          <w:b/>
          <w:sz w:val="40"/>
          <w:szCs w:val="40"/>
        </w:rPr>
      </w:pPr>
      <w:r w:rsidRPr="00FD7B48">
        <w:rPr>
          <w:b/>
          <w:sz w:val="40"/>
          <w:szCs w:val="40"/>
        </w:rPr>
        <w:tab/>
      </w:r>
    </w:p>
    <w:p w:rsidR="00766A1F" w:rsidRPr="00FD7B48" w:rsidRDefault="00621733">
      <w:pPr>
        <w:rPr>
          <w:b/>
          <w:sz w:val="40"/>
          <w:szCs w:val="40"/>
        </w:rPr>
      </w:pPr>
      <w:r w:rsidRPr="00FD7B48">
        <w:rPr>
          <w:b/>
          <w:sz w:val="40"/>
          <w:szCs w:val="40"/>
        </w:rPr>
        <w:t>Hospital de Clí</w:t>
      </w:r>
      <w:r w:rsidR="00766A1F" w:rsidRPr="00FD7B48">
        <w:rPr>
          <w:b/>
          <w:sz w:val="40"/>
          <w:szCs w:val="40"/>
        </w:rPr>
        <w:t>nicas de Porto Alegre – HCPA</w:t>
      </w:r>
    </w:p>
    <w:p w:rsidR="00766A1F" w:rsidRPr="00FD7B48" w:rsidRDefault="00766A1F">
      <w:pPr>
        <w:rPr>
          <w:sz w:val="28"/>
          <w:szCs w:val="28"/>
        </w:rPr>
      </w:pPr>
      <w:r w:rsidRPr="00FD7B48">
        <w:rPr>
          <w:sz w:val="28"/>
          <w:szCs w:val="28"/>
        </w:rPr>
        <w:t xml:space="preserve">Demonstrações </w:t>
      </w:r>
      <w:r w:rsidR="003C70F3" w:rsidRPr="00FD7B48">
        <w:rPr>
          <w:sz w:val="28"/>
          <w:szCs w:val="28"/>
        </w:rPr>
        <w:t>F</w:t>
      </w:r>
      <w:r w:rsidRPr="00FD7B48">
        <w:rPr>
          <w:sz w:val="28"/>
          <w:szCs w:val="28"/>
        </w:rPr>
        <w:t>inanceiras de acordo com as práticas</w:t>
      </w:r>
    </w:p>
    <w:p w:rsidR="00766A1F" w:rsidRPr="00FD7B48" w:rsidRDefault="00766A1F">
      <w:pPr>
        <w:rPr>
          <w:sz w:val="28"/>
          <w:szCs w:val="28"/>
        </w:rPr>
      </w:pPr>
      <w:proofErr w:type="gramStart"/>
      <w:r w:rsidRPr="00FD7B48">
        <w:rPr>
          <w:sz w:val="28"/>
          <w:szCs w:val="28"/>
        </w:rPr>
        <w:t>adotadas</w:t>
      </w:r>
      <w:proofErr w:type="gramEnd"/>
      <w:r w:rsidRPr="00FD7B48">
        <w:rPr>
          <w:sz w:val="28"/>
          <w:szCs w:val="28"/>
        </w:rPr>
        <w:t xml:space="preserve"> no Brasil em </w:t>
      </w:r>
      <w:r w:rsidR="00AC1B20" w:rsidRPr="00FD7B48">
        <w:rPr>
          <w:sz w:val="28"/>
          <w:szCs w:val="28"/>
        </w:rPr>
        <w:t>31</w:t>
      </w:r>
      <w:r w:rsidRPr="00FD7B48">
        <w:rPr>
          <w:sz w:val="28"/>
          <w:szCs w:val="28"/>
        </w:rPr>
        <w:t xml:space="preserve"> de </w:t>
      </w:r>
      <w:r w:rsidR="00AC1B20" w:rsidRPr="00FD7B48">
        <w:rPr>
          <w:sz w:val="28"/>
          <w:szCs w:val="28"/>
        </w:rPr>
        <w:t>Deze</w:t>
      </w:r>
      <w:r w:rsidR="00B320FC" w:rsidRPr="00FD7B48">
        <w:rPr>
          <w:sz w:val="28"/>
          <w:szCs w:val="28"/>
        </w:rPr>
        <w:t>mbro</w:t>
      </w:r>
      <w:r w:rsidRPr="00FD7B48">
        <w:rPr>
          <w:sz w:val="28"/>
          <w:szCs w:val="28"/>
        </w:rPr>
        <w:t xml:space="preserve"> de 201</w:t>
      </w:r>
      <w:r w:rsidR="00DC261B">
        <w:rPr>
          <w:sz w:val="28"/>
          <w:szCs w:val="28"/>
        </w:rPr>
        <w:t>7</w:t>
      </w:r>
    </w:p>
    <w:p w:rsidR="009657C6" w:rsidRPr="00FD7B48" w:rsidRDefault="009657C6">
      <w:pPr>
        <w:rPr>
          <w:sz w:val="28"/>
          <w:szCs w:val="28"/>
        </w:rPr>
      </w:pPr>
    </w:p>
    <w:p w:rsidR="003C266B" w:rsidRPr="00FD7B48" w:rsidRDefault="003C266B">
      <w:pPr>
        <w:rPr>
          <w:sz w:val="28"/>
          <w:szCs w:val="28"/>
        </w:rPr>
      </w:pPr>
      <w:r w:rsidRPr="00FD7B48">
        <w:rPr>
          <w:sz w:val="28"/>
          <w:szCs w:val="28"/>
        </w:rPr>
        <w:br w:type="page"/>
      </w:r>
    </w:p>
    <w:sdt>
      <w:sdtPr>
        <w:rPr>
          <w:rFonts w:ascii="Times New Roman" w:eastAsia="Times New Roman" w:hAnsi="Times New Roman" w:cs="Times New Roman"/>
          <w:b w:val="0"/>
          <w:bCs w:val="0"/>
          <w:caps/>
          <w:noProof/>
          <w:color w:val="auto"/>
          <w:sz w:val="20"/>
          <w:szCs w:val="20"/>
        </w:rPr>
        <w:id w:val="1037391513"/>
        <w:docPartObj>
          <w:docPartGallery w:val="Table of Contents"/>
          <w:docPartUnique/>
        </w:docPartObj>
      </w:sdtPr>
      <w:sdtEndPr>
        <w:rPr>
          <w:bCs/>
        </w:rPr>
      </w:sdtEndPr>
      <w:sdtContent>
        <w:p w:rsidR="00EB59F2" w:rsidRPr="00BF3DC3" w:rsidRDefault="00441ACA" w:rsidP="002835AB">
          <w:pPr>
            <w:pStyle w:val="CabealhodoSumrio"/>
            <w:jc w:val="center"/>
            <w:rPr>
              <w:rFonts w:ascii="Times New Roman" w:hAnsi="Times New Roman" w:cs="Times New Roman"/>
              <w:color w:val="auto"/>
              <w:sz w:val="20"/>
              <w:szCs w:val="20"/>
            </w:rPr>
          </w:pPr>
          <w:r w:rsidRPr="00BF3DC3">
            <w:rPr>
              <w:rFonts w:ascii="Times New Roman" w:eastAsia="Times New Roman" w:hAnsi="Times New Roman" w:cs="Times New Roman"/>
              <w:b w:val="0"/>
              <w:bCs w:val="0"/>
              <w:caps/>
              <w:noProof/>
              <w:color w:val="auto"/>
              <w:sz w:val="20"/>
              <w:szCs w:val="20"/>
            </w:rPr>
            <w:t>SUMARIO</w:t>
          </w:r>
        </w:p>
        <w:p w:rsidR="00E11749" w:rsidRDefault="003337D3">
          <w:pPr>
            <w:pStyle w:val="Sumrio1"/>
            <w:rPr>
              <w:rFonts w:asciiTheme="minorHAnsi" w:eastAsiaTheme="minorEastAsia" w:hAnsiTheme="minorHAnsi" w:cstheme="minorBidi"/>
              <w:bCs w:val="0"/>
              <w:caps w:val="0"/>
              <w:sz w:val="22"/>
              <w:szCs w:val="22"/>
            </w:rPr>
          </w:pPr>
          <w:r w:rsidRPr="00FD7B48">
            <w:rPr>
              <w:sz w:val="16"/>
              <w:szCs w:val="16"/>
            </w:rPr>
            <w:fldChar w:fldCharType="begin"/>
          </w:r>
          <w:r w:rsidR="00EB59F2" w:rsidRPr="00FD7B48">
            <w:rPr>
              <w:sz w:val="16"/>
              <w:szCs w:val="16"/>
            </w:rPr>
            <w:instrText xml:space="preserve"> TOC \o "1-3" \h \z \u </w:instrText>
          </w:r>
          <w:r w:rsidRPr="00FD7B48">
            <w:rPr>
              <w:sz w:val="16"/>
              <w:szCs w:val="16"/>
            </w:rPr>
            <w:fldChar w:fldCharType="separate"/>
          </w:r>
          <w:hyperlink w:anchor="_Toc512497261" w:history="1">
            <w:r w:rsidR="00E11749" w:rsidRPr="00D408FA">
              <w:rPr>
                <w:rStyle w:val="Hyperlink"/>
              </w:rPr>
              <w:t>RELATÓRIO DE ADMINISTRAÇÃO 2017</w:t>
            </w:r>
            <w:r w:rsidR="00E11749">
              <w:rPr>
                <w:webHidden/>
              </w:rPr>
              <w:tab/>
            </w:r>
            <w:r w:rsidR="00E11749">
              <w:rPr>
                <w:webHidden/>
              </w:rPr>
              <w:fldChar w:fldCharType="begin"/>
            </w:r>
            <w:r w:rsidR="00E11749">
              <w:rPr>
                <w:webHidden/>
              </w:rPr>
              <w:instrText xml:space="preserve"> PAGEREF _Toc512497261 \h </w:instrText>
            </w:r>
            <w:r w:rsidR="00E11749">
              <w:rPr>
                <w:webHidden/>
              </w:rPr>
            </w:r>
            <w:r w:rsidR="00E11749">
              <w:rPr>
                <w:webHidden/>
              </w:rPr>
              <w:fldChar w:fldCharType="separate"/>
            </w:r>
            <w:r w:rsidR="00F06B1B">
              <w:rPr>
                <w:webHidden/>
              </w:rPr>
              <w:t>3</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62" w:history="1">
            <w:r w:rsidR="00E11749" w:rsidRPr="00D408FA">
              <w:rPr>
                <w:rStyle w:val="Hyperlink"/>
              </w:rPr>
              <w:t>Balanço Patrimonial</w:t>
            </w:r>
            <w:r w:rsidR="00E11749">
              <w:rPr>
                <w:webHidden/>
              </w:rPr>
              <w:tab/>
            </w:r>
            <w:r w:rsidR="00E11749">
              <w:rPr>
                <w:webHidden/>
              </w:rPr>
              <w:fldChar w:fldCharType="begin"/>
            </w:r>
            <w:r w:rsidR="00E11749">
              <w:rPr>
                <w:webHidden/>
              </w:rPr>
              <w:instrText xml:space="preserve"> PAGEREF _Toc512497262 \h </w:instrText>
            </w:r>
            <w:r w:rsidR="00E11749">
              <w:rPr>
                <w:webHidden/>
              </w:rPr>
            </w:r>
            <w:r w:rsidR="00E11749">
              <w:rPr>
                <w:webHidden/>
              </w:rPr>
              <w:fldChar w:fldCharType="separate"/>
            </w:r>
            <w:r>
              <w:rPr>
                <w:webHidden/>
              </w:rPr>
              <w:t>4</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63" w:history="1">
            <w:r w:rsidR="00E11749" w:rsidRPr="00D408FA">
              <w:rPr>
                <w:rStyle w:val="Hyperlink"/>
              </w:rPr>
              <w:t>Notas Explicativas</w:t>
            </w:r>
            <w:r w:rsidR="00E11749">
              <w:rPr>
                <w:webHidden/>
              </w:rPr>
              <w:tab/>
            </w:r>
            <w:r w:rsidR="00E11749">
              <w:rPr>
                <w:webHidden/>
              </w:rPr>
              <w:fldChar w:fldCharType="begin"/>
            </w:r>
            <w:r w:rsidR="00E11749">
              <w:rPr>
                <w:webHidden/>
              </w:rPr>
              <w:instrText xml:space="preserve"> PAGEREF _Toc512497263 \h </w:instrText>
            </w:r>
            <w:r w:rsidR="00E11749">
              <w:rPr>
                <w:webHidden/>
              </w:rPr>
            </w:r>
            <w:r w:rsidR="00E11749">
              <w:rPr>
                <w:webHidden/>
              </w:rPr>
              <w:fldChar w:fldCharType="separate"/>
            </w:r>
            <w:r>
              <w:rPr>
                <w:webHidden/>
              </w:rPr>
              <w:t>11</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64" w:history="1">
            <w:r w:rsidR="00E11749" w:rsidRPr="00D408FA">
              <w:rPr>
                <w:rStyle w:val="Hyperlink"/>
              </w:rPr>
              <w:t>01</w:t>
            </w:r>
            <w:r w:rsidR="00E11749">
              <w:rPr>
                <w:rFonts w:asciiTheme="minorHAnsi" w:eastAsiaTheme="minorEastAsia" w:hAnsiTheme="minorHAnsi" w:cstheme="minorBidi"/>
                <w:bCs w:val="0"/>
                <w:caps w:val="0"/>
                <w:sz w:val="22"/>
                <w:szCs w:val="22"/>
              </w:rPr>
              <w:tab/>
            </w:r>
            <w:r w:rsidR="00E11749" w:rsidRPr="00D408FA">
              <w:rPr>
                <w:rStyle w:val="Hyperlink"/>
              </w:rPr>
              <w:t>Contexto Operacional</w:t>
            </w:r>
            <w:r w:rsidR="00E11749">
              <w:rPr>
                <w:webHidden/>
              </w:rPr>
              <w:tab/>
            </w:r>
            <w:r w:rsidR="00E11749">
              <w:rPr>
                <w:webHidden/>
              </w:rPr>
              <w:fldChar w:fldCharType="begin"/>
            </w:r>
            <w:r w:rsidR="00E11749">
              <w:rPr>
                <w:webHidden/>
              </w:rPr>
              <w:instrText xml:space="preserve"> PAGEREF _Toc512497264 \h </w:instrText>
            </w:r>
            <w:r w:rsidR="00E11749">
              <w:rPr>
                <w:webHidden/>
              </w:rPr>
            </w:r>
            <w:r w:rsidR="00E11749">
              <w:rPr>
                <w:webHidden/>
              </w:rPr>
              <w:fldChar w:fldCharType="separate"/>
            </w:r>
            <w:r>
              <w:rPr>
                <w:webHidden/>
              </w:rPr>
              <w:t>11</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65" w:history="1">
            <w:r w:rsidR="00E11749" w:rsidRPr="00D408FA">
              <w:rPr>
                <w:rStyle w:val="Hyperlink"/>
              </w:rPr>
              <w:t>02</w:t>
            </w:r>
            <w:r w:rsidR="00E11749">
              <w:rPr>
                <w:rFonts w:asciiTheme="minorHAnsi" w:eastAsiaTheme="minorEastAsia" w:hAnsiTheme="minorHAnsi" w:cstheme="minorBidi"/>
                <w:bCs w:val="0"/>
                <w:caps w:val="0"/>
                <w:sz w:val="22"/>
                <w:szCs w:val="22"/>
              </w:rPr>
              <w:tab/>
            </w:r>
            <w:r w:rsidR="00E11749" w:rsidRPr="00D408FA">
              <w:rPr>
                <w:rStyle w:val="Hyperlink"/>
              </w:rPr>
              <w:t>Principais Políticas Contábeis</w:t>
            </w:r>
            <w:r w:rsidR="00E11749">
              <w:rPr>
                <w:webHidden/>
              </w:rPr>
              <w:tab/>
            </w:r>
            <w:r w:rsidR="00E11749">
              <w:rPr>
                <w:webHidden/>
              </w:rPr>
              <w:fldChar w:fldCharType="begin"/>
            </w:r>
            <w:r w:rsidR="00E11749">
              <w:rPr>
                <w:webHidden/>
              </w:rPr>
              <w:instrText xml:space="preserve"> PAGEREF _Toc512497265 \h </w:instrText>
            </w:r>
            <w:r w:rsidR="00E11749">
              <w:rPr>
                <w:webHidden/>
              </w:rPr>
            </w:r>
            <w:r w:rsidR="00E11749">
              <w:rPr>
                <w:webHidden/>
              </w:rPr>
              <w:fldChar w:fldCharType="separate"/>
            </w:r>
            <w:r>
              <w:rPr>
                <w:webHidden/>
              </w:rPr>
              <w:t>11</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66" w:history="1">
            <w:r w:rsidR="00E11749" w:rsidRPr="00D408FA">
              <w:rPr>
                <w:rStyle w:val="Hyperlink"/>
              </w:rPr>
              <w:t>03</w:t>
            </w:r>
            <w:r w:rsidR="00E11749">
              <w:rPr>
                <w:rFonts w:asciiTheme="minorHAnsi" w:eastAsiaTheme="minorEastAsia" w:hAnsiTheme="minorHAnsi" w:cstheme="minorBidi"/>
                <w:bCs w:val="0"/>
                <w:caps w:val="0"/>
                <w:sz w:val="22"/>
                <w:szCs w:val="22"/>
              </w:rPr>
              <w:tab/>
            </w:r>
            <w:r w:rsidR="00E11749" w:rsidRPr="00D408FA">
              <w:rPr>
                <w:rStyle w:val="Hyperlink"/>
              </w:rPr>
              <w:t>Estimativas e Julgamentos Contábeis Críticos</w:t>
            </w:r>
            <w:r w:rsidR="00E11749">
              <w:rPr>
                <w:webHidden/>
              </w:rPr>
              <w:tab/>
            </w:r>
            <w:r w:rsidR="00E11749">
              <w:rPr>
                <w:webHidden/>
              </w:rPr>
              <w:fldChar w:fldCharType="begin"/>
            </w:r>
            <w:r w:rsidR="00E11749">
              <w:rPr>
                <w:webHidden/>
              </w:rPr>
              <w:instrText xml:space="preserve"> PAGEREF _Toc512497266 \h </w:instrText>
            </w:r>
            <w:r w:rsidR="00E11749">
              <w:rPr>
                <w:webHidden/>
              </w:rPr>
            </w:r>
            <w:r w:rsidR="00E11749">
              <w:rPr>
                <w:webHidden/>
              </w:rPr>
              <w:fldChar w:fldCharType="separate"/>
            </w:r>
            <w:r>
              <w:rPr>
                <w:webHidden/>
              </w:rPr>
              <w:t>16</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67" w:history="1">
            <w:r w:rsidR="00E11749" w:rsidRPr="00D408FA">
              <w:rPr>
                <w:rStyle w:val="Hyperlink"/>
              </w:rPr>
              <w:t>04</w:t>
            </w:r>
            <w:r w:rsidR="00E11749">
              <w:rPr>
                <w:rFonts w:asciiTheme="minorHAnsi" w:eastAsiaTheme="minorEastAsia" w:hAnsiTheme="minorHAnsi" w:cstheme="minorBidi"/>
                <w:bCs w:val="0"/>
                <w:caps w:val="0"/>
                <w:sz w:val="22"/>
                <w:szCs w:val="22"/>
              </w:rPr>
              <w:tab/>
            </w:r>
            <w:r w:rsidR="00E11749" w:rsidRPr="00D408FA">
              <w:rPr>
                <w:rStyle w:val="Hyperlink"/>
              </w:rPr>
              <w:t>Gestão de Risco Financeiro</w:t>
            </w:r>
            <w:r w:rsidR="00E11749">
              <w:rPr>
                <w:webHidden/>
              </w:rPr>
              <w:tab/>
            </w:r>
            <w:r w:rsidR="00E11749">
              <w:rPr>
                <w:webHidden/>
              </w:rPr>
              <w:fldChar w:fldCharType="begin"/>
            </w:r>
            <w:r w:rsidR="00E11749">
              <w:rPr>
                <w:webHidden/>
              </w:rPr>
              <w:instrText xml:space="preserve"> PAGEREF _Toc512497267 \h </w:instrText>
            </w:r>
            <w:r w:rsidR="00E11749">
              <w:rPr>
                <w:webHidden/>
              </w:rPr>
            </w:r>
            <w:r w:rsidR="00E11749">
              <w:rPr>
                <w:webHidden/>
              </w:rPr>
              <w:fldChar w:fldCharType="separate"/>
            </w:r>
            <w:r>
              <w:rPr>
                <w:webHidden/>
              </w:rPr>
              <w:t>17</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68" w:history="1">
            <w:r w:rsidR="00E11749" w:rsidRPr="00D408FA">
              <w:rPr>
                <w:rStyle w:val="Hyperlink"/>
              </w:rPr>
              <w:t>05</w:t>
            </w:r>
            <w:r w:rsidR="00E11749">
              <w:rPr>
                <w:rFonts w:asciiTheme="minorHAnsi" w:eastAsiaTheme="minorEastAsia" w:hAnsiTheme="minorHAnsi" w:cstheme="minorBidi"/>
                <w:bCs w:val="0"/>
                <w:caps w:val="0"/>
                <w:sz w:val="22"/>
                <w:szCs w:val="22"/>
              </w:rPr>
              <w:tab/>
            </w:r>
            <w:r w:rsidR="00E11749" w:rsidRPr="00D408FA">
              <w:rPr>
                <w:rStyle w:val="Hyperlink"/>
              </w:rPr>
              <w:t>Caixa e Equivalentes de Caixa</w:t>
            </w:r>
            <w:r w:rsidR="00E11749">
              <w:rPr>
                <w:webHidden/>
              </w:rPr>
              <w:tab/>
            </w:r>
            <w:r w:rsidR="00E11749">
              <w:rPr>
                <w:webHidden/>
              </w:rPr>
              <w:fldChar w:fldCharType="begin"/>
            </w:r>
            <w:r w:rsidR="00E11749">
              <w:rPr>
                <w:webHidden/>
              </w:rPr>
              <w:instrText xml:space="preserve"> PAGEREF _Toc512497268 \h </w:instrText>
            </w:r>
            <w:r w:rsidR="00E11749">
              <w:rPr>
                <w:webHidden/>
              </w:rPr>
            </w:r>
            <w:r w:rsidR="00E11749">
              <w:rPr>
                <w:webHidden/>
              </w:rPr>
              <w:fldChar w:fldCharType="separate"/>
            </w:r>
            <w:r>
              <w:rPr>
                <w:webHidden/>
              </w:rPr>
              <w:t>17</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69" w:history="1">
            <w:r w:rsidR="00E11749" w:rsidRPr="00D408FA">
              <w:rPr>
                <w:rStyle w:val="Hyperlink"/>
              </w:rPr>
              <w:t>06</w:t>
            </w:r>
            <w:r w:rsidR="00E11749">
              <w:rPr>
                <w:rFonts w:asciiTheme="minorHAnsi" w:eastAsiaTheme="minorEastAsia" w:hAnsiTheme="minorHAnsi" w:cstheme="minorBidi"/>
                <w:bCs w:val="0"/>
                <w:caps w:val="0"/>
                <w:sz w:val="22"/>
                <w:szCs w:val="22"/>
              </w:rPr>
              <w:tab/>
            </w:r>
            <w:r w:rsidR="00E11749" w:rsidRPr="00D408FA">
              <w:rPr>
                <w:rStyle w:val="Hyperlink"/>
              </w:rPr>
              <w:t>Créditos de Fornecimento de Serviços</w:t>
            </w:r>
            <w:r w:rsidR="00E11749">
              <w:rPr>
                <w:webHidden/>
              </w:rPr>
              <w:tab/>
            </w:r>
            <w:r w:rsidR="00E11749">
              <w:rPr>
                <w:webHidden/>
              </w:rPr>
              <w:fldChar w:fldCharType="begin"/>
            </w:r>
            <w:r w:rsidR="00E11749">
              <w:rPr>
                <w:webHidden/>
              </w:rPr>
              <w:instrText xml:space="preserve"> PAGEREF _Toc512497269 \h </w:instrText>
            </w:r>
            <w:r w:rsidR="00E11749">
              <w:rPr>
                <w:webHidden/>
              </w:rPr>
            </w:r>
            <w:r w:rsidR="00E11749">
              <w:rPr>
                <w:webHidden/>
              </w:rPr>
              <w:fldChar w:fldCharType="separate"/>
            </w:r>
            <w:r>
              <w:rPr>
                <w:webHidden/>
              </w:rPr>
              <w:t>18</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70" w:history="1">
            <w:r w:rsidR="00E11749" w:rsidRPr="00D408FA">
              <w:rPr>
                <w:rStyle w:val="Hyperlink"/>
              </w:rPr>
              <w:t>07</w:t>
            </w:r>
            <w:r w:rsidR="00E11749">
              <w:rPr>
                <w:rFonts w:asciiTheme="minorHAnsi" w:eastAsiaTheme="minorEastAsia" w:hAnsiTheme="minorHAnsi" w:cstheme="minorBidi"/>
                <w:bCs w:val="0"/>
                <w:caps w:val="0"/>
                <w:sz w:val="22"/>
                <w:szCs w:val="22"/>
              </w:rPr>
              <w:tab/>
            </w:r>
            <w:r w:rsidR="00E11749" w:rsidRPr="00D408FA">
              <w:rPr>
                <w:rStyle w:val="Hyperlink"/>
              </w:rPr>
              <w:t>Adiantamentos de Pessoal</w:t>
            </w:r>
            <w:r w:rsidR="00E11749">
              <w:rPr>
                <w:webHidden/>
              </w:rPr>
              <w:tab/>
            </w:r>
            <w:r w:rsidR="00E11749">
              <w:rPr>
                <w:webHidden/>
              </w:rPr>
              <w:fldChar w:fldCharType="begin"/>
            </w:r>
            <w:r w:rsidR="00E11749">
              <w:rPr>
                <w:webHidden/>
              </w:rPr>
              <w:instrText xml:space="preserve"> PAGEREF _Toc512497270 \h </w:instrText>
            </w:r>
            <w:r w:rsidR="00E11749">
              <w:rPr>
                <w:webHidden/>
              </w:rPr>
            </w:r>
            <w:r w:rsidR="00E11749">
              <w:rPr>
                <w:webHidden/>
              </w:rPr>
              <w:fldChar w:fldCharType="separate"/>
            </w:r>
            <w:r>
              <w:rPr>
                <w:webHidden/>
              </w:rPr>
              <w:t>18</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71" w:history="1">
            <w:r w:rsidR="00E11749" w:rsidRPr="00D408FA">
              <w:rPr>
                <w:rStyle w:val="Hyperlink"/>
              </w:rPr>
              <w:t>08</w:t>
            </w:r>
            <w:r w:rsidR="00E11749">
              <w:rPr>
                <w:rFonts w:asciiTheme="minorHAnsi" w:eastAsiaTheme="minorEastAsia" w:hAnsiTheme="minorHAnsi" w:cstheme="minorBidi"/>
                <w:bCs w:val="0"/>
                <w:caps w:val="0"/>
                <w:sz w:val="22"/>
                <w:szCs w:val="22"/>
              </w:rPr>
              <w:tab/>
            </w:r>
            <w:r w:rsidR="00E11749" w:rsidRPr="00D408FA">
              <w:rPr>
                <w:rStyle w:val="Hyperlink"/>
              </w:rPr>
              <w:t>Estoques de Materiais de Consumo</w:t>
            </w:r>
            <w:r w:rsidR="00E11749">
              <w:rPr>
                <w:webHidden/>
              </w:rPr>
              <w:tab/>
            </w:r>
            <w:r w:rsidR="00E11749">
              <w:rPr>
                <w:webHidden/>
              </w:rPr>
              <w:fldChar w:fldCharType="begin"/>
            </w:r>
            <w:r w:rsidR="00E11749">
              <w:rPr>
                <w:webHidden/>
              </w:rPr>
              <w:instrText xml:space="preserve"> PAGEREF _Toc512497271 \h </w:instrText>
            </w:r>
            <w:r w:rsidR="00E11749">
              <w:rPr>
                <w:webHidden/>
              </w:rPr>
            </w:r>
            <w:r w:rsidR="00E11749">
              <w:rPr>
                <w:webHidden/>
              </w:rPr>
              <w:fldChar w:fldCharType="separate"/>
            </w:r>
            <w:r>
              <w:rPr>
                <w:webHidden/>
              </w:rPr>
              <w:t>18</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72" w:history="1">
            <w:r w:rsidR="00E11749" w:rsidRPr="00D408FA">
              <w:rPr>
                <w:rStyle w:val="Hyperlink"/>
              </w:rPr>
              <w:t>09</w:t>
            </w:r>
            <w:r w:rsidR="00E11749">
              <w:rPr>
                <w:rFonts w:asciiTheme="minorHAnsi" w:eastAsiaTheme="minorEastAsia" w:hAnsiTheme="minorHAnsi" w:cstheme="minorBidi"/>
                <w:bCs w:val="0"/>
                <w:caps w:val="0"/>
                <w:sz w:val="22"/>
                <w:szCs w:val="22"/>
              </w:rPr>
              <w:tab/>
            </w:r>
            <w:r w:rsidR="00E11749" w:rsidRPr="00D408FA">
              <w:rPr>
                <w:rStyle w:val="Hyperlink"/>
              </w:rPr>
              <w:t>Imobilizado</w:t>
            </w:r>
            <w:r w:rsidR="00E11749">
              <w:rPr>
                <w:webHidden/>
              </w:rPr>
              <w:tab/>
            </w:r>
            <w:r w:rsidR="00E11749">
              <w:rPr>
                <w:webHidden/>
              </w:rPr>
              <w:fldChar w:fldCharType="begin"/>
            </w:r>
            <w:r w:rsidR="00E11749">
              <w:rPr>
                <w:webHidden/>
              </w:rPr>
              <w:instrText xml:space="preserve"> PAGEREF _Toc512497272 \h </w:instrText>
            </w:r>
            <w:r w:rsidR="00E11749">
              <w:rPr>
                <w:webHidden/>
              </w:rPr>
            </w:r>
            <w:r w:rsidR="00E11749">
              <w:rPr>
                <w:webHidden/>
              </w:rPr>
              <w:fldChar w:fldCharType="separate"/>
            </w:r>
            <w:r>
              <w:rPr>
                <w:webHidden/>
              </w:rPr>
              <w:t>19</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73" w:history="1">
            <w:r w:rsidR="00E11749" w:rsidRPr="00D408FA">
              <w:rPr>
                <w:rStyle w:val="Hyperlink"/>
              </w:rPr>
              <w:t>10</w:t>
            </w:r>
            <w:r w:rsidR="00E11749">
              <w:rPr>
                <w:rFonts w:asciiTheme="minorHAnsi" w:eastAsiaTheme="minorEastAsia" w:hAnsiTheme="minorHAnsi" w:cstheme="minorBidi"/>
                <w:bCs w:val="0"/>
                <w:caps w:val="0"/>
                <w:sz w:val="22"/>
                <w:szCs w:val="22"/>
              </w:rPr>
              <w:tab/>
            </w:r>
            <w:r w:rsidR="00E11749" w:rsidRPr="00D408FA">
              <w:rPr>
                <w:rStyle w:val="Hyperlink"/>
              </w:rPr>
              <w:t>Intangível</w:t>
            </w:r>
            <w:r w:rsidR="00E11749">
              <w:rPr>
                <w:webHidden/>
              </w:rPr>
              <w:tab/>
            </w:r>
            <w:r w:rsidR="00E11749">
              <w:rPr>
                <w:webHidden/>
              </w:rPr>
              <w:fldChar w:fldCharType="begin"/>
            </w:r>
            <w:r w:rsidR="00E11749">
              <w:rPr>
                <w:webHidden/>
              </w:rPr>
              <w:instrText xml:space="preserve"> PAGEREF _Toc512497273 \h </w:instrText>
            </w:r>
            <w:r w:rsidR="00E11749">
              <w:rPr>
                <w:webHidden/>
              </w:rPr>
            </w:r>
            <w:r w:rsidR="00E11749">
              <w:rPr>
                <w:webHidden/>
              </w:rPr>
              <w:fldChar w:fldCharType="separate"/>
            </w:r>
            <w:r>
              <w:rPr>
                <w:webHidden/>
              </w:rPr>
              <w:t>19</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74" w:history="1">
            <w:r w:rsidR="00E11749" w:rsidRPr="00D408FA">
              <w:rPr>
                <w:rStyle w:val="Hyperlink"/>
              </w:rPr>
              <w:t>11</w:t>
            </w:r>
            <w:r w:rsidR="00E11749">
              <w:rPr>
                <w:rFonts w:asciiTheme="minorHAnsi" w:eastAsiaTheme="minorEastAsia" w:hAnsiTheme="minorHAnsi" w:cstheme="minorBidi"/>
                <w:bCs w:val="0"/>
                <w:caps w:val="0"/>
                <w:sz w:val="22"/>
                <w:szCs w:val="22"/>
              </w:rPr>
              <w:tab/>
            </w:r>
            <w:r w:rsidR="00E11749" w:rsidRPr="00D408FA">
              <w:rPr>
                <w:rStyle w:val="Hyperlink"/>
              </w:rPr>
              <w:t>Fornecedores</w:t>
            </w:r>
            <w:r w:rsidR="00E11749">
              <w:rPr>
                <w:webHidden/>
              </w:rPr>
              <w:tab/>
            </w:r>
            <w:r w:rsidR="00E11749">
              <w:rPr>
                <w:webHidden/>
              </w:rPr>
              <w:fldChar w:fldCharType="begin"/>
            </w:r>
            <w:r w:rsidR="00E11749">
              <w:rPr>
                <w:webHidden/>
              </w:rPr>
              <w:instrText xml:space="preserve"> PAGEREF _Toc512497274 \h </w:instrText>
            </w:r>
            <w:r w:rsidR="00E11749">
              <w:rPr>
                <w:webHidden/>
              </w:rPr>
            </w:r>
            <w:r w:rsidR="00E11749">
              <w:rPr>
                <w:webHidden/>
              </w:rPr>
              <w:fldChar w:fldCharType="separate"/>
            </w:r>
            <w:r>
              <w:rPr>
                <w:webHidden/>
              </w:rPr>
              <w:t>20</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75" w:history="1">
            <w:r w:rsidR="00E11749" w:rsidRPr="00D408FA">
              <w:rPr>
                <w:rStyle w:val="Hyperlink"/>
              </w:rPr>
              <w:t>12</w:t>
            </w:r>
            <w:r w:rsidR="00E11749">
              <w:rPr>
                <w:rFonts w:asciiTheme="minorHAnsi" w:eastAsiaTheme="minorEastAsia" w:hAnsiTheme="minorHAnsi" w:cstheme="minorBidi"/>
                <w:bCs w:val="0"/>
                <w:caps w:val="0"/>
                <w:sz w:val="22"/>
                <w:szCs w:val="22"/>
              </w:rPr>
              <w:tab/>
            </w:r>
            <w:r w:rsidR="00E11749" w:rsidRPr="00D408FA">
              <w:rPr>
                <w:rStyle w:val="Hyperlink"/>
              </w:rPr>
              <w:t>Obrigações Tributárias e Sociais</w:t>
            </w:r>
            <w:r w:rsidR="00E11749">
              <w:rPr>
                <w:webHidden/>
              </w:rPr>
              <w:tab/>
            </w:r>
            <w:r w:rsidR="00E11749">
              <w:rPr>
                <w:webHidden/>
              </w:rPr>
              <w:fldChar w:fldCharType="begin"/>
            </w:r>
            <w:r w:rsidR="00E11749">
              <w:rPr>
                <w:webHidden/>
              </w:rPr>
              <w:instrText xml:space="preserve"> PAGEREF _Toc512497275 \h </w:instrText>
            </w:r>
            <w:r w:rsidR="00E11749">
              <w:rPr>
                <w:webHidden/>
              </w:rPr>
            </w:r>
            <w:r w:rsidR="00E11749">
              <w:rPr>
                <w:webHidden/>
              </w:rPr>
              <w:fldChar w:fldCharType="separate"/>
            </w:r>
            <w:r>
              <w:rPr>
                <w:webHidden/>
              </w:rPr>
              <w:t>20</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76" w:history="1">
            <w:r w:rsidR="00E11749" w:rsidRPr="00D408FA">
              <w:rPr>
                <w:rStyle w:val="Hyperlink"/>
              </w:rPr>
              <w:t>13</w:t>
            </w:r>
            <w:r w:rsidR="00E11749">
              <w:rPr>
                <w:rFonts w:asciiTheme="minorHAnsi" w:eastAsiaTheme="minorEastAsia" w:hAnsiTheme="minorHAnsi" w:cstheme="minorBidi"/>
                <w:bCs w:val="0"/>
                <w:caps w:val="0"/>
                <w:sz w:val="22"/>
                <w:szCs w:val="22"/>
              </w:rPr>
              <w:tab/>
            </w:r>
            <w:r w:rsidR="00E11749" w:rsidRPr="00D408FA">
              <w:rPr>
                <w:rStyle w:val="Hyperlink"/>
              </w:rPr>
              <w:t>Contingências e Apropriações  por Competência</w:t>
            </w:r>
            <w:r w:rsidR="00E11749">
              <w:rPr>
                <w:webHidden/>
              </w:rPr>
              <w:tab/>
            </w:r>
            <w:r w:rsidR="00E11749">
              <w:rPr>
                <w:webHidden/>
              </w:rPr>
              <w:fldChar w:fldCharType="begin"/>
            </w:r>
            <w:r w:rsidR="00E11749">
              <w:rPr>
                <w:webHidden/>
              </w:rPr>
              <w:instrText xml:space="preserve"> PAGEREF _Toc512497276 \h </w:instrText>
            </w:r>
            <w:r w:rsidR="00E11749">
              <w:rPr>
                <w:webHidden/>
              </w:rPr>
            </w:r>
            <w:r w:rsidR="00E11749">
              <w:rPr>
                <w:webHidden/>
              </w:rPr>
              <w:fldChar w:fldCharType="separate"/>
            </w:r>
            <w:r>
              <w:rPr>
                <w:webHidden/>
              </w:rPr>
              <w:t>20</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77" w:history="1">
            <w:r w:rsidR="00E11749" w:rsidRPr="00D408FA">
              <w:rPr>
                <w:rStyle w:val="Hyperlink"/>
              </w:rPr>
              <w:t>14</w:t>
            </w:r>
            <w:r w:rsidR="00E11749">
              <w:rPr>
                <w:rFonts w:asciiTheme="minorHAnsi" w:eastAsiaTheme="minorEastAsia" w:hAnsiTheme="minorHAnsi" w:cstheme="minorBidi"/>
                <w:bCs w:val="0"/>
                <w:caps w:val="0"/>
                <w:sz w:val="22"/>
                <w:szCs w:val="22"/>
              </w:rPr>
              <w:tab/>
            </w:r>
            <w:r w:rsidR="00E11749" w:rsidRPr="00D408FA">
              <w:rPr>
                <w:rStyle w:val="Hyperlink"/>
              </w:rPr>
              <w:t>Repasses Recebidos da União Para Investimentos e a Mudança de Critério Contábil</w:t>
            </w:r>
            <w:r w:rsidR="00E11749">
              <w:rPr>
                <w:webHidden/>
              </w:rPr>
              <w:tab/>
            </w:r>
            <w:r w:rsidR="00E11749">
              <w:rPr>
                <w:webHidden/>
              </w:rPr>
              <w:fldChar w:fldCharType="begin"/>
            </w:r>
            <w:r w:rsidR="00E11749">
              <w:rPr>
                <w:webHidden/>
              </w:rPr>
              <w:instrText xml:space="preserve"> PAGEREF _Toc512497277 \h </w:instrText>
            </w:r>
            <w:r w:rsidR="00E11749">
              <w:rPr>
                <w:webHidden/>
              </w:rPr>
            </w:r>
            <w:r w:rsidR="00E11749">
              <w:rPr>
                <w:webHidden/>
              </w:rPr>
              <w:fldChar w:fldCharType="separate"/>
            </w:r>
            <w:r>
              <w:rPr>
                <w:webHidden/>
              </w:rPr>
              <w:t>22</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78" w:history="1">
            <w:r w:rsidR="00E11749" w:rsidRPr="00D408FA">
              <w:rPr>
                <w:rStyle w:val="Hyperlink"/>
              </w:rPr>
              <w:t>15</w:t>
            </w:r>
            <w:r w:rsidR="00E11749">
              <w:rPr>
                <w:rFonts w:asciiTheme="minorHAnsi" w:eastAsiaTheme="minorEastAsia" w:hAnsiTheme="minorHAnsi" w:cstheme="minorBidi"/>
                <w:bCs w:val="0"/>
                <w:caps w:val="0"/>
                <w:sz w:val="22"/>
                <w:szCs w:val="22"/>
              </w:rPr>
              <w:tab/>
            </w:r>
            <w:r w:rsidR="00E11749" w:rsidRPr="00D408FA">
              <w:rPr>
                <w:rStyle w:val="Hyperlink"/>
              </w:rPr>
              <w:t>Receita Diferida Líquida</w:t>
            </w:r>
            <w:r w:rsidR="00E11749">
              <w:rPr>
                <w:webHidden/>
              </w:rPr>
              <w:tab/>
            </w:r>
            <w:r w:rsidR="00E11749">
              <w:rPr>
                <w:webHidden/>
              </w:rPr>
              <w:fldChar w:fldCharType="begin"/>
            </w:r>
            <w:r w:rsidR="00E11749">
              <w:rPr>
                <w:webHidden/>
              </w:rPr>
              <w:instrText xml:space="preserve"> PAGEREF _Toc512497278 \h </w:instrText>
            </w:r>
            <w:r w:rsidR="00E11749">
              <w:rPr>
                <w:webHidden/>
              </w:rPr>
            </w:r>
            <w:r w:rsidR="00E11749">
              <w:rPr>
                <w:webHidden/>
              </w:rPr>
              <w:fldChar w:fldCharType="separate"/>
            </w:r>
            <w:r>
              <w:rPr>
                <w:webHidden/>
              </w:rPr>
              <w:t>23</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79" w:history="1">
            <w:r w:rsidR="00E11749" w:rsidRPr="00D408FA">
              <w:rPr>
                <w:rStyle w:val="Hyperlink"/>
              </w:rPr>
              <w:t>16</w:t>
            </w:r>
            <w:r w:rsidR="00E11749">
              <w:rPr>
                <w:rFonts w:asciiTheme="minorHAnsi" w:eastAsiaTheme="minorEastAsia" w:hAnsiTheme="minorHAnsi" w:cstheme="minorBidi"/>
                <w:bCs w:val="0"/>
                <w:caps w:val="0"/>
                <w:sz w:val="22"/>
                <w:szCs w:val="22"/>
              </w:rPr>
              <w:tab/>
            </w:r>
            <w:r w:rsidR="00E11749" w:rsidRPr="00D408FA">
              <w:rPr>
                <w:rStyle w:val="Hyperlink"/>
              </w:rPr>
              <w:t>Obrigações da Previdência Complementar</w:t>
            </w:r>
            <w:r w:rsidR="00E11749">
              <w:rPr>
                <w:webHidden/>
              </w:rPr>
              <w:tab/>
            </w:r>
            <w:r w:rsidR="00E11749">
              <w:rPr>
                <w:webHidden/>
              </w:rPr>
              <w:fldChar w:fldCharType="begin"/>
            </w:r>
            <w:r w:rsidR="00E11749">
              <w:rPr>
                <w:webHidden/>
              </w:rPr>
              <w:instrText xml:space="preserve"> PAGEREF _Toc512497279 \h </w:instrText>
            </w:r>
            <w:r w:rsidR="00E11749">
              <w:rPr>
                <w:webHidden/>
              </w:rPr>
            </w:r>
            <w:r w:rsidR="00E11749">
              <w:rPr>
                <w:webHidden/>
              </w:rPr>
              <w:fldChar w:fldCharType="separate"/>
            </w:r>
            <w:r>
              <w:rPr>
                <w:webHidden/>
              </w:rPr>
              <w:t>23</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80" w:history="1">
            <w:r w:rsidR="00E11749" w:rsidRPr="00D408FA">
              <w:rPr>
                <w:rStyle w:val="Hyperlink"/>
              </w:rPr>
              <w:t>17</w:t>
            </w:r>
            <w:r w:rsidR="00E11749">
              <w:rPr>
                <w:rFonts w:asciiTheme="minorHAnsi" w:eastAsiaTheme="minorEastAsia" w:hAnsiTheme="minorHAnsi" w:cstheme="minorBidi"/>
                <w:bCs w:val="0"/>
                <w:caps w:val="0"/>
                <w:sz w:val="22"/>
                <w:szCs w:val="22"/>
              </w:rPr>
              <w:tab/>
            </w:r>
            <w:r w:rsidR="00E11749" w:rsidRPr="00D408FA">
              <w:rPr>
                <w:rStyle w:val="Hyperlink"/>
              </w:rPr>
              <w:t>Capital Social</w:t>
            </w:r>
            <w:r w:rsidR="00E11749">
              <w:rPr>
                <w:webHidden/>
              </w:rPr>
              <w:tab/>
            </w:r>
            <w:r w:rsidR="00E11749">
              <w:rPr>
                <w:webHidden/>
              </w:rPr>
              <w:fldChar w:fldCharType="begin"/>
            </w:r>
            <w:r w:rsidR="00E11749">
              <w:rPr>
                <w:webHidden/>
              </w:rPr>
              <w:instrText xml:space="preserve"> PAGEREF _Toc512497280 \h </w:instrText>
            </w:r>
            <w:r w:rsidR="00E11749">
              <w:rPr>
                <w:webHidden/>
              </w:rPr>
            </w:r>
            <w:r w:rsidR="00E11749">
              <w:rPr>
                <w:webHidden/>
              </w:rPr>
              <w:fldChar w:fldCharType="separate"/>
            </w:r>
            <w:r>
              <w:rPr>
                <w:webHidden/>
              </w:rPr>
              <w:t>24</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81" w:history="1">
            <w:r w:rsidR="00E11749" w:rsidRPr="00D408FA">
              <w:rPr>
                <w:rStyle w:val="Hyperlink"/>
              </w:rPr>
              <w:t>18</w:t>
            </w:r>
            <w:r w:rsidR="00E11749">
              <w:rPr>
                <w:rFonts w:asciiTheme="minorHAnsi" w:eastAsiaTheme="minorEastAsia" w:hAnsiTheme="minorHAnsi" w:cstheme="minorBidi"/>
                <w:bCs w:val="0"/>
                <w:caps w:val="0"/>
                <w:sz w:val="22"/>
                <w:szCs w:val="22"/>
              </w:rPr>
              <w:tab/>
            </w:r>
            <w:r w:rsidR="00E11749" w:rsidRPr="00D408FA">
              <w:rPr>
                <w:rStyle w:val="Hyperlink"/>
              </w:rPr>
              <w:t>Ajuste de Avaliação Patrimonial</w:t>
            </w:r>
            <w:r w:rsidR="00E11749">
              <w:rPr>
                <w:webHidden/>
              </w:rPr>
              <w:tab/>
            </w:r>
            <w:r w:rsidR="00E11749">
              <w:rPr>
                <w:webHidden/>
              </w:rPr>
              <w:fldChar w:fldCharType="begin"/>
            </w:r>
            <w:r w:rsidR="00E11749">
              <w:rPr>
                <w:webHidden/>
              </w:rPr>
              <w:instrText xml:space="preserve"> PAGEREF _Toc512497281 \h </w:instrText>
            </w:r>
            <w:r w:rsidR="00E11749">
              <w:rPr>
                <w:webHidden/>
              </w:rPr>
            </w:r>
            <w:r w:rsidR="00E11749">
              <w:rPr>
                <w:webHidden/>
              </w:rPr>
              <w:fldChar w:fldCharType="separate"/>
            </w:r>
            <w:r>
              <w:rPr>
                <w:webHidden/>
              </w:rPr>
              <w:t>24</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82" w:history="1">
            <w:r w:rsidR="00E11749" w:rsidRPr="00D408FA">
              <w:rPr>
                <w:rStyle w:val="Hyperlink"/>
              </w:rPr>
              <w:t>19</w:t>
            </w:r>
            <w:r w:rsidR="00E11749">
              <w:rPr>
                <w:rFonts w:asciiTheme="minorHAnsi" w:eastAsiaTheme="minorEastAsia" w:hAnsiTheme="minorHAnsi" w:cstheme="minorBidi"/>
                <w:bCs w:val="0"/>
                <w:caps w:val="0"/>
                <w:sz w:val="22"/>
                <w:szCs w:val="22"/>
              </w:rPr>
              <w:tab/>
            </w:r>
            <w:r w:rsidR="00E11749" w:rsidRPr="00D408FA">
              <w:rPr>
                <w:rStyle w:val="Hyperlink"/>
              </w:rPr>
              <w:t>Reservas de Retenção dos Lucros e Prejuízos Acumulados</w:t>
            </w:r>
            <w:r w:rsidR="00E11749">
              <w:rPr>
                <w:webHidden/>
              </w:rPr>
              <w:tab/>
            </w:r>
            <w:r w:rsidR="00E11749">
              <w:rPr>
                <w:webHidden/>
              </w:rPr>
              <w:fldChar w:fldCharType="begin"/>
            </w:r>
            <w:r w:rsidR="00E11749">
              <w:rPr>
                <w:webHidden/>
              </w:rPr>
              <w:instrText xml:space="preserve"> PAGEREF _Toc512497282 \h </w:instrText>
            </w:r>
            <w:r w:rsidR="00E11749">
              <w:rPr>
                <w:webHidden/>
              </w:rPr>
            </w:r>
            <w:r w:rsidR="00E11749">
              <w:rPr>
                <w:webHidden/>
              </w:rPr>
              <w:fldChar w:fldCharType="separate"/>
            </w:r>
            <w:r>
              <w:rPr>
                <w:webHidden/>
              </w:rPr>
              <w:t>24</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83" w:history="1">
            <w:r w:rsidR="00E11749" w:rsidRPr="00D408FA">
              <w:rPr>
                <w:rStyle w:val="Hyperlink"/>
              </w:rPr>
              <w:t>20</w:t>
            </w:r>
            <w:r w:rsidR="00E11749">
              <w:rPr>
                <w:rFonts w:asciiTheme="minorHAnsi" w:eastAsiaTheme="minorEastAsia" w:hAnsiTheme="minorHAnsi" w:cstheme="minorBidi"/>
                <w:bCs w:val="0"/>
                <w:caps w:val="0"/>
                <w:sz w:val="22"/>
                <w:szCs w:val="22"/>
              </w:rPr>
              <w:tab/>
            </w:r>
            <w:r w:rsidR="00E11749" w:rsidRPr="00D408FA">
              <w:rPr>
                <w:rStyle w:val="Hyperlink"/>
              </w:rPr>
              <w:t>Receita Operacional Líquida</w:t>
            </w:r>
            <w:r w:rsidR="00E11749">
              <w:rPr>
                <w:webHidden/>
              </w:rPr>
              <w:tab/>
            </w:r>
            <w:r w:rsidR="00E11749">
              <w:rPr>
                <w:webHidden/>
              </w:rPr>
              <w:fldChar w:fldCharType="begin"/>
            </w:r>
            <w:r w:rsidR="00E11749">
              <w:rPr>
                <w:webHidden/>
              </w:rPr>
              <w:instrText xml:space="preserve"> PAGEREF _Toc512497283 \h </w:instrText>
            </w:r>
            <w:r w:rsidR="00E11749">
              <w:rPr>
                <w:webHidden/>
              </w:rPr>
            </w:r>
            <w:r w:rsidR="00E11749">
              <w:rPr>
                <w:webHidden/>
              </w:rPr>
              <w:fldChar w:fldCharType="separate"/>
            </w:r>
            <w:r>
              <w:rPr>
                <w:webHidden/>
              </w:rPr>
              <w:t>25</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84" w:history="1">
            <w:r w:rsidR="00E11749" w:rsidRPr="00D408FA">
              <w:rPr>
                <w:rStyle w:val="Hyperlink"/>
              </w:rPr>
              <w:t>21</w:t>
            </w:r>
            <w:r w:rsidR="00E11749">
              <w:rPr>
                <w:rFonts w:asciiTheme="minorHAnsi" w:eastAsiaTheme="minorEastAsia" w:hAnsiTheme="minorHAnsi" w:cstheme="minorBidi"/>
                <w:bCs w:val="0"/>
                <w:caps w:val="0"/>
                <w:sz w:val="22"/>
                <w:szCs w:val="22"/>
              </w:rPr>
              <w:tab/>
            </w:r>
            <w:r w:rsidR="00E11749" w:rsidRPr="00D408FA">
              <w:rPr>
                <w:rStyle w:val="Hyperlink"/>
              </w:rPr>
              <w:t>Custos dos Serviços e Despesas Administrativas por Natureza</w:t>
            </w:r>
            <w:r w:rsidR="00E11749">
              <w:rPr>
                <w:webHidden/>
              </w:rPr>
              <w:tab/>
            </w:r>
            <w:r w:rsidR="00E11749">
              <w:rPr>
                <w:webHidden/>
              </w:rPr>
              <w:fldChar w:fldCharType="begin"/>
            </w:r>
            <w:r w:rsidR="00E11749">
              <w:rPr>
                <w:webHidden/>
              </w:rPr>
              <w:instrText xml:space="preserve"> PAGEREF _Toc512497284 \h </w:instrText>
            </w:r>
            <w:r w:rsidR="00E11749">
              <w:rPr>
                <w:webHidden/>
              </w:rPr>
            </w:r>
            <w:r w:rsidR="00E11749">
              <w:rPr>
                <w:webHidden/>
              </w:rPr>
              <w:fldChar w:fldCharType="separate"/>
            </w:r>
            <w:r>
              <w:rPr>
                <w:webHidden/>
              </w:rPr>
              <w:t>26</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85" w:history="1">
            <w:r w:rsidR="00E11749" w:rsidRPr="00D408FA">
              <w:rPr>
                <w:rStyle w:val="Hyperlink"/>
              </w:rPr>
              <w:t>22</w:t>
            </w:r>
            <w:r w:rsidR="00E11749">
              <w:rPr>
                <w:rFonts w:asciiTheme="minorHAnsi" w:eastAsiaTheme="minorEastAsia" w:hAnsiTheme="minorHAnsi" w:cstheme="minorBidi"/>
                <w:bCs w:val="0"/>
                <w:caps w:val="0"/>
                <w:sz w:val="22"/>
                <w:szCs w:val="22"/>
              </w:rPr>
              <w:tab/>
            </w:r>
            <w:r w:rsidR="00E11749" w:rsidRPr="00D408FA">
              <w:rPr>
                <w:rStyle w:val="Hyperlink"/>
              </w:rPr>
              <w:t>Despesas com Benefícios a Empregados</w:t>
            </w:r>
            <w:r w:rsidR="00E11749">
              <w:rPr>
                <w:webHidden/>
              </w:rPr>
              <w:tab/>
            </w:r>
            <w:r w:rsidR="00E11749">
              <w:rPr>
                <w:webHidden/>
              </w:rPr>
              <w:fldChar w:fldCharType="begin"/>
            </w:r>
            <w:r w:rsidR="00E11749">
              <w:rPr>
                <w:webHidden/>
              </w:rPr>
              <w:instrText xml:space="preserve"> PAGEREF _Toc512497285 \h </w:instrText>
            </w:r>
            <w:r w:rsidR="00E11749">
              <w:rPr>
                <w:webHidden/>
              </w:rPr>
            </w:r>
            <w:r w:rsidR="00E11749">
              <w:rPr>
                <w:webHidden/>
              </w:rPr>
              <w:fldChar w:fldCharType="separate"/>
            </w:r>
            <w:r>
              <w:rPr>
                <w:webHidden/>
              </w:rPr>
              <w:t>26</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86" w:history="1">
            <w:r w:rsidR="00E11749" w:rsidRPr="00D408FA">
              <w:rPr>
                <w:rStyle w:val="Hyperlink"/>
              </w:rPr>
              <w:t>23</w:t>
            </w:r>
            <w:r w:rsidR="00E11749">
              <w:rPr>
                <w:rFonts w:asciiTheme="minorHAnsi" w:eastAsiaTheme="minorEastAsia" w:hAnsiTheme="minorHAnsi" w:cstheme="minorBidi"/>
                <w:bCs w:val="0"/>
                <w:caps w:val="0"/>
                <w:sz w:val="22"/>
                <w:szCs w:val="22"/>
              </w:rPr>
              <w:tab/>
            </w:r>
            <w:r w:rsidR="00E11749" w:rsidRPr="00D408FA">
              <w:rPr>
                <w:rStyle w:val="Hyperlink"/>
              </w:rPr>
              <w:t>Outras Receitas e Despesas</w:t>
            </w:r>
            <w:r w:rsidR="00E11749">
              <w:rPr>
                <w:webHidden/>
              </w:rPr>
              <w:tab/>
            </w:r>
            <w:r w:rsidR="00E11749">
              <w:rPr>
                <w:webHidden/>
              </w:rPr>
              <w:fldChar w:fldCharType="begin"/>
            </w:r>
            <w:r w:rsidR="00E11749">
              <w:rPr>
                <w:webHidden/>
              </w:rPr>
              <w:instrText xml:space="preserve"> PAGEREF _Toc512497286 \h </w:instrText>
            </w:r>
            <w:r w:rsidR="00E11749">
              <w:rPr>
                <w:webHidden/>
              </w:rPr>
            </w:r>
            <w:r w:rsidR="00E11749">
              <w:rPr>
                <w:webHidden/>
              </w:rPr>
              <w:fldChar w:fldCharType="separate"/>
            </w:r>
            <w:r>
              <w:rPr>
                <w:webHidden/>
              </w:rPr>
              <w:t>27</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87" w:history="1">
            <w:r w:rsidR="00E11749" w:rsidRPr="00D408FA">
              <w:rPr>
                <w:rStyle w:val="Hyperlink"/>
              </w:rPr>
              <w:t>24</w:t>
            </w:r>
            <w:r w:rsidR="00E11749">
              <w:rPr>
                <w:rFonts w:asciiTheme="minorHAnsi" w:eastAsiaTheme="minorEastAsia" w:hAnsiTheme="minorHAnsi" w:cstheme="minorBidi"/>
                <w:bCs w:val="0"/>
                <w:caps w:val="0"/>
                <w:sz w:val="22"/>
                <w:szCs w:val="22"/>
              </w:rPr>
              <w:tab/>
            </w:r>
            <w:r w:rsidR="00E11749" w:rsidRPr="00D408FA">
              <w:rPr>
                <w:rStyle w:val="Hyperlink"/>
              </w:rPr>
              <w:t>Resultado Financeiro</w:t>
            </w:r>
            <w:r w:rsidR="00E11749">
              <w:rPr>
                <w:webHidden/>
              </w:rPr>
              <w:tab/>
            </w:r>
            <w:r w:rsidR="00E11749">
              <w:rPr>
                <w:webHidden/>
              </w:rPr>
              <w:fldChar w:fldCharType="begin"/>
            </w:r>
            <w:r w:rsidR="00E11749">
              <w:rPr>
                <w:webHidden/>
              </w:rPr>
              <w:instrText xml:space="preserve"> PAGEREF _Toc512497287 \h </w:instrText>
            </w:r>
            <w:r w:rsidR="00E11749">
              <w:rPr>
                <w:webHidden/>
              </w:rPr>
            </w:r>
            <w:r w:rsidR="00E11749">
              <w:rPr>
                <w:webHidden/>
              </w:rPr>
              <w:fldChar w:fldCharType="separate"/>
            </w:r>
            <w:r>
              <w:rPr>
                <w:webHidden/>
              </w:rPr>
              <w:t>27</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88" w:history="1">
            <w:r w:rsidR="00E11749" w:rsidRPr="00D408FA">
              <w:rPr>
                <w:rStyle w:val="Hyperlink"/>
              </w:rPr>
              <w:t>25</w:t>
            </w:r>
            <w:r w:rsidR="00E11749">
              <w:rPr>
                <w:rFonts w:asciiTheme="minorHAnsi" w:eastAsiaTheme="minorEastAsia" w:hAnsiTheme="minorHAnsi" w:cstheme="minorBidi"/>
                <w:bCs w:val="0"/>
                <w:caps w:val="0"/>
                <w:sz w:val="22"/>
                <w:szCs w:val="22"/>
              </w:rPr>
              <w:tab/>
            </w:r>
            <w:r w:rsidR="00E11749" w:rsidRPr="00D408FA">
              <w:rPr>
                <w:rStyle w:val="Hyperlink"/>
              </w:rPr>
              <w:t>Seguros de Riscos</w:t>
            </w:r>
            <w:r w:rsidR="00E11749">
              <w:rPr>
                <w:webHidden/>
              </w:rPr>
              <w:tab/>
            </w:r>
            <w:r w:rsidR="00E11749">
              <w:rPr>
                <w:webHidden/>
              </w:rPr>
              <w:fldChar w:fldCharType="begin"/>
            </w:r>
            <w:r w:rsidR="00E11749">
              <w:rPr>
                <w:webHidden/>
              </w:rPr>
              <w:instrText xml:space="preserve"> PAGEREF _Toc512497288 \h </w:instrText>
            </w:r>
            <w:r w:rsidR="00E11749">
              <w:rPr>
                <w:webHidden/>
              </w:rPr>
            </w:r>
            <w:r w:rsidR="00E11749">
              <w:rPr>
                <w:webHidden/>
              </w:rPr>
              <w:fldChar w:fldCharType="separate"/>
            </w:r>
            <w:r>
              <w:rPr>
                <w:webHidden/>
              </w:rPr>
              <w:t>28</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89" w:history="1">
            <w:r w:rsidR="00E11749" w:rsidRPr="00D408FA">
              <w:rPr>
                <w:rStyle w:val="Hyperlink"/>
              </w:rPr>
              <w:t>26</w:t>
            </w:r>
            <w:r w:rsidR="00E11749">
              <w:rPr>
                <w:rFonts w:asciiTheme="minorHAnsi" w:eastAsiaTheme="minorEastAsia" w:hAnsiTheme="minorHAnsi" w:cstheme="minorBidi"/>
                <w:bCs w:val="0"/>
                <w:caps w:val="0"/>
                <w:sz w:val="22"/>
                <w:szCs w:val="22"/>
              </w:rPr>
              <w:tab/>
            </w:r>
            <w:r w:rsidR="00E11749" w:rsidRPr="00D408FA">
              <w:rPr>
                <w:rStyle w:val="Hyperlink"/>
              </w:rPr>
              <w:t>Conciliação das Demonstrações Financeiras com Base na Lei nº 6.404/76 e lei nº 4.320/64</w:t>
            </w:r>
            <w:r w:rsidR="00E11749">
              <w:rPr>
                <w:webHidden/>
              </w:rPr>
              <w:tab/>
            </w:r>
            <w:r w:rsidR="00E11749">
              <w:rPr>
                <w:webHidden/>
              </w:rPr>
              <w:fldChar w:fldCharType="begin"/>
            </w:r>
            <w:r w:rsidR="00E11749">
              <w:rPr>
                <w:webHidden/>
              </w:rPr>
              <w:instrText xml:space="preserve"> PAGEREF _Toc512497289 \h </w:instrText>
            </w:r>
            <w:r w:rsidR="00E11749">
              <w:rPr>
                <w:webHidden/>
              </w:rPr>
            </w:r>
            <w:r w:rsidR="00E11749">
              <w:rPr>
                <w:webHidden/>
              </w:rPr>
              <w:fldChar w:fldCharType="separate"/>
            </w:r>
            <w:r>
              <w:rPr>
                <w:webHidden/>
              </w:rPr>
              <w:t>28</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90" w:history="1">
            <w:r w:rsidR="00E11749" w:rsidRPr="00D408FA">
              <w:rPr>
                <w:rStyle w:val="Hyperlink"/>
              </w:rPr>
              <w:t>27</w:t>
            </w:r>
            <w:r w:rsidR="00E11749">
              <w:rPr>
                <w:rFonts w:asciiTheme="minorHAnsi" w:eastAsiaTheme="minorEastAsia" w:hAnsiTheme="minorHAnsi" w:cstheme="minorBidi"/>
                <w:bCs w:val="0"/>
                <w:caps w:val="0"/>
                <w:sz w:val="22"/>
                <w:szCs w:val="22"/>
              </w:rPr>
              <w:tab/>
            </w:r>
            <w:r w:rsidR="00E11749" w:rsidRPr="00D408FA">
              <w:rPr>
                <w:rStyle w:val="Hyperlink"/>
              </w:rPr>
              <w:t>Conciliação dos Repasses Recebidos como Adiantamento para Futuro Aumento de Capital e seu Reflexo na Coordenação-Geral de Participações Societárias (COPAR)</w:t>
            </w:r>
            <w:r w:rsidR="00E11749">
              <w:rPr>
                <w:webHidden/>
              </w:rPr>
              <w:tab/>
            </w:r>
            <w:r w:rsidR="00E11749">
              <w:rPr>
                <w:webHidden/>
              </w:rPr>
              <w:fldChar w:fldCharType="begin"/>
            </w:r>
            <w:r w:rsidR="00E11749">
              <w:rPr>
                <w:webHidden/>
              </w:rPr>
              <w:instrText xml:space="preserve"> PAGEREF _Toc512497290 \h </w:instrText>
            </w:r>
            <w:r w:rsidR="00E11749">
              <w:rPr>
                <w:webHidden/>
              </w:rPr>
            </w:r>
            <w:r w:rsidR="00E11749">
              <w:rPr>
                <w:webHidden/>
              </w:rPr>
              <w:fldChar w:fldCharType="separate"/>
            </w:r>
            <w:r>
              <w:rPr>
                <w:webHidden/>
              </w:rPr>
              <w:t>31</w:t>
            </w:r>
            <w:r w:rsidR="00E11749">
              <w:rPr>
                <w:webHidden/>
              </w:rPr>
              <w:fldChar w:fldCharType="end"/>
            </w:r>
          </w:hyperlink>
        </w:p>
        <w:p w:rsidR="00E11749" w:rsidRDefault="00F06B1B">
          <w:pPr>
            <w:pStyle w:val="Sumrio1"/>
            <w:rPr>
              <w:rFonts w:asciiTheme="minorHAnsi" w:eastAsiaTheme="minorEastAsia" w:hAnsiTheme="minorHAnsi" w:cstheme="minorBidi"/>
              <w:bCs w:val="0"/>
              <w:caps w:val="0"/>
              <w:sz w:val="22"/>
              <w:szCs w:val="22"/>
            </w:rPr>
          </w:pPr>
          <w:hyperlink w:anchor="_Toc512497291" w:history="1">
            <w:r w:rsidR="00E11749" w:rsidRPr="00D408FA">
              <w:rPr>
                <w:rStyle w:val="Hyperlink"/>
              </w:rPr>
              <w:t>28</w:t>
            </w:r>
            <w:r w:rsidR="00E11749">
              <w:rPr>
                <w:rFonts w:asciiTheme="minorHAnsi" w:eastAsiaTheme="minorEastAsia" w:hAnsiTheme="minorHAnsi" w:cstheme="minorBidi"/>
                <w:bCs w:val="0"/>
                <w:caps w:val="0"/>
                <w:sz w:val="22"/>
                <w:szCs w:val="22"/>
              </w:rPr>
              <w:tab/>
            </w:r>
            <w:r w:rsidR="00E11749" w:rsidRPr="00D408FA">
              <w:rPr>
                <w:rStyle w:val="Hyperlink"/>
              </w:rPr>
              <w:t>Remunerações Pagas a Empregados e Administradores</w:t>
            </w:r>
            <w:r w:rsidR="00E11749">
              <w:rPr>
                <w:webHidden/>
              </w:rPr>
              <w:tab/>
            </w:r>
            <w:r w:rsidR="00E11749">
              <w:rPr>
                <w:webHidden/>
              </w:rPr>
              <w:fldChar w:fldCharType="begin"/>
            </w:r>
            <w:r w:rsidR="00E11749">
              <w:rPr>
                <w:webHidden/>
              </w:rPr>
              <w:instrText xml:space="preserve"> PAGEREF _Toc512497291 \h </w:instrText>
            </w:r>
            <w:r w:rsidR="00E11749">
              <w:rPr>
                <w:webHidden/>
              </w:rPr>
            </w:r>
            <w:r w:rsidR="00E11749">
              <w:rPr>
                <w:webHidden/>
              </w:rPr>
              <w:fldChar w:fldCharType="separate"/>
            </w:r>
            <w:r>
              <w:rPr>
                <w:webHidden/>
              </w:rPr>
              <w:t>31</w:t>
            </w:r>
            <w:r w:rsidR="00E11749">
              <w:rPr>
                <w:webHidden/>
              </w:rPr>
              <w:fldChar w:fldCharType="end"/>
            </w:r>
          </w:hyperlink>
        </w:p>
        <w:p w:rsidR="00EB59F2" w:rsidRPr="00FD7B48" w:rsidRDefault="003337D3" w:rsidP="00FE5B46">
          <w:pPr>
            <w:pStyle w:val="Sumrio1"/>
          </w:pPr>
          <w:r w:rsidRPr="00FD7B48">
            <w:rPr>
              <w:b/>
              <w:sz w:val="16"/>
              <w:szCs w:val="16"/>
            </w:rPr>
            <w:fldChar w:fldCharType="end"/>
          </w:r>
        </w:p>
      </w:sdtContent>
    </w:sdt>
    <w:p w:rsidR="00B4231B" w:rsidRDefault="009657C6" w:rsidP="0047648D">
      <w:pPr>
        <w:pStyle w:val="Ttulo"/>
        <w:numPr>
          <w:ilvl w:val="0"/>
          <w:numId w:val="0"/>
        </w:numPr>
        <w:ind w:left="705"/>
        <w:jc w:val="center"/>
        <w:outlineLvl w:val="0"/>
        <w:rPr>
          <w:sz w:val="28"/>
          <w:szCs w:val="28"/>
        </w:rPr>
      </w:pPr>
      <w:bookmarkStart w:id="0" w:name="_GoBack"/>
      <w:bookmarkEnd w:id="0"/>
      <w:r w:rsidRPr="00FD7B48">
        <w:rPr>
          <w:sz w:val="28"/>
          <w:szCs w:val="28"/>
        </w:rPr>
        <w:br w:type="page"/>
      </w:r>
    </w:p>
    <w:p w:rsidR="00B4231B" w:rsidRDefault="00B4231B" w:rsidP="0047648D">
      <w:pPr>
        <w:pStyle w:val="Ttulo"/>
        <w:numPr>
          <w:ilvl w:val="0"/>
          <w:numId w:val="0"/>
        </w:numPr>
        <w:ind w:left="705"/>
        <w:jc w:val="center"/>
        <w:outlineLvl w:val="0"/>
        <w:rPr>
          <w:sz w:val="28"/>
          <w:szCs w:val="28"/>
        </w:rPr>
      </w:pPr>
    </w:p>
    <w:p w:rsidR="00FB07C7" w:rsidRPr="00B4231B" w:rsidRDefault="00921282" w:rsidP="0047648D">
      <w:pPr>
        <w:pStyle w:val="Ttulo"/>
        <w:numPr>
          <w:ilvl w:val="0"/>
          <w:numId w:val="0"/>
        </w:numPr>
        <w:ind w:left="705"/>
        <w:jc w:val="center"/>
        <w:outlineLvl w:val="0"/>
      </w:pPr>
      <w:bookmarkStart w:id="1" w:name="_Toc512497261"/>
      <w:r w:rsidRPr="00B4231B">
        <w:t>RELATÓRIO DE ADMINISTRAÇÃO</w:t>
      </w:r>
      <w:r w:rsidR="00FB07C7" w:rsidRPr="00B4231B">
        <w:t xml:space="preserve"> 201</w:t>
      </w:r>
      <w:r w:rsidR="00B4231B" w:rsidRPr="00B4231B">
        <w:t>7</w:t>
      </w:r>
      <w:bookmarkEnd w:id="1"/>
    </w:p>
    <w:p w:rsidR="00FB07C7" w:rsidRDefault="00FB07C7" w:rsidP="00FB07C7">
      <w:pPr>
        <w:pStyle w:val="NormalWeb"/>
        <w:widowControl w:val="0"/>
        <w:spacing w:before="0" w:after="0" w:line="230" w:lineRule="auto"/>
        <w:jc w:val="both"/>
        <w:rPr>
          <w:sz w:val="20"/>
          <w:szCs w:val="20"/>
          <w:lang w:val="pt-BR"/>
        </w:rPr>
      </w:pPr>
    </w:p>
    <w:p w:rsidR="00104128" w:rsidRPr="00B4231B" w:rsidRDefault="00104128" w:rsidP="00FB07C7">
      <w:pPr>
        <w:pStyle w:val="NormalWeb"/>
        <w:widowControl w:val="0"/>
        <w:spacing w:before="0" w:after="0" w:line="230" w:lineRule="auto"/>
        <w:jc w:val="both"/>
        <w:rPr>
          <w:sz w:val="20"/>
          <w:szCs w:val="20"/>
          <w:lang w:val="pt-BR"/>
        </w:rPr>
      </w:pPr>
    </w:p>
    <w:p w:rsidR="00B4231B" w:rsidRPr="00A8532A" w:rsidRDefault="00B4231B" w:rsidP="00B4231B">
      <w:pPr>
        <w:shd w:val="clear" w:color="auto" w:fill="FFFFFF"/>
        <w:jc w:val="both"/>
      </w:pPr>
      <w:bookmarkStart w:id="2" w:name="OLE_LINK1"/>
      <w:r w:rsidRPr="00A8532A">
        <w:t>O Hospit</w:t>
      </w:r>
      <w:r w:rsidR="00404359">
        <w:t>al de Clínicas de Porto Alegre - HCPA</w:t>
      </w:r>
      <w:r w:rsidRPr="00A8532A">
        <w:t xml:space="preserve"> é uma instituição pública e universitária, integrante da rede de hospitais universitários do Ministério da Educação (MEC) e vinculada academicamente à Universidade Federal do Rio Grande do Sul (UFRGS). Sendo um dos principais centros de atenção médica do estado, é também um polo de investigação científica e tecnológica. Oferece assistência integral à saúde dos cidadãos, através de suas equipes de saúde das clínicas médica, cirúrgica, pediátrica, obstétrica e psiquiátrica, em conjunto com equipes multiprofissionais.</w:t>
      </w:r>
    </w:p>
    <w:p w:rsidR="00B4231B" w:rsidRPr="00A8532A" w:rsidRDefault="00B4231B" w:rsidP="00B4231B">
      <w:pPr>
        <w:shd w:val="clear" w:color="auto" w:fill="FFFFFF"/>
        <w:jc w:val="both"/>
      </w:pPr>
      <w:r w:rsidRPr="00A8532A">
        <w:t> </w:t>
      </w:r>
    </w:p>
    <w:p w:rsidR="00B4231B" w:rsidRPr="00A8532A" w:rsidRDefault="00B4231B" w:rsidP="00B4231B">
      <w:pPr>
        <w:shd w:val="clear" w:color="auto" w:fill="FFFFFF"/>
        <w:jc w:val="both"/>
      </w:pPr>
      <w:r w:rsidRPr="0087569F">
        <w:t xml:space="preserve">Em 2017 foram realizadas na instituição mais de 589 mil consultas, 31 mil internações, 49 mil cirurgias, </w:t>
      </w:r>
      <w:proofErr w:type="gramStart"/>
      <w:r w:rsidRPr="0087569F">
        <w:t>3</w:t>
      </w:r>
      <w:proofErr w:type="gramEnd"/>
      <w:r w:rsidRPr="0087569F">
        <w:t xml:space="preserve"> milhões de exames e </w:t>
      </w:r>
      <w:r w:rsidR="0087569F" w:rsidRPr="0087569F">
        <w:t xml:space="preserve">mais de </w:t>
      </w:r>
      <w:r w:rsidRPr="0087569F">
        <w:t>3 mil partos. Ainda, foram realizados 49</w:t>
      </w:r>
      <w:r w:rsidR="00D5198D" w:rsidRPr="0087569F">
        <w:t>5</w:t>
      </w:r>
      <w:r w:rsidRPr="0087569F">
        <w:t xml:space="preserve"> transplantes, 1,85% a mais que no ano passado, reafirmando a vocação institucional para procedimentos de alta complexidade.</w:t>
      </w:r>
    </w:p>
    <w:p w:rsidR="00B4231B" w:rsidRPr="00A8532A" w:rsidRDefault="00B4231B" w:rsidP="00B4231B">
      <w:pPr>
        <w:shd w:val="clear" w:color="auto" w:fill="FFFFFF"/>
        <w:jc w:val="both"/>
      </w:pPr>
      <w:r w:rsidRPr="00A8532A">
        <w:t> </w:t>
      </w:r>
    </w:p>
    <w:p w:rsidR="00B4231B" w:rsidRPr="00A8532A" w:rsidRDefault="00B4231B" w:rsidP="00B4231B">
      <w:pPr>
        <w:shd w:val="clear" w:color="auto" w:fill="FFFFFF"/>
        <w:jc w:val="both"/>
      </w:pPr>
      <w:r w:rsidRPr="00A8532A">
        <w:t>A busca de melhoria contínua e da excelência assistencial é evidenciada na atuação do Núcleo de Segurança do Paciente, composto pelo Programa de Gestão da Qualidade e da Informação em Saúde (</w:t>
      </w:r>
      <w:proofErr w:type="spellStart"/>
      <w:r w:rsidRPr="00A8532A">
        <w:t>Qualis</w:t>
      </w:r>
      <w:proofErr w:type="spellEnd"/>
      <w:r w:rsidRPr="00A8532A">
        <w:t>) e pela Comissão de Gerência de Risco Sanitário-Hospitalar, e da Comissão de Controle de Infecções Hospitalares (CCIH). Na organização dos fluxos internos e no relacionamento com o restante da rede de saúde destacam-se a atuação do Núcleo Interno de Regulação (NIR) e do Núcleo de Acesso e Qualidade Hospitalar (NAQH).</w:t>
      </w:r>
    </w:p>
    <w:p w:rsidR="00B4231B" w:rsidRPr="00FC5DBB" w:rsidRDefault="00B4231B" w:rsidP="00B4231B">
      <w:pPr>
        <w:shd w:val="clear" w:color="auto" w:fill="FFFFFF"/>
        <w:jc w:val="both"/>
        <w:rPr>
          <w:color w:val="FF0000"/>
        </w:rPr>
      </w:pPr>
      <w:r w:rsidRPr="00FC5DBB">
        <w:rPr>
          <w:color w:val="FF0000"/>
        </w:rPr>
        <w:t> </w:t>
      </w:r>
    </w:p>
    <w:p w:rsidR="00B4231B" w:rsidRPr="00F53510" w:rsidRDefault="00B4231B" w:rsidP="00B4231B">
      <w:pPr>
        <w:shd w:val="clear" w:color="auto" w:fill="FFFFFF"/>
        <w:jc w:val="both"/>
      </w:pPr>
      <w:r w:rsidRPr="00F53510">
        <w:t xml:space="preserve">Na área da pesquisa, o Clínicas mantém convênios com </w:t>
      </w:r>
      <w:r>
        <w:t xml:space="preserve">o </w:t>
      </w:r>
      <w:r w:rsidRPr="00F53510">
        <w:t>Conselho Nacional de Desenvolvimento Científico e Tecnológico (CNPq), Fundação de Amparo à Pesquisa do Rio Grande do Sul (</w:t>
      </w:r>
      <w:proofErr w:type="spellStart"/>
      <w:r w:rsidRPr="00F53510">
        <w:t>Fapergs</w:t>
      </w:r>
      <w:proofErr w:type="spellEnd"/>
      <w:r w:rsidRPr="00F53510">
        <w:t>), Financiadora de Estudos e Projetos (</w:t>
      </w:r>
      <w:proofErr w:type="gramStart"/>
      <w:r w:rsidRPr="00F53510">
        <w:t>Finep</w:t>
      </w:r>
      <w:proofErr w:type="gramEnd"/>
      <w:r w:rsidRPr="00F53510">
        <w:t>), Coordenação de Aperfeiçoamento de Pessoal de Ensino Superior (Capes), Departamento de Ciência e Tecnologia do Ministério da Saúde (</w:t>
      </w:r>
      <w:proofErr w:type="spellStart"/>
      <w:r w:rsidRPr="00F53510">
        <w:t>Decit</w:t>
      </w:r>
      <w:proofErr w:type="spellEnd"/>
      <w:r w:rsidRPr="00F53510">
        <w:t>/MS), e com a Empresa Brasileira de Serviços Hospitalares (</w:t>
      </w:r>
      <w:proofErr w:type="spellStart"/>
      <w:r w:rsidRPr="00F53510">
        <w:t>Ebserh</w:t>
      </w:r>
      <w:proofErr w:type="spellEnd"/>
      <w:r w:rsidRPr="00F53510">
        <w:t>). No HCPA atuam hoje 469 pesquisadores responsáveis com projetos de pesquisa e 589 doutores atuantes entre professores e contratados. Em 2017, foram realizadas 3.091 consultorias de pesquisa e aprovados 685 projetos. Foram 671 artigos publicados, sendo que o número de citações aumentou em 9%, o que demonstra maior inserção da pesquisa no âmbito internacional.</w:t>
      </w:r>
    </w:p>
    <w:p w:rsidR="00B4231B" w:rsidRPr="00F53510" w:rsidRDefault="00B4231B" w:rsidP="00B4231B">
      <w:pPr>
        <w:shd w:val="clear" w:color="auto" w:fill="FFFFFF"/>
        <w:jc w:val="both"/>
      </w:pPr>
      <w:r w:rsidRPr="00F53510">
        <w:t> </w:t>
      </w:r>
    </w:p>
    <w:p w:rsidR="00B4231B" w:rsidRPr="00A8532A" w:rsidRDefault="00B4231B" w:rsidP="00B4231B">
      <w:pPr>
        <w:shd w:val="clear" w:color="auto" w:fill="FFFFFF"/>
        <w:jc w:val="both"/>
      </w:pPr>
      <w:r w:rsidRPr="00F53510">
        <w:t>O HCPA também tem papel fundamental no ensino, tendo 15 cursos de graduação com atividades dentro da instituição, em um total de 86 disciplinas ou estágios. Também considerando os cursos de graduação, passaram pelo HCPA 1</w:t>
      </w:r>
      <w:r w:rsidR="00CE4D77">
        <w:t>.</w:t>
      </w:r>
      <w:r w:rsidRPr="00F53510">
        <w:t>534 alunos no primeiro</w:t>
      </w:r>
      <w:r w:rsidRPr="00A8532A">
        <w:t xml:space="preserve"> semestre e 1</w:t>
      </w:r>
      <w:r w:rsidR="00CE4D77">
        <w:t>.</w:t>
      </w:r>
      <w:r w:rsidRPr="00A8532A">
        <w:t xml:space="preserve">630 alunos no segundo semestre letivo. Na pós-graduação, há apoio a 22 Programas de Pós-graduação da UFRGS, sendo 11 vinculados a Faculdade de Medicina e dois programas de mestrado profissional </w:t>
      </w:r>
      <w:smartTag w:uri="urn:schemas-microsoft-com:office:smarttags" w:element="PersonName">
        <w:smartTagPr>
          <w:attr w:name="ProductID" w:val="em Pesquisa Cl￭nica"/>
        </w:smartTagPr>
        <w:r w:rsidRPr="00A8532A">
          <w:t>em Pesquisa Clínica</w:t>
        </w:r>
      </w:smartTag>
      <w:r w:rsidRPr="00A8532A">
        <w:t xml:space="preserve"> e em Prevenção e Assistência a Usuários de Álcool e Outras Drogas.</w:t>
      </w:r>
    </w:p>
    <w:p w:rsidR="00B4231B" w:rsidRPr="00A8532A" w:rsidRDefault="00B4231B" w:rsidP="00B4231B">
      <w:pPr>
        <w:shd w:val="clear" w:color="auto" w:fill="FFFFFF"/>
        <w:jc w:val="both"/>
      </w:pPr>
      <w:r w:rsidRPr="00A8532A">
        <w:t> </w:t>
      </w:r>
    </w:p>
    <w:p w:rsidR="00B4231B" w:rsidRPr="00A8532A" w:rsidRDefault="00B4231B" w:rsidP="00B4231B">
      <w:pPr>
        <w:shd w:val="clear" w:color="auto" w:fill="FFFFFF"/>
        <w:jc w:val="both"/>
      </w:pPr>
      <w:r w:rsidRPr="00A8532A">
        <w:t>Na residência médica</w:t>
      </w:r>
      <w:r>
        <w:t>, a instituição mantém</w:t>
      </w:r>
      <w:r w:rsidRPr="00A8532A">
        <w:t xml:space="preserve"> 46 Programas de Residência Médica, 31 áreas de atuação, dois anos opcionais e quatro Programas de Residência Médica </w:t>
      </w:r>
      <w:smartTag w:uri="urn:schemas-microsoft-com:office:smarttags" w:element="PersonName">
        <w:smartTagPr>
          <w:attr w:name="ProductID" w:val="em Transplantes. Durante"/>
        </w:smartTagPr>
        <w:r w:rsidRPr="00A8532A">
          <w:t xml:space="preserve">em Transplantes. </w:t>
        </w:r>
        <w:r w:rsidRPr="00A8532A">
          <w:rPr>
            <w:lang w:eastAsia="en-US"/>
          </w:rPr>
          <w:t>Durante</w:t>
        </w:r>
      </w:smartTag>
      <w:r w:rsidRPr="00A8532A">
        <w:rPr>
          <w:lang w:eastAsia="en-US"/>
        </w:rPr>
        <w:t xml:space="preserve"> este ano estiveram em formação no HCPA 560 médicos residentes.</w:t>
      </w:r>
      <w:r w:rsidRPr="00A8532A">
        <w:t xml:space="preserve"> Na Residência Integrada Multiprofissional em Saúde, que oferece nove áreas de atuação, houve 89 profissionais em formação e 41 profissionais concluíram a residência em 2017. O hospital oferece também Programa Institucional de Cursos de Capacitação para Alunos em Formação (</w:t>
      </w:r>
      <w:proofErr w:type="spellStart"/>
      <w:r w:rsidRPr="00A8532A">
        <w:t>Piccaf</w:t>
      </w:r>
      <w:proofErr w:type="spellEnd"/>
      <w:r w:rsidRPr="00A8532A">
        <w:t>), Programa Institucional de Cursos de Capacitação e Aperfeiçoamento Profissional (</w:t>
      </w:r>
      <w:proofErr w:type="spellStart"/>
      <w:r w:rsidRPr="00A8532A">
        <w:t>Piccap</w:t>
      </w:r>
      <w:proofErr w:type="spellEnd"/>
      <w:r w:rsidRPr="00A8532A">
        <w:t>), Programa Jovem Aprendiz e Programa de Acolhimento e Integração Institucional.</w:t>
      </w:r>
    </w:p>
    <w:p w:rsidR="00B4231B" w:rsidRPr="00A8532A" w:rsidRDefault="00B4231B" w:rsidP="00B4231B">
      <w:pPr>
        <w:shd w:val="clear" w:color="auto" w:fill="FFFFFF"/>
        <w:jc w:val="both"/>
      </w:pPr>
      <w:r w:rsidRPr="00A8532A">
        <w:t> </w:t>
      </w:r>
    </w:p>
    <w:p w:rsidR="00B4231B" w:rsidRPr="00A8532A" w:rsidRDefault="00B4231B" w:rsidP="00B4231B">
      <w:pPr>
        <w:shd w:val="clear" w:color="auto" w:fill="FFFFFF"/>
        <w:jc w:val="both"/>
      </w:pPr>
      <w:r>
        <w:t>Ainda e</w:t>
      </w:r>
      <w:r w:rsidRPr="00A8532A">
        <w:t xml:space="preserve">m 2017, o Hospital de Clínicas foi </w:t>
      </w:r>
      <w:proofErr w:type="spellStart"/>
      <w:r w:rsidRPr="00A8532A">
        <w:t>reacreditado</w:t>
      </w:r>
      <w:proofErr w:type="spellEnd"/>
      <w:r w:rsidRPr="00A8532A">
        <w:t xml:space="preserve"> pela </w:t>
      </w:r>
      <w:r w:rsidRPr="00A8532A">
        <w:rPr>
          <w:i/>
        </w:rPr>
        <w:t xml:space="preserve">Joint </w:t>
      </w:r>
      <w:proofErr w:type="spellStart"/>
      <w:r w:rsidRPr="00A8532A">
        <w:rPr>
          <w:i/>
        </w:rPr>
        <w:t>Commission</w:t>
      </w:r>
      <w:proofErr w:type="spellEnd"/>
      <w:r w:rsidRPr="00A8532A">
        <w:rPr>
          <w:i/>
        </w:rPr>
        <w:t xml:space="preserve"> </w:t>
      </w:r>
      <w:proofErr w:type="spellStart"/>
      <w:r w:rsidRPr="00A8532A">
        <w:rPr>
          <w:i/>
        </w:rPr>
        <w:t>International</w:t>
      </w:r>
      <w:proofErr w:type="spellEnd"/>
      <w:r w:rsidRPr="00A8532A">
        <w:t>. Foi também uma das instituições agraciadas no 21º Concurso Inovação no Setor Público</w:t>
      </w:r>
      <w:r>
        <w:t xml:space="preserve"> </w:t>
      </w:r>
      <w:r w:rsidRPr="00A8532A">
        <w:t xml:space="preserve">e recebeu os prêmios Top </w:t>
      </w:r>
      <w:proofErr w:type="spellStart"/>
      <w:r w:rsidRPr="00A8532A">
        <w:t>of</w:t>
      </w:r>
      <w:proofErr w:type="spellEnd"/>
      <w:r w:rsidRPr="00A8532A">
        <w:t xml:space="preserve"> </w:t>
      </w:r>
      <w:proofErr w:type="spellStart"/>
      <w:r w:rsidRPr="00A8532A">
        <w:t>Mind</w:t>
      </w:r>
      <w:proofErr w:type="spellEnd"/>
      <w:r w:rsidRPr="00A8532A">
        <w:t>, sendo o hospital mais lembrado pelos porto-al</w:t>
      </w:r>
      <w:r w:rsidR="00CE4D77">
        <w:t>e</w:t>
      </w:r>
      <w:r w:rsidRPr="00A8532A">
        <w:t>grenses e o Top Ser Humano, por sua atuação na área de Gestão de Pessoas.</w:t>
      </w:r>
    </w:p>
    <w:p w:rsidR="00B4231B" w:rsidRPr="00A8532A" w:rsidRDefault="00B4231B" w:rsidP="00B4231B">
      <w:pPr>
        <w:shd w:val="clear" w:color="auto" w:fill="FFFFFF"/>
        <w:jc w:val="both"/>
      </w:pPr>
      <w:r w:rsidRPr="00A8532A">
        <w:t> </w:t>
      </w:r>
    </w:p>
    <w:p w:rsidR="00B4231B" w:rsidRPr="00A8532A" w:rsidRDefault="00B4231B" w:rsidP="00B4231B">
      <w:pPr>
        <w:shd w:val="clear" w:color="auto" w:fill="FFFFFF"/>
        <w:jc w:val="both"/>
      </w:pPr>
      <w:r w:rsidRPr="00A8532A">
        <w:t>Em paralelo a todo esse cenário descrito, ao longo de 2017, o HCPA manteve a condução das obras dos prédios anexos, bem como ampliação do prédio-garagem, que irá contemplar a ampliação de 516 vagas para a comunidade interna.</w:t>
      </w:r>
    </w:p>
    <w:p w:rsidR="00B4231B" w:rsidRDefault="00B4231B" w:rsidP="00B4231B"/>
    <w:p w:rsidR="00D82176" w:rsidRDefault="00D82176" w:rsidP="00B4231B"/>
    <w:p w:rsidR="00D82176" w:rsidRDefault="00D82176" w:rsidP="00B4231B"/>
    <w:p w:rsidR="00D82176" w:rsidRPr="00A8532A" w:rsidRDefault="00D82176" w:rsidP="00B4231B"/>
    <w:p w:rsidR="00B4231B" w:rsidRDefault="00B4231B" w:rsidP="00CD7310">
      <w:pPr>
        <w:pStyle w:val="Ttulo1"/>
        <w:jc w:val="left"/>
      </w:pPr>
    </w:p>
    <w:p w:rsidR="001A1DC1" w:rsidRDefault="00121225" w:rsidP="00CD7310">
      <w:pPr>
        <w:pStyle w:val="Ttulo1"/>
        <w:jc w:val="left"/>
      </w:pPr>
      <w:bookmarkStart w:id="3" w:name="_Toc512497262"/>
      <w:r>
        <w:t>Bal</w:t>
      </w:r>
      <w:r w:rsidR="00CD7310" w:rsidRPr="00FD7B48">
        <w:t>anço Patrimonial</w:t>
      </w:r>
      <w:bookmarkEnd w:id="3"/>
    </w:p>
    <w:p w:rsidR="00121225" w:rsidRPr="00121225" w:rsidRDefault="00121225" w:rsidP="00121225"/>
    <w:tbl>
      <w:tblPr>
        <w:tblW w:w="5000" w:type="pct"/>
        <w:tblCellMar>
          <w:left w:w="70" w:type="dxa"/>
          <w:right w:w="70" w:type="dxa"/>
        </w:tblCellMar>
        <w:tblLook w:val="04A0" w:firstRow="1" w:lastRow="0" w:firstColumn="1" w:lastColumn="0" w:noHBand="0" w:noVBand="1"/>
      </w:tblPr>
      <w:tblGrid>
        <w:gridCol w:w="4126"/>
        <w:gridCol w:w="520"/>
        <w:gridCol w:w="604"/>
        <w:gridCol w:w="2345"/>
        <w:gridCol w:w="185"/>
        <w:gridCol w:w="1715"/>
      </w:tblGrid>
      <w:tr w:rsidR="00E135D7" w:rsidRPr="00AB1F93" w:rsidTr="00233EA9">
        <w:trPr>
          <w:trHeight w:val="20"/>
        </w:trPr>
        <w:tc>
          <w:tcPr>
            <w:tcW w:w="2173" w:type="pct"/>
            <w:tcBorders>
              <w:top w:val="nil"/>
              <w:left w:val="nil"/>
              <w:bottom w:val="nil"/>
              <w:right w:val="nil"/>
            </w:tcBorders>
            <w:shd w:val="clear" w:color="000000" w:fill="FFFFFF"/>
            <w:noWrap/>
            <w:vAlign w:val="center"/>
            <w:hideMark/>
          </w:tcPr>
          <w:bookmarkEnd w:id="2"/>
          <w:p w:rsidR="00C30280" w:rsidRPr="00C30280" w:rsidRDefault="00C30280" w:rsidP="00C30280">
            <w:pPr>
              <w:rPr>
                <w:b/>
                <w:bCs/>
                <w:color w:val="000000"/>
                <w:sz w:val="18"/>
                <w:szCs w:val="18"/>
              </w:rPr>
            </w:pPr>
            <w:r w:rsidRPr="00C30280">
              <w:rPr>
                <w:b/>
                <w:bCs/>
                <w:color w:val="000000"/>
                <w:sz w:val="18"/>
                <w:szCs w:val="18"/>
              </w:rPr>
              <w:t>Ativo</w:t>
            </w:r>
          </w:p>
        </w:tc>
        <w:tc>
          <w:tcPr>
            <w:tcW w:w="274" w:type="pct"/>
            <w:tcBorders>
              <w:top w:val="nil"/>
              <w:left w:val="nil"/>
              <w:bottom w:val="single" w:sz="8" w:space="0" w:color="auto"/>
              <w:right w:val="nil"/>
            </w:tcBorders>
            <w:shd w:val="clear" w:color="000000" w:fill="FFFFFF"/>
            <w:vAlign w:val="center"/>
            <w:hideMark/>
          </w:tcPr>
          <w:p w:rsidR="00C30280" w:rsidRPr="00C30280" w:rsidRDefault="00C30280" w:rsidP="00C30280">
            <w:pPr>
              <w:jc w:val="center"/>
              <w:rPr>
                <w:b/>
                <w:bCs/>
                <w:color w:val="000000"/>
                <w:sz w:val="18"/>
                <w:szCs w:val="18"/>
              </w:rPr>
            </w:pPr>
            <w:r w:rsidRPr="00C30280">
              <w:rPr>
                <w:b/>
                <w:bCs/>
                <w:color w:val="000000"/>
                <w:sz w:val="18"/>
                <w:szCs w:val="18"/>
              </w:rPr>
              <w:t>Nota</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b/>
                <w:bCs/>
                <w:color w:val="000000"/>
                <w:sz w:val="18"/>
                <w:szCs w:val="18"/>
              </w:rPr>
            </w:pPr>
            <w:r w:rsidRPr="00C30280">
              <w:rPr>
                <w:b/>
                <w:bCs/>
                <w:color w:val="000000"/>
                <w:sz w:val="18"/>
                <w:szCs w:val="18"/>
              </w:rPr>
              <w:t> </w:t>
            </w:r>
          </w:p>
        </w:tc>
        <w:tc>
          <w:tcPr>
            <w:tcW w:w="1235" w:type="pct"/>
            <w:tcBorders>
              <w:top w:val="nil"/>
              <w:left w:val="nil"/>
              <w:bottom w:val="single" w:sz="8" w:space="0" w:color="auto"/>
              <w:right w:val="nil"/>
            </w:tcBorders>
            <w:shd w:val="clear" w:color="000000" w:fill="FFFFFF"/>
            <w:vAlign w:val="center"/>
            <w:hideMark/>
          </w:tcPr>
          <w:p w:rsidR="00C30280" w:rsidRPr="00C30280" w:rsidRDefault="00C30280" w:rsidP="00E135D7">
            <w:pPr>
              <w:jc w:val="center"/>
              <w:rPr>
                <w:b/>
                <w:bCs/>
                <w:color w:val="000000"/>
                <w:sz w:val="18"/>
                <w:szCs w:val="18"/>
              </w:rPr>
            </w:pPr>
            <w:r w:rsidRPr="00C30280">
              <w:rPr>
                <w:b/>
                <w:bCs/>
                <w:color w:val="000000"/>
                <w:sz w:val="18"/>
                <w:szCs w:val="18"/>
              </w:rPr>
              <w:t>31/12/2017</w:t>
            </w:r>
          </w:p>
        </w:tc>
        <w:tc>
          <w:tcPr>
            <w:tcW w:w="97" w:type="pct"/>
            <w:tcBorders>
              <w:top w:val="nil"/>
              <w:left w:val="nil"/>
              <w:bottom w:val="nil"/>
              <w:right w:val="nil"/>
            </w:tcBorders>
            <w:shd w:val="clear" w:color="000000" w:fill="FFFFFF"/>
            <w:vAlign w:val="center"/>
            <w:hideMark/>
          </w:tcPr>
          <w:p w:rsidR="00C30280" w:rsidRPr="00C30280" w:rsidRDefault="00C30280" w:rsidP="00E135D7">
            <w:pPr>
              <w:jc w:val="center"/>
              <w:rPr>
                <w:b/>
                <w:bCs/>
                <w:color w:val="000000"/>
                <w:sz w:val="18"/>
                <w:szCs w:val="18"/>
              </w:rPr>
            </w:pPr>
          </w:p>
        </w:tc>
        <w:tc>
          <w:tcPr>
            <w:tcW w:w="903" w:type="pct"/>
            <w:tcBorders>
              <w:top w:val="nil"/>
              <w:left w:val="nil"/>
              <w:bottom w:val="single" w:sz="8" w:space="0" w:color="auto"/>
              <w:right w:val="nil"/>
            </w:tcBorders>
            <w:shd w:val="clear" w:color="000000" w:fill="FFFFFF"/>
            <w:noWrap/>
            <w:vAlign w:val="center"/>
            <w:hideMark/>
          </w:tcPr>
          <w:p w:rsidR="00C30280" w:rsidRPr="00C30280" w:rsidRDefault="00C30280" w:rsidP="00E135D7">
            <w:pPr>
              <w:jc w:val="center"/>
              <w:rPr>
                <w:b/>
                <w:bCs/>
                <w:color w:val="000000"/>
                <w:sz w:val="18"/>
                <w:szCs w:val="18"/>
              </w:rPr>
            </w:pPr>
            <w:r w:rsidRPr="00C30280">
              <w:rPr>
                <w:b/>
                <w:bCs/>
                <w:color w:val="000000"/>
                <w:sz w:val="18"/>
                <w:szCs w:val="18"/>
              </w:rPr>
              <w:t>31/12/2016</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right"/>
              <w:rPr>
                <w:b/>
                <w:bCs/>
                <w:color w:val="000000"/>
                <w:sz w:val="18"/>
                <w:szCs w:val="18"/>
              </w:rPr>
            </w:pPr>
            <w:r w:rsidRPr="00C30280">
              <w:rPr>
                <w:b/>
                <w:bCs/>
                <w:color w:val="00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b/>
                <w:bCs/>
                <w:color w:val="000000"/>
                <w:sz w:val="18"/>
                <w:szCs w:val="18"/>
              </w:rPr>
            </w:pPr>
            <w:r w:rsidRPr="00C30280">
              <w:rPr>
                <w:b/>
                <w:bCs/>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C30280">
            <w:pPr>
              <w:rPr>
                <w:color w:val="000000"/>
                <w:sz w:val="18"/>
                <w:szCs w:val="18"/>
              </w:rPr>
            </w:pPr>
            <w:r w:rsidRPr="00C30280">
              <w:rPr>
                <w:color w:val="000000"/>
                <w:sz w:val="18"/>
                <w:szCs w:val="18"/>
              </w:rPr>
              <w:t> </w:t>
            </w:r>
          </w:p>
        </w:tc>
        <w:tc>
          <w:tcPr>
            <w:tcW w:w="97" w:type="pct"/>
            <w:tcBorders>
              <w:top w:val="nil"/>
              <w:left w:val="nil"/>
              <w:bottom w:val="nil"/>
              <w:right w:val="nil"/>
            </w:tcBorders>
            <w:shd w:val="clear" w:color="000000" w:fill="FFFFFF"/>
            <w:noWrap/>
            <w:vAlign w:val="bottom"/>
            <w:hideMark/>
          </w:tcPr>
          <w:p w:rsidR="00C30280" w:rsidRPr="00C30280" w:rsidRDefault="00C30280" w:rsidP="00C30280">
            <w:pPr>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C30280">
            <w:pPr>
              <w:rPr>
                <w:color w:val="000000"/>
                <w:sz w:val="18"/>
                <w:szCs w:val="18"/>
              </w:rPr>
            </w:pPr>
            <w:r w:rsidRPr="00C30280">
              <w:rPr>
                <w:color w:val="000000"/>
                <w:sz w:val="18"/>
                <w:szCs w:val="18"/>
              </w:rPr>
              <w:t> </w:t>
            </w:r>
          </w:p>
        </w:tc>
      </w:tr>
      <w:tr w:rsidR="00E135D7" w:rsidRPr="008F11DE" w:rsidTr="00233EA9">
        <w:trPr>
          <w:trHeight w:val="20"/>
        </w:trPr>
        <w:tc>
          <w:tcPr>
            <w:tcW w:w="2173" w:type="pct"/>
            <w:tcBorders>
              <w:top w:val="nil"/>
              <w:left w:val="nil"/>
              <w:bottom w:val="nil"/>
              <w:right w:val="nil"/>
            </w:tcBorders>
            <w:shd w:val="clear" w:color="000000" w:fill="FFFFFF"/>
            <w:noWrap/>
            <w:vAlign w:val="center"/>
            <w:hideMark/>
          </w:tcPr>
          <w:p w:rsidR="00C30280" w:rsidRPr="008F11DE" w:rsidRDefault="00C30280" w:rsidP="00C30280">
            <w:pPr>
              <w:rPr>
                <w:bCs/>
                <w:color w:val="000000"/>
                <w:sz w:val="18"/>
                <w:szCs w:val="18"/>
              </w:rPr>
            </w:pPr>
            <w:r w:rsidRPr="008F11DE">
              <w:rPr>
                <w:bCs/>
                <w:color w:val="000000"/>
                <w:sz w:val="18"/>
                <w:szCs w:val="18"/>
              </w:rPr>
              <w:t>Circulante</w:t>
            </w:r>
          </w:p>
        </w:tc>
        <w:tc>
          <w:tcPr>
            <w:tcW w:w="274" w:type="pct"/>
            <w:tcBorders>
              <w:top w:val="nil"/>
              <w:left w:val="nil"/>
              <w:bottom w:val="nil"/>
              <w:right w:val="nil"/>
            </w:tcBorders>
            <w:shd w:val="clear" w:color="000000" w:fill="FFFFFF"/>
            <w:vAlign w:val="center"/>
            <w:hideMark/>
          </w:tcPr>
          <w:p w:rsidR="00C30280" w:rsidRPr="008F11DE" w:rsidRDefault="00C30280" w:rsidP="00C30280">
            <w:pPr>
              <w:jc w:val="center"/>
              <w:rPr>
                <w:bCs/>
                <w:color w:val="000000"/>
                <w:sz w:val="18"/>
                <w:szCs w:val="18"/>
              </w:rPr>
            </w:pPr>
            <w:r w:rsidRPr="008F11DE">
              <w:rPr>
                <w:bCs/>
                <w:color w:val="000000"/>
                <w:sz w:val="18"/>
                <w:szCs w:val="18"/>
              </w:rPr>
              <w:t> </w:t>
            </w:r>
          </w:p>
        </w:tc>
        <w:tc>
          <w:tcPr>
            <w:tcW w:w="318" w:type="pct"/>
            <w:tcBorders>
              <w:top w:val="nil"/>
              <w:left w:val="nil"/>
              <w:bottom w:val="nil"/>
              <w:right w:val="nil"/>
            </w:tcBorders>
            <w:shd w:val="clear" w:color="000000" w:fill="FFFFFF"/>
            <w:vAlign w:val="center"/>
            <w:hideMark/>
          </w:tcPr>
          <w:p w:rsidR="00C30280" w:rsidRPr="008F11DE" w:rsidRDefault="00C30280" w:rsidP="00C30280">
            <w:pPr>
              <w:jc w:val="right"/>
              <w:rPr>
                <w:color w:val="000000"/>
                <w:sz w:val="18"/>
                <w:szCs w:val="18"/>
              </w:rPr>
            </w:pPr>
            <w:r w:rsidRPr="008F11DE">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8F11DE" w:rsidRDefault="00C30280" w:rsidP="00C30280">
            <w:pPr>
              <w:rPr>
                <w:color w:val="000000"/>
                <w:sz w:val="18"/>
                <w:szCs w:val="18"/>
              </w:rPr>
            </w:pPr>
            <w:r w:rsidRPr="008F11DE">
              <w:rPr>
                <w:color w:val="000000"/>
                <w:sz w:val="18"/>
                <w:szCs w:val="18"/>
              </w:rPr>
              <w:t> </w:t>
            </w:r>
          </w:p>
        </w:tc>
        <w:tc>
          <w:tcPr>
            <w:tcW w:w="97" w:type="pct"/>
            <w:tcBorders>
              <w:top w:val="nil"/>
              <w:left w:val="nil"/>
              <w:bottom w:val="nil"/>
              <w:right w:val="nil"/>
            </w:tcBorders>
            <w:shd w:val="clear" w:color="000000" w:fill="FFFFFF"/>
            <w:noWrap/>
            <w:vAlign w:val="bottom"/>
            <w:hideMark/>
          </w:tcPr>
          <w:p w:rsidR="00C30280" w:rsidRPr="008F11DE" w:rsidRDefault="00C30280" w:rsidP="00C30280">
            <w:pPr>
              <w:rPr>
                <w:color w:val="000000"/>
                <w:sz w:val="18"/>
                <w:szCs w:val="18"/>
              </w:rPr>
            </w:pPr>
            <w:r w:rsidRPr="008F11DE">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8F11DE" w:rsidRDefault="00C30280" w:rsidP="00C30280">
            <w:pPr>
              <w:rPr>
                <w:color w:val="000000"/>
                <w:sz w:val="18"/>
                <w:szCs w:val="18"/>
              </w:rPr>
            </w:pPr>
            <w:r w:rsidRPr="008F11DE">
              <w:rPr>
                <w:color w:val="000000"/>
                <w:sz w:val="18"/>
                <w:szCs w:val="18"/>
              </w:rPr>
              <w:t> </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Caixa e Equivalente de Caixa </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791205">
              <w:rPr>
                <w:b/>
                <w:bCs/>
                <w:sz w:val="18"/>
                <w:szCs w:val="18"/>
              </w:rPr>
              <w:t>5</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58.855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35.005 </w:t>
            </w:r>
          </w:p>
        </w:tc>
      </w:tr>
      <w:tr w:rsidR="00E135D7" w:rsidRPr="00AB1F93" w:rsidTr="00CF26DB">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Créditos a Receber </w:t>
            </w:r>
            <w:r w:rsidR="00CF26DB">
              <w:rPr>
                <w:color w:val="000000"/>
                <w:sz w:val="18"/>
                <w:szCs w:val="18"/>
              </w:rPr>
              <w:t xml:space="preserve">a </w:t>
            </w:r>
            <w:r w:rsidRPr="00C30280">
              <w:rPr>
                <w:color w:val="000000"/>
                <w:sz w:val="18"/>
                <w:szCs w:val="18"/>
              </w:rPr>
              <w:t>Curto Prazo</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C30280">
              <w:rPr>
                <w:b/>
                <w:bCs/>
                <w:color w:val="FF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tcPr>
          <w:p w:rsidR="00C30280" w:rsidRPr="00C30280" w:rsidRDefault="00C30280" w:rsidP="00AB1F93">
            <w:pPr>
              <w:jc w:val="right"/>
              <w:rPr>
                <w:color w:val="000000"/>
                <w:sz w:val="18"/>
                <w:szCs w:val="18"/>
              </w:rPr>
            </w:pPr>
          </w:p>
        </w:tc>
        <w:tc>
          <w:tcPr>
            <w:tcW w:w="97" w:type="pct"/>
            <w:tcBorders>
              <w:top w:val="nil"/>
              <w:left w:val="nil"/>
              <w:bottom w:val="nil"/>
              <w:right w:val="nil"/>
            </w:tcBorders>
            <w:shd w:val="clear" w:color="000000" w:fill="FFFFFF"/>
            <w:noWrap/>
            <w:vAlign w:val="bottom"/>
          </w:tcPr>
          <w:p w:rsidR="00C30280" w:rsidRPr="00C30280" w:rsidRDefault="00C30280" w:rsidP="00E135D7">
            <w:pPr>
              <w:jc w:val="right"/>
              <w:rPr>
                <w:color w:val="000000"/>
                <w:sz w:val="18"/>
                <w:szCs w:val="18"/>
              </w:rPr>
            </w:pPr>
          </w:p>
        </w:tc>
        <w:tc>
          <w:tcPr>
            <w:tcW w:w="903" w:type="pct"/>
            <w:tcBorders>
              <w:top w:val="nil"/>
              <w:left w:val="nil"/>
              <w:bottom w:val="nil"/>
              <w:right w:val="nil"/>
            </w:tcBorders>
            <w:shd w:val="clear" w:color="000000" w:fill="FFFFFF"/>
            <w:noWrap/>
            <w:vAlign w:val="bottom"/>
          </w:tcPr>
          <w:p w:rsidR="00C30280" w:rsidRPr="00C30280" w:rsidRDefault="00C30280" w:rsidP="00AB1F93">
            <w:pPr>
              <w:jc w:val="right"/>
              <w:rPr>
                <w:color w:val="000000"/>
                <w:sz w:val="18"/>
                <w:szCs w:val="18"/>
              </w:rPr>
            </w:pP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Faturas e Duplicatas a Receber</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C30280">
              <w:rPr>
                <w:b/>
                <w:bCs/>
                <w:color w:val="FF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138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AB1F93">
            <w:pPr>
              <w:jc w:val="right"/>
              <w:rPr>
                <w:color w:val="000000"/>
                <w:sz w:val="18"/>
                <w:szCs w:val="18"/>
              </w:rPr>
            </w:pPr>
            <w:r w:rsidRPr="00C30280">
              <w:rPr>
                <w:color w:val="000000"/>
                <w:sz w:val="18"/>
                <w:szCs w:val="18"/>
              </w:rPr>
              <w:t xml:space="preserve">                    125 </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Crédito de Fornecimento de Serviços </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791205">
              <w:rPr>
                <w:b/>
                <w:bCs/>
                <w:sz w:val="18"/>
                <w:szCs w:val="18"/>
              </w:rPr>
              <w:t>6</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40.502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AB1F93">
            <w:pPr>
              <w:jc w:val="right"/>
              <w:rPr>
                <w:color w:val="000000"/>
                <w:sz w:val="18"/>
                <w:szCs w:val="18"/>
              </w:rPr>
            </w:pPr>
            <w:r w:rsidRPr="00C30280">
              <w:rPr>
                <w:color w:val="000000"/>
                <w:sz w:val="18"/>
                <w:szCs w:val="18"/>
              </w:rPr>
              <w:t xml:space="preserve">              45.827 </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Contingências e apropriações por Competência </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791205">
              <w:rPr>
                <w:b/>
                <w:bCs/>
                <w:sz w:val="18"/>
                <w:szCs w:val="18"/>
              </w:rPr>
              <w:t>1</w:t>
            </w:r>
            <w:r w:rsidR="00791205" w:rsidRPr="00791205">
              <w:rPr>
                <w:b/>
                <w:bCs/>
                <w:sz w:val="18"/>
                <w:szCs w:val="18"/>
              </w:rPr>
              <w:t>3</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157.371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AB1F93">
            <w:pPr>
              <w:jc w:val="right"/>
              <w:rPr>
                <w:color w:val="000000"/>
                <w:sz w:val="18"/>
                <w:szCs w:val="18"/>
              </w:rPr>
            </w:pPr>
            <w:r w:rsidRPr="00C30280">
              <w:rPr>
                <w:color w:val="000000"/>
                <w:sz w:val="18"/>
                <w:szCs w:val="18"/>
              </w:rPr>
              <w:t xml:space="preserve">           151.834 </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w:t>
            </w:r>
            <w:r w:rsidR="009E690C">
              <w:rPr>
                <w:color w:val="000000"/>
                <w:sz w:val="18"/>
                <w:szCs w:val="18"/>
              </w:rPr>
              <w:t xml:space="preserve"> </w:t>
            </w:r>
            <w:r w:rsidRPr="00C30280">
              <w:rPr>
                <w:color w:val="000000"/>
                <w:sz w:val="18"/>
                <w:szCs w:val="18"/>
              </w:rPr>
              <w:t xml:space="preserve">Adiantamentos de Pessoal </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791205">
              <w:rPr>
                <w:b/>
                <w:bCs/>
                <w:sz w:val="18"/>
                <w:szCs w:val="18"/>
              </w:rPr>
              <w:t>7</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14.502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AB1F93">
            <w:pPr>
              <w:jc w:val="right"/>
              <w:rPr>
                <w:color w:val="000000"/>
                <w:sz w:val="18"/>
                <w:szCs w:val="18"/>
              </w:rPr>
            </w:pPr>
            <w:r w:rsidRPr="00C30280">
              <w:rPr>
                <w:color w:val="000000"/>
                <w:sz w:val="18"/>
                <w:szCs w:val="18"/>
              </w:rPr>
              <w:t xml:space="preserve">              11.572 </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w:t>
            </w:r>
            <w:r w:rsidR="009E690C">
              <w:rPr>
                <w:color w:val="000000"/>
                <w:sz w:val="18"/>
                <w:szCs w:val="18"/>
              </w:rPr>
              <w:t xml:space="preserve"> </w:t>
            </w:r>
            <w:r w:rsidRPr="00C30280">
              <w:rPr>
                <w:color w:val="000000"/>
                <w:sz w:val="18"/>
                <w:szCs w:val="18"/>
              </w:rPr>
              <w:t xml:space="preserve"> Adiantamentos a Unidades e Entidades</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C30280">
              <w:rPr>
                <w:b/>
                <w:bCs/>
                <w:color w:val="FF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AB1F93">
            <w:pPr>
              <w:jc w:val="right"/>
              <w:rPr>
                <w:color w:val="000000"/>
                <w:sz w:val="18"/>
                <w:szCs w:val="18"/>
              </w:rPr>
            </w:pPr>
            <w:r w:rsidRPr="00C30280">
              <w:rPr>
                <w:color w:val="000000"/>
                <w:sz w:val="18"/>
                <w:szCs w:val="18"/>
              </w:rPr>
              <w:t xml:space="preserve">           619 </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w:t>
            </w:r>
            <w:r w:rsidR="009E690C">
              <w:rPr>
                <w:color w:val="000000"/>
                <w:sz w:val="18"/>
                <w:szCs w:val="18"/>
              </w:rPr>
              <w:t xml:space="preserve"> </w:t>
            </w:r>
            <w:r w:rsidRPr="00C30280">
              <w:rPr>
                <w:color w:val="000000"/>
                <w:sz w:val="18"/>
                <w:szCs w:val="18"/>
              </w:rPr>
              <w:t>Demais Contas a Receber</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C30280">
              <w:rPr>
                <w:b/>
                <w:bCs/>
                <w:color w:val="FF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2.133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AB1F93">
            <w:pPr>
              <w:jc w:val="right"/>
              <w:rPr>
                <w:color w:val="000000"/>
                <w:sz w:val="18"/>
                <w:szCs w:val="18"/>
              </w:rPr>
            </w:pPr>
            <w:r w:rsidRPr="00C30280">
              <w:rPr>
                <w:color w:val="000000"/>
                <w:sz w:val="18"/>
                <w:szCs w:val="18"/>
              </w:rPr>
              <w:t xml:space="preserve">            134 </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w:t>
            </w:r>
            <w:r w:rsidR="009E690C">
              <w:rPr>
                <w:color w:val="000000"/>
                <w:sz w:val="18"/>
                <w:szCs w:val="18"/>
              </w:rPr>
              <w:t xml:space="preserve"> </w:t>
            </w:r>
            <w:r w:rsidRPr="00C30280">
              <w:rPr>
                <w:color w:val="000000"/>
                <w:sz w:val="18"/>
                <w:szCs w:val="18"/>
              </w:rPr>
              <w:t>Adiantamentos a Fornecedores</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C30280">
              <w:rPr>
                <w:b/>
                <w:bCs/>
                <w:color w:val="FF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AB1F93">
            <w:pPr>
              <w:jc w:val="right"/>
              <w:rPr>
                <w:color w:val="000000"/>
                <w:sz w:val="18"/>
                <w:szCs w:val="18"/>
              </w:rPr>
            </w:pPr>
            <w:r w:rsidRPr="00C30280">
              <w:rPr>
                <w:color w:val="000000"/>
                <w:sz w:val="18"/>
                <w:szCs w:val="18"/>
              </w:rPr>
              <w:t xml:space="preserve">                  15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AB1F93">
            <w:pPr>
              <w:jc w:val="right"/>
              <w:rPr>
                <w:color w:val="000000"/>
                <w:sz w:val="18"/>
                <w:szCs w:val="18"/>
              </w:rPr>
            </w:pPr>
            <w:r w:rsidRPr="00C30280">
              <w:rPr>
                <w:color w:val="000000"/>
                <w:sz w:val="18"/>
                <w:szCs w:val="18"/>
              </w:rPr>
              <w:t xml:space="preserve">             14 </w:t>
            </w:r>
          </w:p>
        </w:tc>
      </w:tr>
      <w:tr w:rsidR="00E135D7" w:rsidRPr="00AB1F93" w:rsidTr="00CF26DB">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Estoques</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C30280">
              <w:rPr>
                <w:b/>
                <w:bCs/>
                <w:color w:val="FF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tcPr>
          <w:p w:rsidR="00C30280" w:rsidRPr="00C30280" w:rsidRDefault="00C30280" w:rsidP="00AB1F93">
            <w:pPr>
              <w:jc w:val="right"/>
              <w:rPr>
                <w:color w:val="000000"/>
                <w:sz w:val="18"/>
                <w:szCs w:val="18"/>
              </w:rPr>
            </w:pPr>
          </w:p>
        </w:tc>
        <w:tc>
          <w:tcPr>
            <w:tcW w:w="97" w:type="pct"/>
            <w:tcBorders>
              <w:top w:val="nil"/>
              <w:left w:val="nil"/>
              <w:bottom w:val="nil"/>
              <w:right w:val="nil"/>
            </w:tcBorders>
            <w:shd w:val="clear" w:color="000000" w:fill="FFFFFF"/>
            <w:noWrap/>
            <w:vAlign w:val="bottom"/>
          </w:tcPr>
          <w:p w:rsidR="00C30280" w:rsidRPr="00C30280" w:rsidRDefault="00C30280" w:rsidP="00E135D7">
            <w:pPr>
              <w:jc w:val="right"/>
              <w:rPr>
                <w:color w:val="000000"/>
                <w:sz w:val="18"/>
                <w:szCs w:val="18"/>
              </w:rPr>
            </w:pPr>
          </w:p>
        </w:tc>
        <w:tc>
          <w:tcPr>
            <w:tcW w:w="903" w:type="pct"/>
            <w:tcBorders>
              <w:top w:val="nil"/>
              <w:left w:val="nil"/>
              <w:bottom w:val="nil"/>
              <w:right w:val="nil"/>
            </w:tcBorders>
            <w:shd w:val="clear" w:color="000000" w:fill="FFFFFF"/>
            <w:noWrap/>
            <w:vAlign w:val="bottom"/>
          </w:tcPr>
          <w:p w:rsidR="00C30280" w:rsidRPr="00C30280" w:rsidRDefault="00C30280" w:rsidP="00AB1F93">
            <w:pPr>
              <w:jc w:val="right"/>
              <w:rPr>
                <w:color w:val="000000"/>
                <w:sz w:val="18"/>
                <w:szCs w:val="18"/>
              </w:rPr>
            </w:pP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Estoques Materiais de Consumo </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791205">
              <w:rPr>
                <w:b/>
                <w:bCs/>
                <w:sz w:val="18"/>
                <w:szCs w:val="18"/>
              </w:rPr>
              <w:t>8</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20.324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AB1F93">
            <w:pPr>
              <w:jc w:val="right"/>
              <w:rPr>
                <w:color w:val="000000"/>
                <w:sz w:val="18"/>
                <w:szCs w:val="18"/>
              </w:rPr>
            </w:pPr>
            <w:r w:rsidRPr="00C30280">
              <w:rPr>
                <w:color w:val="000000"/>
                <w:sz w:val="18"/>
                <w:szCs w:val="18"/>
              </w:rPr>
              <w:t xml:space="preserve">      21.833 </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Importação em Andamento</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C30280">
              <w:rPr>
                <w:b/>
                <w:bCs/>
                <w:color w:val="FF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231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1.208 </w:t>
            </w:r>
          </w:p>
        </w:tc>
      </w:tr>
      <w:tr w:rsidR="00E135D7" w:rsidRPr="00AB1F93" w:rsidTr="00CF26DB">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Despesas Pagas Antecipadamente</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C30280">
              <w:rPr>
                <w:b/>
                <w:bCs/>
                <w:color w:val="FF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tcPr>
          <w:p w:rsidR="00C30280" w:rsidRPr="00C30280" w:rsidRDefault="00C30280" w:rsidP="00E135D7">
            <w:pPr>
              <w:jc w:val="right"/>
              <w:rPr>
                <w:color w:val="000000"/>
                <w:sz w:val="18"/>
                <w:szCs w:val="18"/>
              </w:rPr>
            </w:pPr>
          </w:p>
        </w:tc>
        <w:tc>
          <w:tcPr>
            <w:tcW w:w="97" w:type="pct"/>
            <w:tcBorders>
              <w:top w:val="nil"/>
              <w:left w:val="nil"/>
              <w:bottom w:val="nil"/>
              <w:right w:val="nil"/>
            </w:tcBorders>
            <w:shd w:val="clear" w:color="000000" w:fill="FFFFFF"/>
            <w:noWrap/>
            <w:vAlign w:val="bottom"/>
          </w:tcPr>
          <w:p w:rsidR="00C30280" w:rsidRPr="00C30280" w:rsidRDefault="00C30280" w:rsidP="00E135D7">
            <w:pPr>
              <w:jc w:val="right"/>
              <w:rPr>
                <w:color w:val="000000"/>
                <w:sz w:val="18"/>
                <w:szCs w:val="18"/>
              </w:rPr>
            </w:pPr>
          </w:p>
        </w:tc>
        <w:tc>
          <w:tcPr>
            <w:tcW w:w="903" w:type="pct"/>
            <w:tcBorders>
              <w:top w:val="nil"/>
              <w:left w:val="nil"/>
              <w:bottom w:val="nil"/>
              <w:right w:val="nil"/>
            </w:tcBorders>
            <w:shd w:val="clear" w:color="000000" w:fill="FFFFFF"/>
            <w:noWrap/>
            <w:vAlign w:val="bottom"/>
          </w:tcPr>
          <w:p w:rsidR="00C30280" w:rsidRPr="00C30280" w:rsidRDefault="00C30280" w:rsidP="00AB1F93">
            <w:pPr>
              <w:jc w:val="right"/>
              <w:rPr>
                <w:color w:val="000000"/>
                <w:sz w:val="18"/>
                <w:szCs w:val="18"/>
              </w:rPr>
            </w:pP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Assinaturas e Anuidades a Apropriar</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C30280">
              <w:rPr>
                <w:b/>
                <w:bCs/>
                <w:color w:val="FF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233EA9">
            <w:pPr>
              <w:jc w:val="right"/>
              <w:rPr>
                <w:color w:val="000000"/>
                <w:sz w:val="18"/>
                <w:szCs w:val="18"/>
              </w:rPr>
            </w:pPr>
            <w:r w:rsidRPr="00C30280">
              <w:rPr>
                <w:color w:val="000000"/>
                <w:sz w:val="18"/>
                <w:szCs w:val="18"/>
              </w:rPr>
              <w:t xml:space="preserve">              </w:t>
            </w:r>
            <w:r w:rsidR="00233EA9">
              <w:rPr>
                <w:color w:val="000000"/>
                <w:sz w:val="18"/>
                <w:szCs w:val="18"/>
              </w:rPr>
              <w:t>135</w:t>
            </w:r>
            <w:r w:rsidRPr="00C30280">
              <w:rPr>
                <w:color w:val="000000"/>
                <w:sz w:val="18"/>
                <w:szCs w:val="18"/>
              </w:rPr>
              <w:t xml:space="preserve">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233EA9" w:rsidP="00AB1F93">
            <w:pPr>
              <w:jc w:val="right"/>
              <w:rPr>
                <w:color w:val="000000"/>
                <w:sz w:val="18"/>
                <w:szCs w:val="18"/>
              </w:rPr>
            </w:pPr>
            <w:r>
              <w:rPr>
                <w:color w:val="000000"/>
                <w:sz w:val="18"/>
                <w:szCs w:val="18"/>
              </w:rPr>
              <w:t xml:space="preserve">                      140</w:t>
            </w:r>
            <w:r w:rsidR="00C30280" w:rsidRPr="00C30280">
              <w:rPr>
                <w:color w:val="000000"/>
                <w:sz w:val="18"/>
                <w:szCs w:val="18"/>
              </w:rPr>
              <w:t xml:space="preserve"> </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C30280">
              <w:rPr>
                <w:b/>
                <w:bCs/>
                <w:color w:val="FF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b/>
                <w:bCs/>
                <w:color w:val="000000"/>
                <w:sz w:val="18"/>
                <w:szCs w:val="18"/>
              </w:rPr>
            </w:pPr>
            <w:r w:rsidRPr="00C30280">
              <w:rPr>
                <w:b/>
                <w:bCs/>
                <w:color w:val="000000"/>
                <w:sz w:val="18"/>
                <w:szCs w:val="18"/>
              </w:rPr>
              <w:t> </w:t>
            </w:r>
          </w:p>
        </w:tc>
        <w:tc>
          <w:tcPr>
            <w:tcW w:w="1235" w:type="pct"/>
            <w:tcBorders>
              <w:top w:val="nil"/>
              <w:left w:val="nil"/>
              <w:bottom w:val="single" w:sz="8" w:space="0" w:color="auto"/>
              <w:right w:val="nil"/>
            </w:tcBorders>
            <w:shd w:val="clear" w:color="000000" w:fill="FFFFFF"/>
            <w:vAlign w:val="center"/>
            <w:hideMark/>
          </w:tcPr>
          <w:p w:rsidR="00C30280" w:rsidRPr="00C30280" w:rsidRDefault="00C30280" w:rsidP="00E135D7">
            <w:pPr>
              <w:jc w:val="right"/>
              <w:rPr>
                <w:b/>
                <w:bCs/>
                <w:color w:val="000000"/>
                <w:sz w:val="18"/>
                <w:szCs w:val="18"/>
              </w:rPr>
            </w:pPr>
            <w:r w:rsidRPr="00C30280">
              <w:rPr>
                <w:b/>
                <w:bCs/>
                <w:color w:val="000000"/>
                <w:sz w:val="18"/>
                <w:szCs w:val="18"/>
              </w:rPr>
              <w:t>294.206</w:t>
            </w:r>
          </w:p>
        </w:tc>
        <w:tc>
          <w:tcPr>
            <w:tcW w:w="97" w:type="pct"/>
            <w:tcBorders>
              <w:top w:val="nil"/>
              <w:left w:val="nil"/>
              <w:bottom w:val="nil"/>
              <w:right w:val="nil"/>
            </w:tcBorders>
            <w:shd w:val="clear" w:color="000000" w:fill="FFFFFF"/>
            <w:vAlign w:val="center"/>
            <w:hideMark/>
          </w:tcPr>
          <w:p w:rsidR="00C30280" w:rsidRPr="00C30280" w:rsidRDefault="00C30280" w:rsidP="00E135D7">
            <w:pPr>
              <w:jc w:val="right"/>
              <w:rPr>
                <w:b/>
                <w:bCs/>
                <w:color w:val="000000"/>
                <w:sz w:val="18"/>
                <w:szCs w:val="18"/>
              </w:rPr>
            </w:pPr>
            <w:r w:rsidRPr="00C30280">
              <w:rPr>
                <w:b/>
                <w:bCs/>
                <w:color w:val="000000"/>
                <w:sz w:val="18"/>
                <w:szCs w:val="18"/>
              </w:rPr>
              <w:t> </w:t>
            </w:r>
          </w:p>
        </w:tc>
        <w:tc>
          <w:tcPr>
            <w:tcW w:w="903" w:type="pct"/>
            <w:tcBorders>
              <w:top w:val="nil"/>
              <w:left w:val="nil"/>
              <w:bottom w:val="single" w:sz="8" w:space="0" w:color="auto"/>
              <w:right w:val="nil"/>
            </w:tcBorders>
            <w:shd w:val="clear" w:color="000000" w:fill="FFFFFF"/>
            <w:vAlign w:val="center"/>
            <w:hideMark/>
          </w:tcPr>
          <w:p w:rsidR="00C30280" w:rsidRPr="00C30280" w:rsidRDefault="00C30280" w:rsidP="00E135D7">
            <w:pPr>
              <w:jc w:val="right"/>
              <w:rPr>
                <w:b/>
                <w:bCs/>
                <w:color w:val="000000"/>
                <w:sz w:val="18"/>
                <w:szCs w:val="18"/>
              </w:rPr>
            </w:pPr>
            <w:r w:rsidRPr="00C30280">
              <w:rPr>
                <w:b/>
                <w:bCs/>
                <w:color w:val="000000"/>
                <w:sz w:val="18"/>
                <w:szCs w:val="18"/>
              </w:rPr>
              <w:t>268.311</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b/>
                <w:bCs/>
                <w:color w:val="000000"/>
                <w:sz w:val="18"/>
                <w:szCs w:val="18"/>
              </w:rPr>
            </w:pPr>
            <w:r w:rsidRPr="00C30280">
              <w:rPr>
                <w:b/>
                <w:bCs/>
                <w:color w:val="000000"/>
                <w:sz w:val="18"/>
                <w:szCs w:val="18"/>
              </w:rPr>
              <w:t>Não Circulante</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C30280">
              <w:rPr>
                <w:b/>
                <w:bCs/>
                <w:color w:val="FF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Realizável a Longo Prazo</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C30280">
              <w:rPr>
                <w:b/>
                <w:bCs/>
                <w:color w:val="FF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Depósitos Judiciais</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r w:rsidRPr="00C30280">
              <w:rPr>
                <w:b/>
                <w:bCs/>
                <w:color w:val="FF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1.966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1.844 </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Contingências e apropriações por Competência </w:t>
            </w:r>
          </w:p>
        </w:tc>
        <w:tc>
          <w:tcPr>
            <w:tcW w:w="274" w:type="pct"/>
            <w:tcBorders>
              <w:top w:val="nil"/>
              <w:left w:val="nil"/>
              <w:bottom w:val="nil"/>
              <w:right w:val="nil"/>
            </w:tcBorders>
            <w:shd w:val="clear" w:color="000000" w:fill="FFFFFF"/>
            <w:vAlign w:val="center"/>
            <w:hideMark/>
          </w:tcPr>
          <w:p w:rsidR="00C30280" w:rsidRPr="00C30280" w:rsidRDefault="00791205" w:rsidP="00C30280">
            <w:pPr>
              <w:jc w:val="center"/>
              <w:rPr>
                <w:b/>
                <w:bCs/>
                <w:color w:val="FF0000"/>
                <w:sz w:val="18"/>
                <w:szCs w:val="18"/>
              </w:rPr>
            </w:pPr>
            <w:r w:rsidRPr="00791205">
              <w:rPr>
                <w:b/>
                <w:bCs/>
                <w:sz w:val="18"/>
                <w:szCs w:val="18"/>
              </w:rPr>
              <w:t>13</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334DCE" w:rsidP="00E135D7">
            <w:pPr>
              <w:jc w:val="right"/>
              <w:rPr>
                <w:color w:val="000000"/>
                <w:sz w:val="18"/>
                <w:szCs w:val="18"/>
              </w:rPr>
            </w:pPr>
            <w:r>
              <w:rPr>
                <w:color w:val="000000"/>
                <w:sz w:val="18"/>
                <w:szCs w:val="18"/>
              </w:rPr>
              <w:t>278.858</w:t>
            </w:r>
            <w:r w:rsidR="00C30280" w:rsidRPr="00C30280">
              <w:rPr>
                <w:color w:val="000000"/>
                <w:sz w:val="18"/>
                <w:szCs w:val="18"/>
              </w:rPr>
              <w:t xml:space="preserve">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242.661 </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AB1F93" w:rsidP="00ED655B">
            <w:pPr>
              <w:rPr>
                <w:color w:val="000000"/>
                <w:sz w:val="18"/>
                <w:szCs w:val="18"/>
              </w:rPr>
            </w:pPr>
            <w:r w:rsidRPr="00AB1F93">
              <w:rPr>
                <w:color w:val="000000"/>
                <w:sz w:val="18"/>
                <w:szCs w:val="18"/>
              </w:rPr>
              <w:t xml:space="preserve">     </w:t>
            </w:r>
            <w:r w:rsidR="00C30280" w:rsidRPr="00C30280">
              <w:rPr>
                <w:color w:val="000000"/>
                <w:sz w:val="18"/>
                <w:szCs w:val="18"/>
              </w:rPr>
              <w:t xml:space="preserve">     </w:t>
            </w:r>
            <w:r w:rsidR="00C30280" w:rsidRPr="00ED655B">
              <w:rPr>
                <w:color w:val="000000"/>
                <w:sz w:val="18"/>
                <w:szCs w:val="18"/>
              </w:rPr>
              <w:t>D</w:t>
            </w:r>
            <w:r w:rsidR="00ED655B">
              <w:rPr>
                <w:color w:val="000000"/>
                <w:sz w:val="18"/>
                <w:szCs w:val="18"/>
              </w:rPr>
              <w:t>emais Contas a Receber</w:t>
            </w:r>
            <w:r w:rsidR="00C30280" w:rsidRPr="00C30280">
              <w:rPr>
                <w:color w:val="000000"/>
                <w:sz w:val="18"/>
                <w:szCs w:val="18"/>
              </w:rPr>
              <w:t xml:space="preserve"> </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center"/>
              <w:rPr>
                <w:b/>
                <w:bCs/>
                <w:color w:val="FF0000"/>
                <w:sz w:val="18"/>
                <w:szCs w:val="18"/>
              </w:rPr>
            </w:pP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44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AB1F93">
            <w:pPr>
              <w:jc w:val="right"/>
              <w:rPr>
                <w:color w:val="000000"/>
                <w:sz w:val="18"/>
                <w:szCs w:val="18"/>
              </w:rPr>
            </w:pPr>
            <w:r w:rsidRPr="00C30280">
              <w:rPr>
                <w:color w:val="000000"/>
                <w:sz w:val="18"/>
                <w:szCs w:val="18"/>
              </w:rPr>
              <w:t xml:space="preserve">                     -   </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Imobilizado </w:t>
            </w:r>
          </w:p>
        </w:tc>
        <w:tc>
          <w:tcPr>
            <w:tcW w:w="274" w:type="pct"/>
            <w:tcBorders>
              <w:top w:val="nil"/>
              <w:left w:val="nil"/>
              <w:bottom w:val="nil"/>
              <w:right w:val="nil"/>
            </w:tcBorders>
            <w:shd w:val="clear" w:color="000000" w:fill="FFFFFF"/>
            <w:vAlign w:val="center"/>
            <w:hideMark/>
          </w:tcPr>
          <w:p w:rsidR="00C30280" w:rsidRPr="00C30280" w:rsidRDefault="00791205" w:rsidP="00C30280">
            <w:pPr>
              <w:jc w:val="center"/>
              <w:rPr>
                <w:b/>
                <w:bCs/>
                <w:color w:val="FF0000"/>
                <w:sz w:val="18"/>
                <w:szCs w:val="18"/>
              </w:rPr>
            </w:pPr>
            <w:r w:rsidRPr="00791205">
              <w:rPr>
                <w:b/>
                <w:bCs/>
                <w:sz w:val="18"/>
                <w:szCs w:val="18"/>
              </w:rPr>
              <w:t>9</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782.151 </w:t>
            </w:r>
          </w:p>
        </w:tc>
        <w:tc>
          <w:tcPr>
            <w:tcW w:w="97"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AB1F93">
            <w:pPr>
              <w:jc w:val="right"/>
              <w:rPr>
                <w:color w:val="000000"/>
                <w:sz w:val="18"/>
                <w:szCs w:val="18"/>
              </w:rPr>
            </w:pPr>
            <w:r w:rsidRPr="00C30280">
              <w:rPr>
                <w:color w:val="000000"/>
                <w:sz w:val="18"/>
                <w:szCs w:val="18"/>
              </w:rPr>
              <w:t xml:space="preserve">             625.157 </w:t>
            </w:r>
          </w:p>
        </w:tc>
      </w:tr>
      <w:tr w:rsidR="00E135D7" w:rsidRPr="00AB1F93" w:rsidTr="00233EA9">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xml:space="preserve">   Intangível </w:t>
            </w:r>
          </w:p>
        </w:tc>
        <w:tc>
          <w:tcPr>
            <w:tcW w:w="274" w:type="pct"/>
            <w:tcBorders>
              <w:top w:val="nil"/>
              <w:left w:val="nil"/>
              <w:bottom w:val="nil"/>
              <w:right w:val="nil"/>
            </w:tcBorders>
            <w:shd w:val="clear" w:color="000000" w:fill="FFFFFF"/>
            <w:vAlign w:val="center"/>
            <w:hideMark/>
          </w:tcPr>
          <w:p w:rsidR="00C30280" w:rsidRPr="00C30280" w:rsidRDefault="00791205" w:rsidP="00C30280">
            <w:pPr>
              <w:jc w:val="center"/>
              <w:rPr>
                <w:b/>
                <w:bCs/>
                <w:color w:val="FF0000"/>
                <w:sz w:val="18"/>
                <w:szCs w:val="18"/>
              </w:rPr>
            </w:pPr>
            <w:r w:rsidRPr="00791205">
              <w:rPr>
                <w:b/>
                <w:bCs/>
                <w:sz w:val="18"/>
                <w:szCs w:val="18"/>
              </w:rPr>
              <w:t>10</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color w:val="000000"/>
                <w:sz w:val="18"/>
                <w:szCs w:val="18"/>
              </w:rPr>
            </w:pPr>
            <w:r w:rsidRPr="00C30280">
              <w:rPr>
                <w:color w:val="000000"/>
                <w:sz w:val="18"/>
                <w:szCs w:val="18"/>
              </w:rPr>
              <w:t> </w:t>
            </w:r>
          </w:p>
        </w:tc>
        <w:tc>
          <w:tcPr>
            <w:tcW w:w="1235" w:type="pct"/>
            <w:tcBorders>
              <w:top w:val="nil"/>
              <w:left w:val="nil"/>
              <w:bottom w:val="nil"/>
              <w:right w:val="nil"/>
            </w:tcBorders>
            <w:shd w:val="clear" w:color="000000" w:fill="FFFFFF"/>
            <w:noWrap/>
            <w:vAlign w:val="bottom"/>
            <w:hideMark/>
          </w:tcPr>
          <w:p w:rsidR="00C30280" w:rsidRPr="00C30280" w:rsidRDefault="00C30280" w:rsidP="00E135D7">
            <w:pPr>
              <w:jc w:val="right"/>
              <w:rPr>
                <w:color w:val="000000"/>
                <w:sz w:val="18"/>
                <w:szCs w:val="18"/>
              </w:rPr>
            </w:pPr>
            <w:r w:rsidRPr="00C30280">
              <w:rPr>
                <w:color w:val="000000"/>
                <w:sz w:val="18"/>
                <w:szCs w:val="18"/>
              </w:rPr>
              <w:t xml:space="preserve">                                           401 </w:t>
            </w:r>
          </w:p>
        </w:tc>
        <w:tc>
          <w:tcPr>
            <w:tcW w:w="97" w:type="pct"/>
            <w:tcBorders>
              <w:top w:val="nil"/>
              <w:left w:val="nil"/>
              <w:bottom w:val="nil"/>
              <w:right w:val="nil"/>
            </w:tcBorders>
            <w:shd w:val="clear" w:color="000000" w:fill="FFFFFF"/>
            <w:vAlign w:val="center"/>
            <w:hideMark/>
          </w:tcPr>
          <w:p w:rsidR="00C30280" w:rsidRPr="00C30280" w:rsidRDefault="00C30280" w:rsidP="00E135D7">
            <w:pPr>
              <w:jc w:val="right"/>
              <w:rPr>
                <w:color w:val="000000"/>
                <w:sz w:val="18"/>
                <w:szCs w:val="18"/>
              </w:rPr>
            </w:pPr>
            <w:r w:rsidRPr="00C30280">
              <w:rPr>
                <w:color w:val="000000"/>
                <w:sz w:val="18"/>
                <w:szCs w:val="18"/>
              </w:rPr>
              <w:t> </w:t>
            </w:r>
          </w:p>
        </w:tc>
        <w:tc>
          <w:tcPr>
            <w:tcW w:w="903" w:type="pct"/>
            <w:tcBorders>
              <w:top w:val="nil"/>
              <w:left w:val="nil"/>
              <w:bottom w:val="nil"/>
              <w:right w:val="nil"/>
            </w:tcBorders>
            <w:shd w:val="clear" w:color="000000" w:fill="FFFFFF"/>
            <w:noWrap/>
            <w:vAlign w:val="bottom"/>
            <w:hideMark/>
          </w:tcPr>
          <w:p w:rsidR="00C30280" w:rsidRPr="00C30280" w:rsidRDefault="00C30280" w:rsidP="00AB1F93">
            <w:pPr>
              <w:jc w:val="right"/>
              <w:rPr>
                <w:color w:val="000000"/>
                <w:sz w:val="18"/>
                <w:szCs w:val="18"/>
              </w:rPr>
            </w:pPr>
            <w:r w:rsidRPr="00C30280">
              <w:rPr>
                <w:color w:val="000000"/>
                <w:sz w:val="18"/>
                <w:szCs w:val="18"/>
              </w:rPr>
              <w:t xml:space="preserve">                   765 </w:t>
            </w:r>
          </w:p>
        </w:tc>
      </w:tr>
      <w:tr w:rsidR="00E135D7" w:rsidRPr="00AB1F93" w:rsidTr="008F11DE">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right"/>
              <w:rPr>
                <w:b/>
                <w:bCs/>
                <w:color w:val="000000"/>
                <w:sz w:val="18"/>
                <w:szCs w:val="18"/>
              </w:rPr>
            </w:pPr>
            <w:r w:rsidRPr="00C30280">
              <w:rPr>
                <w:b/>
                <w:bCs/>
                <w:color w:val="00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b/>
                <w:bCs/>
                <w:color w:val="000000"/>
                <w:sz w:val="18"/>
                <w:szCs w:val="18"/>
              </w:rPr>
            </w:pPr>
            <w:r w:rsidRPr="00C30280">
              <w:rPr>
                <w:b/>
                <w:bCs/>
                <w:color w:val="000000"/>
                <w:sz w:val="18"/>
                <w:szCs w:val="18"/>
              </w:rPr>
              <w:t> </w:t>
            </w:r>
          </w:p>
        </w:tc>
        <w:tc>
          <w:tcPr>
            <w:tcW w:w="1235" w:type="pct"/>
            <w:tcBorders>
              <w:top w:val="nil"/>
              <w:left w:val="nil"/>
              <w:right w:val="nil"/>
            </w:tcBorders>
            <w:shd w:val="clear" w:color="000000" w:fill="FFFFFF"/>
            <w:vAlign w:val="center"/>
            <w:hideMark/>
          </w:tcPr>
          <w:p w:rsidR="00C30280" w:rsidRPr="00C30280" w:rsidRDefault="00C30280" w:rsidP="00C30280">
            <w:pPr>
              <w:jc w:val="right"/>
              <w:rPr>
                <w:b/>
                <w:bCs/>
                <w:color w:val="000000"/>
                <w:sz w:val="18"/>
                <w:szCs w:val="18"/>
              </w:rPr>
            </w:pPr>
            <w:r w:rsidRPr="00C30280">
              <w:rPr>
                <w:b/>
                <w:bCs/>
                <w:color w:val="000000"/>
                <w:sz w:val="18"/>
                <w:szCs w:val="18"/>
              </w:rPr>
              <w:t> </w:t>
            </w:r>
          </w:p>
        </w:tc>
        <w:tc>
          <w:tcPr>
            <w:tcW w:w="97" w:type="pct"/>
            <w:tcBorders>
              <w:top w:val="nil"/>
              <w:left w:val="nil"/>
              <w:bottom w:val="nil"/>
              <w:right w:val="nil"/>
            </w:tcBorders>
            <w:shd w:val="clear" w:color="000000" w:fill="FFFFFF"/>
            <w:vAlign w:val="center"/>
            <w:hideMark/>
          </w:tcPr>
          <w:p w:rsidR="00C30280" w:rsidRPr="00C30280" w:rsidRDefault="00C30280" w:rsidP="00C30280">
            <w:pPr>
              <w:rPr>
                <w:b/>
                <w:bCs/>
                <w:color w:val="000000"/>
                <w:sz w:val="18"/>
                <w:szCs w:val="18"/>
              </w:rPr>
            </w:pPr>
            <w:r w:rsidRPr="00C30280">
              <w:rPr>
                <w:b/>
                <w:bCs/>
                <w:color w:val="000000"/>
                <w:sz w:val="18"/>
                <w:szCs w:val="18"/>
              </w:rPr>
              <w:t> </w:t>
            </w:r>
          </w:p>
        </w:tc>
        <w:tc>
          <w:tcPr>
            <w:tcW w:w="903" w:type="pct"/>
            <w:tcBorders>
              <w:top w:val="nil"/>
              <w:left w:val="nil"/>
              <w:right w:val="nil"/>
            </w:tcBorders>
            <w:shd w:val="clear" w:color="000000" w:fill="FFFFFF"/>
            <w:vAlign w:val="center"/>
            <w:hideMark/>
          </w:tcPr>
          <w:p w:rsidR="00C30280" w:rsidRPr="00C30280" w:rsidRDefault="00C30280" w:rsidP="00C30280">
            <w:pPr>
              <w:jc w:val="right"/>
              <w:rPr>
                <w:b/>
                <w:bCs/>
                <w:color w:val="000000"/>
                <w:sz w:val="18"/>
                <w:szCs w:val="18"/>
              </w:rPr>
            </w:pPr>
            <w:r w:rsidRPr="00C30280">
              <w:rPr>
                <w:b/>
                <w:bCs/>
                <w:color w:val="000000"/>
                <w:sz w:val="18"/>
                <w:szCs w:val="18"/>
              </w:rPr>
              <w:t> </w:t>
            </w:r>
          </w:p>
        </w:tc>
      </w:tr>
      <w:tr w:rsidR="00E135D7" w:rsidRPr="00AB1F93" w:rsidTr="008F11DE">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color w:val="000000"/>
                <w:sz w:val="18"/>
                <w:szCs w:val="18"/>
              </w:rPr>
            </w:pPr>
            <w:r w:rsidRPr="00C30280">
              <w:rPr>
                <w:color w:val="000000"/>
                <w:sz w:val="18"/>
                <w:szCs w:val="18"/>
              </w:rPr>
              <w:t> </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right"/>
              <w:rPr>
                <w:b/>
                <w:bCs/>
                <w:color w:val="000000"/>
                <w:sz w:val="18"/>
                <w:szCs w:val="18"/>
              </w:rPr>
            </w:pPr>
            <w:r w:rsidRPr="00C30280">
              <w:rPr>
                <w:b/>
                <w:bCs/>
                <w:color w:val="00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b/>
                <w:bCs/>
                <w:color w:val="000000"/>
                <w:sz w:val="18"/>
                <w:szCs w:val="18"/>
              </w:rPr>
            </w:pPr>
            <w:r w:rsidRPr="00C30280">
              <w:rPr>
                <w:b/>
                <w:bCs/>
                <w:color w:val="000000"/>
                <w:sz w:val="18"/>
                <w:szCs w:val="18"/>
              </w:rPr>
              <w:t> </w:t>
            </w:r>
          </w:p>
        </w:tc>
        <w:tc>
          <w:tcPr>
            <w:tcW w:w="1235" w:type="pct"/>
            <w:tcBorders>
              <w:top w:val="nil"/>
              <w:left w:val="nil"/>
              <w:bottom w:val="single" w:sz="4" w:space="0" w:color="auto"/>
              <w:right w:val="nil"/>
            </w:tcBorders>
            <w:shd w:val="clear" w:color="000000" w:fill="FFFFFF"/>
            <w:vAlign w:val="center"/>
            <w:hideMark/>
          </w:tcPr>
          <w:p w:rsidR="00C30280" w:rsidRPr="00C30280" w:rsidRDefault="00C30280" w:rsidP="00334DCE">
            <w:pPr>
              <w:jc w:val="right"/>
              <w:rPr>
                <w:b/>
                <w:bCs/>
                <w:color w:val="000000"/>
                <w:sz w:val="18"/>
                <w:szCs w:val="18"/>
              </w:rPr>
            </w:pPr>
            <w:r w:rsidRPr="00C30280">
              <w:rPr>
                <w:b/>
                <w:bCs/>
                <w:color w:val="000000"/>
                <w:sz w:val="18"/>
                <w:szCs w:val="18"/>
              </w:rPr>
              <w:t>1.063.</w:t>
            </w:r>
            <w:r w:rsidR="00334DCE">
              <w:rPr>
                <w:b/>
                <w:bCs/>
                <w:color w:val="000000"/>
                <w:sz w:val="18"/>
                <w:szCs w:val="18"/>
              </w:rPr>
              <w:t>420</w:t>
            </w:r>
          </w:p>
        </w:tc>
        <w:tc>
          <w:tcPr>
            <w:tcW w:w="97" w:type="pct"/>
            <w:tcBorders>
              <w:top w:val="nil"/>
              <w:left w:val="nil"/>
              <w:bottom w:val="nil"/>
              <w:right w:val="nil"/>
            </w:tcBorders>
            <w:shd w:val="clear" w:color="000000" w:fill="FFFFFF"/>
            <w:vAlign w:val="center"/>
            <w:hideMark/>
          </w:tcPr>
          <w:p w:rsidR="00C30280" w:rsidRPr="00C30280" w:rsidRDefault="00C30280" w:rsidP="00C30280">
            <w:pPr>
              <w:rPr>
                <w:b/>
                <w:bCs/>
                <w:color w:val="000000"/>
                <w:sz w:val="18"/>
                <w:szCs w:val="18"/>
              </w:rPr>
            </w:pPr>
            <w:r w:rsidRPr="00C30280">
              <w:rPr>
                <w:b/>
                <w:bCs/>
                <w:color w:val="000000"/>
                <w:sz w:val="18"/>
                <w:szCs w:val="18"/>
              </w:rPr>
              <w:t> </w:t>
            </w:r>
          </w:p>
        </w:tc>
        <w:tc>
          <w:tcPr>
            <w:tcW w:w="903" w:type="pct"/>
            <w:tcBorders>
              <w:top w:val="nil"/>
              <w:left w:val="nil"/>
              <w:bottom w:val="single" w:sz="4" w:space="0" w:color="auto"/>
              <w:right w:val="nil"/>
            </w:tcBorders>
            <w:shd w:val="clear" w:color="000000" w:fill="FFFFFF"/>
            <w:vAlign w:val="center"/>
            <w:hideMark/>
          </w:tcPr>
          <w:p w:rsidR="00C30280" w:rsidRPr="00C30280" w:rsidRDefault="00C30280" w:rsidP="00C30280">
            <w:pPr>
              <w:jc w:val="right"/>
              <w:rPr>
                <w:b/>
                <w:bCs/>
                <w:color w:val="000000"/>
                <w:sz w:val="18"/>
                <w:szCs w:val="18"/>
              </w:rPr>
            </w:pPr>
            <w:r w:rsidRPr="00C30280">
              <w:rPr>
                <w:b/>
                <w:bCs/>
                <w:color w:val="000000"/>
                <w:sz w:val="18"/>
                <w:szCs w:val="18"/>
              </w:rPr>
              <w:t>870.427</w:t>
            </w:r>
          </w:p>
        </w:tc>
      </w:tr>
      <w:tr w:rsidR="00E135D7" w:rsidRPr="00AB1F93" w:rsidTr="008F11DE">
        <w:trPr>
          <w:trHeight w:val="20"/>
        </w:trPr>
        <w:tc>
          <w:tcPr>
            <w:tcW w:w="2173" w:type="pct"/>
            <w:tcBorders>
              <w:top w:val="nil"/>
              <w:left w:val="nil"/>
              <w:bottom w:val="nil"/>
              <w:right w:val="nil"/>
            </w:tcBorders>
            <w:shd w:val="clear" w:color="000000" w:fill="FFFFFF"/>
            <w:noWrap/>
            <w:vAlign w:val="center"/>
            <w:hideMark/>
          </w:tcPr>
          <w:p w:rsidR="00C30280" w:rsidRPr="00C30280" w:rsidRDefault="00C30280" w:rsidP="00C30280">
            <w:pPr>
              <w:rPr>
                <w:b/>
                <w:bCs/>
                <w:color w:val="000000"/>
                <w:sz w:val="18"/>
                <w:szCs w:val="18"/>
              </w:rPr>
            </w:pPr>
            <w:r w:rsidRPr="00C30280">
              <w:rPr>
                <w:b/>
                <w:bCs/>
                <w:color w:val="000000"/>
                <w:sz w:val="18"/>
                <w:szCs w:val="18"/>
              </w:rPr>
              <w:t xml:space="preserve">  Total do Ativo</w:t>
            </w:r>
          </w:p>
        </w:tc>
        <w:tc>
          <w:tcPr>
            <w:tcW w:w="274" w:type="pct"/>
            <w:tcBorders>
              <w:top w:val="nil"/>
              <w:left w:val="nil"/>
              <w:bottom w:val="nil"/>
              <w:right w:val="nil"/>
            </w:tcBorders>
            <w:shd w:val="clear" w:color="000000" w:fill="FFFFFF"/>
            <w:vAlign w:val="center"/>
            <w:hideMark/>
          </w:tcPr>
          <w:p w:rsidR="00C30280" w:rsidRPr="00C30280" w:rsidRDefault="00C30280" w:rsidP="00C30280">
            <w:pPr>
              <w:jc w:val="right"/>
              <w:rPr>
                <w:b/>
                <w:bCs/>
                <w:color w:val="000000"/>
                <w:sz w:val="18"/>
                <w:szCs w:val="18"/>
              </w:rPr>
            </w:pPr>
            <w:r w:rsidRPr="00C30280">
              <w:rPr>
                <w:b/>
                <w:bCs/>
                <w:color w:val="000000"/>
                <w:sz w:val="18"/>
                <w:szCs w:val="18"/>
              </w:rPr>
              <w:t> </w:t>
            </w:r>
          </w:p>
        </w:tc>
        <w:tc>
          <w:tcPr>
            <w:tcW w:w="318" w:type="pct"/>
            <w:tcBorders>
              <w:top w:val="nil"/>
              <w:left w:val="nil"/>
              <w:bottom w:val="nil"/>
              <w:right w:val="nil"/>
            </w:tcBorders>
            <w:shd w:val="clear" w:color="000000" w:fill="FFFFFF"/>
            <w:vAlign w:val="center"/>
            <w:hideMark/>
          </w:tcPr>
          <w:p w:rsidR="00C30280" w:rsidRPr="00C30280" w:rsidRDefault="00C30280" w:rsidP="00C30280">
            <w:pPr>
              <w:jc w:val="right"/>
              <w:rPr>
                <w:b/>
                <w:bCs/>
                <w:color w:val="000000"/>
                <w:sz w:val="18"/>
                <w:szCs w:val="18"/>
              </w:rPr>
            </w:pPr>
            <w:r w:rsidRPr="00C30280">
              <w:rPr>
                <w:b/>
                <w:bCs/>
                <w:color w:val="000000"/>
                <w:sz w:val="18"/>
                <w:szCs w:val="18"/>
              </w:rPr>
              <w:t> </w:t>
            </w:r>
          </w:p>
        </w:tc>
        <w:tc>
          <w:tcPr>
            <w:tcW w:w="1235" w:type="pct"/>
            <w:tcBorders>
              <w:top w:val="single" w:sz="4" w:space="0" w:color="auto"/>
              <w:left w:val="nil"/>
              <w:bottom w:val="double" w:sz="6" w:space="0" w:color="auto"/>
              <w:right w:val="nil"/>
            </w:tcBorders>
            <w:shd w:val="clear" w:color="000000" w:fill="FFFFFF"/>
            <w:vAlign w:val="center"/>
            <w:hideMark/>
          </w:tcPr>
          <w:p w:rsidR="00C30280" w:rsidRPr="00C30280" w:rsidRDefault="00334DCE" w:rsidP="00C30280">
            <w:pPr>
              <w:jc w:val="right"/>
              <w:rPr>
                <w:b/>
                <w:bCs/>
                <w:color w:val="000000"/>
                <w:sz w:val="18"/>
                <w:szCs w:val="18"/>
              </w:rPr>
            </w:pPr>
            <w:r>
              <w:rPr>
                <w:b/>
                <w:bCs/>
                <w:color w:val="000000"/>
                <w:sz w:val="18"/>
                <w:szCs w:val="18"/>
              </w:rPr>
              <w:t>1.357.626</w:t>
            </w:r>
          </w:p>
        </w:tc>
        <w:tc>
          <w:tcPr>
            <w:tcW w:w="97" w:type="pct"/>
            <w:tcBorders>
              <w:top w:val="nil"/>
              <w:left w:val="nil"/>
              <w:bottom w:val="nil"/>
              <w:right w:val="nil"/>
            </w:tcBorders>
            <w:shd w:val="clear" w:color="000000" w:fill="FFFFFF"/>
            <w:vAlign w:val="center"/>
            <w:hideMark/>
          </w:tcPr>
          <w:p w:rsidR="00C30280" w:rsidRPr="00C30280" w:rsidRDefault="00C30280" w:rsidP="00C30280">
            <w:pPr>
              <w:rPr>
                <w:b/>
                <w:bCs/>
                <w:color w:val="000000"/>
                <w:sz w:val="18"/>
                <w:szCs w:val="18"/>
              </w:rPr>
            </w:pPr>
            <w:r w:rsidRPr="00C30280">
              <w:rPr>
                <w:b/>
                <w:bCs/>
                <w:color w:val="000000"/>
                <w:sz w:val="18"/>
                <w:szCs w:val="18"/>
              </w:rPr>
              <w:t> </w:t>
            </w:r>
          </w:p>
        </w:tc>
        <w:tc>
          <w:tcPr>
            <w:tcW w:w="903" w:type="pct"/>
            <w:tcBorders>
              <w:top w:val="single" w:sz="4" w:space="0" w:color="auto"/>
              <w:left w:val="nil"/>
              <w:bottom w:val="double" w:sz="6" w:space="0" w:color="auto"/>
              <w:right w:val="nil"/>
            </w:tcBorders>
            <w:shd w:val="clear" w:color="000000" w:fill="FFFFFF"/>
            <w:vAlign w:val="center"/>
            <w:hideMark/>
          </w:tcPr>
          <w:p w:rsidR="00C30280" w:rsidRPr="00C30280" w:rsidRDefault="00C30280" w:rsidP="00C30280">
            <w:pPr>
              <w:jc w:val="right"/>
              <w:rPr>
                <w:b/>
                <w:bCs/>
                <w:color w:val="000000"/>
                <w:sz w:val="18"/>
                <w:szCs w:val="18"/>
              </w:rPr>
            </w:pPr>
            <w:r w:rsidRPr="00C30280">
              <w:rPr>
                <w:b/>
                <w:bCs/>
                <w:color w:val="000000"/>
                <w:sz w:val="18"/>
                <w:szCs w:val="18"/>
              </w:rPr>
              <w:t>1.138.738</w:t>
            </w:r>
          </w:p>
        </w:tc>
      </w:tr>
    </w:tbl>
    <w:p w:rsidR="0049721C" w:rsidRPr="00FD7B48" w:rsidRDefault="0049721C" w:rsidP="0049721C">
      <w:pPr>
        <w:rPr>
          <w:b/>
        </w:rPr>
      </w:pPr>
    </w:p>
    <w:p w:rsidR="0049721C" w:rsidRPr="00FD7B48" w:rsidRDefault="0049721C">
      <w:pPr>
        <w:rPr>
          <w:b/>
        </w:rPr>
      </w:pPr>
      <w:r w:rsidRPr="00FD7B48">
        <w:rPr>
          <w:b/>
        </w:rPr>
        <w:br w:type="page"/>
      </w:r>
    </w:p>
    <w:p w:rsidR="0049721C" w:rsidRPr="00FD7B48" w:rsidRDefault="0049721C" w:rsidP="00CD7310">
      <w:pPr>
        <w:pStyle w:val="Ttulo1"/>
        <w:jc w:val="left"/>
      </w:pPr>
    </w:p>
    <w:tbl>
      <w:tblPr>
        <w:tblW w:w="5000" w:type="pct"/>
        <w:tblCellMar>
          <w:left w:w="70" w:type="dxa"/>
          <w:right w:w="70" w:type="dxa"/>
        </w:tblCellMar>
        <w:tblLook w:val="04A0" w:firstRow="1" w:lastRow="0" w:firstColumn="1" w:lastColumn="0" w:noHBand="0" w:noVBand="1"/>
      </w:tblPr>
      <w:tblGrid>
        <w:gridCol w:w="192"/>
        <w:gridCol w:w="4637"/>
        <w:gridCol w:w="528"/>
        <w:gridCol w:w="192"/>
        <w:gridCol w:w="1853"/>
        <w:gridCol w:w="192"/>
        <w:gridCol w:w="1901"/>
      </w:tblGrid>
      <w:tr w:rsidR="00E520EB" w:rsidRPr="00E520EB" w:rsidTr="00E520EB">
        <w:trPr>
          <w:trHeight w:val="20"/>
        </w:trPr>
        <w:tc>
          <w:tcPr>
            <w:tcW w:w="2543" w:type="pct"/>
            <w:gridSpan w:val="2"/>
            <w:tcBorders>
              <w:top w:val="nil"/>
              <w:left w:val="nil"/>
              <w:bottom w:val="nil"/>
              <w:right w:val="nil"/>
            </w:tcBorders>
            <w:shd w:val="clear" w:color="000000" w:fill="FFFFFF"/>
            <w:noWrap/>
            <w:vAlign w:val="center"/>
            <w:hideMark/>
          </w:tcPr>
          <w:p w:rsidR="00E520EB" w:rsidRPr="00E520EB" w:rsidRDefault="00E520EB" w:rsidP="00E520EB">
            <w:pPr>
              <w:rPr>
                <w:b/>
                <w:bCs/>
                <w:color w:val="000000"/>
                <w:sz w:val="18"/>
                <w:szCs w:val="18"/>
              </w:rPr>
            </w:pPr>
            <w:r w:rsidRPr="00E520EB">
              <w:rPr>
                <w:b/>
                <w:bCs/>
                <w:color w:val="000000"/>
                <w:sz w:val="18"/>
                <w:szCs w:val="18"/>
              </w:rPr>
              <w:t>Passivo</w:t>
            </w:r>
          </w:p>
        </w:tc>
        <w:tc>
          <w:tcPr>
            <w:tcW w:w="278" w:type="pct"/>
            <w:tcBorders>
              <w:top w:val="nil"/>
              <w:left w:val="nil"/>
              <w:bottom w:val="nil"/>
              <w:right w:val="nil"/>
            </w:tcBorders>
            <w:shd w:val="clear" w:color="000000" w:fill="FFFFFF"/>
            <w:noWrap/>
            <w:vAlign w:val="bottom"/>
            <w:hideMark/>
          </w:tcPr>
          <w:p w:rsidR="00E520EB" w:rsidRPr="00E520EB" w:rsidRDefault="00E520EB" w:rsidP="00E520EB">
            <w:pPr>
              <w:rPr>
                <w:color w:val="000000"/>
                <w:sz w:val="18"/>
                <w:szCs w:val="18"/>
              </w:rPr>
            </w:pPr>
            <w:r w:rsidRPr="00E520EB">
              <w:rPr>
                <w:color w:val="000000"/>
                <w:sz w:val="18"/>
                <w:szCs w:val="18"/>
              </w:rPr>
              <w:t> </w:t>
            </w:r>
          </w:p>
        </w:tc>
        <w:tc>
          <w:tcPr>
            <w:tcW w:w="101" w:type="pct"/>
            <w:tcBorders>
              <w:top w:val="nil"/>
              <w:left w:val="nil"/>
              <w:bottom w:val="nil"/>
              <w:right w:val="nil"/>
            </w:tcBorders>
            <w:shd w:val="clear" w:color="000000" w:fill="FFFFFF"/>
            <w:noWrap/>
            <w:vAlign w:val="bottom"/>
            <w:hideMark/>
          </w:tcPr>
          <w:p w:rsidR="00E520EB" w:rsidRPr="00E520EB" w:rsidRDefault="00E520EB" w:rsidP="00E520EB">
            <w:pPr>
              <w:rPr>
                <w:color w:val="000000"/>
                <w:sz w:val="18"/>
                <w:szCs w:val="18"/>
              </w:rPr>
            </w:pPr>
            <w:r w:rsidRPr="00E520EB">
              <w:rPr>
                <w:color w:val="000000"/>
                <w:sz w:val="18"/>
                <w:szCs w:val="18"/>
              </w:rPr>
              <w:t> </w:t>
            </w:r>
          </w:p>
        </w:tc>
        <w:tc>
          <w:tcPr>
            <w:tcW w:w="976" w:type="pct"/>
            <w:tcBorders>
              <w:top w:val="nil"/>
              <w:left w:val="nil"/>
              <w:bottom w:val="nil"/>
              <w:right w:val="nil"/>
            </w:tcBorders>
            <w:shd w:val="clear" w:color="000000" w:fill="FFFFFF"/>
            <w:noWrap/>
            <w:vAlign w:val="bottom"/>
            <w:hideMark/>
          </w:tcPr>
          <w:p w:rsidR="00E520EB" w:rsidRPr="00E520EB" w:rsidRDefault="00E520EB" w:rsidP="00E520EB">
            <w:pPr>
              <w:rPr>
                <w:color w:val="000000"/>
                <w:sz w:val="18"/>
                <w:szCs w:val="18"/>
              </w:rPr>
            </w:pPr>
            <w:r w:rsidRPr="00E520EB">
              <w:rPr>
                <w:color w:val="000000"/>
                <w:sz w:val="18"/>
                <w:szCs w:val="18"/>
              </w:rPr>
              <w:t> </w:t>
            </w:r>
          </w:p>
        </w:tc>
        <w:tc>
          <w:tcPr>
            <w:tcW w:w="101" w:type="pct"/>
            <w:tcBorders>
              <w:top w:val="nil"/>
              <w:left w:val="nil"/>
              <w:bottom w:val="nil"/>
              <w:right w:val="nil"/>
            </w:tcBorders>
            <w:shd w:val="clear" w:color="000000" w:fill="FFFFFF"/>
            <w:noWrap/>
            <w:vAlign w:val="bottom"/>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nil"/>
              <w:right w:val="nil"/>
            </w:tcBorders>
            <w:shd w:val="clear" w:color="000000" w:fill="FFFFFF"/>
            <w:noWrap/>
            <w:vAlign w:val="bottom"/>
            <w:hideMark/>
          </w:tcPr>
          <w:p w:rsidR="00E520EB" w:rsidRPr="00E520EB" w:rsidRDefault="00E520EB" w:rsidP="00E520EB">
            <w:pPr>
              <w:rPr>
                <w:color w:val="000000"/>
                <w:sz w:val="18"/>
                <w:szCs w:val="18"/>
              </w:rPr>
            </w:pPr>
            <w:r w:rsidRPr="00E520EB">
              <w:rPr>
                <w:color w:val="000000"/>
                <w:sz w:val="18"/>
                <w:szCs w:val="18"/>
              </w:rPr>
              <w:t> </w:t>
            </w:r>
          </w:p>
        </w:tc>
      </w:tr>
      <w:tr w:rsidR="00E520EB" w:rsidRPr="00E520EB" w:rsidTr="00E520EB">
        <w:trPr>
          <w:trHeight w:val="20"/>
        </w:trPr>
        <w:tc>
          <w:tcPr>
            <w:tcW w:w="101" w:type="pct"/>
            <w:vMerge w:val="restart"/>
            <w:tcBorders>
              <w:top w:val="nil"/>
              <w:left w:val="nil"/>
              <w:bottom w:val="nil"/>
              <w:right w:val="nil"/>
            </w:tcBorders>
            <w:shd w:val="clear" w:color="000000" w:fill="FFFFFF"/>
            <w:noWrap/>
            <w:vAlign w:val="bottom"/>
            <w:hideMark/>
          </w:tcPr>
          <w:p w:rsidR="00E520EB" w:rsidRPr="00E520EB" w:rsidRDefault="00E520EB" w:rsidP="00E520EB">
            <w:pPr>
              <w:rPr>
                <w:color w:val="000000"/>
                <w:sz w:val="18"/>
                <w:szCs w:val="18"/>
              </w:rPr>
            </w:pPr>
            <w:r w:rsidRPr="00E520EB">
              <w:rPr>
                <w:color w:val="000000"/>
                <w:sz w:val="18"/>
                <w:szCs w:val="18"/>
              </w:rPr>
              <w:t> </w:t>
            </w:r>
          </w:p>
        </w:tc>
        <w:tc>
          <w:tcPr>
            <w:tcW w:w="2442" w:type="pct"/>
            <w:vMerge w:val="restar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w:t>
            </w: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vMerge w:val="restart"/>
            <w:tcBorders>
              <w:top w:val="nil"/>
              <w:left w:val="nil"/>
              <w:bottom w:val="single" w:sz="8" w:space="0" w:color="000000"/>
              <w:right w:val="nil"/>
            </w:tcBorders>
            <w:shd w:val="clear" w:color="000000" w:fill="FFFFFF"/>
            <w:vAlign w:val="bottom"/>
            <w:hideMark/>
          </w:tcPr>
          <w:p w:rsidR="00E520EB" w:rsidRPr="00E520EB" w:rsidRDefault="00E520EB" w:rsidP="00E520EB">
            <w:pPr>
              <w:jc w:val="center"/>
              <w:rPr>
                <w:b/>
                <w:bCs/>
                <w:color w:val="000000"/>
                <w:sz w:val="18"/>
                <w:szCs w:val="18"/>
              </w:rPr>
            </w:pPr>
            <w:r>
              <w:rPr>
                <w:b/>
                <w:bCs/>
                <w:color w:val="000000"/>
                <w:sz w:val="18"/>
                <w:szCs w:val="18"/>
              </w:rPr>
              <w:t>3</w:t>
            </w:r>
            <w:r w:rsidRPr="00E520EB">
              <w:rPr>
                <w:b/>
                <w:bCs/>
                <w:color w:val="000000"/>
                <w:sz w:val="18"/>
                <w:szCs w:val="18"/>
              </w:rPr>
              <w:t>1/12/2017</w:t>
            </w:r>
          </w:p>
        </w:tc>
        <w:tc>
          <w:tcPr>
            <w:tcW w:w="101" w:type="pct"/>
            <w:vMerge w:val="restart"/>
            <w:tcBorders>
              <w:top w:val="nil"/>
              <w:left w:val="nil"/>
              <w:bottom w:val="nil"/>
              <w:right w:val="nil"/>
            </w:tcBorders>
            <w:shd w:val="clear" w:color="000000" w:fill="FFFFFF"/>
            <w:vAlign w:val="center"/>
            <w:hideMark/>
          </w:tcPr>
          <w:p w:rsidR="00E520EB" w:rsidRPr="00E520EB" w:rsidRDefault="00E520EB" w:rsidP="00E520EB">
            <w:pPr>
              <w:rPr>
                <w:b/>
                <w:bCs/>
                <w:color w:val="000000"/>
                <w:sz w:val="18"/>
                <w:szCs w:val="18"/>
              </w:rPr>
            </w:pPr>
            <w:r w:rsidRPr="00E520EB">
              <w:rPr>
                <w:b/>
                <w:bCs/>
                <w:color w:val="000000"/>
                <w:sz w:val="18"/>
                <w:szCs w:val="18"/>
              </w:rPr>
              <w:t> </w:t>
            </w:r>
          </w:p>
        </w:tc>
        <w:tc>
          <w:tcPr>
            <w:tcW w:w="1001" w:type="pct"/>
            <w:vMerge w:val="restart"/>
            <w:tcBorders>
              <w:top w:val="nil"/>
              <w:left w:val="nil"/>
              <w:bottom w:val="single" w:sz="8" w:space="0" w:color="000000"/>
              <w:right w:val="nil"/>
            </w:tcBorders>
            <w:shd w:val="clear" w:color="000000" w:fill="FFFFFF"/>
            <w:noWrap/>
            <w:vAlign w:val="bottom"/>
            <w:hideMark/>
          </w:tcPr>
          <w:p w:rsidR="00E520EB" w:rsidRPr="00E520EB" w:rsidRDefault="00E520EB" w:rsidP="00E520EB">
            <w:pPr>
              <w:jc w:val="center"/>
              <w:rPr>
                <w:b/>
                <w:bCs/>
                <w:color w:val="000000"/>
                <w:sz w:val="18"/>
                <w:szCs w:val="18"/>
              </w:rPr>
            </w:pPr>
            <w:r w:rsidRPr="00E520EB">
              <w:rPr>
                <w:b/>
                <w:bCs/>
                <w:color w:val="000000"/>
                <w:sz w:val="18"/>
                <w:szCs w:val="18"/>
              </w:rPr>
              <w:t>31/12/2016</w:t>
            </w:r>
          </w:p>
        </w:tc>
      </w:tr>
      <w:tr w:rsidR="00E520EB" w:rsidRPr="00E520EB" w:rsidTr="00E520EB">
        <w:trPr>
          <w:trHeight w:val="20"/>
        </w:trPr>
        <w:tc>
          <w:tcPr>
            <w:tcW w:w="101" w:type="pct"/>
            <w:vMerge/>
            <w:tcBorders>
              <w:top w:val="nil"/>
              <w:left w:val="nil"/>
              <w:bottom w:val="nil"/>
              <w:right w:val="nil"/>
            </w:tcBorders>
            <w:vAlign w:val="center"/>
            <w:hideMark/>
          </w:tcPr>
          <w:p w:rsidR="00E520EB" w:rsidRPr="00E520EB" w:rsidRDefault="00E520EB" w:rsidP="00E520EB">
            <w:pPr>
              <w:rPr>
                <w:color w:val="000000"/>
                <w:sz w:val="18"/>
                <w:szCs w:val="18"/>
              </w:rPr>
            </w:pPr>
          </w:p>
        </w:tc>
        <w:tc>
          <w:tcPr>
            <w:tcW w:w="2442" w:type="pct"/>
            <w:vMerge/>
            <w:tcBorders>
              <w:top w:val="nil"/>
              <w:left w:val="nil"/>
              <w:bottom w:val="nil"/>
              <w:right w:val="nil"/>
            </w:tcBorders>
            <w:vAlign w:val="center"/>
            <w:hideMark/>
          </w:tcPr>
          <w:p w:rsidR="00E520EB" w:rsidRPr="00E520EB" w:rsidRDefault="00E520EB" w:rsidP="00E520EB">
            <w:pPr>
              <w:rPr>
                <w:color w:val="000000"/>
                <w:sz w:val="18"/>
                <w:szCs w:val="18"/>
              </w:rPr>
            </w:pP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vMerge/>
            <w:tcBorders>
              <w:top w:val="nil"/>
              <w:left w:val="nil"/>
              <w:bottom w:val="single" w:sz="8" w:space="0" w:color="000000"/>
              <w:right w:val="nil"/>
            </w:tcBorders>
            <w:vAlign w:val="center"/>
            <w:hideMark/>
          </w:tcPr>
          <w:p w:rsidR="00E520EB" w:rsidRPr="00E520EB" w:rsidRDefault="00E520EB" w:rsidP="00E520EB">
            <w:pPr>
              <w:rPr>
                <w:b/>
                <w:bCs/>
                <w:color w:val="000000"/>
                <w:sz w:val="18"/>
                <w:szCs w:val="18"/>
              </w:rPr>
            </w:pPr>
          </w:p>
        </w:tc>
        <w:tc>
          <w:tcPr>
            <w:tcW w:w="101" w:type="pct"/>
            <w:vMerge/>
            <w:tcBorders>
              <w:top w:val="nil"/>
              <w:left w:val="nil"/>
              <w:bottom w:val="nil"/>
              <w:right w:val="nil"/>
            </w:tcBorders>
            <w:vAlign w:val="center"/>
            <w:hideMark/>
          </w:tcPr>
          <w:p w:rsidR="00E520EB" w:rsidRPr="00E520EB" w:rsidRDefault="00E520EB" w:rsidP="00E520EB">
            <w:pPr>
              <w:rPr>
                <w:b/>
                <w:bCs/>
                <w:color w:val="000000"/>
                <w:sz w:val="18"/>
                <w:szCs w:val="18"/>
              </w:rPr>
            </w:pPr>
          </w:p>
        </w:tc>
        <w:tc>
          <w:tcPr>
            <w:tcW w:w="1001" w:type="pct"/>
            <w:vMerge/>
            <w:tcBorders>
              <w:top w:val="nil"/>
              <w:left w:val="nil"/>
              <w:bottom w:val="single" w:sz="8" w:space="0" w:color="000000"/>
              <w:right w:val="nil"/>
            </w:tcBorders>
            <w:vAlign w:val="center"/>
            <w:hideMark/>
          </w:tcPr>
          <w:p w:rsidR="00E520EB" w:rsidRPr="00E520EB" w:rsidRDefault="00E520EB" w:rsidP="00E520EB">
            <w:pPr>
              <w:rPr>
                <w:b/>
                <w:bCs/>
                <w:color w:val="000000"/>
                <w:sz w:val="18"/>
                <w:szCs w:val="18"/>
              </w:rPr>
            </w:pPr>
          </w:p>
        </w:tc>
      </w:tr>
      <w:tr w:rsidR="00E520EB" w:rsidRPr="00E520EB" w:rsidTr="00E520EB">
        <w:trPr>
          <w:trHeight w:val="20"/>
        </w:trPr>
        <w:tc>
          <w:tcPr>
            <w:tcW w:w="101" w:type="pct"/>
            <w:vMerge/>
            <w:tcBorders>
              <w:top w:val="nil"/>
              <w:left w:val="nil"/>
              <w:bottom w:val="nil"/>
              <w:right w:val="nil"/>
            </w:tcBorders>
            <w:vAlign w:val="center"/>
            <w:hideMark/>
          </w:tcPr>
          <w:p w:rsidR="00E520EB" w:rsidRPr="00E520EB" w:rsidRDefault="00E520EB" w:rsidP="00E520EB">
            <w:pPr>
              <w:rPr>
                <w:color w:val="000000"/>
                <w:sz w:val="18"/>
                <w:szCs w:val="18"/>
              </w:rPr>
            </w:pPr>
          </w:p>
        </w:tc>
        <w:tc>
          <w:tcPr>
            <w:tcW w:w="2442" w:type="pct"/>
            <w:vMerge/>
            <w:tcBorders>
              <w:top w:val="nil"/>
              <w:left w:val="nil"/>
              <w:bottom w:val="nil"/>
              <w:right w:val="nil"/>
            </w:tcBorders>
            <w:vAlign w:val="center"/>
            <w:hideMark/>
          </w:tcPr>
          <w:p w:rsidR="00E520EB" w:rsidRPr="00E520EB" w:rsidRDefault="00E520EB" w:rsidP="00E520EB">
            <w:pPr>
              <w:rPr>
                <w:color w:val="000000"/>
                <w:sz w:val="18"/>
                <w:szCs w:val="18"/>
              </w:rPr>
            </w:pPr>
          </w:p>
        </w:tc>
        <w:tc>
          <w:tcPr>
            <w:tcW w:w="278" w:type="pct"/>
            <w:tcBorders>
              <w:top w:val="nil"/>
              <w:left w:val="nil"/>
              <w:bottom w:val="single" w:sz="8" w:space="0" w:color="auto"/>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Nota</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vMerge/>
            <w:tcBorders>
              <w:top w:val="nil"/>
              <w:left w:val="nil"/>
              <w:bottom w:val="single" w:sz="8" w:space="0" w:color="000000"/>
              <w:right w:val="nil"/>
            </w:tcBorders>
            <w:vAlign w:val="center"/>
            <w:hideMark/>
          </w:tcPr>
          <w:p w:rsidR="00E520EB" w:rsidRPr="00E520EB" w:rsidRDefault="00E520EB" w:rsidP="00E520EB">
            <w:pPr>
              <w:rPr>
                <w:b/>
                <w:bCs/>
                <w:color w:val="000000"/>
                <w:sz w:val="18"/>
                <w:szCs w:val="18"/>
              </w:rPr>
            </w:pPr>
          </w:p>
        </w:tc>
        <w:tc>
          <w:tcPr>
            <w:tcW w:w="101" w:type="pct"/>
            <w:vMerge/>
            <w:tcBorders>
              <w:top w:val="nil"/>
              <w:left w:val="nil"/>
              <w:bottom w:val="nil"/>
              <w:right w:val="nil"/>
            </w:tcBorders>
            <w:vAlign w:val="center"/>
            <w:hideMark/>
          </w:tcPr>
          <w:p w:rsidR="00E520EB" w:rsidRPr="00E520EB" w:rsidRDefault="00E520EB" w:rsidP="00E520EB">
            <w:pPr>
              <w:rPr>
                <w:b/>
                <w:bCs/>
                <w:color w:val="000000"/>
                <w:sz w:val="18"/>
                <w:szCs w:val="18"/>
              </w:rPr>
            </w:pPr>
          </w:p>
        </w:tc>
        <w:tc>
          <w:tcPr>
            <w:tcW w:w="1001" w:type="pct"/>
            <w:vMerge/>
            <w:tcBorders>
              <w:top w:val="nil"/>
              <w:left w:val="nil"/>
              <w:bottom w:val="single" w:sz="8" w:space="0" w:color="000000"/>
              <w:right w:val="nil"/>
            </w:tcBorders>
            <w:vAlign w:val="center"/>
            <w:hideMark/>
          </w:tcPr>
          <w:p w:rsidR="00E520EB" w:rsidRPr="00E520EB" w:rsidRDefault="00E520EB" w:rsidP="00E520EB">
            <w:pPr>
              <w:rPr>
                <w:b/>
                <w:bCs/>
                <w:color w:val="000000"/>
                <w:sz w:val="18"/>
                <w:szCs w:val="18"/>
              </w:rPr>
            </w:pP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w:t>
            </w: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tcBorders>
              <w:top w:val="nil"/>
              <w:left w:val="nil"/>
              <w:bottom w:val="nil"/>
              <w:right w:val="nil"/>
            </w:tcBorders>
            <w:shd w:val="clear" w:color="000000" w:fill="FFFFFF"/>
            <w:vAlign w:val="center"/>
            <w:hideMark/>
          </w:tcPr>
          <w:p w:rsidR="00E520EB" w:rsidRPr="00E520EB" w:rsidRDefault="00E520EB" w:rsidP="00E520EB">
            <w:pPr>
              <w:jc w:val="right"/>
              <w:rPr>
                <w:b/>
                <w:bCs/>
                <w:color w:val="000000"/>
                <w:sz w:val="18"/>
                <w:szCs w:val="18"/>
              </w:rPr>
            </w:pPr>
            <w:r w:rsidRPr="00E520EB">
              <w:rPr>
                <w:b/>
                <w:bCs/>
                <w:color w:val="00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b/>
                <w:bCs/>
                <w:color w:val="000000"/>
                <w:sz w:val="18"/>
                <w:szCs w:val="18"/>
              </w:rPr>
            </w:pPr>
            <w:r w:rsidRPr="00E520EB">
              <w:rPr>
                <w:b/>
                <w:bCs/>
                <w:color w:val="000000"/>
                <w:sz w:val="18"/>
                <w:szCs w:val="18"/>
              </w:rPr>
              <w:t> </w:t>
            </w:r>
          </w:p>
        </w:tc>
        <w:tc>
          <w:tcPr>
            <w:tcW w:w="1001" w:type="pct"/>
            <w:tcBorders>
              <w:top w:val="nil"/>
              <w:left w:val="nil"/>
              <w:bottom w:val="nil"/>
              <w:right w:val="nil"/>
            </w:tcBorders>
            <w:shd w:val="clear" w:color="000000" w:fill="FFFFFF"/>
            <w:noWrap/>
            <w:vAlign w:val="center"/>
            <w:hideMark/>
          </w:tcPr>
          <w:p w:rsidR="00E520EB" w:rsidRPr="00E520EB" w:rsidRDefault="00E520EB" w:rsidP="00E520EB">
            <w:pPr>
              <w:jc w:val="right"/>
              <w:rPr>
                <w:b/>
                <w:bCs/>
                <w:color w:val="000000"/>
                <w:sz w:val="18"/>
                <w:szCs w:val="18"/>
              </w:rPr>
            </w:pPr>
            <w:r w:rsidRPr="00E520EB">
              <w:rPr>
                <w:b/>
                <w:bCs/>
                <w:color w:val="000000"/>
                <w:sz w:val="18"/>
                <w:szCs w:val="18"/>
              </w:rPr>
              <w:t>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b/>
                <w:bCs/>
                <w:color w:val="000000"/>
                <w:sz w:val="18"/>
                <w:szCs w:val="18"/>
              </w:rPr>
            </w:pPr>
            <w:r w:rsidRPr="00E520EB">
              <w:rPr>
                <w:b/>
                <w:bCs/>
                <w:color w:val="000000"/>
                <w:sz w:val="18"/>
                <w:szCs w:val="18"/>
              </w:rPr>
              <w:t>Circulante</w:t>
            </w: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color w:val="000000"/>
                <w:sz w:val="18"/>
                <w:szCs w:val="18"/>
              </w:rPr>
            </w:pPr>
            <w:r w:rsidRPr="00E520EB">
              <w:rPr>
                <w:color w:val="00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color w:val="000000"/>
                <w:sz w:val="18"/>
                <w:szCs w:val="18"/>
              </w:rPr>
            </w:pPr>
            <w:r w:rsidRPr="00E520EB">
              <w:rPr>
                <w:color w:val="000000"/>
                <w:sz w:val="18"/>
                <w:szCs w:val="18"/>
              </w:rPr>
              <w:t> </w:t>
            </w:r>
          </w:p>
        </w:tc>
        <w:tc>
          <w:tcPr>
            <w:tcW w:w="976"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nil"/>
              <w:right w:val="nil"/>
            </w:tcBorders>
            <w:shd w:val="clear" w:color="000000" w:fill="FFFFFF"/>
            <w:noWrap/>
            <w:vAlign w:val="center"/>
            <w:hideMark/>
          </w:tcPr>
          <w:p w:rsidR="00E520EB" w:rsidRPr="00E520EB" w:rsidRDefault="00E520EB" w:rsidP="00E520EB">
            <w:pPr>
              <w:jc w:val="right"/>
              <w:rPr>
                <w:color w:val="000000"/>
                <w:sz w:val="18"/>
                <w:szCs w:val="18"/>
              </w:rPr>
            </w:pPr>
            <w:r w:rsidRPr="00E520EB">
              <w:rPr>
                <w:color w:val="000000"/>
                <w:sz w:val="18"/>
                <w:szCs w:val="18"/>
              </w:rPr>
              <w:t>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Fornecedores  </w:t>
            </w:r>
          </w:p>
        </w:tc>
        <w:tc>
          <w:tcPr>
            <w:tcW w:w="278" w:type="pct"/>
            <w:tcBorders>
              <w:top w:val="nil"/>
              <w:left w:val="nil"/>
              <w:bottom w:val="nil"/>
              <w:right w:val="nil"/>
            </w:tcBorders>
            <w:shd w:val="clear" w:color="000000" w:fill="FFFFFF"/>
            <w:vAlign w:val="center"/>
            <w:hideMark/>
          </w:tcPr>
          <w:p w:rsidR="00E520EB" w:rsidRPr="00E520EB" w:rsidRDefault="00E520EB" w:rsidP="00484249">
            <w:pPr>
              <w:jc w:val="center"/>
              <w:rPr>
                <w:b/>
                <w:bCs/>
                <w:color w:val="FF0000"/>
                <w:sz w:val="18"/>
                <w:szCs w:val="18"/>
              </w:rPr>
            </w:pPr>
            <w:r w:rsidRPr="00484249">
              <w:rPr>
                <w:b/>
                <w:bCs/>
                <w:sz w:val="18"/>
                <w:szCs w:val="18"/>
              </w:rPr>
              <w:t>1</w:t>
            </w:r>
            <w:r w:rsidR="00484249" w:rsidRPr="00484249">
              <w:rPr>
                <w:b/>
                <w:bCs/>
                <w:sz w:val="18"/>
                <w:szCs w:val="18"/>
              </w:rPr>
              <w:t>1</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35.745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38.231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Obrigações Tributárias e Sociais </w:t>
            </w:r>
          </w:p>
        </w:tc>
        <w:tc>
          <w:tcPr>
            <w:tcW w:w="278" w:type="pct"/>
            <w:tcBorders>
              <w:top w:val="nil"/>
              <w:left w:val="nil"/>
              <w:bottom w:val="nil"/>
              <w:right w:val="nil"/>
            </w:tcBorders>
            <w:shd w:val="clear" w:color="000000" w:fill="FFFFFF"/>
            <w:vAlign w:val="center"/>
            <w:hideMark/>
          </w:tcPr>
          <w:p w:rsidR="00E520EB" w:rsidRPr="00E520EB" w:rsidRDefault="00E520EB" w:rsidP="00484249">
            <w:pPr>
              <w:jc w:val="center"/>
              <w:rPr>
                <w:b/>
                <w:bCs/>
                <w:color w:val="FF0000"/>
                <w:sz w:val="18"/>
                <w:szCs w:val="18"/>
              </w:rPr>
            </w:pPr>
            <w:r w:rsidRPr="00484249">
              <w:rPr>
                <w:b/>
                <w:bCs/>
                <w:sz w:val="18"/>
                <w:szCs w:val="18"/>
              </w:rPr>
              <w:t>1</w:t>
            </w:r>
            <w:r w:rsidR="00484249" w:rsidRPr="00484249">
              <w:rPr>
                <w:b/>
                <w:bCs/>
                <w:sz w:val="18"/>
                <w:szCs w:val="18"/>
              </w:rPr>
              <w:t>2</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2.818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2.410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Obrigações a Restituir </w:t>
            </w: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FF0000"/>
                <w:sz w:val="18"/>
                <w:szCs w:val="18"/>
              </w:rPr>
            </w:pP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12.225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Contingências e apropriações por Competência a Pagar </w:t>
            </w: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FF0000"/>
                <w:sz w:val="18"/>
                <w:szCs w:val="18"/>
              </w:rPr>
            </w:pPr>
            <w:r w:rsidRPr="00484249">
              <w:rPr>
                <w:b/>
                <w:bCs/>
                <w:sz w:val="18"/>
                <w:szCs w:val="18"/>
              </w:rPr>
              <w:t>1</w:t>
            </w:r>
            <w:r w:rsidR="00484249" w:rsidRPr="00484249">
              <w:rPr>
                <w:b/>
                <w:bCs/>
                <w:sz w:val="18"/>
                <w:szCs w:val="18"/>
              </w:rPr>
              <w:t>3</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157.371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151.834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Outras Obrigações</w:t>
            </w: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color w:val="FF0000"/>
                <w:sz w:val="18"/>
                <w:szCs w:val="18"/>
              </w:rPr>
            </w:pPr>
            <w:r w:rsidRPr="00E520EB">
              <w:rPr>
                <w:color w:val="FF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color w:val="000000"/>
                <w:sz w:val="18"/>
                <w:szCs w:val="18"/>
              </w:rPr>
            </w:pPr>
            <w:r w:rsidRPr="00E520EB">
              <w:rPr>
                <w:color w:val="000000"/>
                <w:sz w:val="18"/>
                <w:szCs w:val="18"/>
              </w:rPr>
              <w:t> </w:t>
            </w:r>
          </w:p>
        </w:tc>
        <w:tc>
          <w:tcPr>
            <w:tcW w:w="976" w:type="pct"/>
            <w:tcBorders>
              <w:top w:val="nil"/>
              <w:left w:val="nil"/>
              <w:bottom w:val="single" w:sz="8" w:space="0" w:color="auto"/>
              <w:right w:val="nil"/>
            </w:tcBorders>
            <w:shd w:val="clear" w:color="000000" w:fill="FFFFFF"/>
            <w:vAlign w:val="center"/>
            <w:hideMark/>
          </w:tcPr>
          <w:p w:rsidR="00E520EB" w:rsidRPr="00E520EB" w:rsidRDefault="00E520EB" w:rsidP="008F11DE">
            <w:pPr>
              <w:jc w:val="right"/>
              <w:rPr>
                <w:color w:val="000000"/>
                <w:sz w:val="18"/>
                <w:szCs w:val="18"/>
              </w:rPr>
            </w:pPr>
            <w:r w:rsidRPr="00E520EB">
              <w:rPr>
                <w:color w:val="000000"/>
                <w:sz w:val="18"/>
                <w:szCs w:val="18"/>
              </w:rPr>
              <w:t xml:space="preserve">                           4.08</w:t>
            </w:r>
            <w:r w:rsidR="008F11DE">
              <w:rPr>
                <w:color w:val="000000"/>
                <w:sz w:val="18"/>
                <w:szCs w:val="18"/>
              </w:rPr>
              <w:t>7</w:t>
            </w:r>
            <w:r w:rsidRPr="00E520EB">
              <w:rPr>
                <w:color w:val="000000"/>
                <w:sz w:val="18"/>
                <w:szCs w:val="18"/>
              </w:rPr>
              <w:t xml:space="preserve">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single" w:sz="8" w:space="0" w:color="auto"/>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3.288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w:t>
            </w: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FF0000"/>
                <w:sz w:val="18"/>
                <w:szCs w:val="18"/>
              </w:rPr>
            </w:pPr>
            <w:r w:rsidRPr="00E520EB">
              <w:rPr>
                <w:b/>
                <w:bCs/>
                <w:color w:val="FF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tcBorders>
              <w:top w:val="nil"/>
              <w:left w:val="nil"/>
              <w:bottom w:val="single" w:sz="8" w:space="0" w:color="auto"/>
              <w:right w:val="nil"/>
            </w:tcBorders>
            <w:shd w:val="clear" w:color="000000" w:fill="FFFFFF"/>
            <w:vAlign w:val="center"/>
            <w:hideMark/>
          </w:tcPr>
          <w:p w:rsidR="00E520EB" w:rsidRPr="00E520EB" w:rsidRDefault="008F11DE" w:rsidP="00E520EB">
            <w:pPr>
              <w:jc w:val="right"/>
              <w:rPr>
                <w:b/>
                <w:bCs/>
                <w:color w:val="000000"/>
                <w:sz w:val="18"/>
                <w:szCs w:val="18"/>
              </w:rPr>
            </w:pPr>
            <w:r>
              <w:rPr>
                <w:b/>
                <w:bCs/>
                <w:color w:val="000000"/>
                <w:sz w:val="18"/>
                <w:szCs w:val="18"/>
              </w:rPr>
              <w:t xml:space="preserve">        200.021</w:t>
            </w:r>
            <w:r w:rsidR="00E520EB" w:rsidRPr="00E520EB">
              <w:rPr>
                <w:b/>
                <w:bCs/>
                <w:color w:val="000000"/>
                <w:sz w:val="18"/>
                <w:szCs w:val="18"/>
              </w:rPr>
              <w:t xml:space="preserve">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b/>
                <w:bCs/>
                <w:color w:val="000000"/>
                <w:sz w:val="18"/>
                <w:szCs w:val="18"/>
              </w:rPr>
            </w:pPr>
            <w:r w:rsidRPr="00E520EB">
              <w:rPr>
                <w:b/>
                <w:bCs/>
                <w:color w:val="000000"/>
                <w:sz w:val="18"/>
                <w:szCs w:val="18"/>
              </w:rPr>
              <w:t> </w:t>
            </w:r>
          </w:p>
        </w:tc>
        <w:tc>
          <w:tcPr>
            <w:tcW w:w="1001" w:type="pct"/>
            <w:tcBorders>
              <w:top w:val="nil"/>
              <w:left w:val="nil"/>
              <w:bottom w:val="single" w:sz="8" w:space="0" w:color="auto"/>
              <w:right w:val="nil"/>
            </w:tcBorders>
            <w:shd w:val="clear" w:color="000000" w:fill="FFFFFF"/>
            <w:vAlign w:val="center"/>
            <w:hideMark/>
          </w:tcPr>
          <w:p w:rsidR="00E520EB" w:rsidRPr="00E520EB" w:rsidRDefault="00E520EB" w:rsidP="00E520EB">
            <w:pPr>
              <w:jc w:val="right"/>
              <w:rPr>
                <w:b/>
                <w:bCs/>
                <w:color w:val="000000"/>
                <w:sz w:val="18"/>
                <w:szCs w:val="18"/>
              </w:rPr>
            </w:pPr>
            <w:r w:rsidRPr="00E520EB">
              <w:rPr>
                <w:b/>
                <w:bCs/>
                <w:color w:val="000000"/>
                <w:sz w:val="18"/>
                <w:szCs w:val="18"/>
              </w:rPr>
              <w:t xml:space="preserve">                     207.988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b/>
                <w:bCs/>
                <w:color w:val="000000"/>
                <w:sz w:val="18"/>
                <w:szCs w:val="18"/>
              </w:rPr>
            </w:pPr>
            <w:r w:rsidRPr="00E520EB">
              <w:rPr>
                <w:b/>
                <w:bCs/>
                <w:color w:val="000000"/>
                <w:sz w:val="18"/>
                <w:szCs w:val="18"/>
              </w:rPr>
              <w:t>Não Circulante</w:t>
            </w: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color w:val="FF0000"/>
                <w:sz w:val="18"/>
                <w:szCs w:val="18"/>
              </w:rPr>
            </w:pPr>
            <w:r w:rsidRPr="00E520EB">
              <w:rPr>
                <w:color w:val="FF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color w:val="000000"/>
                <w:sz w:val="18"/>
                <w:szCs w:val="18"/>
              </w:rPr>
            </w:pPr>
            <w:r w:rsidRPr="00E520EB">
              <w:rPr>
                <w:color w:val="000000"/>
                <w:sz w:val="18"/>
                <w:szCs w:val="18"/>
              </w:rPr>
              <w:t> </w:t>
            </w:r>
          </w:p>
        </w:tc>
        <w:tc>
          <w:tcPr>
            <w:tcW w:w="976"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nil"/>
              <w:right w:val="nil"/>
            </w:tcBorders>
            <w:shd w:val="clear" w:color="000000" w:fill="FFFFFF"/>
            <w:noWrap/>
            <w:vAlign w:val="center"/>
            <w:hideMark/>
          </w:tcPr>
          <w:p w:rsidR="00E520EB" w:rsidRPr="00E520EB" w:rsidRDefault="00E520EB" w:rsidP="00E520EB">
            <w:pPr>
              <w:jc w:val="right"/>
              <w:rPr>
                <w:color w:val="000000"/>
                <w:sz w:val="18"/>
                <w:szCs w:val="18"/>
              </w:rPr>
            </w:pPr>
            <w:r w:rsidRPr="00E520EB">
              <w:rPr>
                <w:color w:val="000000"/>
                <w:sz w:val="18"/>
                <w:szCs w:val="18"/>
              </w:rPr>
              <w:t>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Exigível a Longo Prazo</w:t>
            </w: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color w:val="FF0000"/>
                <w:sz w:val="18"/>
                <w:szCs w:val="18"/>
              </w:rPr>
            </w:pPr>
            <w:r w:rsidRPr="00E520EB">
              <w:rPr>
                <w:color w:val="FF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color w:val="000000"/>
                <w:sz w:val="18"/>
                <w:szCs w:val="18"/>
              </w:rPr>
            </w:pPr>
            <w:r w:rsidRPr="00E520EB">
              <w:rPr>
                <w:color w:val="000000"/>
                <w:sz w:val="18"/>
                <w:szCs w:val="18"/>
              </w:rPr>
              <w:t> </w:t>
            </w:r>
          </w:p>
        </w:tc>
        <w:tc>
          <w:tcPr>
            <w:tcW w:w="976"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nil"/>
              <w:right w:val="nil"/>
            </w:tcBorders>
            <w:shd w:val="clear" w:color="000000" w:fill="FFFFFF"/>
            <w:noWrap/>
            <w:vAlign w:val="center"/>
            <w:hideMark/>
          </w:tcPr>
          <w:p w:rsidR="00E520EB" w:rsidRPr="00E520EB" w:rsidRDefault="00E520EB" w:rsidP="00E520EB">
            <w:pPr>
              <w:jc w:val="right"/>
              <w:rPr>
                <w:color w:val="000000"/>
                <w:sz w:val="18"/>
                <w:szCs w:val="18"/>
              </w:rPr>
            </w:pPr>
            <w:r w:rsidRPr="00E520EB">
              <w:rPr>
                <w:color w:val="000000"/>
                <w:sz w:val="18"/>
                <w:szCs w:val="18"/>
              </w:rPr>
              <w:t>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Subvenções e Doações para Investimentos </w:t>
            </w: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FF0000"/>
                <w:sz w:val="18"/>
                <w:szCs w:val="18"/>
              </w:rPr>
            </w:pP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11.188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Contingências e apropriações por Competência a Pagar </w:t>
            </w: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FF0000"/>
                <w:sz w:val="18"/>
                <w:szCs w:val="18"/>
              </w:rPr>
            </w:pPr>
            <w:r w:rsidRPr="00484249">
              <w:rPr>
                <w:b/>
                <w:bCs/>
                <w:sz w:val="18"/>
                <w:szCs w:val="18"/>
              </w:rPr>
              <w:t>1</w:t>
            </w:r>
            <w:r w:rsidR="00484249" w:rsidRPr="00484249">
              <w:rPr>
                <w:b/>
                <w:bCs/>
                <w:sz w:val="18"/>
                <w:szCs w:val="18"/>
              </w:rPr>
              <w:t>3</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tcBorders>
              <w:top w:val="nil"/>
              <w:left w:val="nil"/>
              <w:bottom w:val="nil"/>
              <w:right w:val="nil"/>
            </w:tcBorders>
            <w:shd w:val="clear" w:color="000000" w:fill="FFFFFF"/>
            <w:vAlign w:val="center"/>
            <w:hideMark/>
          </w:tcPr>
          <w:p w:rsidR="00E520EB" w:rsidRPr="00E520EB" w:rsidRDefault="00E520EB" w:rsidP="00334DCE">
            <w:pPr>
              <w:jc w:val="right"/>
              <w:rPr>
                <w:color w:val="000000"/>
                <w:sz w:val="18"/>
                <w:szCs w:val="18"/>
              </w:rPr>
            </w:pPr>
            <w:r w:rsidRPr="00E520EB">
              <w:rPr>
                <w:color w:val="000000"/>
                <w:sz w:val="18"/>
                <w:szCs w:val="18"/>
              </w:rPr>
              <w:t xml:space="preserve">                       </w:t>
            </w:r>
            <w:r w:rsidR="00334DCE">
              <w:rPr>
                <w:color w:val="000000"/>
                <w:sz w:val="18"/>
                <w:szCs w:val="18"/>
              </w:rPr>
              <w:t>278.858</w:t>
            </w:r>
            <w:r w:rsidRPr="00E520EB">
              <w:rPr>
                <w:color w:val="000000"/>
                <w:sz w:val="18"/>
                <w:szCs w:val="18"/>
              </w:rPr>
              <w:t xml:space="preserve">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242.661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w:t>
            </w:r>
            <w:r w:rsidR="00751DED">
              <w:rPr>
                <w:color w:val="000000"/>
                <w:sz w:val="18"/>
                <w:szCs w:val="18"/>
              </w:rPr>
              <w:t xml:space="preserve"> </w:t>
            </w:r>
            <w:r w:rsidRPr="00E520EB">
              <w:rPr>
                <w:color w:val="000000"/>
                <w:sz w:val="18"/>
                <w:szCs w:val="18"/>
              </w:rPr>
              <w:t>Adiantamento para Futuro Aumento de Capital</w:t>
            </w:r>
          </w:p>
        </w:tc>
        <w:tc>
          <w:tcPr>
            <w:tcW w:w="278" w:type="pct"/>
            <w:tcBorders>
              <w:top w:val="nil"/>
              <w:left w:val="nil"/>
              <w:bottom w:val="nil"/>
              <w:right w:val="nil"/>
            </w:tcBorders>
            <w:shd w:val="clear" w:color="000000" w:fill="FFFFFF"/>
            <w:vAlign w:val="center"/>
            <w:hideMark/>
          </w:tcPr>
          <w:p w:rsidR="00E520EB" w:rsidRPr="00E520EB" w:rsidRDefault="008F11DE" w:rsidP="00E520EB">
            <w:pPr>
              <w:jc w:val="center"/>
              <w:rPr>
                <w:b/>
                <w:bCs/>
                <w:color w:val="FF0000"/>
                <w:sz w:val="18"/>
                <w:szCs w:val="18"/>
              </w:rPr>
            </w:pPr>
            <w:r>
              <w:rPr>
                <w:b/>
                <w:bCs/>
                <w:sz w:val="18"/>
                <w:szCs w:val="18"/>
              </w:rPr>
              <w:t xml:space="preserve"> </w:t>
            </w:r>
            <w:r w:rsidR="006E5C13" w:rsidRPr="006E5C13">
              <w:rPr>
                <w:b/>
                <w:bCs/>
                <w:sz w:val="18"/>
                <w:szCs w:val="18"/>
              </w:rPr>
              <w:t>14</w:t>
            </w:r>
            <w:r w:rsidR="00E520EB" w:rsidRPr="006E5C13">
              <w:rPr>
                <w:b/>
                <w:bCs/>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tcBorders>
              <w:top w:val="nil"/>
              <w:left w:val="nil"/>
              <w:bottom w:val="nil"/>
              <w:right w:val="nil"/>
            </w:tcBorders>
            <w:shd w:val="clear" w:color="000000" w:fill="FFFFFF"/>
            <w:vAlign w:val="center"/>
            <w:hideMark/>
          </w:tcPr>
          <w:p w:rsidR="00E520EB" w:rsidRPr="00E520EB" w:rsidRDefault="00E520EB" w:rsidP="00CD5D83">
            <w:pPr>
              <w:jc w:val="right"/>
              <w:rPr>
                <w:color w:val="000000"/>
                <w:sz w:val="18"/>
                <w:szCs w:val="18"/>
              </w:rPr>
            </w:pPr>
            <w:r w:rsidRPr="00E520EB">
              <w:rPr>
                <w:color w:val="000000"/>
                <w:sz w:val="18"/>
                <w:szCs w:val="18"/>
              </w:rPr>
              <w:t xml:space="preserve">                       </w:t>
            </w:r>
            <w:r w:rsidR="00CD5D83">
              <w:rPr>
                <w:color w:val="000000"/>
                <w:sz w:val="18"/>
                <w:szCs w:val="18"/>
              </w:rPr>
              <w:t>455.090</w:t>
            </w:r>
            <w:r w:rsidRPr="00E520EB">
              <w:rPr>
                <w:color w:val="000000"/>
                <w:sz w:val="18"/>
                <w:szCs w:val="18"/>
              </w:rPr>
              <w:t xml:space="preserve">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Receita Diferida Líquida</w:t>
            </w:r>
          </w:p>
        </w:tc>
        <w:tc>
          <w:tcPr>
            <w:tcW w:w="278" w:type="pct"/>
            <w:tcBorders>
              <w:top w:val="nil"/>
              <w:left w:val="nil"/>
              <w:bottom w:val="nil"/>
              <w:right w:val="nil"/>
            </w:tcBorders>
            <w:shd w:val="clear" w:color="000000" w:fill="FFFFFF"/>
            <w:vAlign w:val="center"/>
            <w:hideMark/>
          </w:tcPr>
          <w:p w:rsidR="00E520EB" w:rsidRPr="00E520EB" w:rsidRDefault="00E520EB" w:rsidP="00484249">
            <w:pPr>
              <w:jc w:val="center"/>
              <w:rPr>
                <w:b/>
                <w:bCs/>
                <w:color w:val="FF0000"/>
                <w:sz w:val="18"/>
                <w:szCs w:val="18"/>
              </w:rPr>
            </w:pPr>
            <w:r w:rsidRPr="00484249">
              <w:rPr>
                <w:b/>
                <w:bCs/>
                <w:sz w:val="18"/>
                <w:szCs w:val="18"/>
              </w:rPr>
              <w:t>1</w:t>
            </w:r>
            <w:r w:rsidR="00484249" w:rsidRPr="00484249">
              <w:rPr>
                <w:b/>
                <w:bCs/>
                <w:sz w:val="18"/>
                <w:szCs w:val="18"/>
              </w:rPr>
              <w:t>5</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tcBorders>
              <w:top w:val="nil"/>
              <w:left w:val="nil"/>
              <w:bottom w:val="single" w:sz="8" w:space="0" w:color="auto"/>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single" w:sz="8" w:space="0" w:color="auto"/>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297.148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jc w:val="right"/>
              <w:rPr>
                <w:color w:val="000000"/>
                <w:sz w:val="18"/>
                <w:szCs w:val="18"/>
              </w:rPr>
            </w:pPr>
            <w:r w:rsidRPr="00E520EB">
              <w:rPr>
                <w:color w:val="000000"/>
                <w:sz w:val="18"/>
                <w:szCs w:val="18"/>
              </w:rPr>
              <w:t> </w:t>
            </w: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FF0000"/>
                <w:sz w:val="18"/>
                <w:szCs w:val="18"/>
              </w:rPr>
            </w:pPr>
            <w:r w:rsidRPr="00E520EB">
              <w:rPr>
                <w:b/>
                <w:bCs/>
                <w:color w:val="FF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tcBorders>
              <w:top w:val="nil"/>
              <w:left w:val="nil"/>
              <w:bottom w:val="single" w:sz="8" w:space="0" w:color="auto"/>
              <w:right w:val="nil"/>
            </w:tcBorders>
            <w:shd w:val="clear" w:color="000000" w:fill="FFFFFF"/>
            <w:vAlign w:val="center"/>
            <w:hideMark/>
          </w:tcPr>
          <w:p w:rsidR="00E520EB" w:rsidRPr="00E520EB" w:rsidRDefault="000279E2" w:rsidP="00334DCE">
            <w:pPr>
              <w:jc w:val="right"/>
              <w:rPr>
                <w:b/>
                <w:bCs/>
                <w:color w:val="000000"/>
                <w:sz w:val="18"/>
                <w:szCs w:val="18"/>
              </w:rPr>
            </w:pPr>
            <w:r>
              <w:rPr>
                <w:b/>
                <w:bCs/>
                <w:color w:val="000000"/>
                <w:sz w:val="18"/>
                <w:szCs w:val="18"/>
              </w:rPr>
              <w:t>733.948</w:t>
            </w:r>
            <w:r w:rsidR="00E520EB" w:rsidRPr="00E520EB">
              <w:rPr>
                <w:b/>
                <w:bCs/>
                <w:color w:val="000000"/>
                <w:sz w:val="18"/>
                <w:szCs w:val="18"/>
              </w:rPr>
              <w:t xml:space="preserve">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right"/>
              <w:rPr>
                <w:b/>
                <w:bCs/>
                <w:color w:val="000000"/>
                <w:sz w:val="18"/>
                <w:szCs w:val="18"/>
              </w:rPr>
            </w:pPr>
            <w:r w:rsidRPr="00E520EB">
              <w:rPr>
                <w:b/>
                <w:bCs/>
                <w:color w:val="000000"/>
                <w:sz w:val="18"/>
                <w:szCs w:val="18"/>
              </w:rPr>
              <w:t> </w:t>
            </w:r>
          </w:p>
        </w:tc>
        <w:tc>
          <w:tcPr>
            <w:tcW w:w="1001" w:type="pct"/>
            <w:tcBorders>
              <w:top w:val="nil"/>
              <w:left w:val="nil"/>
              <w:bottom w:val="single" w:sz="8" w:space="0" w:color="auto"/>
              <w:right w:val="nil"/>
            </w:tcBorders>
            <w:shd w:val="clear" w:color="000000" w:fill="FFFFFF"/>
            <w:vAlign w:val="center"/>
            <w:hideMark/>
          </w:tcPr>
          <w:p w:rsidR="00E520EB" w:rsidRPr="00E520EB" w:rsidRDefault="00E520EB" w:rsidP="00E520EB">
            <w:pPr>
              <w:jc w:val="right"/>
              <w:rPr>
                <w:b/>
                <w:bCs/>
                <w:color w:val="000000"/>
                <w:sz w:val="18"/>
                <w:szCs w:val="18"/>
              </w:rPr>
            </w:pPr>
            <w:r w:rsidRPr="00E520EB">
              <w:rPr>
                <w:b/>
                <w:bCs/>
                <w:color w:val="000000"/>
                <w:sz w:val="18"/>
                <w:szCs w:val="18"/>
              </w:rPr>
              <w:t xml:space="preserve">                     550.997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b/>
                <w:bCs/>
                <w:color w:val="000000"/>
                <w:sz w:val="18"/>
                <w:szCs w:val="18"/>
              </w:rPr>
            </w:pPr>
            <w:r w:rsidRPr="00E520EB">
              <w:rPr>
                <w:b/>
                <w:bCs/>
                <w:color w:val="000000"/>
                <w:sz w:val="18"/>
                <w:szCs w:val="18"/>
              </w:rPr>
              <w:t>Patrimônio Líquido</w:t>
            </w: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color w:val="FF0000"/>
                <w:sz w:val="18"/>
                <w:szCs w:val="18"/>
              </w:rPr>
            </w:pPr>
            <w:r w:rsidRPr="00E520EB">
              <w:rPr>
                <w:color w:val="FF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color w:val="000000"/>
                <w:sz w:val="18"/>
                <w:szCs w:val="18"/>
              </w:rPr>
            </w:pPr>
            <w:r w:rsidRPr="00E520EB">
              <w:rPr>
                <w:color w:val="000000"/>
                <w:sz w:val="18"/>
                <w:szCs w:val="18"/>
              </w:rPr>
              <w:t> </w:t>
            </w:r>
          </w:p>
        </w:tc>
        <w:tc>
          <w:tcPr>
            <w:tcW w:w="976"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nil"/>
              <w:right w:val="nil"/>
            </w:tcBorders>
            <w:shd w:val="clear" w:color="000000" w:fill="FFFFFF"/>
            <w:noWrap/>
            <w:vAlign w:val="center"/>
            <w:hideMark/>
          </w:tcPr>
          <w:p w:rsidR="00E520EB" w:rsidRPr="00E520EB" w:rsidRDefault="00E520EB" w:rsidP="00E520EB">
            <w:pPr>
              <w:jc w:val="right"/>
              <w:rPr>
                <w:color w:val="000000"/>
                <w:sz w:val="18"/>
                <w:szCs w:val="18"/>
              </w:rPr>
            </w:pPr>
            <w:r w:rsidRPr="00E520EB">
              <w:rPr>
                <w:color w:val="000000"/>
                <w:sz w:val="18"/>
                <w:szCs w:val="18"/>
              </w:rPr>
              <w:t>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w:t>
            </w:r>
            <w:r w:rsidR="00751DED">
              <w:rPr>
                <w:color w:val="000000"/>
                <w:sz w:val="18"/>
                <w:szCs w:val="18"/>
              </w:rPr>
              <w:t xml:space="preserve"> </w:t>
            </w:r>
            <w:r w:rsidRPr="00E520EB">
              <w:rPr>
                <w:color w:val="000000"/>
                <w:sz w:val="18"/>
                <w:szCs w:val="18"/>
              </w:rPr>
              <w:t>Capital Realizado</w:t>
            </w:r>
          </w:p>
        </w:tc>
        <w:tc>
          <w:tcPr>
            <w:tcW w:w="278" w:type="pct"/>
            <w:tcBorders>
              <w:top w:val="nil"/>
              <w:left w:val="nil"/>
              <w:bottom w:val="nil"/>
              <w:right w:val="nil"/>
            </w:tcBorders>
            <w:shd w:val="clear" w:color="000000" w:fill="FFFFFF"/>
            <w:vAlign w:val="center"/>
            <w:hideMark/>
          </w:tcPr>
          <w:p w:rsidR="00E520EB" w:rsidRPr="00484249" w:rsidRDefault="00484249" w:rsidP="00E520EB">
            <w:pPr>
              <w:jc w:val="center"/>
              <w:rPr>
                <w:b/>
                <w:color w:val="FF0000"/>
                <w:sz w:val="18"/>
                <w:szCs w:val="18"/>
              </w:rPr>
            </w:pPr>
            <w:r w:rsidRPr="00484249">
              <w:rPr>
                <w:b/>
                <w:sz w:val="18"/>
                <w:szCs w:val="18"/>
              </w:rPr>
              <w:t>17</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color w:val="000000"/>
                <w:sz w:val="18"/>
                <w:szCs w:val="18"/>
              </w:rPr>
            </w:pPr>
            <w:r w:rsidRPr="00E520EB">
              <w:rPr>
                <w:color w:val="000000"/>
                <w:sz w:val="18"/>
                <w:szCs w:val="18"/>
              </w:rPr>
              <w:t> </w:t>
            </w:r>
          </w:p>
        </w:tc>
        <w:tc>
          <w:tcPr>
            <w:tcW w:w="976"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376.403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376.403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w:t>
            </w:r>
            <w:r w:rsidR="00751DED">
              <w:rPr>
                <w:color w:val="000000"/>
                <w:sz w:val="18"/>
                <w:szCs w:val="18"/>
              </w:rPr>
              <w:t xml:space="preserve"> </w:t>
            </w:r>
            <w:r w:rsidRPr="00E520EB">
              <w:rPr>
                <w:color w:val="000000"/>
                <w:sz w:val="18"/>
                <w:szCs w:val="18"/>
              </w:rPr>
              <w:t>Adiantamento Futuro Aumento de Capital</w:t>
            </w:r>
          </w:p>
        </w:tc>
        <w:tc>
          <w:tcPr>
            <w:tcW w:w="278" w:type="pct"/>
            <w:tcBorders>
              <w:top w:val="nil"/>
              <w:left w:val="nil"/>
              <w:bottom w:val="nil"/>
              <w:right w:val="nil"/>
            </w:tcBorders>
            <w:shd w:val="clear" w:color="000000" w:fill="FFFFFF"/>
            <w:vAlign w:val="center"/>
            <w:hideMark/>
          </w:tcPr>
          <w:p w:rsidR="00E520EB" w:rsidRPr="006E5C13" w:rsidRDefault="008F11DE" w:rsidP="00E520EB">
            <w:pPr>
              <w:jc w:val="center"/>
              <w:rPr>
                <w:b/>
                <w:color w:val="FF0000"/>
                <w:sz w:val="18"/>
                <w:szCs w:val="18"/>
              </w:rPr>
            </w:pPr>
            <w:r>
              <w:rPr>
                <w:b/>
                <w:sz w:val="18"/>
                <w:szCs w:val="18"/>
              </w:rPr>
              <w:t xml:space="preserve"> </w:t>
            </w:r>
            <w:r w:rsidR="006E5C13" w:rsidRPr="006E5C13">
              <w:rPr>
                <w:b/>
                <w:sz w:val="18"/>
                <w:szCs w:val="18"/>
              </w:rPr>
              <w:t>14</w:t>
            </w:r>
            <w:r w:rsidR="00E520EB" w:rsidRPr="006E5C13">
              <w:rPr>
                <w:b/>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color w:val="000000"/>
                <w:sz w:val="18"/>
                <w:szCs w:val="18"/>
              </w:rPr>
            </w:pPr>
            <w:r w:rsidRPr="00E520EB">
              <w:rPr>
                <w:color w:val="000000"/>
                <w:sz w:val="18"/>
                <w:szCs w:val="18"/>
              </w:rPr>
              <w:t> </w:t>
            </w:r>
          </w:p>
        </w:tc>
        <w:tc>
          <w:tcPr>
            <w:tcW w:w="976" w:type="pct"/>
            <w:tcBorders>
              <w:top w:val="nil"/>
              <w:left w:val="nil"/>
              <w:bottom w:val="nil"/>
              <w:right w:val="nil"/>
            </w:tcBorders>
            <w:shd w:val="clear" w:color="000000" w:fill="FFFFFF"/>
            <w:vAlign w:val="center"/>
            <w:hideMark/>
          </w:tcPr>
          <w:p w:rsidR="00E520EB" w:rsidRPr="00E520EB" w:rsidRDefault="00E520EB" w:rsidP="00334DCE">
            <w:pPr>
              <w:jc w:val="right"/>
              <w:rPr>
                <w:color w:val="000000"/>
                <w:sz w:val="18"/>
                <w:szCs w:val="18"/>
              </w:rPr>
            </w:pPr>
            <w:r w:rsidRPr="00E520EB">
              <w:rPr>
                <w:color w:val="000000"/>
                <w:sz w:val="18"/>
                <w:szCs w:val="18"/>
              </w:rPr>
              <w:t xml:space="preserve">                       165.</w:t>
            </w:r>
            <w:r w:rsidR="00334DCE">
              <w:rPr>
                <w:color w:val="000000"/>
                <w:sz w:val="18"/>
                <w:szCs w:val="18"/>
              </w:rPr>
              <w:t>273</w:t>
            </w:r>
            <w:r w:rsidRPr="00E520EB">
              <w:rPr>
                <w:color w:val="000000"/>
                <w:sz w:val="18"/>
                <w:szCs w:val="18"/>
              </w:rPr>
              <w:t xml:space="preserve">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bottom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 </w:t>
            </w:r>
          </w:p>
        </w:tc>
      </w:tr>
      <w:tr w:rsidR="00E520EB" w:rsidRPr="00E520EB" w:rsidTr="000B7BF2">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w:t>
            </w:r>
            <w:r w:rsidR="00751DED">
              <w:rPr>
                <w:color w:val="000000"/>
                <w:sz w:val="18"/>
                <w:szCs w:val="18"/>
              </w:rPr>
              <w:t xml:space="preserve"> </w:t>
            </w:r>
            <w:r w:rsidRPr="00E520EB">
              <w:rPr>
                <w:color w:val="000000"/>
                <w:sz w:val="18"/>
                <w:szCs w:val="18"/>
              </w:rPr>
              <w:t>Ajuste de Avaliação Patrimonial</w:t>
            </w:r>
          </w:p>
        </w:tc>
        <w:tc>
          <w:tcPr>
            <w:tcW w:w="278" w:type="pct"/>
            <w:tcBorders>
              <w:top w:val="nil"/>
              <w:left w:val="nil"/>
              <w:bottom w:val="nil"/>
              <w:right w:val="nil"/>
            </w:tcBorders>
            <w:shd w:val="clear" w:color="000000" w:fill="FFFFFF"/>
            <w:vAlign w:val="center"/>
            <w:hideMark/>
          </w:tcPr>
          <w:p w:rsidR="00E520EB" w:rsidRPr="00484249" w:rsidRDefault="00484249" w:rsidP="00E520EB">
            <w:pPr>
              <w:jc w:val="center"/>
              <w:rPr>
                <w:b/>
                <w:sz w:val="18"/>
                <w:szCs w:val="18"/>
              </w:rPr>
            </w:pPr>
            <w:r w:rsidRPr="00484249">
              <w:rPr>
                <w:b/>
                <w:sz w:val="18"/>
                <w:szCs w:val="18"/>
              </w:rPr>
              <w:t>18</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color w:val="000000"/>
                <w:sz w:val="18"/>
                <w:szCs w:val="18"/>
              </w:rPr>
            </w:pPr>
            <w:r w:rsidRPr="00E520EB">
              <w:rPr>
                <w:color w:val="000000"/>
                <w:sz w:val="18"/>
                <w:szCs w:val="18"/>
              </w:rPr>
              <w:t> </w:t>
            </w:r>
          </w:p>
        </w:tc>
        <w:tc>
          <w:tcPr>
            <w:tcW w:w="976" w:type="pct"/>
            <w:tcBorders>
              <w:top w:val="nil"/>
              <w:left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(16.600)</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000000"/>
                <w:sz w:val="18"/>
                <w:szCs w:val="18"/>
              </w:rPr>
            </w:pPr>
            <w:r w:rsidRPr="00E520EB">
              <w:rPr>
                <w:color w:val="000000"/>
                <w:sz w:val="18"/>
                <w:szCs w:val="18"/>
              </w:rPr>
              <w:t> </w:t>
            </w:r>
          </w:p>
        </w:tc>
        <w:tc>
          <w:tcPr>
            <w:tcW w:w="1001" w:type="pct"/>
            <w:tcBorders>
              <w:top w:val="nil"/>
              <w:left w:val="nil"/>
              <w:right w:val="nil"/>
            </w:tcBorders>
            <w:shd w:val="clear" w:color="000000" w:fill="FFFFFF"/>
            <w:vAlign w:val="center"/>
            <w:hideMark/>
          </w:tcPr>
          <w:p w:rsidR="00E520EB" w:rsidRPr="00E520EB" w:rsidRDefault="00E520EB" w:rsidP="00E520EB">
            <w:pPr>
              <w:jc w:val="right"/>
              <w:rPr>
                <w:color w:val="000000"/>
                <w:sz w:val="18"/>
                <w:szCs w:val="18"/>
              </w:rPr>
            </w:pPr>
            <w:r w:rsidRPr="00E520EB">
              <w:rPr>
                <w:color w:val="000000"/>
                <w:sz w:val="18"/>
                <w:szCs w:val="18"/>
              </w:rPr>
              <w:t xml:space="preserve">                        (18.173)</w:t>
            </w:r>
          </w:p>
        </w:tc>
      </w:tr>
      <w:tr w:rsidR="000B7BF2" w:rsidRPr="00E520EB" w:rsidTr="000B7BF2">
        <w:trPr>
          <w:trHeight w:val="20"/>
        </w:trPr>
        <w:tc>
          <w:tcPr>
            <w:tcW w:w="101" w:type="pct"/>
            <w:tcBorders>
              <w:top w:val="nil"/>
              <w:left w:val="nil"/>
              <w:bottom w:val="nil"/>
              <w:right w:val="nil"/>
            </w:tcBorders>
            <w:shd w:val="clear" w:color="000000" w:fill="FFFFFF"/>
            <w:noWrap/>
            <w:vAlign w:val="center"/>
          </w:tcPr>
          <w:p w:rsidR="000B7BF2" w:rsidRPr="00E520EB" w:rsidRDefault="000B7BF2" w:rsidP="00E520EB">
            <w:pPr>
              <w:rPr>
                <w:color w:val="000000"/>
                <w:sz w:val="18"/>
                <w:szCs w:val="18"/>
              </w:rPr>
            </w:pPr>
          </w:p>
        </w:tc>
        <w:tc>
          <w:tcPr>
            <w:tcW w:w="2442" w:type="pct"/>
            <w:tcBorders>
              <w:top w:val="nil"/>
              <w:left w:val="nil"/>
              <w:bottom w:val="nil"/>
              <w:right w:val="nil"/>
            </w:tcBorders>
            <w:shd w:val="clear" w:color="000000" w:fill="FFFFFF"/>
            <w:noWrap/>
            <w:vAlign w:val="center"/>
          </w:tcPr>
          <w:p w:rsidR="000B7BF2" w:rsidRPr="00E520EB" w:rsidRDefault="000B7BF2" w:rsidP="00C7585A">
            <w:pPr>
              <w:rPr>
                <w:color w:val="000000"/>
                <w:sz w:val="18"/>
                <w:szCs w:val="18"/>
              </w:rPr>
            </w:pPr>
            <w:r>
              <w:rPr>
                <w:color w:val="000000"/>
                <w:sz w:val="18"/>
                <w:szCs w:val="18"/>
              </w:rPr>
              <w:t xml:space="preserve">    Reserva de Lucros </w:t>
            </w:r>
          </w:p>
        </w:tc>
        <w:tc>
          <w:tcPr>
            <w:tcW w:w="278" w:type="pct"/>
            <w:tcBorders>
              <w:top w:val="nil"/>
              <w:left w:val="nil"/>
              <w:bottom w:val="nil"/>
              <w:right w:val="nil"/>
            </w:tcBorders>
            <w:shd w:val="clear" w:color="000000" w:fill="FFFFFF"/>
            <w:vAlign w:val="center"/>
          </w:tcPr>
          <w:p w:rsidR="000B7BF2" w:rsidRDefault="000B7BF2" w:rsidP="00E520EB">
            <w:pPr>
              <w:jc w:val="center"/>
              <w:rPr>
                <w:b/>
                <w:sz w:val="18"/>
                <w:szCs w:val="18"/>
              </w:rPr>
            </w:pPr>
            <w:r>
              <w:rPr>
                <w:b/>
                <w:sz w:val="18"/>
                <w:szCs w:val="18"/>
              </w:rPr>
              <w:t>19</w:t>
            </w:r>
          </w:p>
        </w:tc>
        <w:tc>
          <w:tcPr>
            <w:tcW w:w="101" w:type="pct"/>
            <w:tcBorders>
              <w:top w:val="nil"/>
              <w:left w:val="nil"/>
              <w:bottom w:val="nil"/>
              <w:right w:val="nil"/>
            </w:tcBorders>
            <w:shd w:val="clear" w:color="000000" w:fill="FFFFFF"/>
            <w:vAlign w:val="center"/>
          </w:tcPr>
          <w:p w:rsidR="000B7BF2" w:rsidRPr="00E520EB" w:rsidRDefault="000B7BF2" w:rsidP="00E520EB">
            <w:pPr>
              <w:jc w:val="center"/>
              <w:rPr>
                <w:color w:val="000000"/>
                <w:sz w:val="18"/>
                <w:szCs w:val="18"/>
              </w:rPr>
            </w:pPr>
          </w:p>
        </w:tc>
        <w:tc>
          <w:tcPr>
            <w:tcW w:w="976" w:type="pct"/>
            <w:tcBorders>
              <w:top w:val="nil"/>
              <w:left w:val="nil"/>
              <w:right w:val="nil"/>
            </w:tcBorders>
            <w:shd w:val="clear" w:color="000000" w:fill="FFFFFF"/>
            <w:vAlign w:val="center"/>
          </w:tcPr>
          <w:p w:rsidR="000B7BF2" w:rsidRPr="00E520EB" w:rsidRDefault="000B7BF2" w:rsidP="00187108">
            <w:pPr>
              <w:jc w:val="right"/>
              <w:rPr>
                <w:color w:val="000000"/>
                <w:sz w:val="18"/>
                <w:szCs w:val="18"/>
              </w:rPr>
            </w:pPr>
            <w:r>
              <w:rPr>
                <w:color w:val="000000"/>
                <w:sz w:val="18"/>
                <w:szCs w:val="18"/>
              </w:rPr>
              <w:t>-</w:t>
            </w:r>
          </w:p>
        </w:tc>
        <w:tc>
          <w:tcPr>
            <w:tcW w:w="101" w:type="pct"/>
            <w:tcBorders>
              <w:top w:val="nil"/>
              <w:left w:val="nil"/>
              <w:bottom w:val="nil"/>
              <w:right w:val="nil"/>
            </w:tcBorders>
            <w:shd w:val="clear" w:color="000000" w:fill="FFFFFF"/>
            <w:vAlign w:val="center"/>
          </w:tcPr>
          <w:p w:rsidR="000B7BF2" w:rsidRPr="00E520EB" w:rsidRDefault="000B7BF2" w:rsidP="00E520EB">
            <w:pPr>
              <w:rPr>
                <w:color w:val="FF0000"/>
                <w:sz w:val="18"/>
                <w:szCs w:val="18"/>
              </w:rPr>
            </w:pPr>
          </w:p>
        </w:tc>
        <w:tc>
          <w:tcPr>
            <w:tcW w:w="1001" w:type="pct"/>
            <w:tcBorders>
              <w:top w:val="nil"/>
              <w:left w:val="nil"/>
              <w:right w:val="nil"/>
            </w:tcBorders>
            <w:shd w:val="clear" w:color="000000" w:fill="FFFFFF"/>
            <w:vAlign w:val="center"/>
          </w:tcPr>
          <w:p w:rsidR="000B7BF2" w:rsidRDefault="000B7BF2" w:rsidP="003A7E59">
            <w:pPr>
              <w:jc w:val="right"/>
              <w:rPr>
                <w:color w:val="000000"/>
                <w:sz w:val="18"/>
                <w:szCs w:val="18"/>
              </w:rPr>
            </w:pPr>
            <w:r>
              <w:rPr>
                <w:color w:val="000000"/>
                <w:sz w:val="18"/>
                <w:szCs w:val="18"/>
              </w:rPr>
              <w:t>21.523</w:t>
            </w:r>
          </w:p>
        </w:tc>
      </w:tr>
      <w:tr w:rsidR="00E520EB" w:rsidRPr="00E520EB" w:rsidTr="000B7BF2">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C7585A">
            <w:pPr>
              <w:rPr>
                <w:color w:val="000000"/>
                <w:sz w:val="18"/>
                <w:szCs w:val="18"/>
              </w:rPr>
            </w:pPr>
            <w:r w:rsidRPr="00E520EB">
              <w:rPr>
                <w:color w:val="000000"/>
                <w:sz w:val="18"/>
                <w:szCs w:val="18"/>
              </w:rPr>
              <w:t xml:space="preserve">  </w:t>
            </w:r>
            <w:r w:rsidR="00751DED">
              <w:rPr>
                <w:color w:val="000000"/>
                <w:sz w:val="18"/>
                <w:szCs w:val="18"/>
              </w:rPr>
              <w:t xml:space="preserve">  </w:t>
            </w:r>
            <w:r w:rsidR="00F7378C">
              <w:rPr>
                <w:color w:val="000000"/>
                <w:sz w:val="18"/>
                <w:szCs w:val="18"/>
              </w:rPr>
              <w:t>Prejuízo</w:t>
            </w:r>
            <w:r w:rsidR="00C7585A">
              <w:rPr>
                <w:color w:val="000000"/>
                <w:sz w:val="18"/>
                <w:szCs w:val="18"/>
              </w:rPr>
              <w:t>s Acumulados</w:t>
            </w:r>
          </w:p>
        </w:tc>
        <w:tc>
          <w:tcPr>
            <w:tcW w:w="278" w:type="pct"/>
            <w:tcBorders>
              <w:top w:val="nil"/>
              <w:left w:val="nil"/>
              <w:bottom w:val="nil"/>
              <w:right w:val="nil"/>
            </w:tcBorders>
            <w:shd w:val="clear" w:color="000000" w:fill="FFFFFF"/>
            <w:vAlign w:val="center"/>
            <w:hideMark/>
          </w:tcPr>
          <w:p w:rsidR="00E520EB" w:rsidRPr="008F11DE" w:rsidRDefault="008F11DE" w:rsidP="00E520EB">
            <w:pPr>
              <w:jc w:val="center"/>
              <w:rPr>
                <w:b/>
                <w:color w:val="FF0000"/>
                <w:sz w:val="18"/>
                <w:szCs w:val="18"/>
              </w:rPr>
            </w:pPr>
            <w:r>
              <w:rPr>
                <w:b/>
                <w:sz w:val="18"/>
                <w:szCs w:val="18"/>
              </w:rPr>
              <w:t xml:space="preserve"> </w:t>
            </w:r>
            <w:r w:rsidRPr="008F11DE">
              <w:rPr>
                <w:b/>
                <w:sz w:val="18"/>
                <w:szCs w:val="18"/>
              </w:rPr>
              <w:t>19</w:t>
            </w:r>
            <w:r w:rsidR="00E520EB" w:rsidRPr="008F11DE">
              <w:rPr>
                <w:b/>
                <w:color w:val="FF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color w:val="000000"/>
                <w:sz w:val="18"/>
                <w:szCs w:val="18"/>
              </w:rPr>
            </w:pPr>
            <w:r w:rsidRPr="00E520EB">
              <w:rPr>
                <w:color w:val="000000"/>
                <w:sz w:val="18"/>
                <w:szCs w:val="18"/>
              </w:rPr>
              <w:t> </w:t>
            </w:r>
          </w:p>
        </w:tc>
        <w:tc>
          <w:tcPr>
            <w:tcW w:w="976" w:type="pct"/>
            <w:tcBorders>
              <w:left w:val="nil"/>
              <w:bottom w:val="single" w:sz="8" w:space="0" w:color="auto"/>
              <w:right w:val="nil"/>
            </w:tcBorders>
            <w:shd w:val="clear" w:color="000000" w:fill="FFFFFF"/>
            <w:vAlign w:val="center"/>
            <w:hideMark/>
          </w:tcPr>
          <w:p w:rsidR="00E520EB" w:rsidRPr="00E520EB" w:rsidRDefault="00E520EB" w:rsidP="00187108">
            <w:pPr>
              <w:jc w:val="right"/>
              <w:rPr>
                <w:color w:val="000000"/>
                <w:sz w:val="18"/>
                <w:szCs w:val="18"/>
              </w:rPr>
            </w:pPr>
            <w:r w:rsidRPr="00E520EB">
              <w:rPr>
                <w:color w:val="000000"/>
                <w:sz w:val="18"/>
                <w:szCs w:val="18"/>
              </w:rPr>
              <w:t xml:space="preserve">                     (</w:t>
            </w:r>
            <w:r w:rsidR="00187108">
              <w:rPr>
                <w:color w:val="000000"/>
                <w:sz w:val="18"/>
                <w:szCs w:val="18"/>
              </w:rPr>
              <w:t>101.419</w:t>
            </w:r>
            <w:r w:rsidRPr="00E520EB">
              <w:rPr>
                <w:color w:val="000000"/>
                <w:sz w:val="18"/>
                <w:szCs w:val="18"/>
              </w:rPr>
              <w:t>)</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color w:val="FF0000"/>
                <w:sz w:val="18"/>
                <w:szCs w:val="18"/>
              </w:rPr>
            </w:pPr>
            <w:r w:rsidRPr="00E520EB">
              <w:rPr>
                <w:color w:val="FF0000"/>
                <w:sz w:val="18"/>
                <w:szCs w:val="18"/>
              </w:rPr>
              <w:t> </w:t>
            </w:r>
          </w:p>
        </w:tc>
        <w:tc>
          <w:tcPr>
            <w:tcW w:w="1001" w:type="pct"/>
            <w:tcBorders>
              <w:left w:val="nil"/>
              <w:bottom w:val="single" w:sz="8" w:space="0" w:color="auto"/>
              <w:right w:val="nil"/>
            </w:tcBorders>
            <w:shd w:val="clear" w:color="000000" w:fill="FFFFFF"/>
            <w:vAlign w:val="center"/>
            <w:hideMark/>
          </w:tcPr>
          <w:p w:rsidR="00E520EB" w:rsidRPr="00E520EB" w:rsidRDefault="000B7BF2" w:rsidP="003A7E59">
            <w:pPr>
              <w:jc w:val="right"/>
              <w:rPr>
                <w:color w:val="000000"/>
                <w:sz w:val="18"/>
                <w:szCs w:val="18"/>
              </w:rPr>
            </w:pPr>
            <w:r>
              <w:rPr>
                <w:color w:val="000000"/>
                <w:sz w:val="18"/>
                <w:szCs w:val="18"/>
              </w:rPr>
              <w:t>-</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jc w:val="right"/>
              <w:rPr>
                <w:color w:val="000000"/>
                <w:sz w:val="18"/>
                <w:szCs w:val="18"/>
              </w:rPr>
            </w:pPr>
            <w:r w:rsidRPr="00E520EB">
              <w:rPr>
                <w:color w:val="000000"/>
                <w:sz w:val="18"/>
                <w:szCs w:val="18"/>
              </w:rPr>
              <w:t> </w:t>
            </w: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FF0000"/>
                <w:sz w:val="18"/>
                <w:szCs w:val="18"/>
              </w:rPr>
            </w:pPr>
            <w:r w:rsidRPr="00E520EB">
              <w:rPr>
                <w:b/>
                <w:bCs/>
                <w:color w:val="FF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tcBorders>
              <w:top w:val="nil"/>
              <w:left w:val="nil"/>
              <w:bottom w:val="single" w:sz="8" w:space="0" w:color="auto"/>
              <w:right w:val="nil"/>
            </w:tcBorders>
            <w:shd w:val="clear" w:color="000000" w:fill="FFFFFF"/>
            <w:vAlign w:val="center"/>
            <w:hideMark/>
          </w:tcPr>
          <w:p w:rsidR="00E520EB" w:rsidRPr="00E520EB" w:rsidRDefault="00E520EB" w:rsidP="00CD5D83">
            <w:pPr>
              <w:jc w:val="right"/>
              <w:rPr>
                <w:b/>
                <w:bCs/>
                <w:color w:val="000000"/>
                <w:sz w:val="18"/>
                <w:szCs w:val="18"/>
              </w:rPr>
            </w:pPr>
            <w:r w:rsidRPr="00E520EB">
              <w:rPr>
                <w:b/>
                <w:bCs/>
                <w:color w:val="000000"/>
                <w:sz w:val="18"/>
                <w:szCs w:val="18"/>
              </w:rPr>
              <w:t xml:space="preserve">                     </w:t>
            </w:r>
            <w:r w:rsidR="00CD5D83">
              <w:rPr>
                <w:b/>
                <w:bCs/>
                <w:color w:val="000000"/>
                <w:sz w:val="18"/>
                <w:szCs w:val="18"/>
              </w:rPr>
              <w:t>423.657</w:t>
            </w:r>
            <w:r w:rsidRPr="00E520EB">
              <w:rPr>
                <w:b/>
                <w:bCs/>
                <w:color w:val="000000"/>
                <w:sz w:val="18"/>
                <w:szCs w:val="18"/>
              </w:rPr>
              <w:t xml:space="preserve">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b/>
                <w:bCs/>
                <w:color w:val="000000"/>
                <w:sz w:val="18"/>
                <w:szCs w:val="18"/>
              </w:rPr>
            </w:pPr>
            <w:r w:rsidRPr="00E520EB">
              <w:rPr>
                <w:b/>
                <w:bCs/>
                <w:color w:val="000000"/>
                <w:sz w:val="18"/>
                <w:szCs w:val="18"/>
              </w:rPr>
              <w:t> </w:t>
            </w:r>
          </w:p>
        </w:tc>
        <w:tc>
          <w:tcPr>
            <w:tcW w:w="1001" w:type="pct"/>
            <w:tcBorders>
              <w:top w:val="nil"/>
              <w:left w:val="nil"/>
              <w:bottom w:val="single" w:sz="8" w:space="0" w:color="auto"/>
              <w:right w:val="nil"/>
            </w:tcBorders>
            <w:shd w:val="clear" w:color="000000" w:fill="FFFFFF"/>
            <w:vAlign w:val="center"/>
            <w:hideMark/>
          </w:tcPr>
          <w:p w:rsidR="00E520EB" w:rsidRPr="00E520EB" w:rsidRDefault="00E520EB" w:rsidP="00E520EB">
            <w:pPr>
              <w:jc w:val="right"/>
              <w:rPr>
                <w:b/>
                <w:bCs/>
                <w:color w:val="000000"/>
                <w:sz w:val="18"/>
                <w:szCs w:val="18"/>
              </w:rPr>
            </w:pPr>
            <w:r w:rsidRPr="00E520EB">
              <w:rPr>
                <w:b/>
                <w:bCs/>
                <w:color w:val="000000"/>
                <w:sz w:val="18"/>
                <w:szCs w:val="18"/>
              </w:rPr>
              <w:t xml:space="preserve">                     379.753 </w:t>
            </w:r>
          </w:p>
        </w:tc>
      </w:tr>
      <w:tr w:rsidR="00E520EB" w:rsidRPr="00E520EB" w:rsidTr="00E520EB">
        <w:trPr>
          <w:trHeight w:val="20"/>
        </w:trPr>
        <w:tc>
          <w:tcPr>
            <w:tcW w:w="101"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w:t>
            </w:r>
          </w:p>
        </w:tc>
        <w:tc>
          <w:tcPr>
            <w:tcW w:w="2442" w:type="pct"/>
            <w:tcBorders>
              <w:top w:val="nil"/>
              <w:left w:val="nil"/>
              <w:bottom w:val="nil"/>
              <w:right w:val="nil"/>
            </w:tcBorders>
            <w:shd w:val="clear" w:color="000000" w:fill="FFFFFF"/>
            <w:noWrap/>
            <w:vAlign w:val="center"/>
            <w:hideMark/>
          </w:tcPr>
          <w:p w:rsidR="00E520EB" w:rsidRPr="00E520EB" w:rsidRDefault="00E520EB" w:rsidP="00E520EB">
            <w:pPr>
              <w:rPr>
                <w:color w:val="000000"/>
                <w:sz w:val="18"/>
                <w:szCs w:val="18"/>
              </w:rPr>
            </w:pPr>
            <w:r w:rsidRPr="00E520EB">
              <w:rPr>
                <w:color w:val="000000"/>
                <w:sz w:val="18"/>
                <w:szCs w:val="18"/>
              </w:rPr>
              <w:t xml:space="preserve">  </w:t>
            </w:r>
            <w:r w:rsidRPr="00E520EB">
              <w:rPr>
                <w:b/>
                <w:bCs/>
                <w:color w:val="000000"/>
                <w:sz w:val="18"/>
                <w:szCs w:val="18"/>
              </w:rPr>
              <w:t>Total do Passivo</w:t>
            </w:r>
          </w:p>
        </w:tc>
        <w:tc>
          <w:tcPr>
            <w:tcW w:w="278"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FF0000"/>
                <w:sz w:val="18"/>
                <w:szCs w:val="18"/>
              </w:rPr>
            </w:pPr>
            <w:r w:rsidRPr="00E520EB">
              <w:rPr>
                <w:b/>
                <w:bCs/>
                <w:color w:val="FF0000"/>
                <w:sz w:val="18"/>
                <w:szCs w:val="18"/>
              </w:rPr>
              <w:t> </w:t>
            </w:r>
          </w:p>
        </w:tc>
        <w:tc>
          <w:tcPr>
            <w:tcW w:w="101" w:type="pct"/>
            <w:tcBorders>
              <w:top w:val="nil"/>
              <w:left w:val="nil"/>
              <w:bottom w:val="nil"/>
              <w:right w:val="nil"/>
            </w:tcBorders>
            <w:shd w:val="clear" w:color="000000" w:fill="FFFFFF"/>
            <w:vAlign w:val="center"/>
            <w:hideMark/>
          </w:tcPr>
          <w:p w:rsidR="00E520EB" w:rsidRPr="00E520EB" w:rsidRDefault="00E520EB" w:rsidP="00E520EB">
            <w:pPr>
              <w:jc w:val="center"/>
              <w:rPr>
                <w:b/>
                <w:bCs/>
                <w:color w:val="000000"/>
                <w:sz w:val="18"/>
                <w:szCs w:val="18"/>
              </w:rPr>
            </w:pPr>
            <w:r w:rsidRPr="00E520EB">
              <w:rPr>
                <w:b/>
                <w:bCs/>
                <w:color w:val="000000"/>
                <w:sz w:val="18"/>
                <w:szCs w:val="18"/>
              </w:rPr>
              <w:t> </w:t>
            </w:r>
          </w:p>
        </w:tc>
        <w:tc>
          <w:tcPr>
            <w:tcW w:w="976" w:type="pct"/>
            <w:tcBorders>
              <w:top w:val="nil"/>
              <w:left w:val="nil"/>
              <w:bottom w:val="double" w:sz="6" w:space="0" w:color="auto"/>
              <w:right w:val="nil"/>
            </w:tcBorders>
            <w:shd w:val="clear" w:color="000000" w:fill="FFFFFF"/>
            <w:vAlign w:val="center"/>
            <w:hideMark/>
          </w:tcPr>
          <w:p w:rsidR="00E520EB" w:rsidRPr="00E520EB" w:rsidRDefault="00E520EB" w:rsidP="00334DCE">
            <w:pPr>
              <w:jc w:val="right"/>
              <w:rPr>
                <w:b/>
                <w:bCs/>
                <w:color w:val="000000"/>
                <w:sz w:val="18"/>
                <w:szCs w:val="18"/>
              </w:rPr>
            </w:pPr>
            <w:r w:rsidRPr="00E520EB">
              <w:rPr>
                <w:b/>
                <w:bCs/>
                <w:color w:val="000000"/>
                <w:sz w:val="18"/>
                <w:szCs w:val="18"/>
              </w:rPr>
              <w:t xml:space="preserve">                 1.357.</w:t>
            </w:r>
            <w:r w:rsidR="00334DCE">
              <w:rPr>
                <w:b/>
                <w:bCs/>
                <w:color w:val="000000"/>
                <w:sz w:val="18"/>
                <w:szCs w:val="18"/>
              </w:rPr>
              <w:t>626</w:t>
            </w:r>
            <w:r w:rsidRPr="00E520EB">
              <w:rPr>
                <w:b/>
                <w:bCs/>
                <w:color w:val="000000"/>
                <w:sz w:val="18"/>
                <w:szCs w:val="18"/>
              </w:rPr>
              <w:t xml:space="preserve"> </w:t>
            </w:r>
          </w:p>
        </w:tc>
        <w:tc>
          <w:tcPr>
            <w:tcW w:w="101" w:type="pct"/>
            <w:tcBorders>
              <w:top w:val="nil"/>
              <w:left w:val="nil"/>
              <w:bottom w:val="nil"/>
              <w:right w:val="nil"/>
            </w:tcBorders>
            <w:shd w:val="clear" w:color="000000" w:fill="FFFFFF"/>
            <w:vAlign w:val="center"/>
            <w:hideMark/>
          </w:tcPr>
          <w:p w:rsidR="00E520EB" w:rsidRPr="00E520EB" w:rsidRDefault="00E520EB" w:rsidP="00E520EB">
            <w:pPr>
              <w:rPr>
                <w:b/>
                <w:bCs/>
                <w:color w:val="000000"/>
                <w:sz w:val="18"/>
                <w:szCs w:val="18"/>
              </w:rPr>
            </w:pPr>
            <w:r w:rsidRPr="00E520EB">
              <w:rPr>
                <w:b/>
                <w:bCs/>
                <w:color w:val="000000"/>
                <w:sz w:val="18"/>
                <w:szCs w:val="18"/>
              </w:rPr>
              <w:t> </w:t>
            </w:r>
          </w:p>
        </w:tc>
        <w:tc>
          <w:tcPr>
            <w:tcW w:w="1001" w:type="pct"/>
            <w:tcBorders>
              <w:top w:val="nil"/>
              <w:left w:val="nil"/>
              <w:bottom w:val="double" w:sz="6" w:space="0" w:color="auto"/>
              <w:right w:val="nil"/>
            </w:tcBorders>
            <w:shd w:val="clear" w:color="000000" w:fill="FFFFFF"/>
            <w:vAlign w:val="center"/>
            <w:hideMark/>
          </w:tcPr>
          <w:p w:rsidR="00E520EB" w:rsidRPr="00E520EB" w:rsidRDefault="00E520EB" w:rsidP="00E520EB">
            <w:pPr>
              <w:jc w:val="right"/>
              <w:rPr>
                <w:b/>
                <w:bCs/>
                <w:color w:val="000000"/>
                <w:sz w:val="18"/>
                <w:szCs w:val="18"/>
              </w:rPr>
            </w:pPr>
            <w:r w:rsidRPr="00E520EB">
              <w:rPr>
                <w:b/>
                <w:bCs/>
                <w:color w:val="000000"/>
                <w:sz w:val="18"/>
                <w:szCs w:val="18"/>
              </w:rPr>
              <w:t xml:space="preserve">                  1.138.738 </w:t>
            </w:r>
          </w:p>
        </w:tc>
      </w:tr>
    </w:tbl>
    <w:p w:rsidR="0049721C" w:rsidRPr="00FD7B48" w:rsidRDefault="0049721C" w:rsidP="0049721C">
      <w:pPr>
        <w:sectPr w:rsidR="0049721C" w:rsidRPr="00FD7B48" w:rsidSect="00E52C3C">
          <w:headerReference w:type="default" r:id="rId9"/>
          <w:headerReference w:type="first" r:id="rId10"/>
          <w:pgSz w:w="11907" w:h="16839" w:code="9"/>
          <w:pgMar w:top="1418" w:right="1134" w:bottom="1134" w:left="1418" w:header="720" w:footer="720" w:gutter="0"/>
          <w:pgNumType w:start="1"/>
          <w:cols w:space="720"/>
          <w:titlePg/>
          <w:docGrid w:linePitch="272"/>
        </w:sectPr>
      </w:pPr>
    </w:p>
    <w:tbl>
      <w:tblPr>
        <w:tblW w:w="5000" w:type="pct"/>
        <w:tblCellMar>
          <w:left w:w="70" w:type="dxa"/>
          <w:right w:w="70" w:type="dxa"/>
        </w:tblCellMar>
        <w:tblLook w:val="04A0" w:firstRow="1" w:lastRow="0" w:firstColumn="1" w:lastColumn="0" w:noHBand="0" w:noVBand="1"/>
      </w:tblPr>
      <w:tblGrid>
        <w:gridCol w:w="5240"/>
        <w:gridCol w:w="639"/>
        <w:gridCol w:w="219"/>
        <w:gridCol w:w="1419"/>
        <w:gridCol w:w="219"/>
        <w:gridCol w:w="1476"/>
      </w:tblGrid>
      <w:tr w:rsidR="007E534B" w:rsidRPr="00D82176" w:rsidTr="008F11DE">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rPr>
                <w:b/>
                <w:bCs/>
                <w:color w:val="000000"/>
                <w:sz w:val="18"/>
                <w:szCs w:val="18"/>
              </w:rPr>
            </w:pPr>
            <w:r w:rsidRPr="00D82176">
              <w:rPr>
                <w:b/>
                <w:bCs/>
                <w:color w:val="000000"/>
                <w:sz w:val="18"/>
                <w:szCs w:val="18"/>
              </w:rPr>
              <w:lastRenderedPageBreak/>
              <w:t>Demonstração do Resultado do Exercício</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000000"/>
                <w:sz w:val="18"/>
                <w:szCs w:val="18"/>
              </w:rPr>
            </w:pPr>
            <w:r w:rsidRPr="00D82176">
              <w:rPr>
                <w:b/>
                <w:bCs/>
                <w:color w:val="000000"/>
                <w:sz w:val="18"/>
                <w:szCs w:val="18"/>
              </w:rPr>
              <w:t>Nota</w:t>
            </w:r>
          </w:p>
        </w:tc>
        <w:tc>
          <w:tcPr>
            <w:tcW w:w="119" w:type="pct"/>
            <w:tcBorders>
              <w:top w:val="nil"/>
              <w:left w:val="nil"/>
              <w:bottom w:val="nil"/>
              <w:right w:val="nil"/>
            </w:tcBorders>
            <w:shd w:val="clear" w:color="000000" w:fill="FFFFFF"/>
            <w:vAlign w:val="center"/>
            <w:hideMark/>
          </w:tcPr>
          <w:p w:rsidR="007E534B" w:rsidRPr="00D82176" w:rsidRDefault="007E534B" w:rsidP="008F11DE">
            <w:pPr>
              <w:jc w:val="center"/>
              <w:rPr>
                <w:b/>
                <w:bCs/>
                <w:color w:val="000000"/>
                <w:sz w:val="18"/>
                <w:szCs w:val="18"/>
              </w:rPr>
            </w:pPr>
          </w:p>
        </w:tc>
        <w:tc>
          <w:tcPr>
            <w:tcW w:w="770" w:type="pct"/>
            <w:tcBorders>
              <w:top w:val="nil"/>
              <w:left w:val="nil"/>
              <w:bottom w:val="single" w:sz="4" w:space="0" w:color="auto"/>
              <w:right w:val="nil"/>
            </w:tcBorders>
            <w:shd w:val="clear" w:color="000000" w:fill="FFFFFF"/>
            <w:vAlign w:val="center"/>
            <w:hideMark/>
          </w:tcPr>
          <w:p w:rsidR="007E534B" w:rsidRPr="00D82176" w:rsidRDefault="008F11DE" w:rsidP="008F11DE">
            <w:pPr>
              <w:jc w:val="center"/>
              <w:rPr>
                <w:b/>
                <w:bCs/>
                <w:color w:val="000000"/>
                <w:sz w:val="18"/>
                <w:szCs w:val="18"/>
              </w:rPr>
            </w:pPr>
            <w:r>
              <w:rPr>
                <w:b/>
                <w:bCs/>
                <w:color w:val="000000"/>
                <w:sz w:val="18"/>
                <w:szCs w:val="18"/>
              </w:rPr>
              <w:t>2017</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p>
        </w:tc>
        <w:tc>
          <w:tcPr>
            <w:tcW w:w="801" w:type="pct"/>
            <w:tcBorders>
              <w:top w:val="nil"/>
              <w:left w:val="nil"/>
              <w:bottom w:val="single" w:sz="4" w:space="0" w:color="auto"/>
              <w:right w:val="nil"/>
            </w:tcBorders>
            <w:shd w:val="clear" w:color="000000" w:fill="FFFFFF"/>
            <w:vAlign w:val="center"/>
            <w:hideMark/>
          </w:tcPr>
          <w:p w:rsidR="007E534B" w:rsidRPr="00D82176" w:rsidRDefault="008F11DE" w:rsidP="008F11DE">
            <w:pPr>
              <w:jc w:val="center"/>
              <w:rPr>
                <w:b/>
                <w:bCs/>
                <w:color w:val="000000"/>
                <w:sz w:val="18"/>
                <w:szCs w:val="18"/>
              </w:rPr>
            </w:pPr>
            <w:r>
              <w:rPr>
                <w:b/>
                <w:bCs/>
                <w:color w:val="000000"/>
                <w:sz w:val="18"/>
                <w:szCs w:val="18"/>
              </w:rPr>
              <w:t>2016</w:t>
            </w:r>
          </w:p>
        </w:tc>
      </w:tr>
      <w:tr w:rsidR="008F11DE" w:rsidRPr="00D82176" w:rsidTr="008F11DE">
        <w:trPr>
          <w:trHeight w:val="20"/>
        </w:trPr>
        <w:tc>
          <w:tcPr>
            <w:tcW w:w="2844" w:type="pct"/>
            <w:tcBorders>
              <w:top w:val="nil"/>
              <w:left w:val="nil"/>
              <w:bottom w:val="nil"/>
              <w:right w:val="nil"/>
            </w:tcBorders>
            <w:shd w:val="clear" w:color="000000" w:fill="FFFFFF"/>
            <w:vAlign w:val="center"/>
          </w:tcPr>
          <w:p w:rsidR="008F11DE" w:rsidRPr="00D82176" w:rsidRDefault="008F11DE" w:rsidP="007E534B">
            <w:pPr>
              <w:rPr>
                <w:b/>
                <w:bCs/>
                <w:color w:val="000000"/>
                <w:sz w:val="18"/>
                <w:szCs w:val="18"/>
              </w:rPr>
            </w:pPr>
          </w:p>
        </w:tc>
        <w:tc>
          <w:tcPr>
            <w:tcW w:w="347" w:type="pct"/>
            <w:tcBorders>
              <w:top w:val="nil"/>
              <w:left w:val="nil"/>
              <w:bottom w:val="nil"/>
              <w:right w:val="nil"/>
            </w:tcBorders>
            <w:shd w:val="clear" w:color="000000" w:fill="FFFFFF"/>
            <w:vAlign w:val="center"/>
          </w:tcPr>
          <w:p w:rsidR="008F11DE" w:rsidRPr="00D82176" w:rsidRDefault="008F11DE" w:rsidP="007E534B">
            <w:pPr>
              <w:jc w:val="center"/>
              <w:rPr>
                <w:b/>
                <w:bCs/>
                <w:color w:val="FF0000"/>
                <w:sz w:val="18"/>
                <w:szCs w:val="18"/>
              </w:rPr>
            </w:pPr>
          </w:p>
        </w:tc>
        <w:tc>
          <w:tcPr>
            <w:tcW w:w="119" w:type="pct"/>
            <w:tcBorders>
              <w:top w:val="nil"/>
              <w:left w:val="nil"/>
              <w:bottom w:val="nil"/>
              <w:right w:val="nil"/>
            </w:tcBorders>
            <w:shd w:val="clear" w:color="000000" w:fill="FFFFFF"/>
            <w:vAlign w:val="center"/>
          </w:tcPr>
          <w:p w:rsidR="008F11DE" w:rsidRPr="00D82176" w:rsidRDefault="008F11DE" w:rsidP="007E534B">
            <w:pPr>
              <w:jc w:val="right"/>
              <w:rPr>
                <w:b/>
                <w:bCs/>
                <w:color w:val="000000"/>
                <w:sz w:val="18"/>
                <w:szCs w:val="18"/>
              </w:rPr>
            </w:pPr>
          </w:p>
        </w:tc>
        <w:tc>
          <w:tcPr>
            <w:tcW w:w="770" w:type="pct"/>
            <w:tcBorders>
              <w:top w:val="single" w:sz="4" w:space="0" w:color="auto"/>
              <w:left w:val="nil"/>
              <w:right w:val="nil"/>
            </w:tcBorders>
            <w:shd w:val="clear" w:color="000000" w:fill="FFFFFF"/>
            <w:vAlign w:val="center"/>
          </w:tcPr>
          <w:p w:rsidR="008F11DE" w:rsidRPr="00D82176" w:rsidRDefault="008F11DE" w:rsidP="007E534B">
            <w:pPr>
              <w:jc w:val="right"/>
              <w:rPr>
                <w:b/>
                <w:bCs/>
                <w:color w:val="000000"/>
                <w:sz w:val="18"/>
                <w:szCs w:val="18"/>
              </w:rPr>
            </w:pPr>
          </w:p>
        </w:tc>
        <w:tc>
          <w:tcPr>
            <w:tcW w:w="119" w:type="pct"/>
            <w:tcBorders>
              <w:top w:val="nil"/>
              <w:left w:val="nil"/>
              <w:bottom w:val="nil"/>
              <w:right w:val="nil"/>
            </w:tcBorders>
            <w:shd w:val="clear" w:color="000000" w:fill="FFFFFF"/>
            <w:vAlign w:val="center"/>
          </w:tcPr>
          <w:p w:rsidR="008F11DE" w:rsidRPr="00D82176" w:rsidRDefault="008F11DE" w:rsidP="007E534B">
            <w:pPr>
              <w:jc w:val="right"/>
              <w:rPr>
                <w:b/>
                <w:bCs/>
                <w:color w:val="000000"/>
                <w:sz w:val="18"/>
                <w:szCs w:val="18"/>
              </w:rPr>
            </w:pPr>
          </w:p>
        </w:tc>
        <w:tc>
          <w:tcPr>
            <w:tcW w:w="801" w:type="pct"/>
            <w:tcBorders>
              <w:top w:val="single" w:sz="4" w:space="0" w:color="auto"/>
              <w:left w:val="nil"/>
              <w:right w:val="nil"/>
            </w:tcBorders>
            <w:shd w:val="clear" w:color="000000" w:fill="FFFFFF"/>
            <w:vAlign w:val="center"/>
          </w:tcPr>
          <w:p w:rsidR="008F11DE" w:rsidRPr="00D82176" w:rsidRDefault="008F11DE" w:rsidP="007E534B">
            <w:pPr>
              <w:jc w:val="right"/>
              <w:rPr>
                <w:b/>
                <w:bCs/>
                <w:color w:val="000000"/>
                <w:sz w:val="18"/>
                <w:szCs w:val="18"/>
              </w:rPr>
            </w:pPr>
          </w:p>
        </w:tc>
      </w:tr>
      <w:tr w:rsidR="007E534B" w:rsidRPr="00D82176" w:rsidTr="008F11DE">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rPr>
                <w:b/>
                <w:bCs/>
                <w:color w:val="000000"/>
                <w:sz w:val="18"/>
                <w:szCs w:val="18"/>
              </w:rPr>
            </w:pPr>
            <w:r w:rsidRPr="00D82176">
              <w:rPr>
                <w:b/>
                <w:bCs/>
                <w:color w:val="000000"/>
                <w:sz w:val="18"/>
                <w:szCs w:val="18"/>
              </w:rPr>
              <w:t>Receita Operacional Bruta</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770" w:type="pct"/>
            <w:tcBorders>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rPr>
                <w:color w:val="000000"/>
                <w:sz w:val="18"/>
                <w:szCs w:val="18"/>
              </w:rPr>
            </w:pPr>
            <w:r w:rsidRPr="00D82176">
              <w:rPr>
                <w:color w:val="000000"/>
                <w:sz w:val="18"/>
                <w:szCs w:val="18"/>
              </w:rPr>
              <w:t xml:space="preserve">      Serviços Prestados</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222.864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224.782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rPr>
                <w:color w:val="000000"/>
                <w:sz w:val="18"/>
                <w:szCs w:val="18"/>
              </w:rPr>
            </w:pPr>
            <w:r w:rsidRPr="00D82176">
              <w:rPr>
                <w:color w:val="000000"/>
                <w:sz w:val="18"/>
                <w:szCs w:val="18"/>
              </w:rPr>
              <w:t xml:space="preserve">      Repasses Recebidos</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E3210F">
            <w:pPr>
              <w:jc w:val="right"/>
              <w:rPr>
                <w:color w:val="000000"/>
                <w:sz w:val="18"/>
                <w:szCs w:val="18"/>
              </w:rPr>
            </w:pPr>
            <w:r w:rsidRPr="00D82176">
              <w:rPr>
                <w:color w:val="000000"/>
                <w:sz w:val="18"/>
                <w:szCs w:val="18"/>
              </w:rPr>
              <w:t xml:space="preserve">     1.245.72</w:t>
            </w:r>
            <w:r w:rsidR="00E3210F" w:rsidRPr="00D82176">
              <w:rPr>
                <w:color w:val="000000"/>
                <w:sz w:val="18"/>
                <w:szCs w:val="18"/>
              </w:rPr>
              <w:t>8</w:t>
            </w:r>
            <w:r w:rsidRPr="00D82176">
              <w:rPr>
                <w:color w:val="000000"/>
                <w:sz w:val="18"/>
                <w:szCs w:val="18"/>
              </w:rPr>
              <w:t xml:space="preserve">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1.105.348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rPr>
                <w:color w:val="000000"/>
                <w:sz w:val="18"/>
                <w:szCs w:val="18"/>
              </w:rPr>
            </w:pPr>
            <w:r w:rsidRPr="00D82176">
              <w:rPr>
                <w:color w:val="000000"/>
                <w:sz w:val="18"/>
                <w:szCs w:val="18"/>
              </w:rPr>
              <w:t xml:space="preserve">      Repasses de Apropriações a Receber</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A55851" w:rsidP="007E534B">
            <w:pPr>
              <w:jc w:val="right"/>
              <w:rPr>
                <w:color w:val="000000"/>
                <w:sz w:val="18"/>
                <w:szCs w:val="18"/>
              </w:rPr>
            </w:pPr>
            <w:r w:rsidRPr="00D82176">
              <w:rPr>
                <w:color w:val="000000"/>
                <w:sz w:val="18"/>
                <w:szCs w:val="18"/>
              </w:rPr>
              <w:t>47.696</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31.491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770" w:type="pct"/>
            <w:tcBorders>
              <w:top w:val="nil"/>
              <w:left w:val="nil"/>
              <w:bottom w:val="single" w:sz="8" w:space="0" w:color="auto"/>
              <w:right w:val="nil"/>
            </w:tcBorders>
            <w:shd w:val="clear" w:color="000000" w:fill="FFFFFF"/>
            <w:vAlign w:val="center"/>
            <w:hideMark/>
          </w:tcPr>
          <w:p w:rsidR="007E534B" w:rsidRPr="00D82176" w:rsidRDefault="007E534B" w:rsidP="00E3210F">
            <w:pPr>
              <w:jc w:val="right"/>
              <w:rPr>
                <w:b/>
                <w:bCs/>
                <w:color w:val="000000"/>
                <w:sz w:val="18"/>
                <w:szCs w:val="18"/>
              </w:rPr>
            </w:pPr>
            <w:r w:rsidRPr="00D82176">
              <w:rPr>
                <w:b/>
                <w:bCs/>
                <w:color w:val="000000"/>
                <w:sz w:val="18"/>
                <w:szCs w:val="18"/>
              </w:rPr>
              <w:t xml:space="preserve">  1.516.</w:t>
            </w:r>
            <w:r w:rsidR="00A55851" w:rsidRPr="00D82176">
              <w:rPr>
                <w:b/>
                <w:bCs/>
                <w:color w:val="000000"/>
                <w:sz w:val="18"/>
                <w:szCs w:val="18"/>
              </w:rPr>
              <w:t>28</w:t>
            </w:r>
            <w:r w:rsidR="00E3210F" w:rsidRPr="00D82176">
              <w:rPr>
                <w:b/>
                <w:bCs/>
                <w:color w:val="000000"/>
                <w:sz w:val="18"/>
                <w:szCs w:val="18"/>
              </w:rPr>
              <w:t>8</w:t>
            </w:r>
            <w:r w:rsidRPr="00D82176">
              <w:rPr>
                <w:b/>
                <w:bCs/>
                <w:color w:val="000000"/>
                <w:sz w:val="18"/>
                <w:szCs w:val="18"/>
              </w:rPr>
              <w:t xml:space="preserve">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single" w:sz="8" w:space="0" w:color="auto"/>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xml:space="preserve">   1.361.621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b/>
                <w:bCs/>
                <w:color w:val="000000"/>
                <w:sz w:val="18"/>
                <w:szCs w:val="18"/>
              </w:rPr>
            </w:pPr>
            <w:r w:rsidRPr="00D82176">
              <w:rPr>
                <w:b/>
                <w:bCs/>
                <w:color w:val="000000"/>
                <w:sz w:val="18"/>
                <w:szCs w:val="18"/>
              </w:rPr>
              <w:t>Ajustes da Receita Bruta</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xml:space="preserve">     Receitas de Diferido (Reversão da Subvenção)</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(620)</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6.680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xml:space="preserve">     Repasses p/Subvenções e Doações Governamentais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FF0000"/>
                <w:sz w:val="18"/>
                <w:szCs w:val="18"/>
              </w:rPr>
            </w:pPr>
            <w:r w:rsidRPr="00D82176">
              <w:rPr>
                <w:color w:val="FF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A55851">
            <w:pPr>
              <w:jc w:val="right"/>
              <w:rPr>
                <w:color w:val="000000"/>
                <w:sz w:val="18"/>
                <w:szCs w:val="18"/>
              </w:rPr>
            </w:pPr>
            <w:r w:rsidRPr="00D82176">
              <w:rPr>
                <w:color w:val="000000"/>
                <w:sz w:val="18"/>
                <w:szCs w:val="18"/>
              </w:rPr>
              <w:t xml:space="preserve">      (165.</w:t>
            </w:r>
            <w:r w:rsidR="00A55851" w:rsidRPr="00D82176">
              <w:rPr>
                <w:color w:val="000000"/>
                <w:sz w:val="18"/>
                <w:szCs w:val="18"/>
              </w:rPr>
              <w:t>273</w:t>
            </w:r>
            <w:r w:rsidRPr="00D82176">
              <w:rPr>
                <w:color w:val="000000"/>
                <w:sz w:val="18"/>
                <w:szCs w:val="18"/>
              </w:rPr>
              <w:t>)</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(133.437)</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4C63D0" w:rsidP="007E534B">
            <w:pPr>
              <w:jc w:val="both"/>
              <w:rPr>
                <w:color w:val="000000"/>
                <w:sz w:val="18"/>
                <w:szCs w:val="18"/>
              </w:rPr>
            </w:pPr>
            <w:r w:rsidRPr="00D82176">
              <w:rPr>
                <w:color w:val="000000"/>
                <w:sz w:val="18"/>
                <w:szCs w:val="18"/>
              </w:rPr>
              <w:t xml:space="preserve">     Repasse Concedido (</w:t>
            </w:r>
            <w:r w:rsidR="007E534B" w:rsidRPr="00D82176">
              <w:rPr>
                <w:color w:val="000000"/>
                <w:sz w:val="18"/>
                <w:szCs w:val="18"/>
              </w:rPr>
              <w:t>CAPES)</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FF0000"/>
                <w:sz w:val="18"/>
                <w:szCs w:val="18"/>
              </w:rPr>
            </w:pPr>
            <w:r w:rsidRPr="00D82176">
              <w:rPr>
                <w:color w:val="FF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(1.494)</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(456)</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b/>
                <w:bCs/>
                <w:color w:val="000000"/>
                <w:sz w:val="18"/>
                <w:szCs w:val="18"/>
              </w:rPr>
            </w:pPr>
            <w:r w:rsidRPr="00D82176">
              <w:rPr>
                <w:b/>
                <w:bCs/>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FF0000"/>
                <w:sz w:val="18"/>
                <w:szCs w:val="18"/>
              </w:rPr>
            </w:pPr>
            <w:r w:rsidRPr="00D82176">
              <w:rPr>
                <w:b/>
                <w:bCs/>
                <w:color w:val="FF0000"/>
                <w:sz w:val="18"/>
                <w:szCs w:val="18"/>
              </w:rPr>
              <w:t> </w:t>
            </w:r>
          </w:p>
        </w:tc>
        <w:tc>
          <w:tcPr>
            <w:tcW w:w="770" w:type="pct"/>
            <w:tcBorders>
              <w:top w:val="nil"/>
              <w:left w:val="nil"/>
              <w:bottom w:val="single" w:sz="8" w:space="0" w:color="auto"/>
              <w:right w:val="nil"/>
            </w:tcBorders>
            <w:shd w:val="clear" w:color="000000" w:fill="FFFFFF"/>
            <w:vAlign w:val="center"/>
            <w:hideMark/>
          </w:tcPr>
          <w:p w:rsidR="007E534B" w:rsidRPr="00D82176" w:rsidRDefault="007E534B" w:rsidP="00A55851">
            <w:pPr>
              <w:jc w:val="right"/>
              <w:rPr>
                <w:b/>
                <w:bCs/>
                <w:color w:val="000000"/>
                <w:sz w:val="18"/>
                <w:szCs w:val="18"/>
              </w:rPr>
            </w:pPr>
            <w:r w:rsidRPr="00D82176">
              <w:rPr>
                <w:b/>
                <w:bCs/>
                <w:color w:val="000000"/>
                <w:sz w:val="18"/>
                <w:szCs w:val="18"/>
              </w:rPr>
              <w:t xml:space="preserve">    (167.</w:t>
            </w:r>
            <w:r w:rsidR="00A55851" w:rsidRPr="00D82176">
              <w:rPr>
                <w:b/>
                <w:bCs/>
                <w:color w:val="000000"/>
                <w:sz w:val="18"/>
                <w:szCs w:val="18"/>
              </w:rPr>
              <w:t>387</w:t>
            </w:r>
            <w:r w:rsidRPr="00D82176">
              <w:rPr>
                <w:b/>
                <w:bCs/>
                <w:color w:val="000000"/>
                <w:sz w:val="18"/>
                <w:szCs w:val="18"/>
              </w:rPr>
              <w:t>)</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single" w:sz="8" w:space="0" w:color="auto"/>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xml:space="preserve">     (127.213)</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b/>
                <w:bCs/>
                <w:color w:val="000000"/>
                <w:sz w:val="18"/>
                <w:szCs w:val="18"/>
              </w:rPr>
            </w:pP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FF0000"/>
                <w:sz w:val="18"/>
                <w:szCs w:val="18"/>
              </w:rPr>
            </w:pPr>
            <w:r w:rsidRPr="00D82176">
              <w:rPr>
                <w:b/>
                <w:bCs/>
                <w:color w:val="FF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b/>
                <w:bCs/>
                <w:color w:val="000000"/>
                <w:sz w:val="18"/>
                <w:szCs w:val="18"/>
              </w:rPr>
            </w:pPr>
            <w:r w:rsidRPr="00D82176">
              <w:rPr>
                <w:b/>
                <w:bCs/>
                <w:color w:val="000000"/>
                <w:sz w:val="18"/>
                <w:szCs w:val="18"/>
              </w:rPr>
              <w:t>Deduções da Receita Bruta</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xml:space="preserve">      PIS s/Faturamento</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FF0000"/>
                <w:sz w:val="18"/>
                <w:szCs w:val="18"/>
              </w:rPr>
            </w:pPr>
            <w:r w:rsidRPr="00D82176">
              <w:rPr>
                <w:color w:val="FF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(389)</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(348)</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xml:space="preserve">      COFINS s/Faturamento</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FF0000"/>
                <w:sz w:val="18"/>
                <w:szCs w:val="18"/>
              </w:rPr>
            </w:pPr>
            <w:r w:rsidRPr="00D82176">
              <w:rPr>
                <w:color w:val="FF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(1.795)</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(1.607)</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xml:space="preserve">      Glosas e Abatimentos</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FF0000"/>
                <w:sz w:val="18"/>
                <w:szCs w:val="18"/>
              </w:rPr>
            </w:pPr>
            <w:r w:rsidRPr="00D82176">
              <w:rPr>
                <w:color w:val="FF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(32)</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b/>
                <w:bCs/>
                <w:color w:val="000000"/>
                <w:sz w:val="18"/>
                <w:szCs w:val="18"/>
              </w:rPr>
            </w:pPr>
            <w:r w:rsidRPr="00D82176">
              <w:rPr>
                <w:b/>
                <w:bCs/>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b/>
                <w:bCs/>
                <w:color w:val="000000"/>
                <w:sz w:val="18"/>
                <w:szCs w:val="18"/>
              </w:rPr>
            </w:pPr>
            <w:r w:rsidRPr="00D82176">
              <w:rPr>
                <w:b/>
                <w:bCs/>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FF0000"/>
                <w:sz w:val="18"/>
                <w:szCs w:val="18"/>
              </w:rPr>
            </w:pPr>
            <w:r w:rsidRPr="00D82176">
              <w:rPr>
                <w:b/>
                <w:bCs/>
                <w:color w:val="FF0000"/>
                <w:sz w:val="18"/>
                <w:szCs w:val="18"/>
              </w:rPr>
              <w:t> </w:t>
            </w:r>
          </w:p>
        </w:tc>
        <w:tc>
          <w:tcPr>
            <w:tcW w:w="770" w:type="pct"/>
            <w:tcBorders>
              <w:top w:val="nil"/>
              <w:left w:val="nil"/>
              <w:bottom w:val="single" w:sz="8" w:space="0" w:color="auto"/>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xml:space="preserve">         (2.184)</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single" w:sz="8" w:space="0" w:color="auto"/>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xml:space="preserve">         (1.987)</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b/>
                <w:bCs/>
                <w:color w:val="000000"/>
                <w:sz w:val="18"/>
                <w:szCs w:val="18"/>
              </w:rPr>
            </w:pPr>
            <w:r w:rsidRPr="00D82176">
              <w:rPr>
                <w:b/>
                <w:bCs/>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b/>
                <w:bCs/>
                <w:color w:val="000000"/>
                <w:sz w:val="18"/>
                <w:szCs w:val="18"/>
              </w:rPr>
            </w:pPr>
            <w:r w:rsidRPr="00D82176">
              <w:rPr>
                <w:b/>
                <w:bCs/>
                <w:color w:val="000000"/>
                <w:sz w:val="18"/>
                <w:szCs w:val="18"/>
              </w:rPr>
              <w:t>Receita Operacional Líquida</w:t>
            </w:r>
          </w:p>
        </w:tc>
        <w:tc>
          <w:tcPr>
            <w:tcW w:w="347" w:type="pct"/>
            <w:tcBorders>
              <w:top w:val="nil"/>
              <w:left w:val="nil"/>
              <w:bottom w:val="nil"/>
              <w:right w:val="nil"/>
            </w:tcBorders>
            <w:shd w:val="clear" w:color="000000" w:fill="FFFFFF"/>
            <w:vAlign w:val="center"/>
            <w:hideMark/>
          </w:tcPr>
          <w:p w:rsidR="007E534B" w:rsidRPr="00D82176" w:rsidRDefault="00484249" w:rsidP="007E534B">
            <w:pPr>
              <w:jc w:val="center"/>
              <w:rPr>
                <w:b/>
                <w:bCs/>
                <w:color w:val="FF0000"/>
                <w:sz w:val="18"/>
                <w:szCs w:val="18"/>
              </w:rPr>
            </w:pPr>
            <w:r w:rsidRPr="00D82176">
              <w:rPr>
                <w:b/>
                <w:bCs/>
                <w:sz w:val="18"/>
                <w:szCs w:val="18"/>
              </w:rPr>
              <w:t>20</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A55851">
            <w:pPr>
              <w:jc w:val="right"/>
              <w:rPr>
                <w:b/>
                <w:bCs/>
                <w:color w:val="000000"/>
                <w:sz w:val="18"/>
                <w:szCs w:val="18"/>
              </w:rPr>
            </w:pPr>
            <w:r w:rsidRPr="00D82176">
              <w:rPr>
                <w:b/>
                <w:bCs/>
                <w:color w:val="000000"/>
                <w:sz w:val="18"/>
                <w:szCs w:val="18"/>
              </w:rPr>
              <w:t xml:space="preserve">  1.346.</w:t>
            </w:r>
            <w:r w:rsidR="00A55851" w:rsidRPr="00D82176">
              <w:rPr>
                <w:b/>
                <w:bCs/>
                <w:color w:val="000000"/>
                <w:sz w:val="18"/>
                <w:szCs w:val="18"/>
              </w:rPr>
              <w:t>717</w:t>
            </w:r>
            <w:r w:rsidRPr="00D82176">
              <w:rPr>
                <w:b/>
                <w:bCs/>
                <w:color w:val="000000"/>
                <w:sz w:val="18"/>
                <w:szCs w:val="18"/>
              </w:rPr>
              <w:t xml:space="preserve">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xml:space="preserve">   1.232.421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rPr>
                <w:color w:val="000000"/>
                <w:sz w:val="18"/>
                <w:szCs w:val="18"/>
              </w:rPr>
            </w:pPr>
            <w:r w:rsidRPr="00D82176">
              <w:rPr>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rPr>
                <w:color w:val="000000"/>
                <w:sz w:val="18"/>
                <w:szCs w:val="18"/>
              </w:rPr>
            </w:pPr>
            <w:r w:rsidRPr="00D82176">
              <w:rPr>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rPr>
                <w:b/>
                <w:bCs/>
                <w:color w:val="000000"/>
                <w:sz w:val="18"/>
                <w:szCs w:val="18"/>
              </w:rPr>
            </w:pPr>
            <w:r w:rsidRPr="00D82176">
              <w:rPr>
                <w:b/>
                <w:bCs/>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rPr>
                <w:b/>
                <w:bCs/>
                <w:color w:val="000000"/>
                <w:sz w:val="18"/>
                <w:szCs w:val="18"/>
              </w:rPr>
            </w:pPr>
            <w:r w:rsidRPr="00D82176">
              <w:rPr>
                <w:b/>
                <w:bCs/>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rPr>
                <w:b/>
                <w:bCs/>
                <w:color w:val="000000"/>
                <w:sz w:val="18"/>
                <w:szCs w:val="18"/>
              </w:rPr>
            </w:pPr>
            <w:r w:rsidRPr="00D82176">
              <w:rPr>
                <w:b/>
                <w:bCs/>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b/>
                <w:bCs/>
                <w:color w:val="000000"/>
                <w:sz w:val="18"/>
                <w:szCs w:val="18"/>
              </w:rPr>
            </w:pPr>
            <w:r w:rsidRPr="00D82176">
              <w:rPr>
                <w:b/>
                <w:bCs/>
                <w:color w:val="000000"/>
                <w:sz w:val="18"/>
                <w:szCs w:val="18"/>
              </w:rPr>
              <w:t>Custo dos Serviços</w:t>
            </w:r>
          </w:p>
        </w:tc>
        <w:tc>
          <w:tcPr>
            <w:tcW w:w="347" w:type="pct"/>
            <w:tcBorders>
              <w:top w:val="nil"/>
              <w:left w:val="nil"/>
              <w:bottom w:val="nil"/>
              <w:right w:val="nil"/>
            </w:tcBorders>
            <w:shd w:val="clear" w:color="000000" w:fill="FFFFFF"/>
            <w:vAlign w:val="center"/>
            <w:hideMark/>
          </w:tcPr>
          <w:p w:rsidR="007E534B" w:rsidRPr="00D82176" w:rsidRDefault="00484249" w:rsidP="007E534B">
            <w:pPr>
              <w:jc w:val="center"/>
              <w:rPr>
                <w:b/>
                <w:bCs/>
                <w:color w:val="FF0000"/>
                <w:sz w:val="18"/>
                <w:szCs w:val="18"/>
              </w:rPr>
            </w:pPr>
            <w:r w:rsidRPr="00D82176">
              <w:rPr>
                <w:b/>
                <w:bCs/>
                <w:sz w:val="18"/>
                <w:szCs w:val="18"/>
              </w:rPr>
              <w:t>21</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FF0000"/>
                <w:sz w:val="18"/>
                <w:szCs w:val="18"/>
              </w:rPr>
            </w:pPr>
            <w:r w:rsidRPr="00D82176">
              <w:rPr>
                <w:b/>
                <w:bCs/>
                <w:color w:val="FF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A55851">
            <w:pPr>
              <w:jc w:val="right"/>
              <w:rPr>
                <w:b/>
                <w:bCs/>
                <w:color w:val="000000"/>
                <w:sz w:val="18"/>
                <w:szCs w:val="18"/>
              </w:rPr>
            </w:pPr>
            <w:r w:rsidRPr="00D82176">
              <w:rPr>
                <w:b/>
                <w:bCs/>
                <w:color w:val="000000"/>
                <w:sz w:val="18"/>
                <w:szCs w:val="18"/>
              </w:rPr>
              <w:t xml:space="preserve"> (1.085.</w:t>
            </w:r>
            <w:r w:rsidR="00A55851" w:rsidRPr="00D82176">
              <w:rPr>
                <w:b/>
                <w:bCs/>
                <w:color w:val="000000"/>
                <w:sz w:val="18"/>
                <w:szCs w:val="18"/>
              </w:rPr>
              <w:t>180</w:t>
            </w:r>
            <w:r w:rsidRPr="00D82176">
              <w:rPr>
                <w:b/>
                <w:bCs/>
                <w:color w:val="000000"/>
                <w:sz w:val="18"/>
                <w:szCs w:val="18"/>
              </w:rPr>
              <w:t>)</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xml:space="preserve"> (1.003.050)</w:t>
            </w:r>
          </w:p>
        </w:tc>
      </w:tr>
      <w:tr w:rsidR="007E534B" w:rsidRPr="00D82176" w:rsidTr="009D32C1">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b/>
                <w:bCs/>
                <w:color w:val="000000"/>
                <w:sz w:val="18"/>
                <w:szCs w:val="18"/>
              </w:rPr>
            </w:pPr>
            <w:r w:rsidRPr="00D82176">
              <w:rPr>
                <w:b/>
                <w:bCs/>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770" w:type="pct"/>
            <w:tcBorders>
              <w:top w:val="nil"/>
              <w:left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r>
      <w:tr w:rsidR="007E534B" w:rsidRPr="00D82176" w:rsidTr="009D32C1">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b/>
                <w:bCs/>
                <w:color w:val="000000"/>
                <w:sz w:val="18"/>
                <w:szCs w:val="18"/>
              </w:rPr>
            </w:pPr>
            <w:r w:rsidRPr="00D82176">
              <w:rPr>
                <w:b/>
                <w:bCs/>
                <w:color w:val="000000"/>
                <w:sz w:val="18"/>
                <w:szCs w:val="18"/>
              </w:rPr>
              <w:t>Resultado Operacional Bruto</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770" w:type="pct"/>
            <w:tcBorders>
              <w:top w:val="nil"/>
              <w:left w:val="nil"/>
              <w:bottom w:val="single" w:sz="4" w:space="0" w:color="auto"/>
              <w:right w:val="nil"/>
            </w:tcBorders>
            <w:shd w:val="clear" w:color="000000" w:fill="FFFFFF"/>
            <w:vAlign w:val="center"/>
            <w:hideMark/>
          </w:tcPr>
          <w:p w:rsidR="007E534B" w:rsidRPr="00D82176" w:rsidRDefault="007E534B" w:rsidP="00A55851">
            <w:pPr>
              <w:jc w:val="right"/>
              <w:rPr>
                <w:b/>
                <w:bCs/>
                <w:color w:val="000000"/>
                <w:sz w:val="18"/>
                <w:szCs w:val="18"/>
              </w:rPr>
            </w:pPr>
            <w:r w:rsidRPr="00D82176">
              <w:rPr>
                <w:b/>
                <w:bCs/>
                <w:color w:val="000000"/>
                <w:sz w:val="18"/>
                <w:szCs w:val="18"/>
              </w:rPr>
              <w:t xml:space="preserve">      261.</w:t>
            </w:r>
            <w:r w:rsidR="00A55851" w:rsidRPr="00D82176">
              <w:rPr>
                <w:b/>
                <w:bCs/>
                <w:color w:val="000000"/>
                <w:sz w:val="18"/>
                <w:szCs w:val="18"/>
              </w:rPr>
              <w:t>537</w:t>
            </w:r>
            <w:r w:rsidRPr="00D82176">
              <w:rPr>
                <w:b/>
                <w:bCs/>
                <w:color w:val="000000"/>
                <w:sz w:val="18"/>
                <w:szCs w:val="18"/>
              </w:rPr>
              <w:t xml:space="preserve">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single" w:sz="4" w:space="0" w:color="auto"/>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xml:space="preserve">      229.371 </w:t>
            </w:r>
          </w:p>
        </w:tc>
      </w:tr>
      <w:tr w:rsidR="007E534B" w:rsidRPr="00D82176" w:rsidTr="009D32C1">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b/>
                <w:bCs/>
                <w:color w:val="000000"/>
                <w:sz w:val="18"/>
                <w:szCs w:val="18"/>
              </w:rPr>
            </w:pPr>
            <w:r w:rsidRPr="00D82176">
              <w:rPr>
                <w:b/>
                <w:bCs/>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770" w:type="pct"/>
            <w:tcBorders>
              <w:top w:val="single" w:sz="4" w:space="0" w:color="auto"/>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single" w:sz="4" w:space="0" w:color="auto"/>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b/>
                <w:bCs/>
                <w:color w:val="000000"/>
                <w:sz w:val="18"/>
                <w:szCs w:val="18"/>
              </w:rPr>
            </w:pPr>
            <w:r w:rsidRPr="00D82176">
              <w:rPr>
                <w:b/>
                <w:bCs/>
                <w:color w:val="000000"/>
                <w:sz w:val="18"/>
                <w:szCs w:val="18"/>
              </w:rPr>
              <w:t>Despesas Operacionais</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FF0000"/>
                <w:sz w:val="18"/>
                <w:szCs w:val="18"/>
              </w:rPr>
            </w:pPr>
            <w:r w:rsidRPr="00D82176">
              <w:rPr>
                <w:b/>
                <w:bCs/>
                <w:color w:val="FF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xml:space="preserve">       Despesas Administrativas</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FF0000"/>
                <w:sz w:val="18"/>
                <w:szCs w:val="18"/>
              </w:rPr>
            </w:pPr>
            <w:r w:rsidRPr="00D82176">
              <w:rPr>
                <w:color w:val="FF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A55851">
            <w:pPr>
              <w:jc w:val="right"/>
              <w:rPr>
                <w:color w:val="000000"/>
                <w:sz w:val="18"/>
                <w:szCs w:val="18"/>
              </w:rPr>
            </w:pPr>
            <w:r w:rsidRPr="00D82176">
              <w:rPr>
                <w:color w:val="000000"/>
                <w:sz w:val="18"/>
                <w:szCs w:val="18"/>
              </w:rPr>
              <w:t xml:space="preserve">      (263.</w:t>
            </w:r>
            <w:r w:rsidR="00A55851" w:rsidRPr="00D82176">
              <w:rPr>
                <w:color w:val="000000"/>
                <w:sz w:val="18"/>
                <w:szCs w:val="18"/>
              </w:rPr>
              <w:t>037</w:t>
            </w:r>
            <w:r w:rsidRPr="00D82176">
              <w:rPr>
                <w:color w:val="000000"/>
                <w:sz w:val="18"/>
                <w:szCs w:val="18"/>
              </w:rPr>
              <w:t>)</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(243.130)</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FF0000"/>
                <w:sz w:val="18"/>
                <w:szCs w:val="18"/>
              </w:rPr>
            </w:pPr>
            <w:r w:rsidRPr="00D82176">
              <w:rPr>
                <w:b/>
                <w:bCs/>
                <w:color w:val="FF0000"/>
                <w:sz w:val="18"/>
                <w:szCs w:val="18"/>
              </w:rPr>
              <w:t> </w:t>
            </w:r>
          </w:p>
        </w:tc>
        <w:tc>
          <w:tcPr>
            <w:tcW w:w="770" w:type="pct"/>
            <w:tcBorders>
              <w:top w:val="nil"/>
              <w:left w:val="nil"/>
              <w:bottom w:val="single" w:sz="8" w:space="0" w:color="auto"/>
              <w:right w:val="nil"/>
            </w:tcBorders>
            <w:shd w:val="clear" w:color="000000" w:fill="FFFFFF"/>
            <w:vAlign w:val="center"/>
            <w:hideMark/>
          </w:tcPr>
          <w:p w:rsidR="007E534B" w:rsidRPr="00D82176" w:rsidRDefault="007E534B" w:rsidP="00A55851">
            <w:pPr>
              <w:jc w:val="right"/>
              <w:rPr>
                <w:b/>
                <w:bCs/>
                <w:color w:val="000000"/>
                <w:sz w:val="18"/>
                <w:szCs w:val="18"/>
              </w:rPr>
            </w:pPr>
            <w:r w:rsidRPr="00D82176">
              <w:rPr>
                <w:b/>
                <w:bCs/>
                <w:color w:val="000000"/>
                <w:sz w:val="18"/>
                <w:szCs w:val="18"/>
              </w:rPr>
              <w:t xml:space="preserve">    (263.</w:t>
            </w:r>
            <w:r w:rsidR="00A55851" w:rsidRPr="00D82176">
              <w:rPr>
                <w:b/>
                <w:bCs/>
                <w:color w:val="000000"/>
                <w:sz w:val="18"/>
                <w:szCs w:val="18"/>
              </w:rPr>
              <w:t>037</w:t>
            </w:r>
            <w:r w:rsidRPr="00D82176">
              <w:rPr>
                <w:b/>
                <w:bCs/>
                <w:color w:val="000000"/>
                <w:sz w:val="18"/>
                <w:szCs w:val="18"/>
              </w:rPr>
              <w:t>)</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single" w:sz="8" w:space="0" w:color="auto"/>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xml:space="preserve">     (243.130)</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b/>
                <w:bCs/>
                <w:color w:val="000000"/>
                <w:sz w:val="18"/>
                <w:szCs w:val="18"/>
              </w:rPr>
            </w:pPr>
            <w:r w:rsidRPr="00D82176">
              <w:rPr>
                <w:b/>
                <w:bCs/>
                <w:color w:val="000000"/>
                <w:sz w:val="18"/>
                <w:szCs w:val="18"/>
              </w:rPr>
              <w:t xml:space="preserve">Outras Receitas e Despesas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xml:space="preserve">       Receitas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AE39F3">
            <w:pPr>
              <w:jc w:val="right"/>
              <w:rPr>
                <w:color w:val="000000"/>
                <w:sz w:val="18"/>
                <w:szCs w:val="18"/>
              </w:rPr>
            </w:pPr>
            <w:r w:rsidRPr="00D82176">
              <w:rPr>
                <w:color w:val="000000"/>
                <w:sz w:val="18"/>
                <w:szCs w:val="18"/>
              </w:rPr>
              <w:t xml:space="preserve">          40.</w:t>
            </w:r>
            <w:r w:rsidR="00AE39F3" w:rsidRPr="00D82176">
              <w:rPr>
                <w:color w:val="000000"/>
                <w:sz w:val="18"/>
                <w:szCs w:val="18"/>
              </w:rPr>
              <w:t>491</w:t>
            </w:r>
            <w:r w:rsidRPr="00D82176">
              <w:rPr>
                <w:color w:val="000000"/>
                <w:sz w:val="18"/>
                <w:szCs w:val="18"/>
              </w:rPr>
              <w:t xml:space="preserve">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19.373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xml:space="preserve">       Despesas</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FF0000"/>
                <w:sz w:val="18"/>
                <w:szCs w:val="18"/>
              </w:rPr>
            </w:pPr>
            <w:r w:rsidRPr="00D82176">
              <w:rPr>
                <w:color w:val="FF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AE39F3">
            <w:pPr>
              <w:jc w:val="right"/>
              <w:rPr>
                <w:color w:val="000000"/>
                <w:sz w:val="18"/>
                <w:szCs w:val="18"/>
              </w:rPr>
            </w:pPr>
            <w:r w:rsidRPr="00D82176">
              <w:rPr>
                <w:color w:val="000000"/>
                <w:sz w:val="18"/>
                <w:szCs w:val="18"/>
              </w:rPr>
              <w:t xml:space="preserve">        (35.</w:t>
            </w:r>
            <w:r w:rsidR="00AE39F3" w:rsidRPr="00D82176">
              <w:rPr>
                <w:color w:val="000000"/>
                <w:sz w:val="18"/>
                <w:szCs w:val="18"/>
              </w:rPr>
              <w:t>799</w:t>
            </w:r>
            <w:r w:rsidRPr="00D82176">
              <w:rPr>
                <w:color w:val="000000"/>
                <w:sz w:val="18"/>
                <w:szCs w:val="18"/>
              </w:rPr>
              <w:t>)</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(6.081)</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xml:space="preserve">       Resultado c/Baixa Bens Imobilizado</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FF0000"/>
                <w:sz w:val="18"/>
                <w:szCs w:val="18"/>
              </w:rPr>
            </w:pPr>
            <w:r w:rsidRPr="00D82176">
              <w:rPr>
                <w:color w:val="FF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(278)</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484249" w:rsidP="007E534B">
            <w:pPr>
              <w:jc w:val="center"/>
              <w:rPr>
                <w:b/>
                <w:bCs/>
                <w:color w:val="FF0000"/>
                <w:sz w:val="18"/>
                <w:szCs w:val="18"/>
              </w:rPr>
            </w:pPr>
            <w:r w:rsidRPr="00D82176">
              <w:rPr>
                <w:b/>
                <w:bCs/>
                <w:sz w:val="18"/>
                <w:szCs w:val="18"/>
              </w:rPr>
              <w:t>23</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770" w:type="pct"/>
            <w:tcBorders>
              <w:top w:val="nil"/>
              <w:left w:val="nil"/>
              <w:bottom w:val="single" w:sz="8" w:space="0" w:color="auto"/>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xml:space="preserve">          4.414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single" w:sz="8" w:space="0" w:color="auto"/>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xml:space="preserve">         13.292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noWrap/>
            <w:vAlign w:val="center"/>
            <w:hideMark/>
          </w:tcPr>
          <w:p w:rsidR="007E534B" w:rsidRPr="00D82176" w:rsidRDefault="007E534B" w:rsidP="007E534B">
            <w:pPr>
              <w:jc w:val="both"/>
              <w:rPr>
                <w:b/>
                <w:bCs/>
                <w:color w:val="000000"/>
                <w:sz w:val="18"/>
                <w:szCs w:val="18"/>
              </w:rPr>
            </w:pPr>
            <w:r w:rsidRPr="00D82176">
              <w:rPr>
                <w:b/>
                <w:bCs/>
                <w:color w:val="000000"/>
                <w:sz w:val="18"/>
                <w:szCs w:val="18"/>
              </w:rPr>
              <w:t>Lucro Antes do Resultado Financeiro</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A55851">
            <w:pPr>
              <w:jc w:val="right"/>
              <w:rPr>
                <w:color w:val="000000"/>
                <w:sz w:val="18"/>
                <w:szCs w:val="18"/>
              </w:rPr>
            </w:pPr>
            <w:r w:rsidRPr="00D82176">
              <w:rPr>
                <w:color w:val="000000"/>
                <w:sz w:val="18"/>
                <w:szCs w:val="18"/>
              </w:rPr>
              <w:t xml:space="preserve">            2.</w:t>
            </w:r>
            <w:r w:rsidR="00A55851" w:rsidRPr="00D82176">
              <w:rPr>
                <w:color w:val="000000"/>
                <w:sz w:val="18"/>
                <w:szCs w:val="18"/>
              </w:rPr>
              <w:t>913</w:t>
            </w:r>
            <w:r w:rsidRPr="00D82176">
              <w:rPr>
                <w:color w:val="000000"/>
                <w:sz w:val="18"/>
                <w:szCs w:val="18"/>
              </w:rPr>
              <w:t xml:space="preserve">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(467)</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b/>
                <w:bCs/>
                <w:color w:val="000000"/>
                <w:sz w:val="18"/>
                <w:szCs w:val="18"/>
              </w:rPr>
            </w:pPr>
            <w:r w:rsidRPr="00D82176">
              <w:rPr>
                <w:b/>
                <w:bCs/>
                <w:color w:val="000000"/>
                <w:sz w:val="18"/>
                <w:szCs w:val="18"/>
              </w:rPr>
              <w:t>Resultado Financeiro</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FF0000"/>
                <w:sz w:val="18"/>
                <w:szCs w:val="18"/>
              </w:rPr>
            </w:pPr>
            <w:r w:rsidRPr="00D82176">
              <w:rPr>
                <w:b/>
                <w:bCs/>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xml:space="preserve">        Despesas Financeiras</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FF0000"/>
                <w:sz w:val="18"/>
                <w:szCs w:val="18"/>
              </w:rPr>
            </w:pPr>
            <w:r w:rsidRPr="00D82176">
              <w:rPr>
                <w:color w:val="FF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64F13">
            <w:pPr>
              <w:jc w:val="right"/>
              <w:rPr>
                <w:color w:val="000000"/>
                <w:sz w:val="18"/>
                <w:szCs w:val="18"/>
              </w:rPr>
            </w:pPr>
            <w:r w:rsidRPr="00D82176">
              <w:rPr>
                <w:color w:val="000000"/>
                <w:sz w:val="18"/>
                <w:szCs w:val="18"/>
              </w:rPr>
              <w:t xml:space="preserve">      (</w:t>
            </w:r>
            <w:r w:rsidR="00764F13">
              <w:rPr>
                <w:color w:val="000000"/>
                <w:sz w:val="18"/>
                <w:szCs w:val="18"/>
              </w:rPr>
              <w:t>129.703</w:t>
            </w:r>
            <w:r w:rsidRPr="00D82176">
              <w:rPr>
                <w:color w:val="000000"/>
                <w:sz w:val="18"/>
                <w:szCs w:val="18"/>
              </w:rPr>
              <w:t>)</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(5.568)</w:t>
            </w:r>
          </w:p>
        </w:tc>
      </w:tr>
      <w:tr w:rsidR="007E534B" w:rsidRPr="00D82176" w:rsidTr="007E534B">
        <w:trPr>
          <w:trHeight w:val="20"/>
        </w:trPr>
        <w:tc>
          <w:tcPr>
            <w:tcW w:w="2844" w:type="pct"/>
            <w:tcBorders>
              <w:top w:val="nil"/>
              <w:left w:val="nil"/>
              <w:bottom w:val="nil"/>
              <w:right w:val="nil"/>
            </w:tcBorders>
            <w:shd w:val="clear" w:color="000000" w:fill="FFFFFF"/>
            <w:vAlign w:val="center"/>
            <w:hideMark/>
          </w:tcPr>
          <w:p w:rsidR="007E534B" w:rsidRPr="00D82176" w:rsidRDefault="007E534B" w:rsidP="007E534B">
            <w:pPr>
              <w:jc w:val="both"/>
              <w:rPr>
                <w:color w:val="000000"/>
                <w:sz w:val="18"/>
                <w:szCs w:val="18"/>
              </w:rPr>
            </w:pPr>
            <w:r w:rsidRPr="00D82176">
              <w:rPr>
                <w:color w:val="000000"/>
                <w:sz w:val="18"/>
                <w:szCs w:val="18"/>
              </w:rPr>
              <w:t xml:space="preserve">        Receitas Financeiras</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770"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2.649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vAlign w:val="center"/>
            <w:hideMark/>
          </w:tcPr>
          <w:p w:rsidR="007E534B" w:rsidRPr="00D82176" w:rsidRDefault="007E534B" w:rsidP="007E534B">
            <w:pPr>
              <w:jc w:val="right"/>
              <w:rPr>
                <w:color w:val="000000"/>
                <w:sz w:val="18"/>
                <w:szCs w:val="18"/>
              </w:rPr>
            </w:pPr>
            <w:r w:rsidRPr="00D82176">
              <w:rPr>
                <w:color w:val="000000"/>
                <w:sz w:val="18"/>
                <w:szCs w:val="18"/>
              </w:rPr>
              <w:t xml:space="preserve">            2.270 </w:t>
            </w:r>
          </w:p>
        </w:tc>
      </w:tr>
      <w:tr w:rsidR="007E534B" w:rsidRPr="00D82176" w:rsidTr="007E534B">
        <w:trPr>
          <w:trHeight w:val="20"/>
        </w:trPr>
        <w:tc>
          <w:tcPr>
            <w:tcW w:w="2844" w:type="pct"/>
            <w:tcBorders>
              <w:top w:val="nil"/>
              <w:left w:val="nil"/>
              <w:bottom w:val="nil"/>
              <w:right w:val="nil"/>
            </w:tcBorders>
            <w:shd w:val="clear" w:color="000000" w:fill="FFFFFF"/>
            <w:noWrap/>
            <w:vAlign w:val="center"/>
            <w:hideMark/>
          </w:tcPr>
          <w:p w:rsidR="007E534B" w:rsidRPr="00D82176" w:rsidRDefault="007E534B" w:rsidP="007E534B">
            <w:pPr>
              <w:rPr>
                <w:color w:val="000000"/>
                <w:sz w:val="18"/>
                <w:szCs w:val="18"/>
              </w:rPr>
            </w:pPr>
            <w:r w:rsidRPr="00D82176">
              <w:rPr>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color w:val="FF0000"/>
                <w:sz w:val="18"/>
                <w:szCs w:val="18"/>
              </w:rPr>
            </w:pPr>
            <w:r w:rsidRPr="00D82176">
              <w:rPr>
                <w:color w:val="FF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rPr>
                <w:color w:val="000000"/>
                <w:sz w:val="18"/>
                <w:szCs w:val="18"/>
              </w:rPr>
            </w:pPr>
            <w:r w:rsidRPr="00D82176">
              <w:rPr>
                <w:color w:val="000000"/>
                <w:sz w:val="18"/>
                <w:szCs w:val="18"/>
              </w:rPr>
              <w:t> </w:t>
            </w:r>
          </w:p>
        </w:tc>
        <w:tc>
          <w:tcPr>
            <w:tcW w:w="770" w:type="pct"/>
            <w:tcBorders>
              <w:top w:val="nil"/>
              <w:left w:val="nil"/>
              <w:bottom w:val="nil"/>
              <w:right w:val="nil"/>
            </w:tcBorders>
            <w:shd w:val="clear" w:color="000000" w:fill="FFFFFF"/>
            <w:noWrap/>
            <w:vAlign w:val="center"/>
            <w:hideMark/>
          </w:tcPr>
          <w:p w:rsidR="007E534B" w:rsidRPr="00D82176" w:rsidRDefault="007E534B" w:rsidP="007E534B">
            <w:pPr>
              <w:rPr>
                <w:color w:val="000000"/>
                <w:sz w:val="18"/>
                <w:szCs w:val="18"/>
              </w:rPr>
            </w:pPr>
            <w:r w:rsidRPr="00D82176">
              <w:rPr>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rPr>
                <w:color w:val="000000"/>
                <w:sz w:val="18"/>
                <w:szCs w:val="18"/>
              </w:rPr>
            </w:pPr>
            <w:r w:rsidRPr="00D82176">
              <w:rPr>
                <w:color w:val="000000"/>
                <w:sz w:val="18"/>
                <w:szCs w:val="18"/>
              </w:rPr>
              <w:t> </w:t>
            </w:r>
          </w:p>
        </w:tc>
        <w:tc>
          <w:tcPr>
            <w:tcW w:w="801" w:type="pct"/>
            <w:tcBorders>
              <w:top w:val="nil"/>
              <w:left w:val="nil"/>
              <w:bottom w:val="nil"/>
              <w:right w:val="nil"/>
            </w:tcBorders>
            <w:shd w:val="clear" w:color="000000" w:fill="FFFFFF"/>
            <w:noWrap/>
            <w:vAlign w:val="center"/>
            <w:hideMark/>
          </w:tcPr>
          <w:p w:rsidR="007E534B" w:rsidRPr="00D82176" w:rsidRDefault="007E534B" w:rsidP="007E534B">
            <w:pPr>
              <w:rPr>
                <w:color w:val="000000"/>
                <w:sz w:val="18"/>
                <w:szCs w:val="18"/>
              </w:rPr>
            </w:pPr>
            <w:r w:rsidRPr="00D82176">
              <w:rPr>
                <w:color w:val="000000"/>
                <w:sz w:val="18"/>
                <w:szCs w:val="18"/>
              </w:rPr>
              <w:t> </w:t>
            </w:r>
          </w:p>
        </w:tc>
      </w:tr>
      <w:tr w:rsidR="007E534B" w:rsidRPr="00D82176" w:rsidTr="007E534B">
        <w:trPr>
          <w:trHeight w:val="20"/>
        </w:trPr>
        <w:tc>
          <w:tcPr>
            <w:tcW w:w="2844" w:type="pct"/>
            <w:tcBorders>
              <w:top w:val="nil"/>
              <w:left w:val="nil"/>
              <w:bottom w:val="nil"/>
              <w:right w:val="nil"/>
            </w:tcBorders>
            <w:shd w:val="clear" w:color="000000" w:fill="FFFFFF"/>
            <w:noWrap/>
            <w:vAlign w:val="center"/>
            <w:hideMark/>
          </w:tcPr>
          <w:p w:rsidR="007E534B" w:rsidRPr="00D82176" w:rsidRDefault="007E534B" w:rsidP="007E534B">
            <w:pPr>
              <w:rPr>
                <w:color w:val="000000"/>
                <w:sz w:val="18"/>
                <w:szCs w:val="18"/>
              </w:rPr>
            </w:pPr>
            <w:r w:rsidRPr="00D82176">
              <w:rPr>
                <w:color w:val="000000"/>
                <w:sz w:val="18"/>
                <w:szCs w:val="18"/>
              </w:rPr>
              <w:t> </w:t>
            </w:r>
          </w:p>
        </w:tc>
        <w:tc>
          <w:tcPr>
            <w:tcW w:w="347" w:type="pct"/>
            <w:tcBorders>
              <w:top w:val="nil"/>
              <w:left w:val="nil"/>
              <w:bottom w:val="nil"/>
              <w:right w:val="nil"/>
            </w:tcBorders>
            <w:shd w:val="clear" w:color="000000" w:fill="FFFFFF"/>
            <w:vAlign w:val="center"/>
            <w:hideMark/>
          </w:tcPr>
          <w:p w:rsidR="007E534B" w:rsidRPr="00D82176" w:rsidRDefault="00484249" w:rsidP="007E534B">
            <w:pPr>
              <w:jc w:val="center"/>
              <w:rPr>
                <w:b/>
                <w:bCs/>
                <w:color w:val="FF0000"/>
                <w:sz w:val="18"/>
                <w:szCs w:val="18"/>
              </w:rPr>
            </w:pPr>
            <w:r w:rsidRPr="00D82176">
              <w:rPr>
                <w:b/>
                <w:bCs/>
                <w:sz w:val="18"/>
                <w:szCs w:val="18"/>
              </w:rPr>
              <w:t>24</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FF0000"/>
                <w:sz w:val="18"/>
                <w:szCs w:val="18"/>
              </w:rPr>
            </w:pPr>
            <w:r w:rsidRPr="00D82176">
              <w:rPr>
                <w:b/>
                <w:bCs/>
                <w:color w:val="FF0000"/>
                <w:sz w:val="18"/>
                <w:szCs w:val="18"/>
              </w:rPr>
              <w:t> </w:t>
            </w:r>
          </w:p>
        </w:tc>
        <w:tc>
          <w:tcPr>
            <w:tcW w:w="770" w:type="pct"/>
            <w:tcBorders>
              <w:top w:val="nil"/>
              <w:left w:val="nil"/>
              <w:bottom w:val="single" w:sz="8" w:space="0" w:color="auto"/>
              <w:right w:val="nil"/>
            </w:tcBorders>
            <w:shd w:val="clear" w:color="000000" w:fill="FFFFFF"/>
            <w:noWrap/>
            <w:vAlign w:val="center"/>
            <w:hideMark/>
          </w:tcPr>
          <w:p w:rsidR="007E534B" w:rsidRPr="00D82176" w:rsidRDefault="007E534B" w:rsidP="00764F13">
            <w:pPr>
              <w:jc w:val="right"/>
              <w:rPr>
                <w:b/>
                <w:bCs/>
                <w:color w:val="000000"/>
                <w:sz w:val="18"/>
                <w:szCs w:val="18"/>
              </w:rPr>
            </w:pPr>
            <w:r w:rsidRPr="00D82176">
              <w:rPr>
                <w:b/>
                <w:bCs/>
                <w:color w:val="000000"/>
                <w:sz w:val="18"/>
                <w:szCs w:val="18"/>
              </w:rPr>
              <w:t xml:space="preserve">    (12</w:t>
            </w:r>
            <w:r w:rsidR="00764F13">
              <w:rPr>
                <w:b/>
                <w:bCs/>
                <w:color w:val="000000"/>
                <w:sz w:val="18"/>
                <w:szCs w:val="18"/>
              </w:rPr>
              <w:t>7.054</w:t>
            </w:r>
            <w:r w:rsidRPr="00D82176">
              <w:rPr>
                <w:b/>
                <w:bCs/>
                <w:color w:val="000000"/>
                <w:sz w:val="18"/>
                <w:szCs w:val="18"/>
              </w:rPr>
              <w:t>)</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single" w:sz="8" w:space="0" w:color="auto"/>
              <w:right w:val="nil"/>
            </w:tcBorders>
            <w:shd w:val="clear" w:color="000000" w:fill="FFFFFF"/>
            <w:noWrap/>
            <w:vAlign w:val="center"/>
            <w:hideMark/>
          </w:tcPr>
          <w:p w:rsidR="007E534B" w:rsidRPr="00D82176" w:rsidRDefault="007E534B" w:rsidP="007E534B">
            <w:pPr>
              <w:jc w:val="right"/>
              <w:rPr>
                <w:b/>
                <w:bCs/>
                <w:color w:val="000000"/>
                <w:sz w:val="18"/>
                <w:szCs w:val="18"/>
              </w:rPr>
            </w:pPr>
            <w:r w:rsidRPr="00D82176">
              <w:rPr>
                <w:b/>
                <w:bCs/>
                <w:color w:val="000000"/>
                <w:sz w:val="18"/>
                <w:szCs w:val="18"/>
              </w:rPr>
              <w:t xml:space="preserve">         (3.298)</w:t>
            </w:r>
          </w:p>
        </w:tc>
      </w:tr>
      <w:tr w:rsidR="007E534B" w:rsidRPr="00D82176" w:rsidTr="007E534B">
        <w:trPr>
          <w:trHeight w:val="20"/>
        </w:trPr>
        <w:tc>
          <w:tcPr>
            <w:tcW w:w="2844" w:type="pct"/>
            <w:tcBorders>
              <w:top w:val="nil"/>
              <w:left w:val="nil"/>
              <w:bottom w:val="nil"/>
              <w:right w:val="nil"/>
            </w:tcBorders>
            <w:shd w:val="clear" w:color="000000" w:fill="FFFFFF"/>
            <w:noWrap/>
            <w:vAlign w:val="center"/>
            <w:hideMark/>
          </w:tcPr>
          <w:p w:rsidR="007E534B" w:rsidRPr="00D82176" w:rsidRDefault="00F7378C" w:rsidP="007E534B">
            <w:pPr>
              <w:jc w:val="both"/>
              <w:rPr>
                <w:b/>
                <w:bCs/>
                <w:color w:val="000000"/>
                <w:sz w:val="18"/>
                <w:szCs w:val="18"/>
              </w:rPr>
            </w:pPr>
            <w:r w:rsidRPr="00D82176">
              <w:rPr>
                <w:b/>
                <w:bCs/>
                <w:color w:val="000000"/>
                <w:sz w:val="18"/>
                <w:szCs w:val="18"/>
              </w:rPr>
              <w:t>Resultado</w:t>
            </w:r>
            <w:r w:rsidR="007E534B" w:rsidRPr="00D82176">
              <w:rPr>
                <w:b/>
                <w:bCs/>
                <w:color w:val="000000"/>
                <w:sz w:val="18"/>
                <w:szCs w:val="18"/>
              </w:rPr>
              <w:t xml:space="preserve"> Líquido do Exercício</w:t>
            </w:r>
          </w:p>
        </w:tc>
        <w:tc>
          <w:tcPr>
            <w:tcW w:w="347" w:type="pct"/>
            <w:tcBorders>
              <w:top w:val="nil"/>
              <w:left w:val="nil"/>
              <w:bottom w:val="nil"/>
              <w:right w:val="nil"/>
            </w:tcBorders>
            <w:shd w:val="clear" w:color="000000" w:fill="FFFFFF"/>
            <w:vAlign w:val="center"/>
            <w:hideMark/>
          </w:tcPr>
          <w:p w:rsidR="007E534B" w:rsidRPr="00D82176" w:rsidRDefault="007E534B" w:rsidP="007E534B">
            <w:pPr>
              <w:jc w:val="center"/>
              <w:rPr>
                <w:b/>
                <w:bCs/>
                <w:color w:val="000000"/>
                <w:sz w:val="18"/>
                <w:szCs w:val="18"/>
              </w:rPr>
            </w:pPr>
            <w:r w:rsidRPr="00D82176">
              <w:rPr>
                <w:b/>
                <w:bCs/>
                <w:color w:val="000000"/>
                <w:sz w:val="18"/>
                <w:szCs w:val="18"/>
              </w:rPr>
              <w:t> </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770" w:type="pct"/>
            <w:tcBorders>
              <w:top w:val="nil"/>
              <w:left w:val="nil"/>
              <w:bottom w:val="double" w:sz="6" w:space="0" w:color="auto"/>
              <w:right w:val="nil"/>
            </w:tcBorders>
            <w:shd w:val="clear" w:color="000000" w:fill="FFFFFF"/>
            <w:vAlign w:val="center"/>
            <w:hideMark/>
          </w:tcPr>
          <w:p w:rsidR="007E534B" w:rsidRPr="00D82176" w:rsidRDefault="007E534B" w:rsidP="00764F13">
            <w:pPr>
              <w:jc w:val="right"/>
              <w:rPr>
                <w:b/>
                <w:bCs/>
                <w:color w:val="000000"/>
                <w:sz w:val="18"/>
                <w:szCs w:val="18"/>
              </w:rPr>
            </w:pPr>
            <w:r w:rsidRPr="00D82176">
              <w:rPr>
                <w:b/>
                <w:bCs/>
                <w:color w:val="000000"/>
                <w:sz w:val="18"/>
                <w:szCs w:val="18"/>
              </w:rPr>
              <w:t xml:space="preserve">    (</w:t>
            </w:r>
            <w:r w:rsidR="00A55851" w:rsidRPr="00D82176">
              <w:rPr>
                <w:b/>
                <w:bCs/>
                <w:color w:val="000000"/>
                <w:sz w:val="18"/>
                <w:szCs w:val="18"/>
              </w:rPr>
              <w:t>12</w:t>
            </w:r>
            <w:r w:rsidR="00764F13">
              <w:rPr>
                <w:b/>
                <w:bCs/>
                <w:color w:val="000000"/>
                <w:sz w:val="18"/>
                <w:szCs w:val="18"/>
              </w:rPr>
              <w:t>4.141</w:t>
            </w:r>
            <w:r w:rsidRPr="00D82176">
              <w:rPr>
                <w:b/>
                <w:bCs/>
                <w:color w:val="000000"/>
                <w:sz w:val="18"/>
                <w:szCs w:val="18"/>
              </w:rPr>
              <w:t>)</w:t>
            </w:r>
          </w:p>
        </w:tc>
        <w:tc>
          <w:tcPr>
            <w:tcW w:w="119" w:type="pct"/>
            <w:tcBorders>
              <w:top w:val="nil"/>
              <w:left w:val="nil"/>
              <w:bottom w:val="nil"/>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w:t>
            </w:r>
          </w:p>
        </w:tc>
        <w:tc>
          <w:tcPr>
            <w:tcW w:w="801" w:type="pct"/>
            <w:tcBorders>
              <w:top w:val="nil"/>
              <w:left w:val="nil"/>
              <w:bottom w:val="double" w:sz="6" w:space="0" w:color="auto"/>
              <w:right w:val="nil"/>
            </w:tcBorders>
            <w:shd w:val="clear" w:color="000000" w:fill="FFFFFF"/>
            <w:vAlign w:val="center"/>
            <w:hideMark/>
          </w:tcPr>
          <w:p w:rsidR="007E534B" w:rsidRPr="00D82176" w:rsidRDefault="007E534B" w:rsidP="007E534B">
            <w:pPr>
              <w:jc w:val="right"/>
              <w:rPr>
                <w:b/>
                <w:bCs/>
                <w:color w:val="000000"/>
                <w:sz w:val="18"/>
                <w:szCs w:val="18"/>
              </w:rPr>
            </w:pPr>
            <w:r w:rsidRPr="00D82176">
              <w:rPr>
                <w:b/>
                <w:bCs/>
                <w:color w:val="000000"/>
                <w:sz w:val="18"/>
                <w:szCs w:val="18"/>
              </w:rPr>
              <w:t xml:space="preserve">         (3.765)</w:t>
            </w:r>
          </w:p>
        </w:tc>
      </w:tr>
    </w:tbl>
    <w:p w:rsidR="009C3774" w:rsidRPr="00FD7B48" w:rsidRDefault="009C3774">
      <w:pPr>
        <w:sectPr w:rsidR="009C3774" w:rsidRPr="00FD7B48" w:rsidSect="00280DE6">
          <w:headerReference w:type="default" r:id="rId11"/>
          <w:headerReference w:type="first" r:id="rId12"/>
          <w:pgSz w:w="11907" w:h="16839" w:code="9"/>
          <w:pgMar w:top="1418" w:right="1134" w:bottom="1134" w:left="1701" w:header="720" w:footer="720" w:gutter="0"/>
          <w:pgNumType w:start="6"/>
          <w:cols w:space="720"/>
          <w:titlePg/>
          <w:docGrid w:linePitch="272"/>
        </w:sectPr>
      </w:pPr>
    </w:p>
    <w:p w:rsidR="001A1DC1" w:rsidRDefault="001A1DC1" w:rsidP="00B63A81">
      <w:pPr>
        <w:rPr>
          <w:sz w:val="16"/>
          <w:szCs w:val="16"/>
        </w:rPr>
      </w:pPr>
    </w:p>
    <w:p w:rsidR="00767380" w:rsidRDefault="00767380" w:rsidP="00B63A81">
      <w:pPr>
        <w:rPr>
          <w:b/>
          <w:bCs/>
          <w:color w:val="000000"/>
        </w:rPr>
      </w:pPr>
      <w:r w:rsidRPr="00D403A7">
        <w:rPr>
          <w:b/>
          <w:bCs/>
          <w:color w:val="000000"/>
        </w:rPr>
        <w:t>Demonstração da</w:t>
      </w:r>
      <w:r w:rsidR="00171472">
        <w:rPr>
          <w:b/>
          <w:bCs/>
          <w:color w:val="000000"/>
        </w:rPr>
        <w:t>s Mutações</w:t>
      </w:r>
      <w:r w:rsidRPr="00D403A7">
        <w:rPr>
          <w:b/>
          <w:bCs/>
          <w:color w:val="000000"/>
        </w:rPr>
        <w:t xml:space="preserve"> do Patrimônio Líquido</w:t>
      </w:r>
    </w:p>
    <w:p w:rsidR="00D403A7" w:rsidRPr="00D403A7" w:rsidRDefault="00D403A7" w:rsidP="00B63A81">
      <w:pPr>
        <w:rPr>
          <w:b/>
          <w:bCs/>
          <w:color w:val="000000"/>
        </w:rPr>
      </w:pPr>
    </w:p>
    <w:tbl>
      <w:tblPr>
        <w:tblW w:w="5215" w:type="pct"/>
        <w:tblLayout w:type="fixed"/>
        <w:tblCellMar>
          <w:left w:w="70" w:type="dxa"/>
          <w:right w:w="70" w:type="dxa"/>
        </w:tblCellMar>
        <w:tblLook w:val="04A0" w:firstRow="1" w:lastRow="0" w:firstColumn="1" w:lastColumn="0" w:noHBand="0" w:noVBand="1"/>
      </w:tblPr>
      <w:tblGrid>
        <w:gridCol w:w="2507"/>
        <w:gridCol w:w="977"/>
        <w:gridCol w:w="161"/>
        <w:gridCol w:w="1214"/>
        <w:gridCol w:w="175"/>
        <w:gridCol w:w="1136"/>
        <w:gridCol w:w="161"/>
        <w:gridCol w:w="961"/>
        <w:gridCol w:w="161"/>
        <w:gridCol w:w="1124"/>
        <w:gridCol w:w="161"/>
        <w:gridCol w:w="870"/>
      </w:tblGrid>
      <w:tr w:rsidR="00D33697" w:rsidRPr="00D82176" w:rsidTr="00BD2B9A">
        <w:trPr>
          <w:trHeight w:val="20"/>
        </w:trPr>
        <w:tc>
          <w:tcPr>
            <w:tcW w:w="1304" w:type="pct"/>
            <w:tcBorders>
              <w:top w:val="nil"/>
              <w:left w:val="nil"/>
              <w:bottom w:val="nil"/>
              <w:right w:val="nil"/>
            </w:tcBorders>
            <w:shd w:val="clear" w:color="000000" w:fill="FFFFFF"/>
            <w:vAlign w:val="center"/>
            <w:hideMark/>
          </w:tcPr>
          <w:p w:rsidR="006E5C13" w:rsidRPr="00D82176" w:rsidRDefault="006E5C13" w:rsidP="006E5C13">
            <w:pPr>
              <w:jc w:val="both"/>
              <w:rPr>
                <w:b/>
                <w:bCs/>
                <w:sz w:val="18"/>
                <w:szCs w:val="18"/>
              </w:rPr>
            </w:pPr>
            <w:r w:rsidRPr="00D82176">
              <w:rPr>
                <w:b/>
                <w:bCs/>
                <w:sz w:val="18"/>
                <w:szCs w:val="18"/>
              </w:rPr>
              <w:t> </w:t>
            </w:r>
          </w:p>
        </w:tc>
        <w:tc>
          <w:tcPr>
            <w:tcW w:w="508" w:type="pct"/>
            <w:tcBorders>
              <w:top w:val="nil"/>
              <w:left w:val="nil"/>
              <w:bottom w:val="single" w:sz="8" w:space="0" w:color="auto"/>
              <w:right w:val="nil"/>
            </w:tcBorders>
            <w:shd w:val="clear" w:color="000000" w:fill="FFFFFF"/>
            <w:vAlign w:val="center"/>
            <w:hideMark/>
          </w:tcPr>
          <w:p w:rsidR="006E5C13" w:rsidRPr="00D82176" w:rsidRDefault="006E5C13" w:rsidP="006E5C13">
            <w:pPr>
              <w:jc w:val="center"/>
              <w:rPr>
                <w:b/>
                <w:bCs/>
                <w:sz w:val="18"/>
                <w:szCs w:val="18"/>
              </w:rPr>
            </w:pPr>
            <w:r w:rsidRPr="00D82176">
              <w:rPr>
                <w:b/>
                <w:bCs/>
                <w:sz w:val="18"/>
                <w:szCs w:val="18"/>
              </w:rPr>
              <w:t>Capital Realizado</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632" w:type="pct"/>
            <w:tcBorders>
              <w:top w:val="nil"/>
              <w:left w:val="nil"/>
              <w:bottom w:val="single" w:sz="8" w:space="0" w:color="auto"/>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Remessa de Subvenção p/ Investimento</w:t>
            </w:r>
          </w:p>
        </w:tc>
        <w:tc>
          <w:tcPr>
            <w:tcW w:w="91"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591" w:type="pct"/>
            <w:tcBorders>
              <w:top w:val="nil"/>
              <w:left w:val="nil"/>
              <w:bottom w:val="single" w:sz="8" w:space="0" w:color="auto"/>
              <w:right w:val="nil"/>
            </w:tcBorders>
            <w:shd w:val="clear" w:color="000000" w:fill="FFFFFF"/>
            <w:vAlign w:val="center"/>
            <w:hideMark/>
          </w:tcPr>
          <w:p w:rsidR="006E5C13" w:rsidRPr="00D82176" w:rsidRDefault="006E5C13" w:rsidP="006E5C13">
            <w:pPr>
              <w:rPr>
                <w:b/>
                <w:bCs/>
                <w:sz w:val="18"/>
                <w:szCs w:val="18"/>
              </w:rPr>
            </w:pPr>
            <w:r w:rsidRPr="00D82176">
              <w:rPr>
                <w:b/>
                <w:bCs/>
                <w:sz w:val="18"/>
                <w:szCs w:val="18"/>
              </w:rPr>
              <w:t>Ajuste de Avaliação Patrimonial</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500" w:type="pct"/>
            <w:tcBorders>
              <w:top w:val="nil"/>
              <w:left w:val="nil"/>
              <w:bottom w:val="single" w:sz="8" w:space="0" w:color="auto"/>
              <w:right w:val="nil"/>
            </w:tcBorders>
            <w:shd w:val="clear" w:color="000000" w:fill="FFFFFF"/>
            <w:vAlign w:val="center"/>
            <w:hideMark/>
          </w:tcPr>
          <w:p w:rsidR="006E5C13" w:rsidRPr="00D82176" w:rsidRDefault="006E5C13" w:rsidP="006E5C13">
            <w:pPr>
              <w:jc w:val="center"/>
              <w:rPr>
                <w:b/>
                <w:bCs/>
                <w:sz w:val="18"/>
                <w:szCs w:val="18"/>
              </w:rPr>
            </w:pPr>
            <w:r w:rsidRPr="00D82176">
              <w:rPr>
                <w:b/>
                <w:bCs/>
                <w:sz w:val="18"/>
                <w:szCs w:val="18"/>
              </w:rPr>
              <w:t>Reservas De Lucro</w:t>
            </w:r>
          </w:p>
        </w:tc>
        <w:tc>
          <w:tcPr>
            <w:tcW w:w="84" w:type="pct"/>
            <w:tcBorders>
              <w:top w:val="nil"/>
              <w:left w:val="nil"/>
              <w:bottom w:val="nil"/>
              <w:right w:val="nil"/>
            </w:tcBorders>
            <w:shd w:val="clear" w:color="000000" w:fill="FFFFFF"/>
            <w:vAlign w:val="bottom"/>
            <w:hideMark/>
          </w:tcPr>
          <w:p w:rsidR="006E5C13" w:rsidRPr="00D82176" w:rsidRDefault="006E5C13" w:rsidP="006E5C13">
            <w:pPr>
              <w:rPr>
                <w:rFonts w:ascii="Calibri" w:hAnsi="Calibri"/>
                <w:sz w:val="18"/>
                <w:szCs w:val="18"/>
              </w:rPr>
            </w:pPr>
            <w:r w:rsidRPr="00D82176">
              <w:rPr>
                <w:rFonts w:ascii="Calibri" w:hAnsi="Calibri"/>
                <w:sz w:val="18"/>
                <w:szCs w:val="18"/>
              </w:rPr>
              <w:t> </w:t>
            </w:r>
          </w:p>
        </w:tc>
        <w:tc>
          <w:tcPr>
            <w:tcW w:w="585" w:type="pct"/>
            <w:tcBorders>
              <w:top w:val="nil"/>
              <w:left w:val="nil"/>
              <w:bottom w:val="single" w:sz="8" w:space="0" w:color="auto"/>
              <w:right w:val="nil"/>
            </w:tcBorders>
            <w:shd w:val="clear" w:color="000000" w:fill="FFFFFF"/>
            <w:vAlign w:val="center"/>
            <w:hideMark/>
          </w:tcPr>
          <w:p w:rsidR="006E5C13" w:rsidRPr="00D82176" w:rsidRDefault="006E5C13" w:rsidP="00F51CC3">
            <w:pPr>
              <w:ind w:right="-119"/>
              <w:jc w:val="center"/>
              <w:rPr>
                <w:b/>
                <w:bCs/>
                <w:sz w:val="18"/>
                <w:szCs w:val="18"/>
              </w:rPr>
            </w:pPr>
            <w:r w:rsidRPr="00D82176">
              <w:rPr>
                <w:b/>
                <w:bCs/>
                <w:sz w:val="18"/>
                <w:szCs w:val="18"/>
              </w:rPr>
              <w:t>Prejuízos Acumulado</w:t>
            </w:r>
            <w:r w:rsidR="00F51CC3" w:rsidRPr="00D82176">
              <w:rPr>
                <w:b/>
                <w:bCs/>
                <w:sz w:val="18"/>
                <w:szCs w:val="18"/>
              </w:rPr>
              <w:t>s</w:t>
            </w:r>
          </w:p>
        </w:tc>
        <w:tc>
          <w:tcPr>
            <w:tcW w:w="84" w:type="pct"/>
            <w:tcBorders>
              <w:top w:val="nil"/>
              <w:left w:val="nil"/>
              <w:bottom w:val="nil"/>
              <w:right w:val="nil"/>
            </w:tcBorders>
            <w:shd w:val="clear" w:color="000000" w:fill="FFFFFF"/>
            <w:vAlign w:val="bottom"/>
            <w:hideMark/>
          </w:tcPr>
          <w:p w:rsidR="006E5C13" w:rsidRPr="00D82176" w:rsidRDefault="006E5C13" w:rsidP="006E5C13">
            <w:pPr>
              <w:rPr>
                <w:rFonts w:ascii="Calibri" w:hAnsi="Calibri"/>
                <w:sz w:val="18"/>
                <w:szCs w:val="18"/>
              </w:rPr>
            </w:pPr>
            <w:r w:rsidRPr="00D82176">
              <w:rPr>
                <w:rFonts w:ascii="Calibri" w:hAnsi="Calibri"/>
                <w:sz w:val="18"/>
                <w:szCs w:val="18"/>
              </w:rPr>
              <w:t> </w:t>
            </w:r>
          </w:p>
        </w:tc>
        <w:tc>
          <w:tcPr>
            <w:tcW w:w="454" w:type="pct"/>
            <w:tcBorders>
              <w:top w:val="nil"/>
              <w:left w:val="nil"/>
              <w:bottom w:val="single" w:sz="8" w:space="0" w:color="000000"/>
              <w:right w:val="nil"/>
            </w:tcBorders>
            <w:shd w:val="clear" w:color="000000" w:fill="FFFFFF"/>
            <w:vAlign w:val="center"/>
            <w:hideMark/>
          </w:tcPr>
          <w:p w:rsidR="006E5C13" w:rsidRPr="00D82176" w:rsidRDefault="006E5C13" w:rsidP="006E5C13">
            <w:pPr>
              <w:jc w:val="center"/>
              <w:rPr>
                <w:b/>
                <w:bCs/>
                <w:sz w:val="18"/>
                <w:szCs w:val="18"/>
              </w:rPr>
            </w:pPr>
            <w:r w:rsidRPr="00D82176">
              <w:rPr>
                <w:b/>
                <w:bCs/>
                <w:sz w:val="18"/>
                <w:szCs w:val="18"/>
              </w:rPr>
              <w:t>Total</w:t>
            </w:r>
          </w:p>
        </w:tc>
      </w:tr>
      <w:tr w:rsidR="00D33697" w:rsidRPr="00D82176" w:rsidTr="00BD2B9A">
        <w:trPr>
          <w:trHeight w:val="20"/>
        </w:trPr>
        <w:tc>
          <w:tcPr>
            <w:tcW w:w="1304" w:type="pct"/>
            <w:tcBorders>
              <w:top w:val="nil"/>
              <w:left w:val="nil"/>
              <w:bottom w:val="nil"/>
              <w:right w:val="nil"/>
            </w:tcBorders>
            <w:shd w:val="clear" w:color="000000" w:fill="FFFFFF"/>
            <w:noWrap/>
            <w:vAlign w:val="center"/>
            <w:hideMark/>
          </w:tcPr>
          <w:p w:rsidR="006E5C13" w:rsidRPr="00D82176" w:rsidRDefault="006E5C13" w:rsidP="006E5C13">
            <w:pPr>
              <w:rPr>
                <w:sz w:val="18"/>
                <w:szCs w:val="18"/>
              </w:rPr>
            </w:pPr>
            <w:r w:rsidRPr="00D82176">
              <w:rPr>
                <w:sz w:val="18"/>
                <w:szCs w:val="18"/>
              </w:rPr>
              <w:t> </w:t>
            </w:r>
          </w:p>
        </w:tc>
        <w:tc>
          <w:tcPr>
            <w:tcW w:w="508" w:type="pct"/>
            <w:tcBorders>
              <w:top w:val="nil"/>
              <w:left w:val="nil"/>
              <w:bottom w:val="nil"/>
              <w:right w:val="nil"/>
            </w:tcBorders>
            <w:shd w:val="clear" w:color="000000" w:fill="FFFFFF"/>
            <w:noWrap/>
            <w:vAlign w:val="center"/>
            <w:hideMark/>
          </w:tcPr>
          <w:p w:rsidR="006E5C13" w:rsidRPr="00D82176" w:rsidRDefault="006E5C13" w:rsidP="006E5C13">
            <w:pPr>
              <w:rPr>
                <w:sz w:val="18"/>
                <w:szCs w:val="18"/>
              </w:rPr>
            </w:pPr>
            <w:r w:rsidRPr="00D82176">
              <w:rPr>
                <w:sz w:val="18"/>
                <w:szCs w:val="18"/>
              </w:rPr>
              <w:t> </w:t>
            </w:r>
          </w:p>
        </w:tc>
        <w:tc>
          <w:tcPr>
            <w:tcW w:w="84" w:type="pct"/>
            <w:tcBorders>
              <w:top w:val="nil"/>
              <w:left w:val="nil"/>
              <w:bottom w:val="nil"/>
              <w:right w:val="nil"/>
            </w:tcBorders>
            <w:shd w:val="clear" w:color="000000" w:fill="FFFFFF"/>
            <w:noWrap/>
            <w:vAlign w:val="center"/>
            <w:hideMark/>
          </w:tcPr>
          <w:p w:rsidR="006E5C13" w:rsidRPr="00D82176" w:rsidRDefault="006E5C13" w:rsidP="006E5C13">
            <w:pPr>
              <w:rPr>
                <w:sz w:val="18"/>
                <w:szCs w:val="18"/>
              </w:rPr>
            </w:pPr>
            <w:r w:rsidRPr="00D82176">
              <w:rPr>
                <w:sz w:val="18"/>
                <w:szCs w:val="18"/>
              </w:rPr>
              <w:t> </w:t>
            </w:r>
          </w:p>
        </w:tc>
        <w:tc>
          <w:tcPr>
            <w:tcW w:w="632" w:type="pct"/>
            <w:tcBorders>
              <w:top w:val="nil"/>
              <w:left w:val="nil"/>
              <w:bottom w:val="nil"/>
              <w:right w:val="nil"/>
            </w:tcBorders>
            <w:shd w:val="clear" w:color="000000" w:fill="FFFFFF"/>
            <w:vAlign w:val="center"/>
            <w:hideMark/>
          </w:tcPr>
          <w:p w:rsidR="006E5C13" w:rsidRPr="00D82176" w:rsidRDefault="006E5C13" w:rsidP="006E5C13">
            <w:pPr>
              <w:rPr>
                <w:sz w:val="18"/>
                <w:szCs w:val="18"/>
              </w:rPr>
            </w:pPr>
            <w:r w:rsidRPr="00D82176">
              <w:rPr>
                <w:sz w:val="18"/>
                <w:szCs w:val="18"/>
              </w:rPr>
              <w:t> </w:t>
            </w:r>
          </w:p>
        </w:tc>
        <w:tc>
          <w:tcPr>
            <w:tcW w:w="91"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591" w:type="pct"/>
            <w:tcBorders>
              <w:top w:val="nil"/>
              <w:left w:val="nil"/>
              <w:bottom w:val="nil"/>
              <w:right w:val="nil"/>
            </w:tcBorders>
            <w:shd w:val="clear" w:color="000000" w:fill="FFFFFF"/>
            <w:noWrap/>
            <w:vAlign w:val="center"/>
            <w:hideMark/>
          </w:tcPr>
          <w:p w:rsidR="006E5C13" w:rsidRPr="00D82176" w:rsidRDefault="006E5C13" w:rsidP="006E5C13">
            <w:pPr>
              <w:rPr>
                <w:sz w:val="18"/>
                <w:szCs w:val="18"/>
              </w:rPr>
            </w:pPr>
            <w:r w:rsidRPr="00D82176">
              <w:rPr>
                <w:sz w:val="18"/>
                <w:szCs w:val="18"/>
              </w:rPr>
              <w:t> </w:t>
            </w:r>
          </w:p>
        </w:tc>
        <w:tc>
          <w:tcPr>
            <w:tcW w:w="84" w:type="pct"/>
            <w:tcBorders>
              <w:top w:val="nil"/>
              <w:left w:val="nil"/>
              <w:bottom w:val="nil"/>
              <w:right w:val="nil"/>
            </w:tcBorders>
            <w:shd w:val="clear" w:color="000000" w:fill="FFFFFF"/>
            <w:noWrap/>
            <w:vAlign w:val="center"/>
            <w:hideMark/>
          </w:tcPr>
          <w:p w:rsidR="006E5C13" w:rsidRPr="00D82176" w:rsidRDefault="006E5C13" w:rsidP="006E5C13">
            <w:pPr>
              <w:rPr>
                <w:sz w:val="18"/>
                <w:szCs w:val="18"/>
              </w:rPr>
            </w:pPr>
            <w:r w:rsidRPr="00D82176">
              <w:rPr>
                <w:sz w:val="18"/>
                <w:szCs w:val="18"/>
              </w:rPr>
              <w:t> </w:t>
            </w:r>
          </w:p>
        </w:tc>
        <w:tc>
          <w:tcPr>
            <w:tcW w:w="500" w:type="pct"/>
            <w:tcBorders>
              <w:top w:val="nil"/>
              <w:left w:val="nil"/>
              <w:bottom w:val="nil"/>
              <w:right w:val="nil"/>
            </w:tcBorders>
            <w:shd w:val="clear" w:color="000000" w:fill="FFFFFF"/>
            <w:noWrap/>
            <w:vAlign w:val="center"/>
            <w:hideMark/>
          </w:tcPr>
          <w:p w:rsidR="006E5C13" w:rsidRPr="00D82176" w:rsidRDefault="006E5C13" w:rsidP="006E5C13">
            <w:pPr>
              <w:rPr>
                <w:sz w:val="18"/>
                <w:szCs w:val="18"/>
              </w:rPr>
            </w:pPr>
            <w:r w:rsidRPr="00D82176">
              <w:rPr>
                <w:sz w:val="18"/>
                <w:szCs w:val="18"/>
              </w:rPr>
              <w:t> </w:t>
            </w:r>
          </w:p>
        </w:tc>
        <w:tc>
          <w:tcPr>
            <w:tcW w:w="84" w:type="pct"/>
            <w:tcBorders>
              <w:top w:val="nil"/>
              <w:left w:val="nil"/>
              <w:bottom w:val="nil"/>
              <w:right w:val="nil"/>
            </w:tcBorders>
            <w:shd w:val="clear" w:color="000000" w:fill="FFFFFF"/>
            <w:noWrap/>
            <w:vAlign w:val="center"/>
            <w:hideMark/>
          </w:tcPr>
          <w:p w:rsidR="006E5C13" w:rsidRPr="00D82176" w:rsidRDefault="006E5C13" w:rsidP="006E5C13">
            <w:pPr>
              <w:rPr>
                <w:sz w:val="18"/>
                <w:szCs w:val="18"/>
              </w:rPr>
            </w:pPr>
            <w:r w:rsidRPr="00D82176">
              <w:rPr>
                <w:sz w:val="18"/>
                <w:szCs w:val="18"/>
              </w:rPr>
              <w:t> </w:t>
            </w:r>
          </w:p>
        </w:tc>
        <w:tc>
          <w:tcPr>
            <w:tcW w:w="585" w:type="pct"/>
            <w:tcBorders>
              <w:top w:val="nil"/>
              <w:left w:val="nil"/>
              <w:bottom w:val="nil"/>
              <w:right w:val="nil"/>
            </w:tcBorders>
            <w:shd w:val="clear" w:color="000000" w:fill="FFFFFF"/>
            <w:noWrap/>
            <w:vAlign w:val="center"/>
            <w:hideMark/>
          </w:tcPr>
          <w:p w:rsidR="006E5C13" w:rsidRPr="00D82176" w:rsidRDefault="006E5C13" w:rsidP="006E5C13">
            <w:pPr>
              <w:rPr>
                <w:sz w:val="18"/>
                <w:szCs w:val="18"/>
              </w:rPr>
            </w:pPr>
            <w:r w:rsidRPr="00D82176">
              <w:rPr>
                <w:sz w:val="18"/>
                <w:szCs w:val="18"/>
              </w:rPr>
              <w:t> </w:t>
            </w:r>
          </w:p>
        </w:tc>
        <w:tc>
          <w:tcPr>
            <w:tcW w:w="84" w:type="pct"/>
            <w:tcBorders>
              <w:top w:val="nil"/>
              <w:left w:val="nil"/>
              <w:bottom w:val="nil"/>
              <w:right w:val="nil"/>
            </w:tcBorders>
            <w:shd w:val="clear" w:color="000000" w:fill="FFFFFF"/>
            <w:noWrap/>
            <w:vAlign w:val="center"/>
            <w:hideMark/>
          </w:tcPr>
          <w:p w:rsidR="006E5C13" w:rsidRPr="00D82176" w:rsidRDefault="006E5C13" w:rsidP="006E5C13">
            <w:pPr>
              <w:rPr>
                <w:sz w:val="18"/>
                <w:szCs w:val="18"/>
              </w:rPr>
            </w:pPr>
            <w:r w:rsidRPr="00D82176">
              <w:rPr>
                <w:sz w:val="18"/>
                <w:szCs w:val="18"/>
              </w:rPr>
              <w:t> </w:t>
            </w:r>
          </w:p>
        </w:tc>
        <w:tc>
          <w:tcPr>
            <w:tcW w:w="454" w:type="pct"/>
            <w:tcBorders>
              <w:top w:val="nil"/>
              <w:left w:val="nil"/>
              <w:bottom w:val="nil"/>
              <w:right w:val="nil"/>
            </w:tcBorders>
            <w:shd w:val="clear" w:color="000000" w:fill="FFFFFF"/>
            <w:noWrap/>
            <w:vAlign w:val="center"/>
            <w:hideMark/>
          </w:tcPr>
          <w:p w:rsidR="006E5C13" w:rsidRPr="00D82176" w:rsidRDefault="006E5C13" w:rsidP="006E5C13">
            <w:pPr>
              <w:rPr>
                <w:sz w:val="18"/>
                <w:szCs w:val="18"/>
              </w:rPr>
            </w:pPr>
            <w:r w:rsidRPr="00D82176">
              <w:rPr>
                <w:sz w:val="18"/>
                <w:szCs w:val="18"/>
              </w:rPr>
              <w:t> </w:t>
            </w:r>
          </w:p>
        </w:tc>
      </w:tr>
      <w:tr w:rsidR="00D33697" w:rsidRPr="00D82176" w:rsidTr="00BD2B9A">
        <w:trPr>
          <w:trHeight w:val="20"/>
        </w:trPr>
        <w:tc>
          <w:tcPr>
            <w:tcW w:w="1304" w:type="pct"/>
            <w:tcBorders>
              <w:top w:val="nil"/>
              <w:left w:val="nil"/>
              <w:bottom w:val="nil"/>
              <w:right w:val="nil"/>
            </w:tcBorders>
            <w:shd w:val="clear" w:color="000000" w:fill="FFFFFF"/>
            <w:vAlign w:val="center"/>
            <w:hideMark/>
          </w:tcPr>
          <w:p w:rsidR="006E5C13" w:rsidRPr="00D82176" w:rsidRDefault="006E5C13" w:rsidP="006E5C13">
            <w:pPr>
              <w:rPr>
                <w:b/>
                <w:bCs/>
                <w:sz w:val="18"/>
                <w:szCs w:val="18"/>
              </w:rPr>
            </w:pPr>
            <w:r w:rsidRPr="00D82176">
              <w:rPr>
                <w:b/>
                <w:bCs/>
                <w:sz w:val="18"/>
                <w:szCs w:val="18"/>
              </w:rPr>
              <w:t>Saldo em 31 de dezembro de 2015</w:t>
            </w:r>
          </w:p>
        </w:tc>
        <w:tc>
          <w:tcPr>
            <w:tcW w:w="508" w:type="pct"/>
            <w:tcBorders>
              <w:top w:val="nil"/>
              <w:left w:val="nil"/>
              <w:bottom w:val="nil"/>
              <w:right w:val="nil"/>
            </w:tcBorders>
            <w:shd w:val="clear" w:color="000000" w:fill="FFFFFF"/>
            <w:vAlign w:val="center"/>
            <w:hideMark/>
          </w:tcPr>
          <w:p w:rsidR="006E5C13" w:rsidRPr="00D82176" w:rsidRDefault="006E5C13" w:rsidP="00A90DA2">
            <w:pPr>
              <w:jc w:val="right"/>
              <w:rPr>
                <w:b/>
                <w:bCs/>
                <w:sz w:val="18"/>
                <w:szCs w:val="18"/>
              </w:rPr>
            </w:pPr>
            <w:r w:rsidRPr="00D82176">
              <w:rPr>
                <w:b/>
                <w:bCs/>
                <w:sz w:val="18"/>
                <w:szCs w:val="18"/>
              </w:rPr>
              <w:t>376.40</w:t>
            </w:r>
            <w:r w:rsidR="00A90DA2">
              <w:rPr>
                <w:b/>
                <w:bCs/>
                <w:sz w:val="18"/>
                <w:szCs w:val="18"/>
              </w:rPr>
              <w:t>3</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632" w:type="pct"/>
            <w:tcBorders>
              <w:top w:val="nil"/>
              <w:left w:val="nil"/>
              <w:bottom w:val="nil"/>
              <w:right w:val="nil"/>
            </w:tcBorders>
            <w:shd w:val="clear" w:color="000000" w:fill="FFFFFF"/>
            <w:vAlign w:val="center"/>
            <w:hideMark/>
          </w:tcPr>
          <w:p w:rsidR="006E5C13" w:rsidRPr="00D82176" w:rsidRDefault="00214EAD" w:rsidP="006E5C13">
            <w:pPr>
              <w:jc w:val="right"/>
              <w:rPr>
                <w:b/>
                <w:bCs/>
                <w:sz w:val="18"/>
                <w:szCs w:val="18"/>
              </w:rPr>
            </w:pPr>
            <w:r w:rsidRPr="00D82176">
              <w:rPr>
                <w:b/>
                <w:bCs/>
                <w:sz w:val="18"/>
                <w:szCs w:val="18"/>
              </w:rPr>
              <w:t>-</w:t>
            </w:r>
            <w:r w:rsidR="006E5C13" w:rsidRPr="00D82176">
              <w:rPr>
                <w:b/>
                <w:bCs/>
                <w:sz w:val="18"/>
                <w:szCs w:val="18"/>
              </w:rPr>
              <w:t> </w:t>
            </w:r>
          </w:p>
        </w:tc>
        <w:tc>
          <w:tcPr>
            <w:tcW w:w="91"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591" w:type="pct"/>
            <w:tcBorders>
              <w:top w:val="nil"/>
              <w:left w:val="nil"/>
              <w:bottom w:val="nil"/>
              <w:right w:val="nil"/>
            </w:tcBorders>
            <w:shd w:val="clear" w:color="000000" w:fill="FFFFFF"/>
            <w:vAlign w:val="center"/>
            <w:hideMark/>
          </w:tcPr>
          <w:p w:rsidR="006E5C13" w:rsidRPr="00D82176" w:rsidRDefault="00D711DF" w:rsidP="006E5C13">
            <w:pPr>
              <w:jc w:val="right"/>
              <w:rPr>
                <w:b/>
                <w:bCs/>
                <w:sz w:val="18"/>
                <w:szCs w:val="18"/>
              </w:rPr>
            </w:pPr>
            <w:r w:rsidRPr="00D82176">
              <w:rPr>
                <w:b/>
                <w:bCs/>
                <w:sz w:val="18"/>
                <w:szCs w:val="18"/>
              </w:rPr>
              <w:t>(</w:t>
            </w:r>
            <w:r w:rsidR="006E5C13" w:rsidRPr="00D82176">
              <w:rPr>
                <w:b/>
                <w:bCs/>
                <w:sz w:val="18"/>
                <w:szCs w:val="18"/>
              </w:rPr>
              <w:t>16.854</w:t>
            </w:r>
            <w:r w:rsidRPr="00D82176">
              <w:rPr>
                <w:b/>
                <w:bCs/>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500" w:type="pct"/>
            <w:tcBorders>
              <w:top w:val="nil"/>
              <w:left w:val="nil"/>
              <w:bottom w:val="nil"/>
              <w:right w:val="nil"/>
            </w:tcBorders>
            <w:shd w:val="clear" w:color="000000" w:fill="FFFFFF"/>
            <w:vAlign w:val="center"/>
            <w:hideMark/>
          </w:tcPr>
          <w:p w:rsidR="006E5C13" w:rsidRPr="00D82176" w:rsidRDefault="006E5C13" w:rsidP="00A90DA2">
            <w:pPr>
              <w:jc w:val="right"/>
              <w:rPr>
                <w:b/>
                <w:bCs/>
                <w:sz w:val="18"/>
                <w:szCs w:val="18"/>
              </w:rPr>
            </w:pPr>
            <w:r w:rsidRPr="00D82176">
              <w:rPr>
                <w:b/>
                <w:bCs/>
                <w:sz w:val="18"/>
                <w:szCs w:val="18"/>
              </w:rPr>
              <w:t>23.55</w:t>
            </w:r>
            <w:r w:rsidR="00A90DA2">
              <w:rPr>
                <w:b/>
                <w:bCs/>
                <w:sz w:val="18"/>
                <w:szCs w:val="18"/>
              </w:rPr>
              <w:t>6</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585"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454"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383.105</w:t>
            </w:r>
          </w:p>
        </w:tc>
      </w:tr>
      <w:tr w:rsidR="00D33697" w:rsidRPr="00D82176" w:rsidTr="00BD2B9A">
        <w:trPr>
          <w:trHeight w:val="20"/>
        </w:trPr>
        <w:tc>
          <w:tcPr>
            <w:tcW w:w="1304" w:type="pct"/>
            <w:tcBorders>
              <w:top w:val="nil"/>
              <w:left w:val="nil"/>
              <w:bottom w:val="nil"/>
              <w:right w:val="nil"/>
            </w:tcBorders>
            <w:shd w:val="clear" w:color="000000" w:fill="FFFFFF"/>
            <w:vAlign w:val="center"/>
            <w:hideMark/>
          </w:tcPr>
          <w:p w:rsidR="00CB2C63" w:rsidRDefault="006E5C13" w:rsidP="00D711DF">
            <w:pPr>
              <w:rPr>
                <w:sz w:val="18"/>
                <w:szCs w:val="18"/>
              </w:rPr>
            </w:pPr>
            <w:r w:rsidRPr="00D82176">
              <w:rPr>
                <w:sz w:val="18"/>
                <w:szCs w:val="18"/>
              </w:rPr>
              <w:t xml:space="preserve">   Realização Avaliação </w:t>
            </w:r>
            <w:r w:rsidR="00CB2C63">
              <w:rPr>
                <w:sz w:val="18"/>
                <w:szCs w:val="18"/>
              </w:rPr>
              <w:t xml:space="preserve"> </w:t>
            </w:r>
          </w:p>
          <w:p w:rsidR="006E5C13" w:rsidRPr="00D82176" w:rsidRDefault="00CB2C63" w:rsidP="00D711DF">
            <w:pPr>
              <w:rPr>
                <w:sz w:val="18"/>
                <w:szCs w:val="18"/>
              </w:rPr>
            </w:pPr>
            <w:r>
              <w:rPr>
                <w:sz w:val="18"/>
                <w:szCs w:val="18"/>
              </w:rPr>
              <w:t xml:space="preserve">   </w:t>
            </w:r>
            <w:r w:rsidR="006E5C13" w:rsidRPr="00D82176">
              <w:rPr>
                <w:sz w:val="18"/>
                <w:szCs w:val="18"/>
              </w:rPr>
              <w:t>Patrimonial</w:t>
            </w:r>
          </w:p>
        </w:tc>
        <w:tc>
          <w:tcPr>
            <w:tcW w:w="508"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632" w:type="pct"/>
            <w:tcBorders>
              <w:top w:val="nil"/>
              <w:left w:val="nil"/>
              <w:bottom w:val="nil"/>
              <w:right w:val="nil"/>
            </w:tcBorders>
            <w:shd w:val="clear" w:color="000000" w:fill="FFFFFF"/>
            <w:vAlign w:val="center"/>
            <w:hideMark/>
          </w:tcPr>
          <w:p w:rsidR="006E5C13" w:rsidRPr="00D82176" w:rsidRDefault="00214EAD" w:rsidP="006E5C13">
            <w:pPr>
              <w:jc w:val="right"/>
              <w:rPr>
                <w:sz w:val="18"/>
                <w:szCs w:val="18"/>
              </w:rPr>
            </w:pPr>
            <w:r w:rsidRPr="00D82176">
              <w:rPr>
                <w:sz w:val="18"/>
                <w:szCs w:val="18"/>
              </w:rPr>
              <w:t>-</w:t>
            </w:r>
            <w:r w:rsidR="006E5C13" w:rsidRPr="00D82176">
              <w:rPr>
                <w:sz w:val="18"/>
                <w:szCs w:val="18"/>
              </w:rPr>
              <w:t> </w:t>
            </w:r>
          </w:p>
        </w:tc>
        <w:tc>
          <w:tcPr>
            <w:tcW w:w="91"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91" w:type="pct"/>
            <w:tcBorders>
              <w:top w:val="nil"/>
              <w:left w:val="nil"/>
              <w:bottom w:val="nil"/>
              <w:right w:val="nil"/>
            </w:tcBorders>
            <w:shd w:val="clear" w:color="000000" w:fill="FFFFFF"/>
            <w:vAlign w:val="center"/>
            <w:hideMark/>
          </w:tcPr>
          <w:p w:rsidR="006E5C13" w:rsidRPr="00D82176" w:rsidRDefault="00D711DF" w:rsidP="006E5C13">
            <w:pPr>
              <w:jc w:val="right"/>
              <w:rPr>
                <w:sz w:val="18"/>
                <w:szCs w:val="18"/>
              </w:rPr>
            </w:pPr>
            <w:r w:rsidRPr="00D82176">
              <w:rPr>
                <w:sz w:val="18"/>
                <w:szCs w:val="18"/>
              </w:rPr>
              <w:t>(</w:t>
            </w:r>
            <w:r w:rsidR="006E5C13" w:rsidRPr="00D82176">
              <w:rPr>
                <w:sz w:val="18"/>
                <w:szCs w:val="18"/>
              </w:rPr>
              <w:t>1.319</w:t>
            </w:r>
            <w:r w:rsidRPr="00D82176">
              <w:rPr>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00"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85"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1.319</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45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w:t>
            </w:r>
          </w:p>
        </w:tc>
      </w:tr>
      <w:tr w:rsidR="00D33697" w:rsidRPr="00D82176" w:rsidTr="00BD2B9A">
        <w:trPr>
          <w:trHeight w:val="20"/>
        </w:trPr>
        <w:tc>
          <w:tcPr>
            <w:tcW w:w="1304" w:type="pct"/>
            <w:tcBorders>
              <w:top w:val="nil"/>
              <w:left w:val="nil"/>
              <w:bottom w:val="nil"/>
              <w:right w:val="nil"/>
            </w:tcBorders>
            <w:shd w:val="clear" w:color="000000" w:fill="FFFFFF"/>
            <w:vAlign w:val="center"/>
            <w:hideMark/>
          </w:tcPr>
          <w:p w:rsidR="006E5C13" w:rsidRPr="00D82176" w:rsidRDefault="006E5C13" w:rsidP="006E5C13">
            <w:pPr>
              <w:rPr>
                <w:sz w:val="18"/>
                <w:szCs w:val="18"/>
              </w:rPr>
            </w:pPr>
            <w:r w:rsidRPr="00D82176">
              <w:rPr>
                <w:sz w:val="18"/>
                <w:szCs w:val="18"/>
              </w:rPr>
              <w:t xml:space="preserve">   Resultado do Exercício</w:t>
            </w:r>
          </w:p>
        </w:tc>
        <w:tc>
          <w:tcPr>
            <w:tcW w:w="508"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632" w:type="pct"/>
            <w:tcBorders>
              <w:top w:val="nil"/>
              <w:left w:val="nil"/>
              <w:bottom w:val="nil"/>
              <w:right w:val="nil"/>
            </w:tcBorders>
            <w:shd w:val="clear" w:color="000000" w:fill="FFFFFF"/>
            <w:vAlign w:val="center"/>
            <w:hideMark/>
          </w:tcPr>
          <w:p w:rsidR="006E5C13" w:rsidRPr="00D82176" w:rsidRDefault="00214EAD" w:rsidP="006E5C13">
            <w:pPr>
              <w:jc w:val="right"/>
              <w:rPr>
                <w:sz w:val="18"/>
                <w:szCs w:val="18"/>
              </w:rPr>
            </w:pPr>
            <w:r w:rsidRPr="00D82176">
              <w:rPr>
                <w:sz w:val="18"/>
                <w:szCs w:val="18"/>
              </w:rPr>
              <w:t>-</w:t>
            </w:r>
            <w:r w:rsidR="006E5C13" w:rsidRPr="00D82176">
              <w:rPr>
                <w:sz w:val="18"/>
                <w:szCs w:val="18"/>
              </w:rPr>
              <w:t> </w:t>
            </w:r>
          </w:p>
        </w:tc>
        <w:tc>
          <w:tcPr>
            <w:tcW w:w="91"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91"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00"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85" w:type="pct"/>
            <w:tcBorders>
              <w:top w:val="nil"/>
              <w:left w:val="nil"/>
              <w:bottom w:val="nil"/>
              <w:right w:val="nil"/>
            </w:tcBorders>
            <w:shd w:val="clear" w:color="000000" w:fill="FFFFFF"/>
            <w:vAlign w:val="center"/>
            <w:hideMark/>
          </w:tcPr>
          <w:p w:rsidR="006E5C13" w:rsidRPr="00D82176" w:rsidRDefault="00D711DF" w:rsidP="006E5C13">
            <w:pPr>
              <w:jc w:val="right"/>
              <w:rPr>
                <w:sz w:val="18"/>
                <w:szCs w:val="18"/>
              </w:rPr>
            </w:pPr>
            <w:r w:rsidRPr="00D82176">
              <w:rPr>
                <w:sz w:val="18"/>
                <w:szCs w:val="18"/>
              </w:rPr>
              <w:t>(</w:t>
            </w:r>
            <w:r w:rsidR="006E5C13" w:rsidRPr="00D82176">
              <w:rPr>
                <w:sz w:val="18"/>
                <w:szCs w:val="18"/>
              </w:rPr>
              <w:t>3.765</w:t>
            </w:r>
            <w:r w:rsidRPr="00D82176">
              <w:rPr>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454" w:type="pct"/>
            <w:tcBorders>
              <w:top w:val="nil"/>
              <w:left w:val="nil"/>
              <w:bottom w:val="nil"/>
              <w:right w:val="nil"/>
            </w:tcBorders>
            <w:shd w:val="clear" w:color="000000" w:fill="FFFFFF"/>
            <w:vAlign w:val="center"/>
            <w:hideMark/>
          </w:tcPr>
          <w:p w:rsidR="006E5C13" w:rsidRPr="00D82176" w:rsidRDefault="00D711DF" w:rsidP="006E5C13">
            <w:pPr>
              <w:jc w:val="right"/>
              <w:rPr>
                <w:sz w:val="18"/>
                <w:szCs w:val="18"/>
              </w:rPr>
            </w:pPr>
            <w:r w:rsidRPr="00D82176">
              <w:rPr>
                <w:sz w:val="18"/>
                <w:szCs w:val="18"/>
              </w:rPr>
              <w:t>(</w:t>
            </w:r>
            <w:r w:rsidR="006E5C13" w:rsidRPr="00D82176">
              <w:rPr>
                <w:sz w:val="18"/>
                <w:szCs w:val="18"/>
              </w:rPr>
              <w:t>3.765</w:t>
            </w:r>
            <w:r w:rsidRPr="00D82176">
              <w:rPr>
                <w:sz w:val="18"/>
                <w:szCs w:val="18"/>
              </w:rPr>
              <w:t>)</w:t>
            </w:r>
          </w:p>
        </w:tc>
      </w:tr>
      <w:tr w:rsidR="00D33697" w:rsidRPr="00D82176" w:rsidTr="00BD2B9A">
        <w:trPr>
          <w:trHeight w:val="20"/>
        </w:trPr>
        <w:tc>
          <w:tcPr>
            <w:tcW w:w="1304" w:type="pct"/>
            <w:tcBorders>
              <w:top w:val="nil"/>
              <w:left w:val="nil"/>
              <w:bottom w:val="nil"/>
              <w:right w:val="nil"/>
            </w:tcBorders>
            <w:shd w:val="clear" w:color="000000" w:fill="FFFFFF"/>
            <w:vAlign w:val="center"/>
            <w:hideMark/>
          </w:tcPr>
          <w:p w:rsidR="006E5C13" w:rsidRPr="00D82176" w:rsidRDefault="006E5C13" w:rsidP="006E5C13">
            <w:pPr>
              <w:rPr>
                <w:sz w:val="18"/>
                <w:szCs w:val="18"/>
              </w:rPr>
            </w:pPr>
            <w:r w:rsidRPr="00D82176">
              <w:rPr>
                <w:sz w:val="18"/>
                <w:szCs w:val="18"/>
              </w:rPr>
              <w:t xml:space="preserve">   Ajuste de Exercício Anterior</w:t>
            </w:r>
          </w:p>
        </w:tc>
        <w:tc>
          <w:tcPr>
            <w:tcW w:w="508"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632" w:type="pct"/>
            <w:tcBorders>
              <w:top w:val="nil"/>
              <w:left w:val="nil"/>
              <w:bottom w:val="nil"/>
              <w:right w:val="nil"/>
            </w:tcBorders>
            <w:shd w:val="clear" w:color="000000" w:fill="FFFFFF"/>
            <w:vAlign w:val="center"/>
            <w:hideMark/>
          </w:tcPr>
          <w:p w:rsidR="006E5C13" w:rsidRPr="00D82176" w:rsidRDefault="00214EAD" w:rsidP="006E5C13">
            <w:pPr>
              <w:jc w:val="right"/>
              <w:rPr>
                <w:sz w:val="18"/>
                <w:szCs w:val="18"/>
              </w:rPr>
            </w:pPr>
            <w:r w:rsidRPr="00D82176">
              <w:rPr>
                <w:sz w:val="18"/>
                <w:szCs w:val="18"/>
              </w:rPr>
              <w:t>-</w:t>
            </w:r>
            <w:r w:rsidR="006E5C13" w:rsidRPr="00D82176">
              <w:rPr>
                <w:sz w:val="18"/>
                <w:szCs w:val="18"/>
              </w:rPr>
              <w:t> </w:t>
            </w:r>
          </w:p>
        </w:tc>
        <w:tc>
          <w:tcPr>
            <w:tcW w:w="91"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91"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00"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413</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85"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45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413</w:t>
            </w:r>
          </w:p>
        </w:tc>
      </w:tr>
      <w:tr w:rsidR="00D33697" w:rsidRPr="00D82176" w:rsidTr="00BD2B9A">
        <w:trPr>
          <w:trHeight w:val="20"/>
        </w:trPr>
        <w:tc>
          <w:tcPr>
            <w:tcW w:w="1304" w:type="pct"/>
            <w:tcBorders>
              <w:top w:val="nil"/>
              <w:left w:val="nil"/>
              <w:bottom w:val="nil"/>
              <w:right w:val="nil"/>
            </w:tcBorders>
            <w:shd w:val="clear" w:color="000000" w:fill="FFFFFF"/>
            <w:vAlign w:val="center"/>
            <w:hideMark/>
          </w:tcPr>
          <w:p w:rsidR="006E5C13" w:rsidRPr="00D82176" w:rsidRDefault="006E5C13" w:rsidP="006E5C13">
            <w:pPr>
              <w:rPr>
                <w:sz w:val="18"/>
                <w:szCs w:val="18"/>
              </w:rPr>
            </w:pPr>
            <w:r w:rsidRPr="00D82176">
              <w:rPr>
                <w:sz w:val="18"/>
                <w:szCs w:val="18"/>
              </w:rPr>
              <w:t xml:space="preserve">   Transferência d</w:t>
            </w:r>
            <w:r w:rsidR="00D3656E" w:rsidRPr="00D82176">
              <w:rPr>
                <w:sz w:val="18"/>
                <w:szCs w:val="18"/>
              </w:rPr>
              <w:t>o Resultado</w:t>
            </w:r>
          </w:p>
        </w:tc>
        <w:tc>
          <w:tcPr>
            <w:tcW w:w="508" w:type="pct"/>
            <w:vMerge w:val="restart"/>
            <w:tcBorders>
              <w:top w:val="nil"/>
              <w:left w:val="nil"/>
              <w:bottom w:val="single" w:sz="8" w:space="0" w:color="000000"/>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84" w:type="pct"/>
            <w:vMerge w:val="restar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632" w:type="pct"/>
            <w:vMerge w:val="restart"/>
            <w:tcBorders>
              <w:top w:val="nil"/>
              <w:left w:val="nil"/>
              <w:bottom w:val="single" w:sz="8" w:space="0" w:color="000000"/>
              <w:right w:val="nil"/>
            </w:tcBorders>
            <w:shd w:val="clear" w:color="000000" w:fill="FFFFFF"/>
            <w:vAlign w:val="center"/>
            <w:hideMark/>
          </w:tcPr>
          <w:p w:rsidR="006E5C13" w:rsidRPr="00D82176" w:rsidRDefault="00214EAD" w:rsidP="006E5C13">
            <w:pPr>
              <w:jc w:val="right"/>
              <w:rPr>
                <w:sz w:val="18"/>
                <w:szCs w:val="18"/>
              </w:rPr>
            </w:pPr>
            <w:r w:rsidRPr="00D82176">
              <w:rPr>
                <w:sz w:val="18"/>
                <w:szCs w:val="18"/>
              </w:rPr>
              <w:t>-</w:t>
            </w:r>
            <w:r w:rsidR="006E5C13" w:rsidRPr="00D82176">
              <w:rPr>
                <w:sz w:val="18"/>
                <w:szCs w:val="18"/>
              </w:rPr>
              <w:t> </w:t>
            </w:r>
          </w:p>
        </w:tc>
        <w:tc>
          <w:tcPr>
            <w:tcW w:w="91" w:type="pct"/>
            <w:vMerge w:val="restar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91" w:type="pct"/>
            <w:vMerge w:val="restart"/>
            <w:tcBorders>
              <w:top w:val="nil"/>
              <w:left w:val="nil"/>
              <w:bottom w:val="single" w:sz="8" w:space="0" w:color="000000"/>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w:t>
            </w:r>
          </w:p>
        </w:tc>
        <w:tc>
          <w:tcPr>
            <w:tcW w:w="84" w:type="pct"/>
            <w:vMerge w:val="restar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00" w:type="pct"/>
            <w:vMerge w:val="restart"/>
            <w:tcBorders>
              <w:top w:val="nil"/>
              <w:left w:val="nil"/>
              <w:bottom w:val="single" w:sz="8" w:space="0" w:color="000000"/>
              <w:right w:val="nil"/>
            </w:tcBorders>
            <w:shd w:val="clear" w:color="000000" w:fill="FFFFFF"/>
            <w:vAlign w:val="center"/>
            <w:hideMark/>
          </w:tcPr>
          <w:p w:rsidR="006E5C13" w:rsidRPr="00D82176" w:rsidRDefault="00D711DF" w:rsidP="006E5C13">
            <w:pPr>
              <w:jc w:val="right"/>
              <w:rPr>
                <w:sz w:val="18"/>
                <w:szCs w:val="18"/>
              </w:rPr>
            </w:pPr>
            <w:r w:rsidRPr="00D82176">
              <w:rPr>
                <w:sz w:val="18"/>
                <w:szCs w:val="18"/>
              </w:rPr>
              <w:t>(</w:t>
            </w:r>
            <w:r w:rsidR="006E5C13" w:rsidRPr="00D82176">
              <w:rPr>
                <w:sz w:val="18"/>
                <w:szCs w:val="18"/>
              </w:rPr>
              <w:t>2.446</w:t>
            </w:r>
            <w:r w:rsidRPr="00D82176">
              <w:rPr>
                <w:sz w:val="18"/>
                <w:szCs w:val="18"/>
              </w:rPr>
              <w:t>)</w:t>
            </w:r>
          </w:p>
        </w:tc>
        <w:tc>
          <w:tcPr>
            <w:tcW w:w="84" w:type="pct"/>
            <w:vMerge w:val="restar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85" w:type="pct"/>
            <w:vMerge w:val="restart"/>
            <w:tcBorders>
              <w:top w:val="nil"/>
              <w:left w:val="nil"/>
              <w:bottom w:val="single" w:sz="8" w:space="0" w:color="000000"/>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2.446</w:t>
            </w:r>
          </w:p>
        </w:tc>
        <w:tc>
          <w:tcPr>
            <w:tcW w:w="84" w:type="pct"/>
            <w:vMerge w:val="restar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454" w:type="pct"/>
            <w:vMerge w:val="restart"/>
            <w:tcBorders>
              <w:top w:val="nil"/>
              <w:left w:val="nil"/>
              <w:bottom w:val="single" w:sz="8" w:space="0" w:color="000000"/>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w:t>
            </w:r>
          </w:p>
        </w:tc>
      </w:tr>
      <w:tr w:rsidR="00D33697" w:rsidRPr="00D82176" w:rsidTr="00BD2B9A">
        <w:trPr>
          <w:trHeight w:val="20"/>
        </w:trPr>
        <w:tc>
          <w:tcPr>
            <w:tcW w:w="1304" w:type="pct"/>
            <w:tcBorders>
              <w:top w:val="nil"/>
              <w:left w:val="nil"/>
              <w:bottom w:val="nil"/>
              <w:right w:val="nil"/>
            </w:tcBorders>
            <w:shd w:val="clear" w:color="000000" w:fill="FFFFFF"/>
            <w:vAlign w:val="center"/>
            <w:hideMark/>
          </w:tcPr>
          <w:p w:rsidR="006E5C13" w:rsidRPr="00D82176" w:rsidRDefault="0012458F" w:rsidP="00CB2C63">
            <w:pPr>
              <w:rPr>
                <w:sz w:val="18"/>
                <w:szCs w:val="18"/>
              </w:rPr>
            </w:pPr>
            <w:r>
              <w:rPr>
                <w:sz w:val="18"/>
                <w:szCs w:val="18"/>
              </w:rPr>
              <w:t xml:space="preserve">   p/</w:t>
            </w:r>
            <w:r w:rsidR="006E5C13" w:rsidRPr="00D82176">
              <w:rPr>
                <w:sz w:val="18"/>
                <w:szCs w:val="18"/>
              </w:rPr>
              <w:t xml:space="preserve"> Reserva</w:t>
            </w:r>
            <w:r w:rsidR="00D3656E" w:rsidRPr="00D82176">
              <w:rPr>
                <w:sz w:val="18"/>
                <w:szCs w:val="18"/>
              </w:rPr>
              <w:t xml:space="preserve"> de Lucros</w:t>
            </w:r>
          </w:p>
        </w:tc>
        <w:tc>
          <w:tcPr>
            <w:tcW w:w="508" w:type="pct"/>
            <w:vMerge/>
            <w:tcBorders>
              <w:top w:val="nil"/>
              <w:left w:val="nil"/>
              <w:bottom w:val="single" w:sz="8" w:space="0" w:color="000000"/>
              <w:right w:val="nil"/>
            </w:tcBorders>
            <w:vAlign w:val="center"/>
            <w:hideMark/>
          </w:tcPr>
          <w:p w:rsidR="006E5C13" w:rsidRPr="00D82176" w:rsidRDefault="006E5C13" w:rsidP="006E5C13">
            <w:pPr>
              <w:rPr>
                <w:sz w:val="18"/>
                <w:szCs w:val="18"/>
              </w:rPr>
            </w:pPr>
          </w:p>
        </w:tc>
        <w:tc>
          <w:tcPr>
            <w:tcW w:w="84" w:type="pct"/>
            <w:vMerge/>
            <w:tcBorders>
              <w:top w:val="nil"/>
              <w:left w:val="nil"/>
              <w:bottom w:val="nil"/>
              <w:right w:val="nil"/>
            </w:tcBorders>
            <w:vAlign w:val="center"/>
            <w:hideMark/>
          </w:tcPr>
          <w:p w:rsidR="006E5C13" w:rsidRPr="00D82176" w:rsidRDefault="006E5C13" w:rsidP="006E5C13">
            <w:pPr>
              <w:rPr>
                <w:sz w:val="18"/>
                <w:szCs w:val="18"/>
              </w:rPr>
            </w:pPr>
          </w:p>
        </w:tc>
        <w:tc>
          <w:tcPr>
            <w:tcW w:w="632" w:type="pct"/>
            <w:vMerge/>
            <w:tcBorders>
              <w:top w:val="nil"/>
              <w:left w:val="nil"/>
              <w:bottom w:val="single" w:sz="8" w:space="0" w:color="000000"/>
              <w:right w:val="nil"/>
            </w:tcBorders>
            <w:vAlign w:val="center"/>
            <w:hideMark/>
          </w:tcPr>
          <w:p w:rsidR="006E5C13" w:rsidRPr="00D82176" w:rsidRDefault="006E5C13" w:rsidP="006E5C13">
            <w:pPr>
              <w:rPr>
                <w:sz w:val="18"/>
                <w:szCs w:val="18"/>
              </w:rPr>
            </w:pPr>
          </w:p>
        </w:tc>
        <w:tc>
          <w:tcPr>
            <w:tcW w:w="91" w:type="pct"/>
            <w:vMerge/>
            <w:tcBorders>
              <w:top w:val="nil"/>
              <w:left w:val="nil"/>
              <w:bottom w:val="nil"/>
              <w:right w:val="nil"/>
            </w:tcBorders>
            <w:vAlign w:val="center"/>
            <w:hideMark/>
          </w:tcPr>
          <w:p w:rsidR="006E5C13" w:rsidRPr="00D82176" w:rsidRDefault="006E5C13" w:rsidP="006E5C13">
            <w:pPr>
              <w:rPr>
                <w:sz w:val="18"/>
                <w:szCs w:val="18"/>
              </w:rPr>
            </w:pPr>
          </w:p>
        </w:tc>
        <w:tc>
          <w:tcPr>
            <w:tcW w:w="591" w:type="pct"/>
            <w:vMerge/>
            <w:tcBorders>
              <w:top w:val="nil"/>
              <w:left w:val="nil"/>
              <w:bottom w:val="single" w:sz="8" w:space="0" w:color="000000"/>
              <w:right w:val="nil"/>
            </w:tcBorders>
            <w:vAlign w:val="center"/>
            <w:hideMark/>
          </w:tcPr>
          <w:p w:rsidR="006E5C13" w:rsidRPr="00D82176" w:rsidRDefault="006E5C13" w:rsidP="006E5C13">
            <w:pPr>
              <w:rPr>
                <w:sz w:val="18"/>
                <w:szCs w:val="18"/>
              </w:rPr>
            </w:pPr>
          </w:p>
        </w:tc>
        <w:tc>
          <w:tcPr>
            <w:tcW w:w="84" w:type="pct"/>
            <w:vMerge/>
            <w:tcBorders>
              <w:top w:val="nil"/>
              <w:left w:val="nil"/>
              <w:bottom w:val="nil"/>
              <w:right w:val="nil"/>
            </w:tcBorders>
            <w:vAlign w:val="center"/>
            <w:hideMark/>
          </w:tcPr>
          <w:p w:rsidR="006E5C13" w:rsidRPr="00D82176" w:rsidRDefault="006E5C13" w:rsidP="006E5C13">
            <w:pPr>
              <w:rPr>
                <w:sz w:val="18"/>
                <w:szCs w:val="18"/>
              </w:rPr>
            </w:pPr>
          </w:p>
        </w:tc>
        <w:tc>
          <w:tcPr>
            <w:tcW w:w="500" w:type="pct"/>
            <w:vMerge/>
            <w:tcBorders>
              <w:top w:val="nil"/>
              <w:left w:val="nil"/>
              <w:bottom w:val="single" w:sz="8" w:space="0" w:color="000000"/>
              <w:right w:val="nil"/>
            </w:tcBorders>
            <w:vAlign w:val="center"/>
            <w:hideMark/>
          </w:tcPr>
          <w:p w:rsidR="006E5C13" w:rsidRPr="00D82176" w:rsidRDefault="006E5C13" w:rsidP="006E5C13">
            <w:pPr>
              <w:rPr>
                <w:sz w:val="18"/>
                <w:szCs w:val="18"/>
              </w:rPr>
            </w:pPr>
          </w:p>
        </w:tc>
        <w:tc>
          <w:tcPr>
            <w:tcW w:w="84" w:type="pct"/>
            <w:vMerge/>
            <w:tcBorders>
              <w:top w:val="nil"/>
              <w:left w:val="nil"/>
              <w:bottom w:val="nil"/>
              <w:right w:val="nil"/>
            </w:tcBorders>
            <w:vAlign w:val="center"/>
            <w:hideMark/>
          </w:tcPr>
          <w:p w:rsidR="006E5C13" w:rsidRPr="00D82176" w:rsidRDefault="006E5C13" w:rsidP="006E5C13">
            <w:pPr>
              <w:rPr>
                <w:sz w:val="18"/>
                <w:szCs w:val="18"/>
              </w:rPr>
            </w:pPr>
          </w:p>
        </w:tc>
        <w:tc>
          <w:tcPr>
            <w:tcW w:w="585" w:type="pct"/>
            <w:vMerge/>
            <w:tcBorders>
              <w:top w:val="nil"/>
              <w:left w:val="nil"/>
              <w:bottom w:val="single" w:sz="8" w:space="0" w:color="000000"/>
              <w:right w:val="nil"/>
            </w:tcBorders>
            <w:vAlign w:val="center"/>
            <w:hideMark/>
          </w:tcPr>
          <w:p w:rsidR="006E5C13" w:rsidRPr="00D82176" w:rsidRDefault="006E5C13" w:rsidP="006E5C13">
            <w:pPr>
              <w:rPr>
                <w:sz w:val="18"/>
                <w:szCs w:val="18"/>
              </w:rPr>
            </w:pPr>
          </w:p>
        </w:tc>
        <w:tc>
          <w:tcPr>
            <w:tcW w:w="84" w:type="pct"/>
            <w:vMerge/>
            <w:tcBorders>
              <w:top w:val="nil"/>
              <w:left w:val="nil"/>
              <w:bottom w:val="nil"/>
              <w:right w:val="nil"/>
            </w:tcBorders>
            <w:vAlign w:val="center"/>
            <w:hideMark/>
          </w:tcPr>
          <w:p w:rsidR="006E5C13" w:rsidRPr="00D82176" w:rsidRDefault="006E5C13" w:rsidP="006E5C13">
            <w:pPr>
              <w:rPr>
                <w:sz w:val="18"/>
                <w:szCs w:val="18"/>
              </w:rPr>
            </w:pPr>
          </w:p>
        </w:tc>
        <w:tc>
          <w:tcPr>
            <w:tcW w:w="454" w:type="pct"/>
            <w:vMerge/>
            <w:tcBorders>
              <w:top w:val="nil"/>
              <w:left w:val="nil"/>
              <w:bottom w:val="single" w:sz="8" w:space="0" w:color="000000"/>
              <w:right w:val="nil"/>
            </w:tcBorders>
            <w:vAlign w:val="center"/>
            <w:hideMark/>
          </w:tcPr>
          <w:p w:rsidR="006E5C13" w:rsidRPr="00D82176" w:rsidRDefault="006E5C13" w:rsidP="006E5C13">
            <w:pPr>
              <w:rPr>
                <w:sz w:val="18"/>
                <w:szCs w:val="18"/>
              </w:rPr>
            </w:pPr>
          </w:p>
        </w:tc>
      </w:tr>
      <w:tr w:rsidR="00D33697" w:rsidRPr="00D82176" w:rsidTr="00BD2B9A">
        <w:trPr>
          <w:trHeight w:val="20"/>
        </w:trPr>
        <w:tc>
          <w:tcPr>
            <w:tcW w:w="1304" w:type="pct"/>
            <w:tcBorders>
              <w:top w:val="nil"/>
              <w:left w:val="nil"/>
              <w:bottom w:val="nil"/>
              <w:right w:val="nil"/>
            </w:tcBorders>
            <w:shd w:val="clear" w:color="000000" w:fill="FFFFFF"/>
            <w:vAlign w:val="center"/>
            <w:hideMark/>
          </w:tcPr>
          <w:p w:rsidR="006E5C13" w:rsidRPr="00D82176" w:rsidRDefault="006E5C13" w:rsidP="006E5C13">
            <w:pPr>
              <w:rPr>
                <w:b/>
                <w:bCs/>
                <w:sz w:val="18"/>
                <w:szCs w:val="18"/>
              </w:rPr>
            </w:pPr>
            <w:r w:rsidRPr="00D82176">
              <w:rPr>
                <w:b/>
                <w:bCs/>
                <w:sz w:val="18"/>
                <w:szCs w:val="18"/>
              </w:rPr>
              <w:t>Saldo em 31 de dezembro de 2016</w:t>
            </w:r>
          </w:p>
        </w:tc>
        <w:tc>
          <w:tcPr>
            <w:tcW w:w="508" w:type="pct"/>
            <w:tcBorders>
              <w:top w:val="nil"/>
              <w:left w:val="nil"/>
              <w:bottom w:val="single" w:sz="8" w:space="0" w:color="auto"/>
              <w:right w:val="nil"/>
            </w:tcBorders>
            <w:shd w:val="clear" w:color="000000" w:fill="FFFFFF"/>
            <w:vAlign w:val="center"/>
            <w:hideMark/>
          </w:tcPr>
          <w:p w:rsidR="006E5C13" w:rsidRPr="00D82176" w:rsidRDefault="006E5C13" w:rsidP="00A90DA2">
            <w:pPr>
              <w:jc w:val="right"/>
              <w:rPr>
                <w:b/>
                <w:bCs/>
                <w:sz w:val="18"/>
                <w:szCs w:val="18"/>
              </w:rPr>
            </w:pPr>
            <w:r w:rsidRPr="00D82176">
              <w:rPr>
                <w:b/>
                <w:bCs/>
                <w:sz w:val="18"/>
                <w:szCs w:val="18"/>
              </w:rPr>
              <w:t>376.40</w:t>
            </w:r>
            <w:r w:rsidR="00A90DA2">
              <w:rPr>
                <w:b/>
                <w:bCs/>
                <w:sz w:val="18"/>
                <w:szCs w:val="18"/>
              </w:rPr>
              <w:t>3</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632" w:type="pct"/>
            <w:tcBorders>
              <w:top w:val="nil"/>
              <w:left w:val="nil"/>
              <w:bottom w:val="single" w:sz="8" w:space="0" w:color="auto"/>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w:t>
            </w:r>
          </w:p>
        </w:tc>
        <w:tc>
          <w:tcPr>
            <w:tcW w:w="91"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591" w:type="pct"/>
            <w:tcBorders>
              <w:top w:val="nil"/>
              <w:left w:val="nil"/>
              <w:bottom w:val="single" w:sz="8" w:space="0" w:color="auto"/>
              <w:right w:val="nil"/>
            </w:tcBorders>
            <w:shd w:val="clear" w:color="000000" w:fill="FFFFFF"/>
            <w:vAlign w:val="center"/>
            <w:hideMark/>
          </w:tcPr>
          <w:p w:rsidR="006E5C13" w:rsidRPr="00D82176" w:rsidRDefault="00D711DF" w:rsidP="006E5C13">
            <w:pPr>
              <w:jc w:val="right"/>
              <w:rPr>
                <w:b/>
                <w:bCs/>
                <w:sz w:val="18"/>
                <w:szCs w:val="18"/>
              </w:rPr>
            </w:pPr>
            <w:r w:rsidRPr="00D82176">
              <w:rPr>
                <w:b/>
                <w:bCs/>
                <w:sz w:val="18"/>
                <w:szCs w:val="18"/>
              </w:rPr>
              <w:t>(</w:t>
            </w:r>
            <w:r w:rsidR="006E5C13" w:rsidRPr="00D82176">
              <w:rPr>
                <w:b/>
                <w:bCs/>
                <w:sz w:val="18"/>
                <w:szCs w:val="18"/>
              </w:rPr>
              <w:t>18.173</w:t>
            </w:r>
            <w:r w:rsidRPr="00D82176">
              <w:rPr>
                <w:b/>
                <w:bCs/>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500" w:type="pct"/>
            <w:tcBorders>
              <w:top w:val="nil"/>
              <w:left w:val="nil"/>
              <w:bottom w:val="single" w:sz="8" w:space="0" w:color="auto"/>
              <w:right w:val="nil"/>
            </w:tcBorders>
            <w:shd w:val="clear" w:color="000000" w:fill="FFFFFF"/>
            <w:vAlign w:val="center"/>
            <w:hideMark/>
          </w:tcPr>
          <w:p w:rsidR="006E5C13" w:rsidRPr="00D82176" w:rsidRDefault="006E5C13" w:rsidP="00A90DA2">
            <w:pPr>
              <w:jc w:val="right"/>
              <w:rPr>
                <w:b/>
                <w:bCs/>
                <w:sz w:val="18"/>
                <w:szCs w:val="18"/>
              </w:rPr>
            </w:pPr>
            <w:r w:rsidRPr="00D82176">
              <w:rPr>
                <w:b/>
                <w:bCs/>
                <w:sz w:val="18"/>
                <w:szCs w:val="18"/>
              </w:rPr>
              <w:t>21.52</w:t>
            </w:r>
            <w:r w:rsidR="00A90DA2">
              <w:rPr>
                <w:b/>
                <w:bCs/>
                <w:sz w:val="18"/>
                <w:szCs w:val="18"/>
              </w:rPr>
              <w:t>3</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585" w:type="pct"/>
            <w:tcBorders>
              <w:top w:val="nil"/>
              <w:left w:val="nil"/>
              <w:bottom w:val="single" w:sz="8" w:space="0" w:color="auto"/>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454" w:type="pct"/>
            <w:tcBorders>
              <w:top w:val="nil"/>
              <w:left w:val="nil"/>
              <w:bottom w:val="single" w:sz="8" w:space="0" w:color="auto"/>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379.753</w:t>
            </w:r>
          </w:p>
        </w:tc>
      </w:tr>
      <w:tr w:rsidR="00D33697" w:rsidRPr="00D82176" w:rsidTr="00BD2B9A">
        <w:trPr>
          <w:trHeight w:val="20"/>
        </w:trPr>
        <w:tc>
          <w:tcPr>
            <w:tcW w:w="1304" w:type="pct"/>
            <w:tcBorders>
              <w:top w:val="nil"/>
              <w:left w:val="nil"/>
              <w:bottom w:val="nil"/>
              <w:right w:val="nil"/>
            </w:tcBorders>
            <w:shd w:val="clear" w:color="000000" w:fill="FFFFFF"/>
            <w:vAlign w:val="center"/>
            <w:hideMark/>
          </w:tcPr>
          <w:p w:rsidR="00CB2C63" w:rsidRDefault="006E5C13" w:rsidP="00D711DF">
            <w:pPr>
              <w:rPr>
                <w:sz w:val="18"/>
                <w:szCs w:val="18"/>
              </w:rPr>
            </w:pPr>
            <w:r w:rsidRPr="00D82176">
              <w:rPr>
                <w:sz w:val="18"/>
                <w:szCs w:val="18"/>
              </w:rPr>
              <w:t xml:space="preserve">   Realização Avaliação</w:t>
            </w:r>
          </w:p>
          <w:p w:rsidR="006E5C13" w:rsidRPr="00D82176" w:rsidRDefault="00CB2C63" w:rsidP="00D711DF">
            <w:pPr>
              <w:rPr>
                <w:sz w:val="18"/>
                <w:szCs w:val="18"/>
              </w:rPr>
            </w:pPr>
            <w:r>
              <w:rPr>
                <w:sz w:val="18"/>
                <w:szCs w:val="18"/>
              </w:rPr>
              <w:t xml:space="preserve">   </w:t>
            </w:r>
            <w:r w:rsidR="006E5C13" w:rsidRPr="00D82176">
              <w:rPr>
                <w:sz w:val="18"/>
                <w:szCs w:val="18"/>
              </w:rPr>
              <w:t>Patrimonial</w:t>
            </w:r>
          </w:p>
        </w:tc>
        <w:tc>
          <w:tcPr>
            <w:tcW w:w="508"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632" w:type="pct"/>
            <w:tcBorders>
              <w:top w:val="nil"/>
              <w:left w:val="nil"/>
              <w:bottom w:val="nil"/>
              <w:right w:val="nil"/>
            </w:tcBorders>
            <w:shd w:val="clear" w:color="000000" w:fill="FFFFFF"/>
            <w:vAlign w:val="center"/>
            <w:hideMark/>
          </w:tcPr>
          <w:p w:rsidR="006E5C13" w:rsidRPr="00D82176" w:rsidRDefault="00214EAD" w:rsidP="006E5C13">
            <w:pPr>
              <w:jc w:val="right"/>
              <w:rPr>
                <w:sz w:val="18"/>
                <w:szCs w:val="18"/>
              </w:rPr>
            </w:pPr>
            <w:r w:rsidRPr="00D82176">
              <w:rPr>
                <w:sz w:val="18"/>
                <w:szCs w:val="18"/>
              </w:rPr>
              <w:t>-</w:t>
            </w:r>
            <w:r w:rsidR="006E5C13" w:rsidRPr="00D82176">
              <w:rPr>
                <w:sz w:val="18"/>
                <w:szCs w:val="18"/>
              </w:rPr>
              <w:t> </w:t>
            </w:r>
          </w:p>
        </w:tc>
        <w:tc>
          <w:tcPr>
            <w:tcW w:w="91"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91" w:type="pct"/>
            <w:tcBorders>
              <w:top w:val="nil"/>
              <w:left w:val="nil"/>
              <w:bottom w:val="nil"/>
              <w:right w:val="nil"/>
            </w:tcBorders>
            <w:shd w:val="clear" w:color="000000" w:fill="FFFFFF"/>
            <w:vAlign w:val="center"/>
            <w:hideMark/>
          </w:tcPr>
          <w:p w:rsidR="006E5C13" w:rsidRPr="00D82176" w:rsidRDefault="00D711DF" w:rsidP="006E5C13">
            <w:pPr>
              <w:jc w:val="right"/>
              <w:rPr>
                <w:sz w:val="18"/>
                <w:szCs w:val="18"/>
              </w:rPr>
            </w:pPr>
            <w:r w:rsidRPr="00D82176">
              <w:rPr>
                <w:sz w:val="18"/>
                <w:szCs w:val="18"/>
              </w:rPr>
              <w:t>(</w:t>
            </w:r>
            <w:r w:rsidR="006E5C13" w:rsidRPr="00D82176">
              <w:rPr>
                <w:sz w:val="18"/>
                <w:szCs w:val="18"/>
              </w:rPr>
              <w:t>1</w:t>
            </w:r>
            <w:r w:rsidR="00753678" w:rsidRPr="00D82176">
              <w:rPr>
                <w:sz w:val="18"/>
                <w:szCs w:val="18"/>
              </w:rPr>
              <w:t>.</w:t>
            </w:r>
            <w:r w:rsidR="006E5C13" w:rsidRPr="00D82176">
              <w:rPr>
                <w:sz w:val="18"/>
                <w:szCs w:val="18"/>
              </w:rPr>
              <w:t>199</w:t>
            </w:r>
            <w:r w:rsidRPr="00D82176">
              <w:rPr>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00"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85"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xml:space="preserve">            1.199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45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w:t>
            </w:r>
          </w:p>
        </w:tc>
      </w:tr>
      <w:tr w:rsidR="00D33697" w:rsidRPr="00D82176" w:rsidTr="00BD2B9A">
        <w:trPr>
          <w:trHeight w:val="20"/>
        </w:trPr>
        <w:tc>
          <w:tcPr>
            <w:tcW w:w="1304" w:type="pct"/>
            <w:tcBorders>
              <w:top w:val="nil"/>
              <w:left w:val="nil"/>
              <w:bottom w:val="nil"/>
              <w:right w:val="nil"/>
            </w:tcBorders>
            <w:shd w:val="clear" w:color="000000" w:fill="FFFFFF"/>
            <w:vAlign w:val="center"/>
            <w:hideMark/>
          </w:tcPr>
          <w:p w:rsidR="006E5C13" w:rsidRPr="00D82176" w:rsidRDefault="006E5C13" w:rsidP="006E5C13">
            <w:pPr>
              <w:rPr>
                <w:sz w:val="18"/>
                <w:szCs w:val="18"/>
              </w:rPr>
            </w:pPr>
            <w:r w:rsidRPr="00D82176">
              <w:rPr>
                <w:sz w:val="18"/>
                <w:szCs w:val="18"/>
              </w:rPr>
              <w:t xml:space="preserve">   Resultado do Exercício</w:t>
            </w:r>
          </w:p>
        </w:tc>
        <w:tc>
          <w:tcPr>
            <w:tcW w:w="508"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632" w:type="pct"/>
            <w:tcBorders>
              <w:top w:val="nil"/>
              <w:left w:val="nil"/>
              <w:bottom w:val="nil"/>
              <w:right w:val="nil"/>
            </w:tcBorders>
            <w:shd w:val="clear" w:color="000000" w:fill="FFFFFF"/>
            <w:vAlign w:val="center"/>
            <w:hideMark/>
          </w:tcPr>
          <w:p w:rsidR="006E5C13" w:rsidRPr="00D82176" w:rsidRDefault="00214EAD" w:rsidP="006E5C13">
            <w:pPr>
              <w:jc w:val="right"/>
              <w:rPr>
                <w:sz w:val="18"/>
                <w:szCs w:val="18"/>
              </w:rPr>
            </w:pPr>
            <w:r w:rsidRPr="00D82176">
              <w:rPr>
                <w:sz w:val="18"/>
                <w:szCs w:val="18"/>
              </w:rPr>
              <w:t>-</w:t>
            </w:r>
            <w:r w:rsidR="006E5C13" w:rsidRPr="00D82176">
              <w:rPr>
                <w:sz w:val="18"/>
                <w:szCs w:val="18"/>
              </w:rPr>
              <w:t> </w:t>
            </w:r>
          </w:p>
        </w:tc>
        <w:tc>
          <w:tcPr>
            <w:tcW w:w="91"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91" w:type="pct"/>
            <w:tcBorders>
              <w:top w:val="nil"/>
              <w:left w:val="nil"/>
              <w:bottom w:val="nil"/>
              <w:right w:val="nil"/>
            </w:tcBorders>
            <w:shd w:val="clear" w:color="000000" w:fill="FFFFFF"/>
            <w:vAlign w:val="center"/>
            <w:hideMark/>
          </w:tcPr>
          <w:p w:rsidR="006E5C13" w:rsidRPr="00D82176" w:rsidRDefault="006E5C13" w:rsidP="00BD2B9A">
            <w:pPr>
              <w:jc w:val="right"/>
              <w:rPr>
                <w:sz w:val="18"/>
                <w:szCs w:val="18"/>
              </w:rPr>
            </w:pPr>
            <w:r w:rsidRPr="00D82176">
              <w:rPr>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00"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85" w:type="pct"/>
            <w:tcBorders>
              <w:top w:val="nil"/>
              <w:left w:val="nil"/>
              <w:bottom w:val="nil"/>
              <w:right w:val="nil"/>
            </w:tcBorders>
            <w:shd w:val="clear" w:color="000000" w:fill="FFFFFF"/>
            <w:vAlign w:val="center"/>
            <w:hideMark/>
          </w:tcPr>
          <w:p w:rsidR="006E5C13" w:rsidRPr="00D82176" w:rsidRDefault="00D711DF" w:rsidP="0028566C">
            <w:pPr>
              <w:jc w:val="right"/>
              <w:rPr>
                <w:sz w:val="18"/>
                <w:szCs w:val="18"/>
              </w:rPr>
            </w:pPr>
            <w:r w:rsidRPr="00D82176">
              <w:rPr>
                <w:sz w:val="18"/>
                <w:szCs w:val="18"/>
              </w:rPr>
              <w:t>(</w:t>
            </w:r>
            <w:r w:rsidR="0028566C">
              <w:rPr>
                <w:sz w:val="18"/>
                <w:szCs w:val="18"/>
              </w:rPr>
              <w:t>124.141</w:t>
            </w:r>
            <w:r w:rsidRPr="00D82176">
              <w:rPr>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center"/>
              <w:rPr>
                <w:sz w:val="18"/>
                <w:szCs w:val="18"/>
              </w:rPr>
            </w:pPr>
            <w:r w:rsidRPr="00D82176">
              <w:rPr>
                <w:sz w:val="18"/>
                <w:szCs w:val="18"/>
              </w:rPr>
              <w:t> </w:t>
            </w:r>
          </w:p>
        </w:tc>
        <w:tc>
          <w:tcPr>
            <w:tcW w:w="454" w:type="pct"/>
            <w:tcBorders>
              <w:top w:val="nil"/>
              <w:left w:val="nil"/>
              <w:bottom w:val="nil"/>
              <w:right w:val="nil"/>
            </w:tcBorders>
            <w:shd w:val="clear" w:color="000000" w:fill="FFFFFF"/>
            <w:vAlign w:val="center"/>
            <w:hideMark/>
          </w:tcPr>
          <w:p w:rsidR="006E5C13" w:rsidRPr="00D82176" w:rsidRDefault="00D711DF" w:rsidP="0028566C">
            <w:pPr>
              <w:jc w:val="right"/>
              <w:rPr>
                <w:sz w:val="18"/>
                <w:szCs w:val="18"/>
              </w:rPr>
            </w:pPr>
            <w:r w:rsidRPr="00D82176">
              <w:rPr>
                <w:sz w:val="18"/>
                <w:szCs w:val="18"/>
              </w:rPr>
              <w:t>(</w:t>
            </w:r>
            <w:r w:rsidR="0028566C">
              <w:rPr>
                <w:sz w:val="18"/>
                <w:szCs w:val="18"/>
              </w:rPr>
              <w:t>124.141</w:t>
            </w:r>
            <w:r w:rsidRPr="00D82176">
              <w:rPr>
                <w:sz w:val="18"/>
                <w:szCs w:val="18"/>
              </w:rPr>
              <w:t>)</w:t>
            </w:r>
          </w:p>
        </w:tc>
      </w:tr>
      <w:tr w:rsidR="00D33697" w:rsidRPr="00D82176" w:rsidTr="00BD2B9A">
        <w:trPr>
          <w:trHeight w:val="20"/>
        </w:trPr>
        <w:tc>
          <w:tcPr>
            <w:tcW w:w="1304" w:type="pct"/>
            <w:tcBorders>
              <w:top w:val="nil"/>
              <w:left w:val="nil"/>
              <w:bottom w:val="nil"/>
              <w:right w:val="nil"/>
            </w:tcBorders>
            <w:shd w:val="clear" w:color="000000" w:fill="FFFFFF"/>
            <w:vAlign w:val="center"/>
            <w:hideMark/>
          </w:tcPr>
          <w:p w:rsidR="00964B94" w:rsidRPr="00D82176" w:rsidRDefault="006E5C13" w:rsidP="006E5C13">
            <w:pPr>
              <w:rPr>
                <w:sz w:val="18"/>
                <w:szCs w:val="18"/>
              </w:rPr>
            </w:pPr>
            <w:r w:rsidRPr="00D82176">
              <w:rPr>
                <w:sz w:val="18"/>
                <w:szCs w:val="18"/>
              </w:rPr>
              <w:t xml:space="preserve">   Adiantamento para Futuro </w:t>
            </w:r>
            <w:r w:rsidR="00D711DF" w:rsidRPr="00D82176">
              <w:rPr>
                <w:sz w:val="18"/>
                <w:szCs w:val="18"/>
              </w:rPr>
              <w:t xml:space="preserve"> </w:t>
            </w:r>
            <w:r w:rsidR="00964B94" w:rsidRPr="00D82176">
              <w:rPr>
                <w:sz w:val="18"/>
                <w:szCs w:val="18"/>
              </w:rPr>
              <w:t xml:space="preserve">   </w:t>
            </w:r>
          </w:p>
          <w:p w:rsidR="006E5C13" w:rsidRPr="00D82176" w:rsidRDefault="00964B94" w:rsidP="006E5C13">
            <w:pPr>
              <w:rPr>
                <w:sz w:val="18"/>
                <w:szCs w:val="18"/>
              </w:rPr>
            </w:pPr>
            <w:r w:rsidRPr="00D82176">
              <w:rPr>
                <w:sz w:val="18"/>
                <w:szCs w:val="18"/>
              </w:rPr>
              <w:t xml:space="preserve">   </w:t>
            </w:r>
            <w:r w:rsidR="006E5C13" w:rsidRPr="00D82176">
              <w:rPr>
                <w:sz w:val="18"/>
                <w:szCs w:val="18"/>
              </w:rPr>
              <w:t>Aumento Capital</w:t>
            </w:r>
          </w:p>
        </w:tc>
        <w:tc>
          <w:tcPr>
            <w:tcW w:w="508" w:type="pct"/>
            <w:tcBorders>
              <w:top w:val="nil"/>
              <w:left w:val="nil"/>
              <w:bottom w:val="nil"/>
              <w:right w:val="nil"/>
            </w:tcBorders>
            <w:shd w:val="clear" w:color="000000" w:fill="FFFFFF"/>
            <w:vAlign w:val="center"/>
            <w:hideMark/>
          </w:tcPr>
          <w:p w:rsidR="006E5C13" w:rsidRPr="00D82176" w:rsidRDefault="00214EAD" w:rsidP="006E5C13">
            <w:pPr>
              <w:jc w:val="right"/>
              <w:rPr>
                <w:sz w:val="18"/>
                <w:szCs w:val="18"/>
              </w:rPr>
            </w:pPr>
            <w:r w:rsidRPr="00D82176">
              <w:rPr>
                <w:sz w:val="18"/>
                <w:szCs w:val="18"/>
              </w:rPr>
              <w:t>-</w:t>
            </w:r>
            <w:r w:rsidR="006E5C13" w:rsidRPr="00D82176">
              <w:rPr>
                <w:sz w:val="18"/>
                <w:szCs w:val="18"/>
              </w:rPr>
              <w:t>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632"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165.273</w:t>
            </w:r>
          </w:p>
        </w:tc>
        <w:tc>
          <w:tcPr>
            <w:tcW w:w="91"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91" w:type="pct"/>
            <w:tcBorders>
              <w:top w:val="nil"/>
              <w:left w:val="nil"/>
              <w:bottom w:val="nil"/>
              <w:right w:val="nil"/>
            </w:tcBorders>
            <w:shd w:val="clear" w:color="000000" w:fill="FFFFFF"/>
            <w:vAlign w:val="center"/>
            <w:hideMark/>
          </w:tcPr>
          <w:p w:rsidR="006E5C13" w:rsidRPr="00D82176" w:rsidRDefault="00BD2B9A" w:rsidP="00BD2B9A">
            <w:pPr>
              <w:jc w:val="right"/>
              <w:rPr>
                <w:sz w:val="18"/>
                <w:szCs w:val="18"/>
              </w:rPr>
            </w:pPr>
            <w:r>
              <w:rPr>
                <w:sz w:val="18"/>
                <w:szCs w:val="18"/>
              </w:rPr>
              <w:t xml:space="preserve">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00"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85" w:type="pct"/>
            <w:tcBorders>
              <w:top w:val="nil"/>
              <w:left w:val="nil"/>
              <w:bottom w:val="nil"/>
              <w:right w:val="nil"/>
            </w:tcBorders>
            <w:shd w:val="clear" w:color="000000" w:fill="FFFFFF"/>
            <w:vAlign w:val="center"/>
            <w:hideMark/>
          </w:tcPr>
          <w:p w:rsidR="006E5C13" w:rsidRPr="00D82176" w:rsidRDefault="00214EAD" w:rsidP="006E5C13">
            <w:pPr>
              <w:jc w:val="right"/>
              <w:rPr>
                <w:sz w:val="18"/>
                <w:szCs w:val="18"/>
              </w:rPr>
            </w:pPr>
            <w:r w:rsidRPr="00D82176">
              <w:rPr>
                <w:sz w:val="18"/>
                <w:szCs w:val="18"/>
              </w:rPr>
              <w:t>-</w:t>
            </w:r>
            <w:r w:rsidR="006E5C13" w:rsidRPr="00D82176">
              <w:rPr>
                <w:sz w:val="18"/>
                <w:szCs w:val="18"/>
              </w:rPr>
              <w:t>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45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165</w:t>
            </w:r>
            <w:r w:rsidR="00D711DF" w:rsidRPr="00D82176">
              <w:rPr>
                <w:sz w:val="18"/>
                <w:szCs w:val="18"/>
              </w:rPr>
              <w:t>.</w:t>
            </w:r>
            <w:r w:rsidRPr="00D82176">
              <w:rPr>
                <w:sz w:val="18"/>
                <w:szCs w:val="18"/>
              </w:rPr>
              <w:t>273</w:t>
            </w:r>
          </w:p>
        </w:tc>
      </w:tr>
      <w:tr w:rsidR="00BD2B9A" w:rsidRPr="00D82176" w:rsidTr="00BD2B9A">
        <w:trPr>
          <w:trHeight w:val="20"/>
        </w:trPr>
        <w:tc>
          <w:tcPr>
            <w:tcW w:w="1304" w:type="pct"/>
            <w:tcBorders>
              <w:top w:val="nil"/>
              <w:left w:val="nil"/>
              <w:bottom w:val="nil"/>
              <w:right w:val="nil"/>
            </w:tcBorders>
            <w:shd w:val="clear" w:color="000000" w:fill="FFFFFF"/>
            <w:vAlign w:val="center"/>
          </w:tcPr>
          <w:p w:rsidR="00BD2B9A" w:rsidRDefault="00BD2B9A" w:rsidP="006E5C13">
            <w:pPr>
              <w:rPr>
                <w:sz w:val="18"/>
                <w:szCs w:val="18"/>
              </w:rPr>
            </w:pPr>
            <w:r>
              <w:rPr>
                <w:sz w:val="18"/>
                <w:szCs w:val="18"/>
              </w:rPr>
              <w:t xml:space="preserve">   Transferência </w:t>
            </w:r>
            <w:proofErr w:type="spellStart"/>
            <w:r>
              <w:rPr>
                <w:sz w:val="18"/>
                <w:szCs w:val="18"/>
              </w:rPr>
              <w:t>Reserv</w:t>
            </w:r>
            <w:proofErr w:type="spellEnd"/>
            <w:r>
              <w:rPr>
                <w:sz w:val="18"/>
                <w:szCs w:val="18"/>
              </w:rPr>
              <w:t>. Lucro</w:t>
            </w:r>
          </w:p>
          <w:p w:rsidR="00BD2B9A" w:rsidRPr="00D82176" w:rsidRDefault="00CB2C63" w:rsidP="006E5C13">
            <w:pPr>
              <w:rPr>
                <w:sz w:val="18"/>
                <w:szCs w:val="18"/>
              </w:rPr>
            </w:pPr>
            <w:r>
              <w:rPr>
                <w:sz w:val="18"/>
                <w:szCs w:val="18"/>
              </w:rPr>
              <w:t xml:space="preserve">   </w:t>
            </w:r>
            <w:r w:rsidR="0012458F">
              <w:rPr>
                <w:sz w:val="18"/>
                <w:szCs w:val="18"/>
              </w:rPr>
              <w:t>p/</w:t>
            </w:r>
            <w:r w:rsidR="00BD2B9A">
              <w:rPr>
                <w:sz w:val="18"/>
                <w:szCs w:val="18"/>
              </w:rPr>
              <w:t xml:space="preserve"> Prejuízos Acumulados </w:t>
            </w:r>
          </w:p>
        </w:tc>
        <w:tc>
          <w:tcPr>
            <w:tcW w:w="508" w:type="pct"/>
            <w:tcBorders>
              <w:top w:val="nil"/>
              <w:left w:val="nil"/>
              <w:right w:val="nil"/>
            </w:tcBorders>
            <w:shd w:val="clear" w:color="000000" w:fill="FFFFFF"/>
            <w:vAlign w:val="center"/>
          </w:tcPr>
          <w:p w:rsidR="00BD2B9A" w:rsidRPr="00D82176" w:rsidRDefault="00BD2B9A" w:rsidP="006E5C13">
            <w:pPr>
              <w:jc w:val="right"/>
              <w:rPr>
                <w:sz w:val="18"/>
                <w:szCs w:val="18"/>
              </w:rPr>
            </w:pPr>
            <w:r>
              <w:rPr>
                <w:sz w:val="18"/>
                <w:szCs w:val="18"/>
              </w:rPr>
              <w:t>-</w:t>
            </w:r>
          </w:p>
        </w:tc>
        <w:tc>
          <w:tcPr>
            <w:tcW w:w="84" w:type="pct"/>
            <w:tcBorders>
              <w:top w:val="nil"/>
              <w:left w:val="nil"/>
              <w:bottom w:val="nil"/>
              <w:right w:val="nil"/>
            </w:tcBorders>
            <w:shd w:val="clear" w:color="000000" w:fill="FFFFFF"/>
            <w:vAlign w:val="center"/>
          </w:tcPr>
          <w:p w:rsidR="00BD2B9A" w:rsidRPr="00D82176" w:rsidRDefault="00BD2B9A" w:rsidP="006E5C13">
            <w:pPr>
              <w:jc w:val="right"/>
              <w:rPr>
                <w:sz w:val="18"/>
                <w:szCs w:val="18"/>
              </w:rPr>
            </w:pPr>
          </w:p>
        </w:tc>
        <w:tc>
          <w:tcPr>
            <w:tcW w:w="632" w:type="pct"/>
            <w:tcBorders>
              <w:top w:val="nil"/>
              <w:left w:val="nil"/>
              <w:right w:val="nil"/>
            </w:tcBorders>
            <w:shd w:val="clear" w:color="000000" w:fill="FFFFFF"/>
            <w:vAlign w:val="center"/>
          </w:tcPr>
          <w:p w:rsidR="00BD2B9A" w:rsidRPr="00D82176" w:rsidRDefault="00BD2B9A" w:rsidP="006E5C13">
            <w:pPr>
              <w:jc w:val="right"/>
              <w:rPr>
                <w:sz w:val="18"/>
                <w:szCs w:val="18"/>
              </w:rPr>
            </w:pPr>
            <w:r>
              <w:rPr>
                <w:sz w:val="18"/>
                <w:szCs w:val="18"/>
              </w:rPr>
              <w:t>-</w:t>
            </w:r>
          </w:p>
        </w:tc>
        <w:tc>
          <w:tcPr>
            <w:tcW w:w="91" w:type="pct"/>
            <w:tcBorders>
              <w:top w:val="nil"/>
              <w:left w:val="nil"/>
              <w:bottom w:val="nil"/>
              <w:right w:val="nil"/>
            </w:tcBorders>
            <w:shd w:val="clear" w:color="000000" w:fill="FFFFFF"/>
            <w:vAlign w:val="center"/>
          </w:tcPr>
          <w:p w:rsidR="00BD2B9A" w:rsidRPr="00D82176" w:rsidRDefault="00BD2B9A" w:rsidP="006E5C13">
            <w:pPr>
              <w:jc w:val="right"/>
              <w:rPr>
                <w:sz w:val="18"/>
                <w:szCs w:val="18"/>
              </w:rPr>
            </w:pPr>
          </w:p>
        </w:tc>
        <w:tc>
          <w:tcPr>
            <w:tcW w:w="591" w:type="pct"/>
            <w:tcBorders>
              <w:top w:val="nil"/>
              <w:left w:val="nil"/>
              <w:right w:val="nil"/>
            </w:tcBorders>
            <w:shd w:val="clear" w:color="000000" w:fill="FFFFFF"/>
            <w:vAlign w:val="center"/>
          </w:tcPr>
          <w:p w:rsidR="00BD2B9A" w:rsidRPr="00D82176" w:rsidRDefault="00BD2B9A" w:rsidP="00BD2B9A">
            <w:pPr>
              <w:jc w:val="right"/>
              <w:rPr>
                <w:sz w:val="18"/>
                <w:szCs w:val="18"/>
              </w:rPr>
            </w:pPr>
            <w:r>
              <w:rPr>
                <w:sz w:val="18"/>
                <w:szCs w:val="18"/>
              </w:rPr>
              <w:t>-</w:t>
            </w:r>
          </w:p>
        </w:tc>
        <w:tc>
          <w:tcPr>
            <w:tcW w:w="84" w:type="pct"/>
            <w:tcBorders>
              <w:top w:val="nil"/>
              <w:left w:val="nil"/>
              <w:bottom w:val="nil"/>
              <w:right w:val="nil"/>
            </w:tcBorders>
            <w:shd w:val="clear" w:color="000000" w:fill="FFFFFF"/>
            <w:vAlign w:val="center"/>
          </w:tcPr>
          <w:p w:rsidR="00BD2B9A" w:rsidRPr="00D82176" w:rsidRDefault="00BD2B9A" w:rsidP="006E5C13">
            <w:pPr>
              <w:jc w:val="right"/>
              <w:rPr>
                <w:sz w:val="18"/>
                <w:szCs w:val="18"/>
              </w:rPr>
            </w:pPr>
          </w:p>
        </w:tc>
        <w:tc>
          <w:tcPr>
            <w:tcW w:w="500" w:type="pct"/>
            <w:tcBorders>
              <w:top w:val="nil"/>
              <w:left w:val="nil"/>
              <w:right w:val="nil"/>
            </w:tcBorders>
            <w:shd w:val="clear" w:color="000000" w:fill="FFFFFF"/>
            <w:vAlign w:val="center"/>
          </w:tcPr>
          <w:p w:rsidR="00BD2B9A" w:rsidRPr="00D82176" w:rsidRDefault="00BD2B9A" w:rsidP="006E5C13">
            <w:pPr>
              <w:jc w:val="right"/>
              <w:rPr>
                <w:sz w:val="18"/>
                <w:szCs w:val="18"/>
              </w:rPr>
            </w:pPr>
            <w:r>
              <w:rPr>
                <w:sz w:val="18"/>
                <w:szCs w:val="18"/>
              </w:rPr>
              <w:t>(21.523)</w:t>
            </w:r>
          </w:p>
        </w:tc>
        <w:tc>
          <w:tcPr>
            <w:tcW w:w="84" w:type="pct"/>
            <w:tcBorders>
              <w:top w:val="nil"/>
              <w:left w:val="nil"/>
              <w:bottom w:val="nil"/>
              <w:right w:val="nil"/>
            </w:tcBorders>
            <w:shd w:val="clear" w:color="000000" w:fill="FFFFFF"/>
            <w:vAlign w:val="center"/>
          </w:tcPr>
          <w:p w:rsidR="00BD2B9A" w:rsidRPr="00D82176" w:rsidRDefault="00BD2B9A" w:rsidP="006E5C13">
            <w:pPr>
              <w:jc w:val="right"/>
              <w:rPr>
                <w:sz w:val="18"/>
                <w:szCs w:val="18"/>
              </w:rPr>
            </w:pPr>
          </w:p>
        </w:tc>
        <w:tc>
          <w:tcPr>
            <w:tcW w:w="585" w:type="pct"/>
            <w:tcBorders>
              <w:top w:val="nil"/>
              <w:left w:val="nil"/>
              <w:right w:val="nil"/>
            </w:tcBorders>
            <w:shd w:val="clear" w:color="000000" w:fill="FFFFFF"/>
            <w:vAlign w:val="center"/>
          </w:tcPr>
          <w:p w:rsidR="00BD2B9A" w:rsidRPr="00D82176" w:rsidRDefault="00BD2B9A" w:rsidP="006E5C13">
            <w:pPr>
              <w:jc w:val="right"/>
              <w:rPr>
                <w:sz w:val="18"/>
                <w:szCs w:val="18"/>
              </w:rPr>
            </w:pPr>
            <w:r>
              <w:rPr>
                <w:sz w:val="18"/>
                <w:szCs w:val="18"/>
              </w:rPr>
              <w:t>21.523</w:t>
            </w:r>
          </w:p>
        </w:tc>
        <w:tc>
          <w:tcPr>
            <w:tcW w:w="84" w:type="pct"/>
            <w:tcBorders>
              <w:top w:val="nil"/>
              <w:left w:val="nil"/>
              <w:bottom w:val="nil"/>
              <w:right w:val="nil"/>
            </w:tcBorders>
            <w:shd w:val="clear" w:color="000000" w:fill="FFFFFF"/>
            <w:vAlign w:val="center"/>
          </w:tcPr>
          <w:p w:rsidR="00BD2B9A" w:rsidRPr="00D82176" w:rsidRDefault="00BD2B9A" w:rsidP="006E5C13">
            <w:pPr>
              <w:jc w:val="right"/>
              <w:rPr>
                <w:sz w:val="18"/>
                <w:szCs w:val="18"/>
              </w:rPr>
            </w:pPr>
          </w:p>
        </w:tc>
        <w:tc>
          <w:tcPr>
            <w:tcW w:w="454" w:type="pct"/>
            <w:tcBorders>
              <w:top w:val="nil"/>
              <w:left w:val="nil"/>
              <w:right w:val="nil"/>
            </w:tcBorders>
            <w:shd w:val="clear" w:color="000000" w:fill="FFFFFF"/>
            <w:vAlign w:val="center"/>
          </w:tcPr>
          <w:p w:rsidR="00BD2B9A" w:rsidRPr="00D82176" w:rsidRDefault="00BD2B9A" w:rsidP="006E5C13">
            <w:pPr>
              <w:jc w:val="right"/>
              <w:rPr>
                <w:sz w:val="18"/>
                <w:szCs w:val="18"/>
              </w:rPr>
            </w:pPr>
          </w:p>
        </w:tc>
      </w:tr>
      <w:tr w:rsidR="00D33697" w:rsidRPr="00D82176" w:rsidTr="00BD2B9A">
        <w:trPr>
          <w:trHeight w:val="20"/>
        </w:trPr>
        <w:tc>
          <w:tcPr>
            <w:tcW w:w="1304" w:type="pct"/>
            <w:tcBorders>
              <w:top w:val="nil"/>
              <w:left w:val="nil"/>
              <w:bottom w:val="nil"/>
              <w:right w:val="nil"/>
            </w:tcBorders>
            <w:shd w:val="clear" w:color="000000" w:fill="FFFFFF"/>
            <w:vAlign w:val="center"/>
            <w:hideMark/>
          </w:tcPr>
          <w:p w:rsidR="00CB2C63" w:rsidRDefault="006E5C13" w:rsidP="006E5C13">
            <w:pPr>
              <w:rPr>
                <w:sz w:val="18"/>
                <w:szCs w:val="18"/>
              </w:rPr>
            </w:pPr>
            <w:r w:rsidRPr="00D82176">
              <w:rPr>
                <w:sz w:val="18"/>
                <w:szCs w:val="18"/>
              </w:rPr>
              <w:t xml:space="preserve">   Ajuste de Avaliação</w:t>
            </w:r>
          </w:p>
          <w:p w:rsidR="006E5C13" w:rsidRPr="00D82176" w:rsidRDefault="00CB2C63" w:rsidP="006E5C13">
            <w:pPr>
              <w:rPr>
                <w:sz w:val="18"/>
                <w:szCs w:val="18"/>
              </w:rPr>
            </w:pPr>
            <w:r>
              <w:rPr>
                <w:sz w:val="18"/>
                <w:szCs w:val="18"/>
              </w:rPr>
              <w:t xml:space="preserve">   </w:t>
            </w:r>
            <w:r w:rsidR="006E5C13" w:rsidRPr="00D82176">
              <w:rPr>
                <w:sz w:val="18"/>
                <w:szCs w:val="18"/>
              </w:rPr>
              <w:t>Patrimonial</w:t>
            </w:r>
          </w:p>
        </w:tc>
        <w:tc>
          <w:tcPr>
            <w:tcW w:w="508" w:type="pct"/>
            <w:tcBorders>
              <w:top w:val="nil"/>
              <w:left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632" w:type="pct"/>
            <w:tcBorders>
              <w:top w:val="nil"/>
              <w:left w:val="nil"/>
              <w:right w:val="nil"/>
            </w:tcBorders>
            <w:shd w:val="clear" w:color="000000" w:fill="FFFFFF"/>
            <w:vAlign w:val="center"/>
            <w:hideMark/>
          </w:tcPr>
          <w:p w:rsidR="006E5C13" w:rsidRPr="00D82176" w:rsidRDefault="00214EAD" w:rsidP="006E5C13">
            <w:pPr>
              <w:jc w:val="right"/>
              <w:rPr>
                <w:sz w:val="18"/>
                <w:szCs w:val="18"/>
              </w:rPr>
            </w:pPr>
            <w:r w:rsidRPr="00D82176">
              <w:rPr>
                <w:sz w:val="18"/>
                <w:szCs w:val="18"/>
              </w:rPr>
              <w:t>-</w:t>
            </w:r>
            <w:r w:rsidR="006E5C13" w:rsidRPr="00D82176">
              <w:rPr>
                <w:sz w:val="18"/>
                <w:szCs w:val="18"/>
              </w:rPr>
              <w:t> </w:t>
            </w:r>
          </w:p>
        </w:tc>
        <w:tc>
          <w:tcPr>
            <w:tcW w:w="91"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91" w:type="pct"/>
            <w:tcBorders>
              <w:top w:val="nil"/>
              <w:left w:val="nil"/>
              <w:right w:val="nil"/>
            </w:tcBorders>
            <w:shd w:val="clear" w:color="000000" w:fill="FFFFFF"/>
            <w:vAlign w:val="center"/>
            <w:hideMark/>
          </w:tcPr>
          <w:p w:rsidR="00592C36" w:rsidRDefault="006E5C13" w:rsidP="00F51CC3">
            <w:pPr>
              <w:rPr>
                <w:sz w:val="18"/>
                <w:szCs w:val="18"/>
              </w:rPr>
            </w:pPr>
            <w:r w:rsidRPr="00D82176">
              <w:rPr>
                <w:sz w:val="18"/>
                <w:szCs w:val="18"/>
              </w:rPr>
              <w:t xml:space="preserve">           </w:t>
            </w:r>
            <w:r w:rsidR="0028566C">
              <w:rPr>
                <w:sz w:val="18"/>
                <w:szCs w:val="18"/>
              </w:rPr>
              <w:t xml:space="preserve">      </w:t>
            </w:r>
            <w:r w:rsidR="00592C36">
              <w:rPr>
                <w:sz w:val="18"/>
                <w:szCs w:val="18"/>
              </w:rPr>
              <w:t xml:space="preserve"> </w:t>
            </w:r>
          </w:p>
          <w:p w:rsidR="006E5C13" w:rsidRPr="00D82176" w:rsidRDefault="00592C36" w:rsidP="00F51CC3">
            <w:pPr>
              <w:rPr>
                <w:sz w:val="18"/>
                <w:szCs w:val="18"/>
              </w:rPr>
            </w:pPr>
            <w:r>
              <w:rPr>
                <w:sz w:val="18"/>
                <w:szCs w:val="18"/>
              </w:rPr>
              <w:t xml:space="preserve">         </w:t>
            </w:r>
            <w:r w:rsidR="006E5C13" w:rsidRPr="00D82176">
              <w:rPr>
                <w:sz w:val="18"/>
                <w:szCs w:val="18"/>
              </w:rPr>
              <w:t xml:space="preserve">2.772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00" w:type="pct"/>
            <w:tcBorders>
              <w:top w:val="nil"/>
              <w:left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585" w:type="pct"/>
            <w:tcBorders>
              <w:top w:val="nil"/>
              <w:left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 </w:t>
            </w:r>
          </w:p>
        </w:tc>
        <w:tc>
          <w:tcPr>
            <w:tcW w:w="454" w:type="pct"/>
            <w:tcBorders>
              <w:top w:val="nil"/>
              <w:left w:val="nil"/>
              <w:right w:val="nil"/>
            </w:tcBorders>
            <w:shd w:val="clear" w:color="000000" w:fill="FFFFFF"/>
            <w:vAlign w:val="center"/>
            <w:hideMark/>
          </w:tcPr>
          <w:p w:rsidR="006E5C13" w:rsidRPr="00D82176" w:rsidRDefault="006E5C13" w:rsidP="006E5C13">
            <w:pPr>
              <w:jc w:val="right"/>
              <w:rPr>
                <w:sz w:val="18"/>
                <w:szCs w:val="18"/>
              </w:rPr>
            </w:pPr>
            <w:r w:rsidRPr="00D82176">
              <w:rPr>
                <w:sz w:val="18"/>
                <w:szCs w:val="18"/>
              </w:rPr>
              <w:t>2</w:t>
            </w:r>
            <w:r w:rsidR="00214EAD" w:rsidRPr="00D82176">
              <w:rPr>
                <w:sz w:val="18"/>
                <w:szCs w:val="18"/>
              </w:rPr>
              <w:t>.</w:t>
            </w:r>
            <w:r w:rsidRPr="00D82176">
              <w:rPr>
                <w:sz w:val="18"/>
                <w:szCs w:val="18"/>
              </w:rPr>
              <w:t>772</w:t>
            </w:r>
          </w:p>
        </w:tc>
      </w:tr>
      <w:tr w:rsidR="00D33697" w:rsidRPr="00D82176" w:rsidTr="00BD2B9A">
        <w:trPr>
          <w:trHeight w:val="20"/>
        </w:trPr>
        <w:tc>
          <w:tcPr>
            <w:tcW w:w="1304" w:type="pct"/>
            <w:tcBorders>
              <w:top w:val="nil"/>
              <w:left w:val="nil"/>
              <w:bottom w:val="nil"/>
              <w:right w:val="nil"/>
            </w:tcBorders>
            <w:shd w:val="clear" w:color="000000" w:fill="FFFFFF"/>
            <w:vAlign w:val="center"/>
            <w:hideMark/>
          </w:tcPr>
          <w:p w:rsidR="006E5C13" w:rsidRPr="00D82176" w:rsidRDefault="006E5C13" w:rsidP="006E5C13">
            <w:pPr>
              <w:rPr>
                <w:b/>
                <w:bCs/>
                <w:sz w:val="18"/>
                <w:szCs w:val="18"/>
              </w:rPr>
            </w:pPr>
            <w:r w:rsidRPr="00D82176">
              <w:rPr>
                <w:b/>
                <w:bCs/>
                <w:sz w:val="18"/>
                <w:szCs w:val="18"/>
              </w:rPr>
              <w:t>Saldo em 31 de dezembro de 2017</w:t>
            </w:r>
          </w:p>
        </w:tc>
        <w:tc>
          <w:tcPr>
            <w:tcW w:w="508" w:type="pct"/>
            <w:tcBorders>
              <w:top w:val="single" w:sz="4" w:space="0" w:color="auto"/>
              <w:left w:val="nil"/>
              <w:bottom w:val="single" w:sz="8" w:space="0" w:color="auto"/>
              <w:right w:val="nil"/>
            </w:tcBorders>
            <w:shd w:val="clear" w:color="000000" w:fill="FFFFFF"/>
            <w:vAlign w:val="center"/>
            <w:hideMark/>
          </w:tcPr>
          <w:p w:rsidR="006E5C13" w:rsidRPr="00D82176" w:rsidRDefault="00A90DA2" w:rsidP="006E5C13">
            <w:pPr>
              <w:jc w:val="right"/>
              <w:rPr>
                <w:b/>
                <w:bCs/>
                <w:sz w:val="18"/>
                <w:szCs w:val="18"/>
              </w:rPr>
            </w:pPr>
            <w:r>
              <w:rPr>
                <w:b/>
                <w:bCs/>
                <w:sz w:val="18"/>
                <w:szCs w:val="18"/>
              </w:rPr>
              <w:t>376.403</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632" w:type="pct"/>
            <w:tcBorders>
              <w:top w:val="single" w:sz="4" w:space="0" w:color="auto"/>
              <w:left w:val="nil"/>
              <w:bottom w:val="single" w:sz="8" w:space="0" w:color="auto"/>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165.273</w:t>
            </w:r>
          </w:p>
        </w:tc>
        <w:tc>
          <w:tcPr>
            <w:tcW w:w="91"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591" w:type="pct"/>
            <w:tcBorders>
              <w:top w:val="single" w:sz="4" w:space="0" w:color="auto"/>
              <w:left w:val="nil"/>
              <w:bottom w:val="single" w:sz="8" w:space="0" w:color="auto"/>
              <w:right w:val="nil"/>
            </w:tcBorders>
            <w:shd w:val="clear" w:color="000000" w:fill="FFFFFF"/>
            <w:vAlign w:val="center"/>
            <w:hideMark/>
          </w:tcPr>
          <w:p w:rsidR="006E5C13" w:rsidRPr="00D82176" w:rsidRDefault="00D711DF" w:rsidP="006E5C13">
            <w:pPr>
              <w:jc w:val="right"/>
              <w:rPr>
                <w:b/>
                <w:bCs/>
                <w:sz w:val="18"/>
                <w:szCs w:val="18"/>
              </w:rPr>
            </w:pPr>
            <w:r w:rsidRPr="00D82176">
              <w:rPr>
                <w:b/>
                <w:bCs/>
                <w:sz w:val="18"/>
                <w:szCs w:val="18"/>
              </w:rPr>
              <w:t>(</w:t>
            </w:r>
            <w:r w:rsidR="006E5C13" w:rsidRPr="00D82176">
              <w:rPr>
                <w:b/>
                <w:bCs/>
                <w:sz w:val="18"/>
                <w:szCs w:val="18"/>
              </w:rPr>
              <w:t>16.600</w:t>
            </w:r>
            <w:r w:rsidRPr="00D82176">
              <w:rPr>
                <w:b/>
                <w:bCs/>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500" w:type="pct"/>
            <w:tcBorders>
              <w:top w:val="single" w:sz="4" w:space="0" w:color="auto"/>
              <w:left w:val="nil"/>
              <w:bottom w:val="single" w:sz="8" w:space="0" w:color="auto"/>
              <w:right w:val="nil"/>
            </w:tcBorders>
            <w:shd w:val="clear" w:color="000000" w:fill="FFFFFF"/>
            <w:vAlign w:val="center"/>
            <w:hideMark/>
          </w:tcPr>
          <w:p w:rsidR="006E5C13" w:rsidRPr="00D82176" w:rsidRDefault="00BD2B9A" w:rsidP="00A90DA2">
            <w:pPr>
              <w:jc w:val="right"/>
              <w:rPr>
                <w:b/>
                <w:bCs/>
                <w:sz w:val="18"/>
                <w:szCs w:val="18"/>
              </w:rPr>
            </w:pPr>
            <w:r>
              <w:rPr>
                <w:b/>
                <w:bCs/>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585" w:type="pct"/>
            <w:tcBorders>
              <w:top w:val="single" w:sz="4" w:space="0" w:color="auto"/>
              <w:left w:val="nil"/>
              <w:bottom w:val="single" w:sz="8" w:space="0" w:color="auto"/>
              <w:right w:val="nil"/>
            </w:tcBorders>
            <w:shd w:val="clear" w:color="000000" w:fill="FFFFFF"/>
            <w:vAlign w:val="center"/>
            <w:hideMark/>
          </w:tcPr>
          <w:p w:rsidR="006E5C13" w:rsidRPr="00D82176" w:rsidRDefault="00D711DF" w:rsidP="00BD2B9A">
            <w:pPr>
              <w:jc w:val="right"/>
              <w:rPr>
                <w:b/>
                <w:bCs/>
                <w:sz w:val="18"/>
                <w:szCs w:val="18"/>
              </w:rPr>
            </w:pPr>
            <w:r w:rsidRPr="00D82176">
              <w:rPr>
                <w:b/>
                <w:bCs/>
                <w:sz w:val="18"/>
                <w:szCs w:val="18"/>
              </w:rPr>
              <w:t>(</w:t>
            </w:r>
            <w:r w:rsidR="00BD2B9A">
              <w:rPr>
                <w:b/>
                <w:bCs/>
                <w:sz w:val="18"/>
                <w:szCs w:val="18"/>
              </w:rPr>
              <w:t>101.419</w:t>
            </w:r>
            <w:r w:rsidRPr="00D82176">
              <w:rPr>
                <w:b/>
                <w:bCs/>
                <w:sz w:val="18"/>
                <w:szCs w:val="18"/>
              </w:rPr>
              <w:t>)</w:t>
            </w:r>
          </w:p>
        </w:tc>
        <w:tc>
          <w:tcPr>
            <w:tcW w:w="84" w:type="pct"/>
            <w:tcBorders>
              <w:top w:val="nil"/>
              <w:left w:val="nil"/>
              <w:bottom w:val="nil"/>
              <w:right w:val="nil"/>
            </w:tcBorders>
            <w:shd w:val="clear" w:color="000000" w:fill="FFFFFF"/>
            <w:vAlign w:val="center"/>
            <w:hideMark/>
          </w:tcPr>
          <w:p w:rsidR="006E5C13" w:rsidRPr="00D82176" w:rsidRDefault="006E5C13" w:rsidP="006E5C13">
            <w:pPr>
              <w:jc w:val="right"/>
              <w:rPr>
                <w:b/>
                <w:bCs/>
                <w:sz w:val="18"/>
                <w:szCs w:val="18"/>
              </w:rPr>
            </w:pPr>
            <w:r w:rsidRPr="00D82176">
              <w:rPr>
                <w:b/>
                <w:bCs/>
                <w:sz w:val="18"/>
                <w:szCs w:val="18"/>
              </w:rPr>
              <w:t> </w:t>
            </w:r>
          </w:p>
        </w:tc>
        <w:tc>
          <w:tcPr>
            <w:tcW w:w="454" w:type="pct"/>
            <w:tcBorders>
              <w:top w:val="single" w:sz="4" w:space="0" w:color="auto"/>
              <w:left w:val="nil"/>
              <w:bottom w:val="single" w:sz="8" w:space="0" w:color="auto"/>
              <w:right w:val="nil"/>
            </w:tcBorders>
            <w:shd w:val="clear" w:color="000000" w:fill="FFFFFF"/>
            <w:vAlign w:val="center"/>
            <w:hideMark/>
          </w:tcPr>
          <w:p w:rsidR="006E5C13" w:rsidRPr="00D82176" w:rsidRDefault="00592C36" w:rsidP="006E5C13">
            <w:pPr>
              <w:jc w:val="right"/>
              <w:rPr>
                <w:b/>
                <w:bCs/>
                <w:sz w:val="18"/>
                <w:szCs w:val="18"/>
              </w:rPr>
            </w:pPr>
            <w:r>
              <w:rPr>
                <w:b/>
                <w:bCs/>
                <w:sz w:val="18"/>
                <w:szCs w:val="18"/>
              </w:rPr>
              <w:t>423.657</w:t>
            </w:r>
          </w:p>
        </w:tc>
      </w:tr>
    </w:tbl>
    <w:p w:rsidR="00D303F4" w:rsidRPr="00D403A7" w:rsidRDefault="00D303F4">
      <w:pPr>
        <w:rPr>
          <w:sz w:val="16"/>
          <w:szCs w:val="16"/>
        </w:rPr>
      </w:pPr>
    </w:p>
    <w:p w:rsidR="00D303F4" w:rsidRPr="00FD7B48" w:rsidRDefault="00D303F4">
      <w:r w:rsidRPr="00FD7B48">
        <w:br w:type="page"/>
      </w:r>
    </w:p>
    <w:p w:rsidR="00D303F4" w:rsidRPr="00FD7B48" w:rsidRDefault="00D303F4">
      <w:pPr>
        <w:sectPr w:rsidR="00D303F4" w:rsidRPr="00FD7B48" w:rsidSect="00280DE6">
          <w:headerReference w:type="default" r:id="rId13"/>
          <w:headerReference w:type="first" r:id="rId14"/>
          <w:pgSz w:w="11907" w:h="16839" w:code="9"/>
          <w:pgMar w:top="1418" w:right="1134" w:bottom="1134" w:left="1701" w:header="720" w:footer="720" w:gutter="0"/>
          <w:cols w:space="720"/>
          <w:titlePg/>
          <w:docGrid w:linePitch="272"/>
        </w:sectPr>
      </w:pPr>
    </w:p>
    <w:tbl>
      <w:tblPr>
        <w:tblW w:w="5109" w:type="pct"/>
        <w:tblCellMar>
          <w:left w:w="70" w:type="dxa"/>
          <w:right w:w="70" w:type="dxa"/>
        </w:tblCellMar>
        <w:tblLook w:val="04A0" w:firstRow="1" w:lastRow="0" w:firstColumn="1" w:lastColumn="0" w:noHBand="0" w:noVBand="1"/>
      </w:tblPr>
      <w:tblGrid>
        <w:gridCol w:w="5616"/>
        <w:gridCol w:w="1969"/>
        <w:gridCol w:w="282"/>
        <w:gridCol w:w="1546"/>
      </w:tblGrid>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b/>
                <w:bCs/>
                <w:color w:val="000000"/>
                <w:sz w:val="18"/>
                <w:szCs w:val="18"/>
              </w:rPr>
            </w:pPr>
            <w:r w:rsidRPr="00053235">
              <w:rPr>
                <w:b/>
                <w:bCs/>
                <w:color w:val="000000"/>
                <w:sz w:val="18"/>
                <w:szCs w:val="18"/>
              </w:rPr>
              <w:lastRenderedPageBreak/>
              <w:t>Fluxo de Caixa das Atividades Operacionais</w:t>
            </w:r>
          </w:p>
        </w:tc>
        <w:tc>
          <w:tcPr>
            <w:tcW w:w="1046" w:type="pct"/>
            <w:tcBorders>
              <w:top w:val="nil"/>
              <w:left w:val="nil"/>
              <w:bottom w:val="nil"/>
              <w:right w:val="nil"/>
            </w:tcBorders>
            <w:shd w:val="clear" w:color="000000" w:fill="FFFFFF"/>
            <w:noWrap/>
            <w:vAlign w:val="bottom"/>
            <w:hideMark/>
          </w:tcPr>
          <w:p w:rsidR="00053235" w:rsidRPr="00053235" w:rsidRDefault="00053235" w:rsidP="00053235">
            <w:pPr>
              <w:rPr>
                <w:color w:val="000000"/>
                <w:sz w:val="18"/>
                <w:szCs w:val="18"/>
              </w:rPr>
            </w:pPr>
            <w:r w:rsidRPr="00053235">
              <w:rPr>
                <w:color w:val="000000"/>
                <w:sz w:val="18"/>
                <w:szCs w:val="18"/>
              </w:rPr>
              <w:t> </w:t>
            </w:r>
          </w:p>
        </w:tc>
        <w:tc>
          <w:tcPr>
            <w:tcW w:w="150" w:type="pct"/>
            <w:tcBorders>
              <w:top w:val="nil"/>
              <w:left w:val="nil"/>
              <w:bottom w:val="nil"/>
              <w:right w:val="nil"/>
            </w:tcBorders>
            <w:shd w:val="clear" w:color="000000" w:fill="FFFFFF"/>
            <w:noWrap/>
            <w:vAlign w:val="bottom"/>
            <w:hideMark/>
          </w:tcPr>
          <w:p w:rsidR="00053235" w:rsidRPr="00053235" w:rsidRDefault="00053235" w:rsidP="00053235">
            <w:pPr>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noWrap/>
            <w:vAlign w:val="bottom"/>
            <w:hideMark/>
          </w:tcPr>
          <w:p w:rsidR="00053235" w:rsidRPr="00053235" w:rsidRDefault="00053235" w:rsidP="00053235">
            <w:pPr>
              <w:rPr>
                <w:color w:val="000000"/>
                <w:sz w:val="18"/>
                <w:szCs w:val="18"/>
              </w:rPr>
            </w:pPr>
            <w:r w:rsidRPr="00053235">
              <w:rPr>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1046"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31/12/2017</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31/12/2016</w:t>
            </w:r>
          </w:p>
        </w:tc>
      </w:tr>
      <w:tr w:rsidR="00053235" w:rsidRPr="00053235" w:rsidTr="00053235">
        <w:trPr>
          <w:trHeight w:val="20"/>
        </w:trPr>
        <w:tc>
          <w:tcPr>
            <w:tcW w:w="2983" w:type="pct"/>
            <w:tcBorders>
              <w:top w:val="nil"/>
              <w:left w:val="nil"/>
              <w:bottom w:val="nil"/>
              <w:right w:val="nil"/>
            </w:tcBorders>
            <w:shd w:val="clear" w:color="000000" w:fill="FFFFFF"/>
            <w:noWrap/>
            <w:vAlign w:val="bottom"/>
            <w:hideMark/>
          </w:tcPr>
          <w:p w:rsidR="00053235" w:rsidRPr="00053235" w:rsidRDefault="00053235" w:rsidP="00053235">
            <w:pPr>
              <w:rPr>
                <w:color w:val="000000"/>
                <w:sz w:val="18"/>
                <w:szCs w:val="18"/>
              </w:rPr>
            </w:pPr>
            <w:r w:rsidRPr="00053235">
              <w:rPr>
                <w:color w:val="000000"/>
                <w:sz w:val="18"/>
                <w:szCs w:val="18"/>
              </w:rPr>
              <w:t> </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b/>
                <w:bCs/>
                <w:color w:val="000000"/>
                <w:sz w:val="18"/>
                <w:szCs w:val="18"/>
              </w:rPr>
            </w:pPr>
            <w:r w:rsidRPr="00053235">
              <w:rPr>
                <w:b/>
                <w:bCs/>
                <w:color w:val="000000"/>
                <w:sz w:val="18"/>
                <w:szCs w:val="18"/>
              </w:rPr>
              <w:t>Lucro Líquido do Exercício</w:t>
            </w:r>
          </w:p>
        </w:tc>
        <w:tc>
          <w:tcPr>
            <w:tcW w:w="1046"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(124.141)</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(3.765)</w:t>
            </w:r>
          </w:p>
        </w:tc>
      </w:tr>
      <w:tr w:rsidR="00053235" w:rsidRPr="00053235" w:rsidTr="00053235">
        <w:trPr>
          <w:trHeight w:val="20"/>
        </w:trPr>
        <w:tc>
          <w:tcPr>
            <w:tcW w:w="2983" w:type="pct"/>
            <w:tcBorders>
              <w:top w:val="nil"/>
              <w:left w:val="nil"/>
              <w:bottom w:val="nil"/>
              <w:right w:val="nil"/>
            </w:tcBorders>
            <w:shd w:val="clear" w:color="000000" w:fill="FFFFFF"/>
            <w:noWrap/>
            <w:vAlign w:val="bottom"/>
            <w:hideMark/>
          </w:tcPr>
          <w:p w:rsidR="00053235" w:rsidRPr="00053235" w:rsidRDefault="00053235" w:rsidP="00053235">
            <w:pPr>
              <w:rPr>
                <w:color w:val="000000"/>
                <w:sz w:val="18"/>
                <w:szCs w:val="18"/>
              </w:rPr>
            </w:pPr>
            <w:r w:rsidRPr="00053235">
              <w:rPr>
                <w:color w:val="000000"/>
                <w:sz w:val="18"/>
                <w:szCs w:val="18"/>
              </w:rPr>
              <w:t> </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Ajustes de Depreciação/Amortizações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21.839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21.924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proofErr w:type="spellStart"/>
            <w:r w:rsidRPr="00053235">
              <w:rPr>
                <w:i/>
                <w:iCs/>
                <w:color w:val="000000"/>
                <w:sz w:val="18"/>
                <w:szCs w:val="18"/>
              </w:rPr>
              <w:t>Impairment</w:t>
            </w:r>
            <w:proofErr w:type="spellEnd"/>
            <w:r w:rsidRPr="00053235">
              <w:rPr>
                <w:i/>
                <w:iCs/>
                <w:color w:val="000000"/>
                <w:sz w:val="18"/>
                <w:szCs w:val="18"/>
              </w:rPr>
              <w:t xml:space="preserve"> </w:t>
            </w:r>
            <w:r w:rsidRPr="00053235">
              <w:rPr>
                <w:color w:val="000000"/>
                <w:sz w:val="18"/>
                <w:szCs w:val="18"/>
              </w:rPr>
              <w:t>dos Ativos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178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Juros e Correção Monetária sobre Depósito Recursal</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(55)</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Pr>
                <w:color w:val="000000"/>
                <w:sz w:val="18"/>
                <w:szCs w:val="18"/>
              </w:rPr>
              <w:t xml:space="preserve"> -</w:t>
            </w:r>
            <w:r w:rsidRPr="00053235">
              <w:rPr>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xml:space="preserve">Atualização Monetária AFAC/Reversão Subvenção </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146.754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tcPr>
          <w:p w:rsidR="00053235" w:rsidRPr="00053235" w:rsidRDefault="00053235" w:rsidP="009A59F5">
            <w:pPr>
              <w:jc w:val="right"/>
              <w:rPr>
                <w:color w:val="000000"/>
                <w:sz w:val="18"/>
                <w:szCs w:val="18"/>
              </w:rPr>
            </w:pPr>
            <w:r>
              <w:rPr>
                <w:color w:val="000000"/>
                <w:sz w:val="18"/>
                <w:szCs w:val="18"/>
              </w:rPr>
              <w:t xml:space="preserve"> -</w:t>
            </w:r>
            <w:r w:rsidRPr="00053235">
              <w:rPr>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Variação Cambial Passiva (Importação)</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72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365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Variação Cambial Ativa (Importação)</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(87)</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(145)</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Baixa de Bens Imobilizados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807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2.241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Produção Bens Imobilizado</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(236)</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Produção de Bens em Estoque</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(1.669)</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(1.862)</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Reversão/ Provisão p/Devedores Duvidosos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(2.040)</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3.433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Aumento de Recursos a Receber para Provisão de Contingências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(33.252)</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(22.074)</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Aumento Provisão para Contingências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33.252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22.074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 xml:space="preserve">Doações de Bens Móveis </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(1.978)</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(3.394)</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Doação de Mercadorias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(4.511)</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(3.057)</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w:t>
            </w:r>
          </w:p>
        </w:tc>
        <w:tc>
          <w:tcPr>
            <w:tcW w:w="1046"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158.897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19.683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b/>
                <w:bCs/>
                <w:color w:val="000000"/>
                <w:sz w:val="18"/>
                <w:szCs w:val="18"/>
              </w:rPr>
            </w:pPr>
            <w:r w:rsidRPr="00053235">
              <w:rPr>
                <w:b/>
                <w:bCs/>
                <w:color w:val="000000"/>
                <w:sz w:val="18"/>
                <w:szCs w:val="18"/>
              </w:rPr>
              <w:t>Variação de Ativos e Passivos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Créditos Fornecimento Serviços (CP e LP)</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7.360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2.268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Recursos  a Receber de Provisão de Férias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w:t>
            </w:r>
            <w:r w:rsidR="00436AA2">
              <w:rPr>
                <w:color w:val="000000"/>
                <w:sz w:val="18"/>
                <w:szCs w:val="18"/>
              </w:rPr>
              <w:t>(</w:t>
            </w:r>
            <w:r w:rsidRPr="00053235">
              <w:rPr>
                <w:color w:val="000000"/>
                <w:sz w:val="18"/>
                <w:szCs w:val="18"/>
              </w:rPr>
              <w:t>9.430</w:t>
            </w:r>
            <w:r w:rsidR="00436AA2">
              <w:rPr>
                <w:color w:val="000000"/>
                <w:sz w:val="18"/>
                <w:szCs w:val="18"/>
              </w:rPr>
              <w:t>)</w:t>
            </w:r>
            <w:r w:rsidRPr="00053235">
              <w:rPr>
                <w:color w:val="000000"/>
                <w:sz w:val="18"/>
                <w:szCs w:val="18"/>
              </w:rPr>
              <w:t xml:space="preserve">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(3.798)</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Recursos a Receber de Licença Especial</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(5.015)</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(5.619)</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xml:space="preserve">Recursos a Receber de </w:t>
            </w:r>
            <w:proofErr w:type="spellStart"/>
            <w:r w:rsidRPr="00053235">
              <w:rPr>
                <w:color w:val="000000"/>
                <w:sz w:val="18"/>
                <w:szCs w:val="18"/>
              </w:rPr>
              <w:t>Previdencia</w:t>
            </w:r>
            <w:proofErr w:type="spellEnd"/>
            <w:r w:rsidRPr="00053235">
              <w:rPr>
                <w:color w:val="000000"/>
                <w:sz w:val="18"/>
                <w:szCs w:val="18"/>
              </w:rPr>
              <w:t xml:space="preserve"> Privada (CP e LP)</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5.961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6.236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Adiantamentos a Pessoal</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(2.930)</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(561)</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Outras Contas a Receber a Curto Prazo</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(1.390)</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418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Depósitos Judiciais/Devedores p/Convênios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(165)</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(499)</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Importações em Andamento (Estoque)</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977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(109)</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Estoques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7.689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7.489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Despesas Pagas Antecipadamente</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6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(121)</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Fornecedores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(2.486)</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(2.528)</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Outras Obrigações a Pagar</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(11.374)</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13.486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Obrigações com Pessoal</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Obrigações Sociais a Pagar</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(264)</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396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Obrigações Tributárias a Pagar</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673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(632)</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Provisão p/Férias</w:t>
            </w:r>
          </w:p>
        </w:tc>
        <w:tc>
          <w:tcPr>
            <w:tcW w:w="1046" w:type="pct"/>
            <w:tcBorders>
              <w:top w:val="nil"/>
              <w:left w:val="nil"/>
              <w:bottom w:val="nil"/>
              <w:right w:val="nil"/>
            </w:tcBorders>
            <w:shd w:val="clear" w:color="000000" w:fill="FFFFFF"/>
            <w:vAlign w:val="center"/>
            <w:hideMark/>
          </w:tcPr>
          <w:p w:rsidR="00053235" w:rsidRPr="00053235" w:rsidRDefault="00053235" w:rsidP="00436AA2">
            <w:pPr>
              <w:jc w:val="right"/>
              <w:rPr>
                <w:color w:val="000000"/>
                <w:sz w:val="18"/>
                <w:szCs w:val="18"/>
              </w:rPr>
            </w:pPr>
            <w:r w:rsidRPr="00053235">
              <w:rPr>
                <w:color w:val="000000"/>
                <w:sz w:val="18"/>
                <w:szCs w:val="18"/>
              </w:rPr>
              <w:t xml:space="preserve">                 9.430</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3.798 </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Provisão p/Previdência Privada (CP e LP)</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(5.961)</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(6.236)</w:t>
            </w:r>
          </w:p>
        </w:tc>
      </w:tr>
      <w:tr w:rsidR="00053235" w:rsidRPr="00053235" w:rsidTr="00053235">
        <w:trPr>
          <w:trHeight w:val="20"/>
        </w:trPr>
        <w:tc>
          <w:tcPr>
            <w:tcW w:w="2983"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Provisão p/Licença Especial</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5.015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5.619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b/>
                <w:bCs/>
                <w:color w:val="000000"/>
                <w:sz w:val="18"/>
                <w:szCs w:val="18"/>
              </w:rPr>
            </w:pPr>
            <w:r w:rsidRPr="00053235">
              <w:rPr>
                <w:b/>
                <w:bCs/>
                <w:color w:val="000000"/>
                <w:sz w:val="18"/>
                <w:szCs w:val="18"/>
              </w:rPr>
              <w:t> </w:t>
            </w:r>
          </w:p>
        </w:tc>
        <w:tc>
          <w:tcPr>
            <w:tcW w:w="1046" w:type="pct"/>
            <w:tcBorders>
              <w:top w:val="nil"/>
              <w:left w:val="nil"/>
              <w:bottom w:val="nil"/>
              <w:right w:val="nil"/>
            </w:tcBorders>
            <w:shd w:val="clear" w:color="000000" w:fill="FFFFFF"/>
            <w:noWrap/>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(1.903)</w:t>
            </w:r>
          </w:p>
        </w:tc>
        <w:tc>
          <w:tcPr>
            <w:tcW w:w="150" w:type="pct"/>
            <w:tcBorders>
              <w:top w:val="nil"/>
              <w:left w:val="nil"/>
              <w:bottom w:val="nil"/>
              <w:right w:val="nil"/>
            </w:tcBorders>
            <w:shd w:val="clear" w:color="000000" w:fill="FFFFFF"/>
            <w:vAlign w:val="center"/>
            <w:hideMark/>
          </w:tcPr>
          <w:p w:rsidR="00053235" w:rsidRPr="00053235" w:rsidRDefault="00053235" w:rsidP="00053235">
            <w:pPr>
              <w:rPr>
                <w:b/>
                <w:bCs/>
                <w:color w:val="000000"/>
                <w:sz w:val="18"/>
                <w:szCs w:val="18"/>
              </w:rPr>
            </w:pPr>
            <w:r w:rsidRPr="00053235">
              <w:rPr>
                <w:b/>
                <w:bCs/>
                <w:color w:val="000000"/>
                <w:sz w:val="18"/>
                <w:szCs w:val="18"/>
              </w:rPr>
              <w:t> </w:t>
            </w:r>
          </w:p>
        </w:tc>
        <w:tc>
          <w:tcPr>
            <w:tcW w:w="821" w:type="pct"/>
            <w:tcBorders>
              <w:top w:val="nil"/>
              <w:left w:val="nil"/>
              <w:bottom w:val="nil"/>
              <w:right w:val="nil"/>
            </w:tcBorders>
            <w:shd w:val="clear" w:color="000000" w:fill="FFFFFF"/>
            <w:noWrap/>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19.607 </w:t>
            </w:r>
          </w:p>
        </w:tc>
      </w:tr>
      <w:tr w:rsidR="00053235" w:rsidRPr="00053235" w:rsidTr="00053235">
        <w:trPr>
          <w:trHeight w:val="20"/>
        </w:trPr>
        <w:tc>
          <w:tcPr>
            <w:tcW w:w="2983" w:type="pct"/>
            <w:tcBorders>
              <w:top w:val="nil"/>
              <w:left w:val="nil"/>
              <w:bottom w:val="nil"/>
              <w:right w:val="nil"/>
            </w:tcBorders>
            <w:shd w:val="clear" w:color="000000" w:fill="FFFFFF"/>
            <w:noWrap/>
            <w:vAlign w:val="bottom"/>
            <w:hideMark/>
          </w:tcPr>
          <w:p w:rsidR="00053235" w:rsidRPr="00053235" w:rsidRDefault="00053235" w:rsidP="00053235">
            <w:pPr>
              <w:rPr>
                <w:color w:val="000000"/>
                <w:sz w:val="18"/>
                <w:szCs w:val="18"/>
              </w:rPr>
            </w:pPr>
            <w:r w:rsidRPr="00053235">
              <w:rPr>
                <w:color w:val="000000"/>
                <w:sz w:val="18"/>
                <w:szCs w:val="18"/>
              </w:rPr>
              <w:t> </w:t>
            </w:r>
          </w:p>
        </w:tc>
        <w:tc>
          <w:tcPr>
            <w:tcW w:w="1046" w:type="pct"/>
            <w:tcBorders>
              <w:top w:val="nil"/>
              <w:left w:val="nil"/>
              <w:bottom w:val="nil"/>
              <w:right w:val="nil"/>
            </w:tcBorders>
            <w:shd w:val="clear" w:color="000000" w:fill="FFFFFF"/>
            <w:noWrap/>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150" w:type="pct"/>
            <w:vMerge w:val="restar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noWrap/>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b/>
                <w:bCs/>
                <w:color w:val="000000"/>
                <w:sz w:val="18"/>
                <w:szCs w:val="18"/>
              </w:rPr>
            </w:pPr>
            <w:r w:rsidRPr="00053235">
              <w:rPr>
                <w:b/>
                <w:bCs/>
                <w:color w:val="000000"/>
                <w:sz w:val="18"/>
                <w:szCs w:val="18"/>
              </w:rPr>
              <w:t>Caixa Líquido gerado pelas atividades operacionais</w:t>
            </w:r>
          </w:p>
        </w:tc>
        <w:tc>
          <w:tcPr>
            <w:tcW w:w="1046" w:type="pct"/>
            <w:tcBorders>
              <w:top w:val="nil"/>
              <w:left w:val="nil"/>
              <w:bottom w:val="single" w:sz="8" w:space="0" w:color="auto"/>
              <w:right w:val="nil"/>
            </w:tcBorders>
            <w:shd w:val="clear" w:color="000000" w:fill="FFFFFF"/>
            <w:noWrap/>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32.852 </w:t>
            </w:r>
          </w:p>
        </w:tc>
        <w:tc>
          <w:tcPr>
            <w:tcW w:w="150" w:type="pct"/>
            <w:vMerge/>
            <w:tcBorders>
              <w:top w:val="nil"/>
              <w:left w:val="nil"/>
              <w:bottom w:val="nil"/>
              <w:right w:val="nil"/>
            </w:tcBorders>
            <w:vAlign w:val="center"/>
            <w:hideMark/>
          </w:tcPr>
          <w:p w:rsidR="00053235" w:rsidRPr="00053235" w:rsidRDefault="00053235" w:rsidP="00053235">
            <w:pPr>
              <w:rPr>
                <w:b/>
                <w:bCs/>
                <w:color w:val="FF0000"/>
                <w:sz w:val="18"/>
                <w:szCs w:val="18"/>
              </w:rPr>
            </w:pPr>
          </w:p>
        </w:tc>
        <w:tc>
          <w:tcPr>
            <w:tcW w:w="821" w:type="pct"/>
            <w:tcBorders>
              <w:top w:val="nil"/>
              <w:left w:val="nil"/>
              <w:bottom w:val="single" w:sz="8" w:space="0" w:color="auto"/>
              <w:right w:val="nil"/>
            </w:tcBorders>
            <w:shd w:val="clear" w:color="000000" w:fill="FFFFFF"/>
            <w:noWrap/>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35.525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b/>
                <w:bCs/>
                <w:color w:val="000000"/>
                <w:sz w:val="18"/>
                <w:szCs w:val="18"/>
              </w:rPr>
            </w:pPr>
            <w:r w:rsidRPr="00053235">
              <w:rPr>
                <w:b/>
                <w:bCs/>
                <w:color w:val="000000"/>
                <w:sz w:val="18"/>
                <w:szCs w:val="18"/>
              </w:rPr>
              <w:t> </w:t>
            </w:r>
          </w:p>
        </w:tc>
        <w:tc>
          <w:tcPr>
            <w:tcW w:w="1046" w:type="pct"/>
            <w:tcBorders>
              <w:top w:val="nil"/>
              <w:left w:val="nil"/>
              <w:bottom w:val="nil"/>
              <w:right w:val="nil"/>
            </w:tcBorders>
            <w:shd w:val="clear" w:color="000000" w:fill="FFFFFF"/>
            <w:noWrap/>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noWrap/>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b/>
                <w:bCs/>
                <w:color w:val="000000"/>
                <w:sz w:val="18"/>
                <w:szCs w:val="18"/>
              </w:rPr>
            </w:pPr>
            <w:r w:rsidRPr="00053235">
              <w:rPr>
                <w:b/>
                <w:bCs/>
                <w:color w:val="000000"/>
                <w:sz w:val="18"/>
                <w:szCs w:val="18"/>
              </w:rPr>
              <w:t>Fluxo de Caixa das Atividades de Investimento</w:t>
            </w:r>
          </w:p>
        </w:tc>
        <w:tc>
          <w:tcPr>
            <w:tcW w:w="1046"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noWrap/>
            <w:vAlign w:val="center"/>
          </w:tcPr>
          <w:p w:rsidR="00053235" w:rsidRPr="00053235" w:rsidRDefault="00053235" w:rsidP="00053235">
            <w:pPr>
              <w:rPr>
                <w:color w:val="000000"/>
                <w:sz w:val="18"/>
                <w:szCs w:val="18"/>
              </w:rPr>
            </w:pPr>
          </w:p>
        </w:tc>
        <w:tc>
          <w:tcPr>
            <w:tcW w:w="1046" w:type="pct"/>
            <w:tcBorders>
              <w:top w:val="nil"/>
              <w:left w:val="nil"/>
              <w:bottom w:val="nil"/>
              <w:right w:val="nil"/>
            </w:tcBorders>
            <w:shd w:val="clear" w:color="000000" w:fill="FFFFFF"/>
            <w:vAlign w:val="center"/>
          </w:tcPr>
          <w:p w:rsidR="00053235" w:rsidRPr="00053235" w:rsidRDefault="00053235" w:rsidP="00053235">
            <w:pPr>
              <w:jc w:val="right"/>
              <w:rPr>
                <w:color w:val="000000"/>
                <w:sz w:val="18"/>
                <w:szCs w:val="18"/>
              </w:rPr>
            </w:pPr>
          </w:p>
        </w:tc>
        <w:tc>
          <w:tcPr>
            <w:tcW w:w="150" w:type="pct"/>
            <w:tcBorders>
              <w:top w:val="nil"/>
              <w:left w:val="nil"/>
              <w:bottom w:val="nil"/>
              <w:right w:val="nil"/>
            </w:tcBorders>
            <w:shd w:val="clear" w:color="000000" w:fill="FFFFFF"/>
            <w:vAlign w:val="center"/>
          </w:tcPr>
          <w:p w:rsidR="00053235" w:rsidRPr="00053235" w:rsidRDefault="00053235" w:rsidP="00053235">
            <w:pPr>
              <w:jc w:val="right"/>
              <w:rPr>
                <w:b/>
                <w:bCs/>
                <w:color w:val="000000"/>
                <w:sz w:val="18"/>
                <w:szCs w:val="18"/>
              </w:rPr>
            </w:pPr>
          </w:p>
        </w:tc>
        <w:tc>
          <w:tcPr>
            <w:tcW w:w="821" w:type="pct"/>
            <w:tcBorders>
              <w:top w:val="nil"/>
              <w:left w:val="nil"/>
              <w:bottom w:val="nil"/>
              <w:right w:val="nil"/>
            </w:tcBorders>
            <w:shd w:val="clear" w:color="000000" w:fill="FFFFFF"/>
            <w:vAlign w:val="center"/>
          </w:tcPr>
          <w:p w:rsidR="00053235" w:rsidRPr="00053235" w:rsidRDefault="00053235" w:rsidP="00053235">
            <w:pPr>
              <w:jc w:val="right"/>
              <w:rPr>
                <w:color w:val="000000"/>
                <w:sz w:val="18"/>
                <w:szCs w:val="18"/>
              </w:rPr>
            </w:pP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Aquisições de Bens Imóveis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(169.930)</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(134.248)</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Aquisições de Bens Móveis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(4.245)</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(5.922)</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Aquisições de Importação em Andamento</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(274)</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Aquisições de Bens Intangíveis</w:t>
            </w:r>
          </w:p>
        </w:tc>
        <w:tc>
          <w:tcPr>
            <w:tcW w:w="1046"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(100)</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(2)</w:t>
            </w:r>
          </w:p>
        </w:tc>
      </w:tr>
      <w:tr w:rsidR="00053235" w:rsidRPr="00053235" w:rsidTr="00053235">
        <w:trPr>
          <w:trHeight w:val="20"/>
        </w:trPr>
        <w:tc>
          <w:tcPr>
            <w:tcW w:w="2983" w:type="pct"/>
            <w:vMerge w:val="restart"/>
            <w:tcBorders>
              <w:top w:val="nil"/>
              <w:left w:val="nil"/>
              <w:bottom w:val="nil"/>
              <w:right w:val="nil"/>
            </w:tcBorders>
            <w:shd w:val="clear" w:color="000000" w:fill="FFFFFF"/>
            <w:noWrap/>
            <w:vAlign w:val="center"/>
            <w:hideMark/>
          </w:tcPr>
          <w:p w:rsidR="00053235" w:rsidRPr="00053235" w:rsidRDefault="00053235" w:rsidP="00053235">
            <w:pPr>
              <w:rPr>
                <w:b/>
                <w:bCs/>
                <w:color w:val="000000"/>
                <w:sz w:val="18"/>
                <w:szCs w:val="18"/>
              </w:rPr>
            </w:pPr>
            <w:r w:rsidRPr="00053235">
              <w:rPr>
                <w:b/>
                <w:bCs/>
                <w:color w:val="000000"/>
                <w:sz w:val="18"/>
                <w:szCs w:val="18"/>
              </w:rPr>
              <w:t>Caixa Líquido gerado pelas atividades de investimento</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150" w:type="pct"/>
            <w:vMerge w:val="restar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r>
      <w:tr w:rsidR="00053235" w:rsidRPr="00053235" w:rsidTr="00053235">
        <w:trPr>
          <w:trHeight w:val="20"/>
        </w:trPr>
        <w:tc>
          <w:tcPr>
            <w:tcW w:w="2983" w:type="pct"/>
            <w:vMerge/>
            <w:tcBorders>
              <w:top w:val="nil"/>
              <w:left w:val="nil"/>
              <w:bottom w:val="nil"/>
              <w:right w:val="nil"/>
            </w:tcBorders>
            <w:vAlign w:val="center"/>
            <w:hideMark/>
          </w:tcPr>
          <w:p w:rsidR="00053235" w:rsidRPr="00053235" w:rsidRDefault="00053235" w:rsidP="00053235">
            <w:pPr>
              <w:rPr>
                <w:b/>
                <w:bCs/>
                <w:color w:val="000000"/>
                <w:sz w:val="18"/>
                <w:szCs w:val="18"/>
              </w:rPr>
            </w:pPr>
          </w:p>
        </w:tc>
        <w:tc>
          <w:tcPr>
            <w:tcW w:w="1046"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(174.276)</w:t>
            </w:r>
          </w:p>
        </w:tc>
        <w:tc>
          <w:tcPr>
            <w:tcW w:w="150" w:type="pct"/>
            <w:vMerge/>
            <w:tcBorders>
              <w:top w:val="nil"/>
              <w:left w:val="nil"/>
              <w:bottom w:val="nil"/>
              <w:right w:val="nil"/>
            </w:tcBorders>
            <w:vAlign w:val="center"/>
            <w:hideMark/>
          </w:tcPr>
          <w:p w:rsidR="00053235" w:rsidRPr="00053235" w:rsidRDefault="00053235" w:rsidP="00053235">
            <w:pPr>
              <w:rPr>
                <w:b/>
                <w:bCs/>
                <w:color w:val="FF0000"/>
                <w:sz w:val="18"/>
                <w:szCs w:val="18"/>
              </w:rPr>
            </w:pPr>
          </w:p>
        </w:tc>
        <w:tc>
          <w:tcPr>
            <w:tcW w:w="821"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(140.446)</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b/>
                <w:bCs/>
                <w:color w:val="000000"/>
                <w:sz w:val="18"/>
                <w:szCs w:val="18"/>
              </w:rPr>
            </w:pPr>
            <w:r w:rsidRPr="00053235">
              <w:rPr>
                <w:b/>
                <w:bCs/>
                <w:color w:val="000000"/>
                <w:sz w:val="18"/>
                <w:szCs w:val="18"/>
              </w:rPr>
              <w:t>Fluxo de Caixa das Atividades de Financiamento</w:t>
            </w:r>
          </w:p>
        </w:tc>
        <w:tc>
          <w:tcPr>
            <w:tcW w:w="1046"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noWrap/>
            <w:vAlign w:val="center"/>
          </w:tcPr>
          <w:p w:rsidR="00053235" w:rsidRPr="00053235" w:rsidRDefault="00053235" w:rsidP="00053235">
            <w:pPr>
              <w:rPr>
                <w:color w:val="000000"/>
                <w:sz w:val="18"/>
                <w:szCs w:val="18"/>
              </w:rPr>
            </w:pPr>
          </w:p>
        </w:tc>
        <w:tc>
          <w:tcPr>
            <w:tcW w:w="1046" w:type="pct"/>
            <w:tcBorders>
              <w:top w:val="nil"/>
              <w:left w:val="nil"/>
              <w:bottom w:val="nil"/>
              <w:right w:val="nil"/>
            </w:tcBorders>
            <w:shd w:val="clear" w:color="000000" w:fill="FFFFFF"/>
            <w:vAlign w:val="center"/>
          </w:tcPr>
          <w:p w:rsidR="00053235" w:rsidRPr="00053235" w:rsidRDefault="00053235" w:rsidP="00053235">
            <w:pPr>
              <w:rPr>
                <w:color w:val="000000"/>
                <w:sz w:val="18"/>
                <w:szCs w:val="18"/>
              </w:rPr>
            </w:pPr>
          </w:p>
        </w:tc>
        <w:tc>
          <w:tcPr>
            <w:tcW w:w="150" w:type="pct"/>
            <w:tcBorders>
              <w:top w:val="nil"/>
              <w:left w:val="nil"/>
              <w:bottom w:val="nil"/>
              <w:right w:val="nil"/>
            </w:tcBorders>
            <w:shd w:val="clear" w:color="000000" w:fill="FFFFFF"/>
            <w:vAlign w:val="center"/>
          </w:tcPr>
          <w:p w:rsidR="00053235" w:rsidRPr="00053235" w:rsidRDefault="00053235" w:rsidP="00053235">
            <w:pPr>
              <w:jc w:val="right"/>
              <w:rPr>
                <w:b/>
                <w:bCs/>
                <w:color w:val="000000"/>
                <w:sz w:val="18"/>
                <w:szCs w:val="18"/>
              </w:rPr>
            </w:pPr>
          </w:p>
        </w:tc>
        <w:tc>
          <w:tcPr>
            <w:tcW w:w="821" w:type="pct"/>
            <w:tcBorders>
              <w:top w:val="nil"/>
              <w:left w:val="nil"/>
              <w:bottom w:val="nil"/>
              <w:right w:val="nil"/>
            </w:tcBorders>
            <w:shd w:val="clear" w:color="000000" w:fill="FFFFFF"/>
            <w:vAlign w:val="center"/>
          </w:tcPr>
          <w:p w:rsidR="00053235" w:rsidRPr="00053235" w:rsidRDefault="00053235" w:rsidP="00053235">
            <w:pPr>
              <w:jc w:val="right"/>
              <w:rPr>
                <w:color w:val="000000"/>
                <w:sz w:val="18"/>
                <w:szCs w:val="18"/>
              </w:rPr>
            </w:pP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Subvenções Governamentais/Receitas Diferidas Repassadas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124.169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Adiantamento para Futuro Aumento de Capital</w:t>
            </w:r>
          </w:p>
        </w:tc>
        <w:tc>
          <w:tcPr>
            <w:tcW w:w="1046"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165.273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   </w:t>
            </w:r>
          </w:p>
        </w:tc>
      </w:tr>
      <w:tr w:rsidR="00053235" w:rsidRPr="00053235" w:rsidTr="00053235">
        <w:trPr>
          <w:trHeight w:val="20"/>
        </w:trPr>
        <w:tc>
          <w:tcPr>
            <w:tcW w:w="2983" w:type="pct"/>
            <w:tcBorders>
              <w:top w:val="nil"/>
              <w:left w:val="nil"/>
              <w:bottom w:val="nil"/>
              <w:right w:val="nil"/>
            </w:tcBorders>
            <w:shd w:val="clear" w:color="000000" w:fill="FFFFFF"/>
            <w:noWrap/>
            <w:vAlign w:val="bottom"/>
            <w:hideMark/>
          </w:tcPr>
          <w:p w:rsidR="00053235" w:rsidRPr="00053235" w:rsidRDefault="00053235" w:rsidP="00053235">
            <w:pPr>
              <w:rPr>
                <w:color w:val="000000"/>
                <w:sz w:val="18"/>
                <w:szCs w:val="18"/>
              </w:rPr>
            </w:pPr>
            <w:r w:rsidRPr="00053235">
              <w:rPr>
                <w:color w:val="000000"/>
                <w:sz w:val="18"/>
                <w:szCs w:val="18"/>
              </w:rPr>
              <w:t> </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150" w:type="pct"/>
            <w:vMerge w:val="restart"/>
            <w:tcBorders>
              <w:top w:val="nil"/>
              <w:left w:val="nil"/>
              <w:bottom w:val="nil"/>
              <w:right w:val="nil"/>
            </w:tcBorders>
            <w:shd w:val="clear" w:color="000000" w:fill="FFFFFF"/>
            <w:vAlign w:val="center"/>
            <w:hideMark/>
          </w:tcPr>
          <w:p w:rsidR="00053235" w:rsidRPr="00053235" w:rsidRDefault="00053235" w:rsidP="00053235">
            <w:pPr>
              <w:jc w:val="right"/>
              <w:rPr>
                <w:b/>
                <w:bCs/>
                <w:color w:val="FF0000"/>
                <w:sz w:val="18"/>
                <w:szCs w:val="18"/>
              </w:rPr>
            </w:pPr>
            <w:r w:rsidRPr="00053235">
              <w:rPr>
                <w:b/>
                <w:bCs/>
                <w:color w:val="FF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b/>
                <w:bCs/>
                <w:color w:val="000000"/>
                <w:sz w:val="18"/>
                <w:szCs w:val="18"/>
              </w:rPr>
            </w:pPr>
            <w:r w:rsidRPr="00053235">
              <w:rPr>
                <w:b/>
                <w:bCs/>
                <w:color w:val="000000"/>
                <w:sz w:val="18"/>
                <w:szCs w:val="18"/>
              </w:rPr>
              <w:t>Caixa Líquido gerado pelas atividades de financiamento</w:t>
            </w:r>
          </w:p>
        </w:tc>
        <w:tc>
          <w:tcPr>
            <w:tcW w:w="1046"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165.273 </w:t>
            </w:r>
          </w:p>
        </w:tc>
        <w:tc>
          <w:tcPr>
            <w:tcW w:w="150" w:type="pct"/>
            <w:vMerge/>
            <w:tcBorders>
              <w:top w:val="nil"/>
              <w:left w:val="nil"/>
              <w:bottom w:val="nil"/>
              <w:right w:val="nil"/>
            </w:tcBorders>
            <w:vAlign w:val="center"/>
            <w:hideMark/>
          </w:tcPr>
          <w:p w:rsidR="00053235" w:rsidRPr="00053235" w:rsidRDefault="00053235" w:rsidP="00053235">
            <w:pPr>
              <w:rPr>
                <w:b/>
                <w:bCs/>
                <w:color w:val="FF0000"/>
                <w:sz w:val="18"/>
                <w:szCs w:val="18"/>
              </w:rPr>
            </w:pPr>
          </w:p>
        </w:tc>
        <w:tc>
          <w:tcPr>
            <w:tcW w:w="821"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124.169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 </w:t>
            </w:r>
          </w:p>
        </w:tc>
        <w:tc>
          <w:tcPr>
            <w:tcW w:w="1046"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b/>
                <w:bCs/>
                <w:color w:val="000000"/>
                <w:sz w:val="18"/>
                <w:szCs w:val="18"/>
              </w:rPr>
            </w:pPr>
            <w:r w:rsidRPr="00053235">
              <w:rPr>
                <w:b/>
                <w:bCs/>
                <w:color w:val="000000"/>
                <w:sz w:val="18"/>
                <w:szCs w:val="18"/>
              </w:rPr>
              <w:t>Caixa Adicionado no Período</w:t>
            </w:r>
          </w:p>
        </w:tc>
        <w:tc>
          <w:tcPr>
            <w:tcW w:w="1046" w:type="pct"/>
            <w:tcBorders>
              <w:top w:val="nil"/>
              <w:left w:val="nil"/>
              <w:bottom w:val="double" w:sz="6"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23.849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double" w:sz="6"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19.248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 </w:t>
            </w:r>
          </w:p>
        </w:tc>
        <w:tc>
          <w:tcPr>
            <w:tcW w:w="1046"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lastRenderedPageBreak/>
              <w:t xml:space="preserve">     Caixa e Equivalente de Caixa no Inicio do Exercício</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35.005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15.757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 xml:space="preserve">     Caixa e Equivalente de Caixa no Final do Exercício</w:t>
            </w:r>
          </w:p>
        </w:tc>
        <w:tc>
          <w:tcPr>
            <w:tcW w:w="1046"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58.855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single" w:sz="8" w:space="0" w:color="auto"/>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35.005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 </w:t>
            </w:r>
          </w:p>
        </w:tc>
        <w:tc>
          <w:tcPr>
            <w:tcW w:w="1046"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b/>
                <w:bCs/>
                <w:color w:val="000000"/>
                <w:sz w:val="18"/>
                <w:szCs w:val="18"/>
              </w:rPr>
            </w:pPr>
            <w:r w:rsidRPr="00053235">
              <w:rPr>
                <w:b/>
                <w:bCs/>
                <w:color w:val="000000"/>
                <w:sz w:val="18"/>
                <w:szCs w:val="18"/>
              </w:rPr>
              <w:t>Redução/Aumento de Caixa e Equivalente de Caixa</w:t>
            </w:r>
          </w:p>
        </w:tc>
        <w:tc>
          <w:tcPr>
            <w:tcW w:w="1046" w:type="pct"/>
            <w:tcBorders>
              <w:top w:val="nil"/>
              <w:left w:val="nil"/>
              <w:bottom w:val="double" w:sz="6"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23.849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double" w:sz="6"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19.248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 </w:t>
            </w:r>
          </w:p>
        </w:tc>
        <w:tc>
          <w:tcPr>
            <w:tcW w:w="1046"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 xml:space="preserve">     Doações de Bens Móveis (Imobilizado)</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1.978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3.394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 xml:space="preserve">     Doações de Mercadorias (Estoques)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4.511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3.057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 xml:space="preserve">     Ajustes de Exercícios Anteriores</w:t>
            </w:r>
          </w:p>
        </w:tc>
        <w:tc>
          <w:tcPr>
            <w:tcW w:w="1046"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jc w:val="right"/>
              <w:rPr>
                <w:color w:val="000000"/>
                <w:sz w:val="18"/>
                <w:szCs w:val="18"/>
              </w:rPr>
            </w:pPr>
            <w:r w:rsidRPr="00053235">
              <w:rPr>
                <w:color w:val="000000"/>
                <w:sz w:val="18"/>
                <w:szCs w:val="18"/>
              </w:rPr>
              <w:t xml:space="preserve">                   413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color w:val="000000"/>
                <w:sz w:val="18"/>
                <w:szCs w:val="18"/>
              </w:rPr>
            </w:pPr>
            <w:r w:rsidRPr="00053235">
              <w:rPr>
                <w:color w:val="000000"/>
                <w:sz w:val="18"/>
                <w:szCs w:val="18"/>
              </w:rPr>
              <w:t> </w:t>
            </w:r>
          </w:p>
        </w:tc>
        <w:tc>
          <w:tcPr>
            <w:tcW w:w="1046"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nil"/>
              <w:right w:val="nil"/>
            </w:tcBorders>
            <w:shd w:val="clear" w:color="000000" w:fill="FFFFFF"/>
            <w:vAlign w:val="center"/>
            <w:hideMark/>
          </w:tcPr>
          <w:p w:rsidR="00053235" w:rsidRPr="00053235" w:rsidRDefault="00053235" w:rsidP="00053235">
            <w:pPr>
              <w:rPr>
                <w:color w:val="000000"/>
                <w:sz w:val="18"/>
                <w:szCs w:val="18"/>
              </w:rPr>
            </w:pPr>
            <w:r w:rsidRPr="00053235">
              <w:rPr>
                <w:color w:val="000000"/>
                <w:sz w:val="18"/>
                <w:szCs w:val="18"/>
              </w:rPr>
              <w:t> </w:t>
            </w:r>
          </w:p>
        </w:tc>
      </w:tr>
      <w:tr w:rsidR="00053235" w:rsidRPr="00053235" w:rsidTr="00053235">
        <w:trPr>
          <w:trHeight w:val="20"/>
        </w:trPr>
        <w:tc>
          <w:tcPr>
            <w:tcW w:w="2983" w:type="pct"/>
            <w:tcBorders>
              <w:top w:val="nil"/>
              <w:left w:val="nil"/>
              <w:bottom w:val="nil"/>
              <w:right w:val="nil"/>
            </w:tcBorders>
            <w:shd w:val="clear" w:color="000000" w:fill="FFFFFF"/>
            <w:noWrap/>
            <w:vAlign w:val="center"/>
            <w:hideMark/>
          </w:tcPr>
          <w:p w:rsidR="00053235" w:rsidRPr="00053235" w:rsidRDefault="00053235" w:rsidP="00053235">
            <w:pPr>
              <w:rPr>
                <w:b/>
                <w:bCs/>
                <w:color w:val="000000"/>
                <w:sz w:val="18"/>
                <w:szCs w:val="18"/>
              </w:rPr>
            </w:pPr>
            <w:r w:rsidRPr="00053235">
              <w:rPr>
                <w:b/>
                <w:bCs/>
                <w:color w:val="000000"/>
                <w:sz w:val="18"/>
                <w:szCs w:val="18"/>
              </w:rPr>
              <w:t>Transações que não envolveram o Caixa</w:t>
            </w:r>
          </w:p>
        </w:tc>
        <w:tc>
          <w:tcPr>
            <w:tcW w:w="1046" w:type="pct"/>
            <w:tcBorders>
              <w:top w:val="nil"/>
              <w:left w:val="nil"/>
              <w:bottom w:val="double" w:sz="6"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6.489 </w:t>
            </w:r>
          </w:p>
        </w:tc>
        <w:tc>
          <w:tcPr>
            <w:tcW w:w="150" w:type="pct"/>
            <w:tcBorders>
              <w:top w:val="nil"/>
              <w:left w:val="nil"/>
              <w:bottom w:val="nil"/>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w:t>
            </w:r>
          </w:p>
        </w:tc>
        <w:tc>
          <w:tcPr>
            <w:tcW w:w="821" w:type="pct"/>
            <w:tcBorders>
              <w:top w:val="nil"/>
              <w:left w:val="nil"/>
              <w:bottom w:val="double" w:sz="6" w:space="0" w:color="auto"/>
              <w:right w:val="nil"/>
            </w:tcBorders>
            <w:shd w:val="clear" w:color="000000" w:fill="FFFFFF"/>
            <w:vAlign w:val="center"/>
            <w:hideMark/>
          </w:tcPr>
          <w:p w:rsidR="00053235" w:rsidRPr="00053235" w:rsidRDefault="00053235" w:rsidP="00053235">
            <w:pPr>
              <w:jc w:val="right"/>
              <w:rPr>
                <w:b/>
                <w:bCs/>
                <w:color w:val="000000"/>
                <w:sz w:val="18"/>
                <w:szCs w:val="18"/>
              </w:rPr>
            </w:pPr>
            <w:r w:rsidRPr="00053235">
              <w:rPr>
                <w:b/>
                <w:bCs/>
                <w:color w:val="000000"/>
                <w:sz w:val="18"/>
                <w:szCs w:val="18"/>
              </w:rPr>
              <w:t xml:space="preserve">               6.864 </w:t>
            </w:r>
          </w:p>
        </w:tc>
      </w:tr>
    </w:tbl>
    <w:p w:rsidR="000F46F6" w:rsidRPr="00FD7B48" w:rsidRDefault="000F46F6">
      <w:pPr>
        <w:sectPr w:rsidR="000F46F6" w:rsidRPr="00FD7B48" w:rsidSect="00280DE6">
          <w:headerReference w:type="default" r:id="rId15"/>
          <w:headerReference w:type="first" r:id="rId16"/>
          <w:type w:val="continuous"/>
          <w:pgSz w:w="11907" w:h="16839" w:code="9"/>
          <w:pgMar w:top="1418" w:right="1134" w:bottom="1134" w:left="1701" w:header="720" w:footer="720" w:gutter="0"/>
          <w:cols w:space="720"/>
          <w:titlePg/>
          <w:docGrid w:linePitch="272"/>
        </w:sectPr>
      </w:pPr>
    </w:p>
    <w:p w:rsidR="00B63A81" w:rsidRPr="00FD7B48" w:rsidRDefault="00B63A81"/>
    <w:tbl>
      <w:tblPr>
        <w:tblW w:w="5000" w:type="pct"/>
        <w:tblCellMar>
          <w:left w:w="70" w:type="dxa"/>
          <w:right w:w="70" w:type="dxa"/>
        </w:tblCellMar>
        <w:tblLook w:val="04A0" w:firstRow="1" w:lastRow="0" w:firstColumn="1" w:lastColumn="0" w:noHBand="0" w:noVBand="1"/>
      </w:tblPr>
      <w:tblGrid>
        <w:gridCol w:w="6128"/>
        <w:gridCol w:w="1415"/>
        <w:gridCol w:w="256"/>
        <w:gridCol w:w="1413"/>
      </w:tblGrid>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D403A7" w:rsidP="00D403A7">
            <w:pPr>
              <w:rPr>
                <w:b/>
                <w:bCs/>
                <w:color w:val="000000"/>
                <w:sz w:val="18"/>
                <w:szCs w:val="18"/>
              </w:rPr>
            </w:pPr>
            <w:r w:rsidRPr="00D82176">
              <w:rPr>
                <w:b/>
                <w:bCs/>
                <w:color w:val="000000"/>
                <w:sz w:val="18"/>
                <w:szCs w:val="18"/>
              </w:rPr>
              <w:t>Demonstração do Valor Adicionado</w:t>
            </w:r>
            <w:r w:rsidR="00F22CD3" w:rsidRPr="00D82176">
              <w:rPr>
                <w:b/>
                <w:bCs/>
                <w:color w:val="000000"/>
                <w:sz w:val="18"/>
                <w:szCs w:val="18"/>
              </w:rPr>
              <w:t> </w:t>
            </w:r>
          </w:p>
        </w:tc>
        <w:tc>
          <w:tcPr>
            <w:tcW w:w="768" w:type="pct"/>
            <w:tcBorders>
              <w:top w:val="nil"/>
              <w:left w:val="nil"/>
              <w:bottom w:val="single" w:sz="8" w:space="0" w:color="auto"/>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31/12/2017</w:t>
            </w:r>
          </w:p>
        </w:tc>
        <w:tc>
          <w:tcPr>
            <w:tcW w:w="139"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c>
          <w:tcPr>
            <w:tcW w:w="767" w:type="pct"/>
            <w:tcBorders>
              <w:top w:val="nil"/>
              <w:left w:val="nil"/>
              <w:bottom w:val="single" w:sz="8" w:space="0" w:color="auto"/>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31/12/2016</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 </w:t>
            </w:r>
          </w:p>
        </w:tc>
        <w:tc>
          <w:tcPr>
            <w:tcW w:w="139"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 </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Receitas</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Prestação de Serviços</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222.864</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224.751</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Outras Receitas </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36.968</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18.267</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w:t>
            </w:r>
            <w:proofErr w:type="spellStart"/>
            <w:r w:rsidRPr="00D82176">
              <w:rPr>
                <w:color w:val="000000"/>
                <w:sz w:val="18"/>
                <w:szCs w:val="18"/>
              </w:rPr>
              <w:t>Prov.Créd.Liq.Duv</w:t>
            </w:r>
            <w:proofErr w:type="spellEnd"/>
            <w:r w:rsidRPr="00D82176">
              <w:rPr>
                <w:color w:val="000000"/>
                <w:sz w:val="18"/>
                <w:szCs w:val="18"/>
              </w:rPr>
              <w:t>.-Reversão/Constituição</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464</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180D86" w:rsidP="00F22CD3">
            <w:pPr>
              <w:jc w:val="right"/>
              <w:rPr>
                <w:color w:val="000000"/>
                <w:sz w:val="18"/>
                <w:szCs w:val="18"/>
              </w:rPr>
            </w:pPr>
            <w:r w:rsidRPr="00D82176">
              <w:rPr>
                <w:color w:val="000000"/>
                <w:sz w:val="18"/>
                <w:szCs w:val="18"/>
              </w:rPr>
              <w:t>(</w:t>
            </w:r>
            <w:r w:rsidR="00F22CD3" w:rsidRPr="00D82176">
              <w:rPr>
                <w:color w:val="000000"/>
                <w:sz w:val="18"/>
                <w:szCs w:val="18"/>
              </w:rPr>
              <w:t>3.570</w:t>
            </w:r>
            <w:r w:rsidRPr="00D82176">
              <w:rPr>
                <w:color w:val="000000"/>
                <w:sz w:val="18"/>
                <w:szCs w:val="18"/>
              </w:rPr>
              <w:t>)</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w:t>
            </w:r>
            <w:r w:rsidR="00E04805" w:rsidRPr="00D82176">
              <w:rPr>
                <w:color w:val="000000"/>
                <w:sz w:val="18"/>
                <w:szCs w:val="18"/>
              </w:rPr>
              <w:t xml:space="preserve"> </w:t>
            </w:r>
            <w:r w:rsidRPr="00D82176">
              <w:rPr>
                <w:color w:val="000000"/>
                <w:sz w:val="18"/>
                <w:szCs w:val="18"/>
              </w:rPr>
              <w:t>Reversão Custo Diferido</w:t>
            </w:r>
          </w:p>
        </w:tc>
        <w:tc>
          <w:tcPr>
            <w:tcW w:w="768" w:type="pct"/>
            <w:tcBorders>
              <w:top w:val="nil"/>
              <w:left w:val="nil"/>
              <w:bottom w:val="nil"/>
              <w:right w:val="nil"/>
            </w:tcBorders>
            <w:shd w:val="clear" w:color="000000" w:fill="FFFFFF"/>
            <w:vAlign w:val="center"/>
            <w:hideMark/>
          </w:tcPr>
          <w:p w:rsidR="00F22CD3" w:rsidRPr="00D82176" w:rsidRDefault="00180D86" w:rsidP="00F22CD3">
            <w:pPr>
              <w:jc w:val="right"/>
              <w:rPr>
                <w:color w:val="000000"/>
                <w:sz w:val="18"/>
                <w:szCs w:val="18"/>
              </w:rPr>
            </w:pPr>
            <w:r w:rsidRPr="00D82176">
              <w:rPr>
                <w:color w:val="000000"/>
                <w:sz w:val="18"/>
                <w:szCs w:val="18"/>
              </w:rPr>
              <w:t>(</w:t>
            </w:r>
            <w:r w:rsidR="00F22CD3" w:rsidRPr="00D82176">
              <w:rPr>
                <w:color w:val="000000"/>
                <w:sz w:val="18"/>
                <w:szCs w:val="18"/>
              </w:rPr>
              <w:t>34.279</w:t>
            </w:r>
            <w:r w:rsidRPr="00D82176">
              <w:rPr>
                <w:color w:val="000000"/>
                <w:sz w:val="18"/>
                <w:szCs w:val="18"/>
              </w:rPr>
              <w:t>)</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jc w:val="center"/>
              <w:rPr>
                <w:color w:val="000000"/>
                <w:sz w:val="18"/>
                <w:szCs w:val="18"/>
              </w:rPr>
            </w:pPr>
            <w:r w:rsidRPr="00D82176">
              <w:rPr>
                <w:color w:val="000000"/>
                <w:sz w:val="18"/>
                <w:szCs w:val="18"/>
              </w:rPr>
              <w:t> </w:t>
            </w:r>
          </w:p>
        </w:tc>
        <w:tc>
          <w:tcPr>
            <w:tcW w:w="768" w:type="pct"/>
            <w:tcBorders>
              <w:top w:val="nil"/>
              <w:left w:val="nil"/>
              <w:bottom w:val="single" w:sz="8" w:space="0" w:color="auto"/>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226.017</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 </w:t>
            </w:r>
          </w:p>
        </w:tc>
        <w:tc>
          <w:tcPr>
            <w:tcW w:w="767" w:type="pct"/>
            <w:tcBorders>
              <w:top w:val="nil"/>
              <w:left w:val="nil"/>
              <w:bottom w:val="single" w:sz="8" w:space="0" w:color="auto"/>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239.448</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Insumos Adquiridos de Terceiros (c/ICMS e IPI)</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Custos dos Serviços Prestados</w:t>
            </w:r>
          </w:p>
        </w:tc>
        <w:tc>
          <w:tcPr>
            <w:tcW w:w="768" w:type="pct"/>
            <w:tcBorders>
              <w:top w:val="nil"/>
              <w:left w:val="nil"/>
              <w:bottom w:val="nil"/>
              <w:right w:val="nil"/>
            </w:tcBorders>
            <w:shd w:val="clear" w:color="000000" w:fill="FFFFFF"/>
            <w:vAlign w:val="center"/>
            <w:hideMark/>
          </w:tcPr>
          <w:p w:rsidR="00F22CD3" w:rsidRPr="00D82176" w:rsidRDefault="00CE26AA" w:rsidP="00F22CD3">
            <w:pPr>
              <w:jc w:val="right"/>
              <w:rPr>
                <w:color w:val="000000"/>
                <w:sz w:val="18"/>
                <w:szCs w:val="18"/>
              </w:rPr>
            </w:pPr>
            <w:r>
              <w:rPr>
                <w:color w:val="000000"/>
                <w:sz w:val="18"/>
                <w:szCs w:val="18"/>
              </w:rPr>
              <w:t>(</w:t>
            </w:r>
            <w:r w:rsidR="00F22CD3" w:rsidRPr="00D82176">
              <w:rPr>
                <w:color w:val="000000"/>
                <w:sz w:val="18"/>
                <w:szCs w:val="18"/>
              </w:rPr>
              <w:t>135.252</w:t>
            </w:r>
            <w:r>
              <w:rPr>
                <w:color w:val="000000"/>
                <w:sz w:val="18"/>
                <w:szCs w:val="18"/>
              </w:rPr>
              <w:t>)</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CE26AA" w:rsidP="00F22CD3">
            <w:pPr>
              <w:jc w:val="right"/>
              <w:rPr>
                <w:color w:val="000000"/>
                <w:sz w:val="18"/>
                <w:szCs w:val="18"/>
              </w:rPr>
            </w:pPr>
            <w:r>
              <w:rPr>
                <w:color w:val="000000"/>
                <w:sz w:val="18"/>
                <w:szCs w:val="18"/>
              </w:rPr>
              <w:t>(</w:t>
            </w:r>
            <w:r w:rsidR="00F22CD3" w:rsidRPr="00D82176">
              <w:rPr>
                <w:color w:val="000000"/>
                <w:sz w:val="18"/>
                <w:szCs w:val="18"/>
              </w:rPr>
              <w:t>142.751</w:t>
            </w:r>
            <w:r>
              <w:rPr>
                <w:color w:val="000000"/>
                <w:sz w:val="18"/>
                <w:szCs w:val="18"/>
              </w:rPr>
              <w:t>)</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Serviços de Terceiros</w:t>
            </w:r>
          </w:p>
        </w:tc>
        <w:tc>
          <w:tcPr>
            <w:tcW w:w="768" w:type="pct"/>
            <w:tcBorders>
              <w:top w:val="nil"/>
              <w:left w:val="nil"/>
              <w:bottom w:val="nil"/>
              <w:right w:val="nil"/>
            </w:tcBorders>
            <w:shd w:val="clear" w:color="000000" w:fill="FFFFFF"/>
            <w:vAlign w:val="center"/>
            <w:hideMark/>
          </w:tcPr>
          <w:p w:rsidR="00F22CD3" w:rsidRPr="00D82176" w:rsidRDefault="00CE26AA" w:rsidP="00F22CD3">
            <w:pPr>
              <w:jc w:val="right"/>
              <w:rPr>
                <w:color w:val="000000"/>
                <w:sz w:val="18"/>
                <w:szCs w:val="18"/>
              </w:rPr>
            </w:pPr>
            <w:r>
              <w:rPr>
                <w:color w:val="000000"/>
                <w:sz w:val="18"/>
                <w:szCs w:val="18"/>
              </w:rPr>
              <w:t>(</w:t>
            </w:r>
            <w:r w:rsidR="00F22CD3" w:rsidRPr="00D82176">
              <w:rPr>
                <w:color w:val="000000"/>
                <w:sz w:val="18"/>
                <w:szCs w:val="18"/>
              </w:rPr>
              <w:t>132.426</w:t>
            </w:r>
            <w:r>
              <w:rPr>
                <w:color w:val="000000"/>
                <w:sz w:val="18"/>
                <w:szCs w:val="18"/>
              </w:rPr>
              <w:t>)</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CE26AA" w:rsidP="00F22CD3">
            <w:pPr>
              <w:jc w:val="right"/>
              <w:rPr>
                <w:color w:val="000000"/>
                <w:sz w:val="18"/>
                <w:szCs w:val="18"/>
              </w:rPr>
            </w:pPr>
            <w:r>
              <w:rPr>
                <w:color w:val="000000"/>
                <w:sz w:val="18"/>
                <w:szCs w:val="18"/>
              </w:rPr>
              <w:t>(</w:t>
            </w:r>
            <w:r w:rsidR="00F22CD3" w:rsidRPr="00D82176">
              <w:rPr>
                <w:color w:val="000000"/>
                <w:sz w:val="18"/>
                <w:szCs w:val="18"/>
              </w:rPr>
              <w:t>133.026</w:t>
            </w:r>
            <w:r>
              <w:rPr>
                <w:color w:val="000000"/>
                <w:sz w:val="18"/>
                <w:szCs w:val="18"/>
              </w:rPr>
              <w:t>)</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Perda/recuperação de Valores Ativos</w:t>
            </w:r>
          </w:p>
        </w:tc>
        <w:tc>
          <w:tcPr>
            <w:tcW w:w="768" w:type="pct"/>
            <w:tcBorders>
              <w:top w:val="nil"/>
              <w:left w:val="nil"/>
              <w:bottom w:val="nil"/>
              <w:right w:val="nil"/>
            </w:tcBorders>
            <w:shd w:val="clear" w:color="000000" w:fill="FFFFFF"/>
            <w:vAlign w:val="center"/>
            <w:hideMark/>
          </w:tcPr>
          <w:p w:rsidR="00F22CD3" w:rsidRPr="00D82176" w:rsidRDefault="00CE26AA" w:rsidP="00F22CD3">
            <w:pPr>
              <w:jc w:val="right"/>
              <w:rPr>
                <w:color w:val="000000"/>
                <w:sz w:val="18"/>
                <w:szCs w:val="18"/>
              </w:rPr>
            </w:pPr>
            <w:r>
              <w:rPr>
                <w:color w:val="000000"/>
                <w:sz w:val="18"/>
                <w:szCs w:val="18"/>
              </w:rPr>
              <w:t>(</w:t>
            </w:r>
            <w:r w:rsidR="00F22CD3" w:rsidRPr="00D82176">
              <w:rPr>
                <w:color w:val="000000"/>
                <w:sz w:val="18"/>
                <w:szCs w:val="18"/>
              </w:rPr>
              <w:t>762</w:t>
            </w:r>
            <w:r>
              <w:rPr>
                <w:color w:val="000000"/>
                <w:sz w:val="18"/>
                <w:szCs w:val="18"/>
              </w:rPr>
              <w:t>)</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CE26AA" w:rsidP="00F22CD3">
            <w:pPr>
              <w:jc w:val="right"/>
              <w:rPr>
                <w:color w:val="000000"/>
                <w:sz w:val="18"/>
                <w:szCs w:val="18"/>
              </w:rPr>
            </w:pPr>
            <w:r>
              <w:rPr>
                <w:color w:val="000000"/>
                <w:sz w:val="18"/>
                <w:szCs w:val="18"/>
              </w:rPr>
              <w:t>(</w:t>
            </w:r>
            <w:r w:rsidR="00F22CD3" w:rsidRPr="00D82176">
              <w:rPr>
                <w:color w:val="000000"/>
                <w:sz w:val="18"/>
                <w:szCs w:val="18"/>
              </w:rPr>
              <w:t>1.819</w:t>
            </w:r>
            <w:r>
              <w:rPr>
                <w:color w:val="000000"/>
                <w:sz w:val="18"/>
                <w:szCs w:val="18"/>
              </w:rPr>
              <w:t>)</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jc w:val="center"/>
              <w:rPr>
                <w:color w:val="000000"/>
                <w:sz w:val="18"/>
                <w:szCs w:val="18"/>
              </w:rPr>
            </w:pPr>
            <w:r w:rsidRPr="00D82176">
              <w:rPr>
                <w:color w:val="000000"/>
                <w:sz w:val="18"/>
                <w:szCs w:val="18"/>
              </w:rPr>
              <w:t> </w:t>
            </w:r>
          </w:p>
        </w:tc>
        <w:tc>
          <w:tcPr>
            <w:tcW w:w="768" w:type="pct"/>
            <w:tcBorders>
              <w:top w:val="nil"/>
              <w:left w:val="nil"/>
              <w:bottom w:val="single" w:sz="8" w:space="0" w:color="auto"/>
              <w:right w:val="nil"/>
            </w:tcBorders>
            <w:shd w:val="clear" w:color="000000" w:fill="FFFFFF"/>
            <w:vAlign w:val="center"/>
            <w:hideMark/>
          </w:tcPr>
          <w:p w:rsidR="00F22CD3" w:rsidRPr="00D82176" w:rsidRDefault="00CE26AA" w:rsidP="00F22CD3">
            <w:pPr>
              <w:jc w:val="right"/>
              <w:rPr>
                <w:b/>
                <w:bCs/>
                <w:color w:val="000000"/>
                <w:sz w:val="18"/>
                <w:szCs w:val="18"/>
              </w:rPr>
            </w:pPr>
            <w:r>
              <w:rPr>
                <w:b/>
                <w:bCs/>
                <w:color w:val="000000"/>
                <w:sz w:val="18"/>
                <w:szCs w:val="18"/>
              </w:rPr>
              <w:t>(</w:t>
            </w:r>
            <w:r w:rsidR="00F22CD3" w:rsidRPr="00D82176">
              <w:rPr>
                <w:b/>
                <w:bCs/>
                <w:color w:val="000000"/>
                <w:sz w:val="18"/>
                <w:szCs w:val="18"/>
              </w:rPr>
              <w:t>268.440</w:t>
            </w:r>
            <w:r>
              <w:rPr>
                <w:b/>
                <w:bCs/>
                <w:color w:val="000000"/>
                <w:sz w:val="18"/>
                <w:szCs w:val="18"/>
              </w:rPr>
              <w:t>)</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 </w:t>
            </w:r>
          </w:p>
        </w:tc>
        <w:tc>
          <w:tcPr>
            <w:tcW w:w="767" w:type="pct"/>
            <w:tcBorders>
              <w:top w:val="nil"/>
              <w:left w:val="nil"/>
              <w:bottom w:val="single" w:sz="8" w:space="0" w:color="auto"/>
              <w:right w:val="nil"/>
            </w:tcBorders>
            <w:shd w:val="clear" w:color="000000" w:fill="FFFFFF"/>
            <w:vAlign w:val="center"/>
            <w:hideMark/>
          </w:tcPr>
          <w:p w:rsidR="00F22CD3" w:rsidRPr="00D82176" w:rsidRDefault="00CE26AA" w:rsidP="00F22CD3">
            <w:pPr>
              <w:jc w:val="right"/>
              <w:rPr>
                <w:b/>
                <w:bCs/>
                <w:color w:val="000000"/>
                <w:sz w:val="18"/>
                <w:szCs w:val="18"/>
              </w:rPr>
            </w:pPr>
            <w:r>
              <w:rPr>
                <w:b/>
                <w:bCs/>
                <w:color w:val="000000"/>
                <w:sz w:val="18"/>
                <w:szCs w:val="18"/>
              </w:rPr>
              <w:t>(</w:t>
            </w:r>
            <w:r w:rsidR="00F22CD3" w:rsidRPr="00D82176">
              <w:rPr>
                <w:b/>
                <w:bCs/>
                <w:color w:val="000000"/>
                <w:sz w:val="18"/>
                <w:szCs w:val="18"/>
              </w:rPr>
              <w:t>277.596</w:t>
            </w:r>
            <w:r>
              <w:rPr>
                <w:b/>
                <w:bCs/>
                <w:color w:val="000000"/>
                <w:sz w:val="18"/>
                <w:szCs w:val="18"/>
              </w:rPr>
              <w:t>)</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jc w:val="center"/>
              <w:rPr>
                <w:color w:val="000000"/>
                <w:sz w:val="18"/>
                <w:szCs w:val="18"/>
              </w:rPr>
            </w:pPr>
            <w:r w:rsidRPr="00D82176">
              <w:rPr>
                <w:color w:val="000000"/>
                <w:sz w:val="18"/>
                <w:szCs w:val="18"/>
              </w:rPr>
              <w:t> </w:t>
            </w:r>
          </w:p>
        </w:tc>
        <w:tc>
          <w:tcPr>
            <w:tcW w:w="768"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 xml:space="preserve">Valor Adicionado Bruto </w:t>
            </w:r>
          </w:p>
        </w:tc>
        <w:tc>
          <w:tcPr>
            <w:tcW w:w="768" w:type="pct"/>
            <w:tcBorders>
              <w:top w:val="nil"/>
              <w:left w:val="nil"/>
              <w:bottom w:val="double" w:sz="6" w:space="0" w:color="auto"/>
              <w:right w:val="nil"/>
            </w:tcBorders>
            <w:shd w:val="clear" w:color="000000" w:fill="FFFFFF"/>
            <w:vAlign w:val="center"/>
            <w:hideMark/>
          </w:tcPr>
          <w:p w:rsidR="00F22CD3" w:rsidRPr="00D82176" w:rsidRDefault="00180D86" w:rsidP="00054C7F">
            <w:pPr>
              <w:jc w:val="right"/>
              <w:rPr>
                <w:b/>
                <w:bCs/>
                <w:color w:val="000000"/>
                <w:sz w:val="18"/>
                <w:szCs w:val="18"/>
              </w:rPr>
            </w:pPr>
            <w:r w:rsidRPr="00D82176">
              <w:rPr>
                <w:b/>
                <w:bCs/>
                <w:color w:val="000000"/>
                <w:sz w:val="18"/>
                <w:szCs w:val="18"/>
              </w:rPr>
              <w:t>(</w:t>
            </w:r>
            <w:r w:rsidR="00F22CD3" w:rsidRPr="00D82176">
              <w:rPr>
                <w:b/>
                <w:bCs/>
                <w:color w:val="000000"/>
                <w:sz w:val="18"/>
                <w:szCs w:val="18"/>
              </w:rPr>
              <w:t>42.42</w:t>
            </w:r>
            <w:r w:rsidR="00054C7F" w:rsidRPr="00D82176">
              <w:rPr>
                <w:b/>
                <w:bCs/>
                <w:color w:val="000000"/>
                <w:sz w:val="18"/>
                <w:szCs w:val="18"/>
              </w:rPr>
              <w:t>3</w:t>
            </w:r>
            <w:r w:rsidRPr="00D82176">
              <w:rPr>
                <w:b/>
                <w:bCs/>
                <w:color w:val="000000"/>
                <w:sz w:val="18"/>
                <w:szCs w:val="18"/>
              </w:rPr>
              <w:t>)</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 </w:t>
            </w:r>
          </w:p>
        </w:tc>
        <w:tc>
          <w:tcPr>
            <w:tcW w:w="767" w:type="pct"/>
            <w:tcBorders>
              <w:top w:val="nil"/>
              <w:left w:val="nil"/>
              <w:bottom w:val="double" w:sz="6" w:space="0" w:color="auto"/>
              <w:right w:val="nil"/>
            </w:tcBorders>
            <w:shd w:val="clear" w:color="000000" w:fill="FFFFFF"/>
            <w:vAlign w:val="center"/>
            <w:hideMark/>
          </w:tcPr>
          <w:p w:rsidR="00F22CD3" w:rsidRPr="00D82176" w:rsidRDefault="00180D86" w:rsidP="00F22CD3">
            <w:pPr>
              <w:jc w:val="right"/>
              <w:rPr>
                <w:b/>
                <w:bCs/>
                <w:color w:val="000000"/>
                <w:sz w:val="18"/>
                <w:szCs w:val="18"/>
              </w:rPr>
            </w:pPr>
            <w:r w:rsidRPr="00D82176">
              <w:rPr>
                <w:b/>
                <w:bCs/>
                <w:color w:val="000000"/>
                <w:sz w:val="18"/>
                <w:szCs w:val="18"/>
              </w:rPr>
              <w:t>(</w:t>
            </w:r>
            <w:r w:rsidR="00F22CD3" w:rsidRPr="00D82176">
              <w:rPr>
                <w:b/>
                <w:bCs/>
                <w:color w:val="000000"/>
                <w:sz w:val="18"/>
                <w:szCs w:val="18"/>
              </w:rPr>
              <w:t>38.148</w:t>
            </w:r>
            <w:r w:rsidRPr="00D82176">
              <w:rPr>
                <w:b/>
                <w:bCs/>
                <w:color w:val="000000"/>
                <w:sz w:val="18"/>
                <w:szCs w:val="18"/>
              </w:rPr>
              <w:t>)</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jc w:val="center"/>
              <w:rPr>
                <w:color w:val="000000"/>
                <w:sz w:val="18"/>
                <w:szCs w:val="18"/>
              </w:rPr>
            </w:pPr>
            <w:r w:rsidRPr="00D82176">
              <w:rPr>
                <w:color w:val="000000"/>
                <w:sz w:val="18"/>
                <w:szCs w:val="18"/>
              </w:rPr>
              <w:t> </w:t>
            </w:r>
          </w:p>
        </w:tc>
        <w:tc>
          <w:tcPr>
            <w:tcW w:w="768"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Despesas com Depreciação/Amortização</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22.404</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22.687</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jc w:val="center"/>
              <w:rPr>
                <w:color w:val="000000"/>
                <w:sz w:val="18"/>
                <w:szCs w:val="18"/>
              </w:rPr>
            </w:pPr>
            <w:r w:rsidRPr="00D82176">
              <w:rPr>
                <w:color w:val="000000"/>
                <w:sz w:val="18"/>
                <w:szCs w:val="18"/>
              </w:rPr>
              <w:t> </w:t>
            </w:r>
          </w:p>
        </w:tc>
        <w:tc>
          <w:tcPr>
            <w:tcW w:w="768"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r>
      <w:tr w:rsidR="003068E3" w:rsidRPr="003068E3"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Valor Adicionado Líquido Produzido pela Entidade</w:t>
            </w:r>
          </w:p>
        </w:tc>
        <w:tc>
          <w:tcPr>
            <w:tcW w:w="768" w:type="pct"/>
            <w:tcBorders>
              <w:top w:val="nil"/>
              <w:left w:val="nil"/>
              <w:bottom w:val="single" w:sz="8" w:space="0" w:color="auto"/>
              <w:right w:val="nil"/>
            </w:tcBorders>
            <w:shd w:val="clear" w:color="000000" w:fill="FFFFFF"/>
            <w:vAlign w:val="center"/>
            <w:hideMark/>
          </w:tcPr>
          <w:p w:rsidR="00F22CD3" w:rsidRPr="003068E3" w:rsidRDefault="00180D86" w:rsidP="00DA5702">
            <w:pPr>
              <w:jc w:val="right"/>
              <w:rPr>
                <w:b/>
                <w:bCs/>
                <w:sz w:val="18"/>
                <w:szCs w:val="18"/>
              </w:rPr>
            </w:pPr>
            <w:r w:rsidRPr="003068E3">
              <w:rPr>
                <w:b/>
                <w:bCs/>
                <w:sz w:val="18"/>
                <w:szCs w:val="18"/>
              </w:rPr>
              <w:t>(</w:t>
            </w:r>
            <w:r w:rsidR="00DA5702" w:rsidRPr="003068E3">
              <w:rPr>
                <w:b/>
                <w:bCs/>
                <w:sz w:val="18"/>
                <w:szCs w:val="18"/>
              </w:rPr>
              <w:t>64.828</w:t>
            </w:r>
            <w:r w:rsidRPr="003068E3">
              <w:rPr>
                <w:b/>
                <w:bCs/>
                <w:sz w:val="18"/>
                <w:szCs w:val="18"/>
              </w:rPr>
              <w:t>)</w:t>
            </w:r>
          </w:p>
        </w:tc>
        <w:tc>
          <w:tcPr>
            <w:tcW w:w="139" w:type="pct"/>
            <w:tcBorders>
              <w:top w:val="nil"/>
              <w:left w:val="nil"/>
              <w:bottom w:val="nil"/>
              <w:right w:val="nil"/>
            </w:tcBorders>
            <w:shd w:val="clear" w:color="000000" w:fill="FFFFFF"/>
            <w:vAlign w:val="center"/>
            <w:hideMark/>
          </w:tcPr>
          <w:p w:rsidR="00F22CD3" w:rsidRPr="003068E3" w:rsidRDefault="00F22CD3" w:rsidP="00F22CD3">
            <w:pPr>
              <w:rPr>
                <w:b/>
                <w:bCs/>
                <w:sz w:val="18"/>
                <w:szCs w:val="18"/>
              </w:rPr>
            </w:pPr>
            <w:r w:rsidRPr="003068E3">
              <w:rPr>
                <w:b/>
                <w:bCs/>
                <w:sz w:val="18"/>
                <w:szCs w:val="18"/>
              </w:rPr>
              <w:t> </w:t>
            </w:r>
          </w:p>
        </w:tc>
        <w:tc>
          <w:tcPr>
            <w:tcW w:w="767" w:type="pct"/>
            <w:tcBorders>
              <w:top w:val="nil"/>
              <w:left w:val="nil"/>
              <w:bottom w:val="single" w:sz="8" w:space="0" w:color="auto"/>
              <w:right w:val="nil"/>
            </w:tcBorders>
            <w:shd w:val="clear" w:color="000000" w:fill="FFFFFF"/>
            <w:vAlign w:val="center"/>
            <w:hideMark/>
          </w:tcPr>
          <w:p w:rsidR="00F22CD3" w:rsidRPr="003068E3" w:rsidRDefault="00180D86" w:rsidP="00DA5702">
            <w:pPr>
              <w:jc w:val="right"/>
              <w:rPr>
                <w:b/>
                <w:bCs/>
                <w:sz w:val="18"/>
                <w:szCs w:val="18"/>
              </w:rPr>
            </w:pPr>
            <w:r w:rsidRPr="003068E3">
              <w:rPr>
                <w:b/>
                <w:bCs/>
                <w:sz w:val="18"/>
                <w:szCs w:val="18"/>
              </w:rPr>
              <w:t>(</w:t>
            </w:r>
            <w:r w:rsidR="00DA5702" w:rsidRPr="003068E3">
              <w:rPr>
                <w:b/>
                <w:bCs/>
                <w:sz w:val="18"/>
                <w:szCs w:val="18"/>
              </w:rPr>
              <w:t>60.835</w:t>
            </w:r>
            <w:r w:rsidRPr="003068E3">
              <w:rPr>
                <w:b/>
                <w:bCs/>
                <w:sz w:val="18"/>
                <w:szCs w:val="18"/>
              </w:rPr>
              <w:t>)</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jc w:val="center"/>
              <w:rPr>
                <w:color w:val="000000"/>
                <w:sz w:val="18"/>
                <w:szCs w:val="18"/>
              </w:rPr>
            </w:pPr>
            <w:r w:rsidRPr="00D82176">
              <w:rPr>
                <w:color w:val="000000"/>
                <w:sz w:val="18"/>
                <w:szCs w:val="18"/>
              </w:rPr>
              <w:t> </w:t>
            </w:r>
          </w:p>
        </w:tc>
        <w:tc>
          <w:tcPr>
            <w:tcW w:w="768"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 xml:space="preserve"> Valor Adicionado Recebido em Transferências </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Receitas Financeiras</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2.649</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2.27</w:t>
            </w:r>
            <w:r w:rsidR="00630A1E">
              <w:rPr>
                <w:color w:val="000000"/>
                <w:sz w:val="18"/>
                <w:szCs w:val="18"/>
              </w:rPr>
              <w:t>0</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Repasses Recebidos (-) Subvenções</w:t>
            </w:r>
          </w:p>
        </w:tc>
        <w:tc>
          <w:tcPr>
            <w:tcW w:w="768" w:type="pct"/>
            <w:tcBorders>
              <w:top w:val="nil"/>
              <w:left w:val="nil"/>
              <w:bottom w:val="nil"/>
              <w:right w:val="nil"/>
            </w:tcBorders>
            <w:shd w:val="clear" w:color="000000" w:fill="FFFFFF"/>
            <w:vAlign w:val="center"/>
            <w:hideMark/>
          </w:tcPr>
          <w:p w:rsidR="00F22CD3" w:rsidRPr="00D82176" w:rsidRDefault="00F22CD3" w:rsidP="00597670">
            <w:pPr>
              <w:jc w:val="right"/>
              <w:rPr>
                <w:color w:val="000000"/>
                <w:sz w:val="18"/>
                <w:szCs w:val="18"/>
              </w:rPr>
            </w:pPr>
            <w:r w:rsidRPr="00D82176">
              <w:rPr>
                <w:color w:val="000000"/>
                <w:sz w:val="18"/>
                <w:szCs w:val="18"/>
              </w:rPr>
              <w:t>1.128.</w:t>
            </w:r>
            <w:r w:rsidR="00597670" w:rsidRPr="00D82176">
              <w:rPr>
                <w:color w:val="000000"/>
                <w:sz w:val="18"/>
                <w:szCs w:val="18"/>
              </w:rPr>
              <w:t>151</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1.003.401</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Repasses Concedidos/Diferido</w:t>
            </w:r>
          </w:p>
        </w:tc>
        <w:tc>
          <w:tcPr>
            <w:tcW w:w="768" w:type="pct"/>
            <w:tcBorders>
              <w:top w:val="nil"/>
              <w:left w:val="nil"/>
              <w:bottom w:val="nil"/>
              <w:right w:val="nil"/>
            </w:tcBorders>
            <w:shd w:val="clear" w:color="000000" w:fill="FFFFFF"/>
            <w:vAlign w:val="center"/>
            <w:hideMark/>
          </w:tcPr>
          <w:p w:rsidR="00F22CD3" w:rsidRPr="00D82176" w:rsidRDefault="00180D86" w:rsidP="00F22CD3">
            <w:pPr>
              <w:jc w:val="right"/>
              <w:rPr>
                <w:color w:val="000000"/>
                <w:sz w:val="18"/>
                <w:szCs w:val="18"/>
              </w:rPr>
            </w:pPr>
            <w:r w:rsidRPr="00D82176">
              <w:rPr>
                <w:color w:val="000000"/>
                <w:sz w:val="18"/>
                <w:szCs w:val="18"/>
              </w:rPr>
              <w:t>(</w:t>
            </w:r>
            <w:r w:rsidR="00F22CD3" w:rsidRPr="00D82176">
              <w:rPr>
                <w:color w:val="000000"/>
                <w:sz w:val="18"/>
                <w:szCs w:val="18"/>
              </w:rPr>
              <w:t>1.494</w:t>
            </w:r>
            <w:r w:rsidRPr="00D82176">
              <w:rPr>
                <w:color w:val="000000"/>
                <w:sz w:val="18"/>
                <w:szCs w:val="18"/>
              </w:rPr>
              <w:t>)</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180D86" w:rsidP="00F22CD3">
            <w:pPr>
              <w:jc w:val="right"/>
              <w:rPr>
                <w:color w:val="000000"/>
                <w:sz w:val="18"/>
                <w:szCs w:val="18"/>
              </w:rPr>
            </w:pPr>
            <w:r w:rsidRPr="00D82176">
              <w:rPr>
                <w:color w:val="000000"/>
                <w:sz w:val="18"/>
                <w:szCs w:val="18"/>
              </w:rPr>
              <w:t>(</w:t>
            </w:r>
            <w:r w:rsidR="00630A1E">
              <w:rPr>
                <w:color w:val="000000"/>
                <w:sz w:val="18"/>
                <w:szCs w:val="18"/>
              </w:rPr>
              <w:t>455</w:t>
            </w:r>
            <w:r w:rsidRPr="00D82176">
              <w:rPr>
                <w:color w:val="000000"/>
                <w:sz w:val="18"/>
                <w:szCs w:val="18"/>
              </w:rPr>
              <w:t>)</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Receitas de Diferido (Reversão de Subvenções)</w:t>
            </w:r>
          </w:p>
        </w:tc>
        <w:tc>
          <w:tcPr>
            <w:tcW w:w="768" w:type="pct"/>
            <w:tcBorders>
              <w:top w:val="nil"/>
              <w:left w:val="nil"/>
              <w:bottom w:val="nil"/>
              <w:right w:val="nil"/>
            </w:tcBorders>
            <w:shd w:val="clear" w:color="000000" w:fill="FFFFFF"/>
            <w:vAlign w:val="center"/>
            <w:hideMark/>
          </w:tcPr>
          <w:p w:rsidR="00F22CD3" w:rsidRPr="00D82176" w:rsidRDefault="00180D86" w:rsidP="00F22CD3">
            <w:pPr>
              <w:jc w:val="right"/>
              <w:rPr>
                <w:color w:val="000000"/>
                <w:sz w:val="18"/>
                <w:szCs w:val="18"/>
              </w:rPr>
            </w:pPr>
            <w:r w:rsidRPr="00D82176">
              <w:rPr>
                <w:color w:val="000000"/>
                <w:sz w:val="18"/>
                <w:szCs w:val="18"/>
              </w:rPr>
              <w:t>(</w:t>
            </w:r>
            <w:r w:rsidR="00F22CD3" w:rsidRPr="00D82176">
              <w:rPr>
                <w:color w:val="000000"/>
                <w:sz w:val="18"/>
                <w:szCs w:val="18"/>
              </w:rPr>
              <w:t>620</w:t>
            </w:r>
            <w:r w:rsidRPr="00D82176">
              <w:rPr>
                <w:color w:val="000000"/>
                <w:sz w:val="18"/>
                <w:szCs w:val="18"/>
              </w:rPr>
              <w:t>)</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6.680</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Receitas de Alugueis</w:t>
            </w:r>
          </w:p>
        </w:tc>
        <w:tc>
          <w:tcPr>
            <w:tcW w:w="768" w:type="pct"/>
            <w:tcBorders>
              <w:top w:val="nil"/>
              <w:left w:val="nil"/>
              <w:bottom w:val="single" w:sz="8" w:space="0" w:color="auto"/>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4.083</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single" w:sz="8" w:space="0" w:color="auto"/>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3.671</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jc w:val="center"/>
              <w:rPr>
                <w:color w:val="000000"/>
                <w:sz w:val="18"/>
                <w:szCs w:val="18"/>
              </w:rPr>
            </w:pPr>
            <w:r w:rsidRPr="00D82176">
              <w:rPr>
                <w:color w:val="000000"/>
                <w:sz w:val="18"/>
                <w:szCs w:val="18"/>
              </w:rPr>
              <w:t> </w:t>
            </w:r>
          </w:p>
        </w:tc>
        <w:tc>
          <w:tcPr>
            <w:tcW w:w="768" w:type="pct"/>
            <w:tcBorders>
              <w:top w:val="nil"/>
              <w:left w:val="nil"/>
              <w:bottom w:val="single" w:sz="8" w:space="0" w:color="auto"/>
              <w:right w:val="nil"/>
            </w:tcBorders>
            <w:shd w:val="clear" w:color="000000" w:fill="FFFFFF"/>
            <w:vAlign w:val="center"/>
            <w:hideMark/>
          </w:tcPr>
          <w:p w:rsidR="00F22CD3" w:rsidRPr="003068E3" w:rsidRDefault="00F22CD3" w:rsidP="00597670">
            <w:pPr>
              <w:jc w:val="right"/>
              <w:rPr>
                <w:b/>
                <w:bCs/>
                <w:sz w:val="18"/>
                <w:szCs w:val="18"/>
              </w:rPr>
            </w:pPr>
            <w:r w:rsidRPr="003068E3">
              <w:rPr>
                <w:b/>
                <w:bCs/>
                <w:sz w:val="18"/>
                <w:szCs w:val="18"/>
              </w:rPr>
              <w:t>1.132</w:t>
            </w:r>
            <w:r w:rsidR="00597670" w:rsidRPr="003068E3">
              <w:rPr>
                <w:b/>
                <w:bCs/>
                <w:sz w:val="18"/>
                <w:szCs w:val="18"/>
              </w:rPr>
              <w:t>.768</w:t>
            </w:r>
          </w:p>
        </w:tc>
        <w:tc>
          <w:tcPr>
            <w:tcW w:w="139" w:type="pct"/>
            <w:tcBorders>
              <w:top w:val="nil"/>
              <w:left w:val="nil"/>
              <w:bottom w:val="nil"/>
              <w:right w:val="nil"/>
            </w:tcBorders>
            <w:shd w:val="clear" w:color="000000" w:fill="FFFFFF"/>
            <w:vAlign w:val="center"/>
            <w:hideMark/>
          </w:tcPr>
          <w:p w:rsidR="00F22CD3" w:rsidRPr="003068E3" w:rsidRDefault="00F22CD3" w:rsidP="00F22CD3">
            <w:pPr>
              <w:rPr>
                <w:b/>
                <w:bCs/>
                <w:sz w:val="18"/>
                <w:szCs w:val="18"/>
              </w:rPr>
            </w:pPr>
            <w:r w:rsidRPr="003068E3">
              <w:rPr>
                <w:b/>
                <w:bCs/>
                <w:sz w:val="18"/>
                <w:szCs w:val="18"/>
              </w:rPr>
              <w:t> </w:t>
            </w:r>
          </w:p>
        </w:tc>
        <w:tc>
          <w:tcPr>
            <w:tcW w:w="767" w:type="pct"/>
            <w:tcBorders>
              <w:top w:val="nil"/>
              <w:left w:val="nil"/>
              <w:bottom w:val="single" w:sz="8" w:space="0" w:color="auto"/>
              <w:right w:val="nil"/>
            </w:tcBorders>
            <w:shd w:val="clear" w:color="000000" w:fill="FFFFFF"/>
            <w:vAlign w:val="center"/>
            <w:hideMark/>
          </w:tcPr>
          <w:p w:rsidR="00F22CD3" w:rsidRPr="003068E3" w:rsidRDefault="00F22CD3" w:rsidP="00630A1E">
            <w:pPr>
              <w:jc w:val="right"/>
              <w:rPr>
                <w:b/>
                <w:bCs/>
                <w:sz w:val="18"/>
                <w:szCs w:val="18"/>
              </w:rPr>
            </w:pPr>
            <w:r w:rsidRPr="003068E3">
              <w:rPr>
                <w:b/>
                <w:bCs/>
                <w:sz w:val="18"/>
                <w:szCs w:val="18"/>
              </w:rPr>
              <w:t>1.015.56</w:t>
            </w:r>
            <w:r w:rsidR="00630A1E">
              <w:rPr>
                <w:b/>
                <w:bCs/>
                <w:sz w:val="18"/>
                <w:szCs w:val="18"/>
              </w:rPr>
              <w:t>7</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jc w:val="center"/>
              <w:rPr>
                <w:color w:val="000000"/>
                <w:sz w:val="18"/>
                <w:szCs w:val="18"/>
              </w:rPr>
            </w:pPr>
            <w:r w:rsidRPr="00D82176">
              <w:rPr>
                <w:color w:val="000000"/>
                <w:sz w:val="18"/>
                <w:szCs w:val="18"/>
              </w:rPr>
              <w:t> </w:t>
            </w:r>
          </w:p>
        </w:tc>
        <w:tc>
          <w:tcPr>
            <w:tcW w:w="768" w:type="pct"/>
            <w:tcBorders>
              <w:top w:val="nil"/>
              <w:left w:val="nil"/>
              <w:bottom w:val="nil"/>
              <w:right w:val="nil"/>
            </w:tcBorders>
            <w:shd w:val="clear" w:color="000000" w:fill="FFFFFF"/>
            <w:vAlign w:val="center"/>
            <w:hideMark/>
          </w:tcPr>
          <w:p w:rsidR="00F22CD3" w:rsidRPr="003068E3" w:rsidRDefault="00F22CD3" w:rsidP="00F22CD3">
            <w:pPr>
              <w:rPr>
                <w:sz w:val="18"/>
                <w:szCs w:val="18"/>
              </w:rPr>
            </w:pPr>
            <w:r w:rsidRPr="003068E3">
              <w:rPr>
                <w:sz w:val="18"/>
                <w:szCs w:val="18"/>
              </w:rPr>
              <w:t> </w:t>
            </w:r>
          </w:p>
        </w:tc>
        <w:tc>
          <w:tcPr>
            <w:tcW w:w="139" w:type="pct"/>
            <w:tcBorders>
              <w:top w:val="nil"/>
              <w:left w:val="nil"/>
              <w:bottom w:val="nil"/>
              <w:right w:val="nil"/>
            </w:tcBorders>
            <w:shd w:val="clear" w:color="000000" w:fill="FFFFFF"/>
            <w:vAlign w:val="center"/>
            <w:hideMark/>
          </w:tcPr>
          <w:p w:rsidR="00F22CD3" w:rsidRPr="003068E3" w:rsidRDefault="00F22CD3" w:rsidP="00F22CD3">
            <w:pPr>
              <w:rPr>
                <w:sz w:val="18"/>
                <w:szCs w:val="18"/>
              </w:rPr>
            </w:pPr>
            <w:r w:rsidRPr="003068E3">
              <w:rPr>
                <w:sz w:val="18"/>
                <w:szCs w:val="18"/>
              </w:rPr>
              <w:t> </w:t>
            </w:r>
          </w:p>
        </w:tc>
        <w:tc>
          <w:tcPr>
            <w:tcW w:w="767" w:type="pct"/>
            <w:tcBorders>
              <w:top w:val="nil"/>
              <w:left w:val="nil"/>
              <w:bottom w:val="nil"/>
              <w:right w:val="nil"/>
            </w:tcBorders>
            <w:shd w:val="clear" w:color="000000" w:fill="FFFFFF"/>
            <w:vAlign w:val="center"/>
            <w:hideMark/>
          </w:tcPr>
          <w:p w:rsidR="00F22CD3" w:rsidRPr="003068E3" w:rsidRDefault="00F22CD3" w:rsidP="00F22CD3">
            <w:pPr>
              <w:rPr>
                <w:sz w:val="18"/>
                <w:szCs w:val="18"/>
              </w:rPr>
            </w:pPr>
            <w:r w:rsidRPr="003068E3">
              <w:rPr>
                <w:sz w:val="18"/>
                <w:szCs w:val="18"/>
              </w:rPr>
              <w:t> </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 xml:space="preserve">Valor Adicionado Total a Distribuir </w:t>
            </w:r>
          </w:p>
        </w:tc>
        <w:tc>
          <w:tcPr>
            <w:tcW w:w="768" w:type="pct"/>
            <w:tcBorders>
              <w:top w:val="nil"/>
              <w:left w:val="nil"/>
              <w:bottom w:val="double" w:sz="6" w:space="0" w:color="auto"/>
              <w:right w:val="nil"/>
            </w:tcBorders>
            <w:shd w:val="clear" w:color="000000" w:fill="FFFFFF"/>
            <w:vAlign w:val="center"/>
            <w:hideMark/>
          </w:tcPr>
          <w:p w:rsidR="00F22CD3" w:rsidRPr="003068E3" w:rsidRDefault="00DA5702" w:rsidP="00597670">
            <w:pPr>
              <w:jc w:val="right"/>
              <w:rPr>
                <w:b/>
                <w:bCs/>
                <w:sz w:val="18"/>
                <w:szCs w:val="18"/>
              </w:rPr>
            </w:pPr>
            <w:r w:rsidRPr="003068E3">
              <w:rPr>
                <w:b/>
                <w:bCs/>
                <w:sz w:val="18"/>
                <w:szCs w:val="18"/>
              </w:rPr>
              <w:t>1.067.940</w:t>
            </w:r>
          </w:p>
        </w:tc>
        <w:tc>
          <w:tcPr>
            <w:tcW w:w="139" w:type="pct"/>
            <w:tcBorders>
              <w:top w:val="nil"/>
              <w:left w:val="nil"/>
              <w:bottom w:val="nil"/>
              <w:right w:val="nil"/>
            </w:tcBorders>
            <w:shd w:val="clear" w:color="000000" w:fill="FFFFFF"/>
            <w:vAlign w:val="center"/>
            <w:hideMark/>
          </w:tcPr>
          <w:p w:rsidR="00F22CD3" w:rsidRPr="003068E3" w:rsidRDefault="00F22CD3" w:rsidP="00F22CD3">
            <w:pPr>
              <w:rPr>
                <w:b/>
                <w:bCs/>
                <w:sz w:val="18"/>
                <w:szCs w:val="18"/>
              </w:rPr>
            </w:pPr>
            <w:r w:rsidRPr="003068E3">
              <w:rPr>
                <w:b/>
                <w:bCs/>
                <w:sz w:val="18"/>
                <w:szCs w:val="18"/>
              </w:rPr>
              <w:t> </w:t>
            </w:r>
          </w:p>
        </w:tc>
        <w:tc>
          <w:tcPr>
            <w:tcW w:w="767" w:type="pct"/>
            <w:tcBorders>
              <w:top w:val="nil"/>
              <w:left w:val="nil"/>
              <w:bottom w:val="double" w:sz="6" w:space="0" w:color="auto"/>
              <w:right w:val="nil"/>
            </w:tcBorders>
            <w:shd w:val="clear" w:color="000000" w:fill="FFFFFF"/>
            <w:vAlign w:val="center"/>
            <w:hideMark/>
          </w:tcPr>
          <w:p w:rsidR="00F22CD3" w:rsidRPr="003068E3" w:rsidRDefault="00DA5702" w:rsidP="00F22CD3">
            <w:pPr>
              <w:jc w:val="right"/>
              <w:rPr>
                <w:b/>
                <w:bCs/>
                <w:sz w:val="18"/>
                <w:szCs w:val="18"/>
              </w:rPr>
            </w:pPr>
            <w:r w:rsidRPr="003068E3">
              <w:rPr>
                <w:b/>
                <w:bCs/>
                <w:sz w:val="18"/>
                <w:szCs w:val="18"/>
              </w:rPr>
              <w:t>954.73</w:t>
            </w:r>
            <w:r w:rsidR="00630A1E">
              <w:rPr>
                <w:b/>
                <w:bCs/>
                <w:sz w:val="18"/>
                <w:szCs w:val="18"/>
              </w:rPr>
              <w:t>2</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jc w:val="center"/>
              <w:rPr>
                <w:color w:val="000000"/>
                <w:sz w:val="18"/>
                <w:szCs w:val="18"/>
              </w:rPr>
            </w:pPr>
            <w:r w:rsidRPr="00D82176">
              <w:rPr>
                <w:color w:val="000000"/>
                <w:sz w:val="18"/>
                <w:szCs w:val="18"/>
              </w:rPr>
              <w:t> </w:t>
            </w:r>
          </w:p>
        </w:tc>
        <w:tc>
          <w:tcPr>
            <w:tcW w:w="768"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 xml:space="preserve">   Distribuição do Valor Adicionado</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c>
          <w:tcPr>
            <w:tcW w:w="139"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 xml:space="preserve">        Pessoal </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c>
          <w:tcPr>
            <w:tcW w:w="139"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Remuneração Direta</w:t>
            </w:r>
          </w:p>
        </w:tc>
        <w:tc>
          <w:tcPr>
            <w:tcW w:w="768" w:type="pct"/>
            <w:tcBorders>
              <w:top w:val="nil"/>
              <w:left w:val="nil"/>
              <w:bottom w:val="nil"/>
              <w:right w:val="nil"/>
            </w:tcBorders>
            <w:shd w:val="clear" w:color="000000" w:fill="FFFFFF"/>
            <w:vAlign w:val="center"/>
            <w:hideMark/>
          </w:tcPr>
          <w:p w:rsidR="00F22CD3" w:rsidRPr="00D82176" w:rsidRDefault="00597670" w:rsidP="00F22CD3">
            <w:pPr>
              <w:jc w:val="right"/>
              <w:rPr>
                <w:color w:val="000000"/>
                <w:sz w:val="18"/>
                <w:szCs w:val="18"/>
              </w:rPr>
            </w:pPr>
            <w:r w:rsidRPr="00D82176">
              <w:rPr>
                <w:color w:val="000000"/>
                <w:sz w:val="18"/>
                <w:szCs w:val="18"/>
              </w:rPr>
              <w:t>724.932</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650.603</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Benefícios</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76.127</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69.151</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FGTS</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62.231</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52.773</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 xml:space="preserve">         Impostos, Taxas e Contribuições</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 </w:t>
            </w:r>
          </w:p>
        </w:tc>
        <w:tc>
          <w:tcPr>
            <w:tcW w:w="139"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 </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Federais</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195.010</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176.421</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 xml:space="preserve">            </w:t>
            </w:r>
            <w:r w:rsidRPr="00D82176">
              <w:rPr>
                <w:color w:val="000000"/>
                <w:sz w:val="18"/>
                <w:szCs w:val="18"/>
              </w:rPr>
              <w:t>Estaduais/Municipais</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85</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630A1E">
            <w:pPr>
              <w:jc w:val="right"/>
              <w:rPr>
                <w:color w:val="000000"/>
                <w:sz w:val="18"/>
                <w:szCs w:val="18"/>
              </w:rPr>
            </w:pPr>
            <w:r w:rsidRPr="00D82176">
              <w:rPr>
                <w:color w:val="000000"/>
                <w:sz w:val="18"/>
                <w:szCs w:val="18"/>
              </w:rPr>
              <w:t>18</w:t>
            </w:r>
            <w:r w:rsidR="00630A1E">
              <w:rPr>
                <w:color w:val="000000"/>
                <w:sz w:val="18"/>
                <w:szCs w:val="18"/>
              </w:rPr>
              <w:t>1</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 xml:space="preserve">         Remuneração de Capitais de Terceiros</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 </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 </w:t>
            </w:r>
          </w:p>
        </w:tc>
      </w:tr>
      <w:tr w:rsidR="00F22CD3" w:rsidRPr="0087569F" w:rsidTr="00D403A7">
        <w:trPr>
          <w:trHeight w:val="20"/>
        </w:trPr>
        <w:tc>
          <w:tcPr>
            <w:tcW w:w="3326" w:type="pct"/>
            <w:tcBorders>
              <w:top w:val="nil"/>
              <w:left w:val="nil"/>
              <w:bottom w:val="nil"/>
              <w:right w:val="nil"/>
            </w:tcBorders>
            <w:shd w:val="clear" w:color="000000" w:fill="FFFFFF"/>
            <w:vAlign w:val="center"/>
            <w:hideMark/>
          </w:tcPr>
          <w:p w:rsidR="00F22CD3" w:rsidRPr="0087569F" w:rsidRDefault="00F22CD3" w:rsidP="00F22CD3">
            <w:pPr>
              <w:rPr>
                <w:b/>
                <w:color w:val="000000"/>
                <w:sz w:val="18"/>
                <w:szCs w:val="18"/>
              </w:rPr>
            </w:pPr>
            <w:r w:rsidRPr="0087569F">
              <w:rPr>
                <w:b/>
                <w:color w:val="000000"/>
                <w:sz w:val="18"/>
                <w:szCs w:val="18"/>
              </w:rPr>
              <w:t xml:space="preserve">              Despesas Financeiras</w:t>
            </w:r>
          </w:p>
        </w:tc>
        <w:tc>
          <w:tcPr>
            <w:tcW w:w="768" w:type="pct"/>
            <w:tcBorders>
              <w:top w:val="nil"/>
              <w:left w:val="nil"/>
              <w:bottom w:val="nil"/>
              <w:right w:val="nil"/>
            </w:tcBorders>
            <w:shd w:val="clear" w:color="000000" w:fill="FFFFFF"/>
            <w:vAlign w:val="center"/>
            <w:hideMark/>
          </w:tcPr>
          <w:p w:rsidR="00F22CD3" w:rsidRPr="0087569F" w:rsidRDefault="00DA5702" w:rsidP="00F22CD3">
            <w:pPr>
              <w:jc w:val="right"/>
              <w:rPr>
                <w:b/>
                <w:color w:val="000000"/>
                <w:sz w:val="18"/>
                <w:szCs w:val="18"/>
              </w:rPr>
            </w:pPr>
            <w:r w:rsidRPr="0087569F">
              <w:rPr>
                <w:b/>
                <w:color w:val="000000"/>
                <w:sz w:val="18"/>
                <w:szCs w:val="18"/>
              </w:rPr>
              <w:t>129.703</w:t>
            </w:r>
          </w:p>
        </w:tc>
        <w:tc>
          <w:tcPr>
            <w:tcW w:w="139" w:type="pct"/>
            <w:tcBorders>
              <w:top w:val="nil"/>
              <w:left w:val="nil"/>
              <w:bottom w:val="nil"/>
              <w:right w:val="nil"/>
            </w:tcBorders>
            <w:shd w:val="clear" w:color="000000" w:fill="FFFFFF"/>
            <w:vAlign w:val="center"/>
            <w:hideMark/>
          </w:tcPr>
          <w:p w:rsidR="00F22CD3" w:rsidRPr="0087569F" w:rsidRDefault="00F22CD3" w:rsidP="00F22CD3">
            <w:pPr>
              <w:rPr>
                <w:b/>
                <w:color w:val="000000"/>
                <w:sz w:val="18"/>
                <w:szCs w:val="18"/>
              </w:rPr>
            </w:pPr>
            <w:r w:rsidRPr="0087569F">
              <w:rPr>
                <w:b/>
                <w:color w:val="000000"/>
                <w:sz w:val="18"/>
                <w:szCs w:val="18"/>
              </w:rPr>
              <w:t> </w:t>
            </w:r>
          </w:p>
        </w:tc>
        <w:tc>
          <w:tcPr>
            <w:tcW w:w="767" w:type="pct"/>
            <w:tcBorders>
              <w:top w:val="nil"/>
              <w:left w:val="nil"/>
              <w:bottom w:val="nil"/>
              <w:right w:val="nil"/>
            </w:tcBorders>
            <w:shd w:val="clear" w:color="000000" w:fill="FFFFFF"/>
            <w:vAlign w:val="center"/>
            <w:hideMark/>
          </w:tcPr>
          <w:p w:rsidR="00F22CD3" w:rsidRPr="0087569F" w:rsidRDefault="00F22CD3" w:rsidP="00F22CD3">
            <w:pPr>
              <w:jc w:val="right"/>
              <w:rPr>
                <w:b/>
                <w:color w:val="000000"/>
                <w:sz w:val="18"/>
                <w:szCs w:val="18"/>
              </w:rPr>
            </w:pPr>
            <w:r w:rsidRPr="0087569F">
              <w:rPr>
                <w:b/>
                <w:color w:val="000000"/>
                <w:sz w:val="18"/>
                <w:szCs w:val="18"/>
              </w:rPr>
              <w:t>5.568</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Locação de Imóveis/Condomínio</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1.060</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938</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xml:space="preserve">              Locação de Máquinas e Equipamentos</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2.933</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color w:val="000000"/>
                <w:sz w:val="18"/>
                <w:szCs w:val="18"/>
              </w:rPr>
            </w:pPr>
            <w:r w:rsidRPr="00D82176">
              <w:rPr>
                <w:color w:val="000000"/>
                <w:sz w:val="18"/>
                <w:szCs w:val="18"/>
              </w:rPr>
              <w:t>2.862</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 xml:space="preserve">         Remuneração dos Capitais Próprios</w:t>
            </w:r>
          </w:p>
        </w:tc>
        <w:tc>
          <w:tcPr>
            <w:tcW w:w="768"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c>
          <w:tcPr>
            <w:tcW w:w="139"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c>
          <w:tcPr>
            <w:tcW w:w="767" w:type="pct"/>
            <w:tcBorders>
              <w:top w:val="nil"/>
              <w:left w:val="nil"/>
              <w:bottom w:val="nil"/>
              <w:right w:val="nil"/>
            </w:tcBorders>
            <w:shd w:val="clear" w:color="000000" w:fill="FFFFFF"/>
            <w:vAlign w:val="center"/>
            <w:hideMark/>
          </w:tcPr>
          <w:p w:rsidR="00F22CD3" w:rsidRPr="00D82176" w:rsidRDefault="00F22CD3" w:rsidP="00F22CD3">
            <w:pPr>
              <w:jc w:val="right"/>
              <w:rPr>
                <w:b/>
                <w:bCs/>
                <w:color w:val="000000"/>
                <w:sz w:val="18"/>
                <w:szCs w:val="18"/>
              </w:rPr>
            </w:pPr>
            <w:r w:rsidRPr="00D82176">
              <w:rPr>
                <w:b/>
                <w:bCs/>
                <w:color w:val="000000"/>
                <w:sz w:val="18"/>
                <w:szCs w:val="18"/>
              </w:rPr>
              <w:t> </w:t>
            </w:r>
          </w:p>
        </w:tc>
      </w:tr>
      <w:tr w:rsidR="00F22CD3" w:rsidRPr="00D82176"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sz w:val="18"/>
                <w:szCs w:val="18"/>
              </w:rPr>
              <w:t xml:space="preserve">              </w:t>
            </w:r>
            <w:r w:rsidR="00E04805" w:rsidRPr="00D82176">
              <w:rPr>
                <w:sz w:val="18"/>
                <w:szCs w:val="18"/>
              </w:rPr>
              <w:t>Resultados</w:t>
            </w:r>
            <w:r w:rsidRPr="00D82176">
              <w:rPr>
                <w:sz w:val="18"/>
                <w:szCs w:val="18"/>
              </w:rPr>
              <w:t xml:space="preserve"> Retidos do Exercício</w:t>
            </w:r>
          </w:p>
        </w:tc>
        <w:tc>
          <w:tcPr>
            <w:tcW w:w="768" w:type="pct"/>
            <w:tcBorders>
              <w:top w:val="nil"/>
              <w:left w:val="nil"/>
              <w:bottom w:val="single" w:sz="8" w:space="0" w:color="auto"/>
              <w:right w:val="nil"/>
            </w:tcBorders>
            <w:shd w:val="clear" w:color="000000" w:fill="FFFFFF"/>
            <w:vAlign w:val="center"/>
            <w:hideMark/>
          </w:tcPr>
          <w:p w:rsidR="00F22CD3" w:rsidRPr="00D82176" w:rsidRDefault="00180D86" w:rsidP="00DA5702">
            <w:pPr>
              <w:jc w:val="right"/>
              <w:rPr>
                <w:color w:val="000000"/>
                <w:sz w:val="18"/>
                <w:szCs w:val="18"/>
              </w:rPr>
            </w:pPr>
            <w:r w:rsidRPr="00D82176">
              <w:rPr>
                <w:color w:val="000000"/>
                <w:sz w:val="18"/>
                <w:szCs w:val="18"/>
              </w:rPr>
              <w:t>(</w:t>
            </w:r>
            <w:r w:rsidR="00DA5702">
              <w:rPr>
                <w:color w:val="000000"/>
                <w:sz w:val="18"/>
                <w:szCs w:val="18"/>
              </w:rPr>
              <w:t>124.141</w:t>
            </w:r>
            <w:r w:rsidRPr="00D82176">
              <w:rPr>
                <w:color w:val="000000"/>
                <w:sz w:val="18"/>
                <w:szCs w:val="18"/>
              </w:rPr>
              <w:t>)</w:t>
            </w:r>
          </w:p>
        </w:tc>
        <w:tc>
          <w:tcPr>
            <w:tcW w:w="139"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7" w:type="pct"/>
            <w:tcBorders>
              <w:top w:val="nil"/>
              <w:left w:val="nil"/>
              <w:bottom w:val="single" w:sz="8" w:space="0" w:color="auto"/>
              <w:right w:val="nil"/>
            </w:tcBorders>
            <w:shd w:val="clear" w:color="000000" w:fill="FFFFFF"/>
            <w:vAlign w:val="center"/>
            <w:hideMark/>
          </w:tcPr>
          <w:p w:rsidR="00F22CD3" w:rsidRPr="00D82176" w:rsidRDefault="00180D86" w:rsidP="00F22CD3">
            <w:pPr>
              <w:jc w:val="right"/>
              <w:rPr>
                <w:color w:val="000000"/>
                <w:sz w:val="18"/>
                <w:szCs w:val="18"/>
              </w:rPr>
            </w:pPr>
            <w:r w:rsidRPr="00D82176">
              <w:rPr>
                <w:color w:val="000000"/>
                <w:sz w:val="18"/>
                <w:szCs w:val="18"/>
              </w:rPr>
              <w:t>(</w:t>
            </w:r>
            <w:r w:rsidR="00F22CD3" w:rsidRPr="00D82176">
              <w:rPr>
                <w:color w:val="000000"/>
                <w:sz w:val="18"/>
                <w:szCs w:val="18"/>
              </w:rPr>
              <w:t>3.765</w:t>
            </w:r>
            <w:r w:rsidRPr="00D82176">
              <w:rPr>
                <w:color w:val="000000"/>
                <w:sz w:val="18"/>
                <w:szCs w:val="18"/>
              </w:rPr>
              <w:t>)</w:t>
            </w:r>
          </w:p>
        </w:tc>
      </w:tr>
      <w:tr w:rsidR="00F22CD3" w:rsidRPr="00363ED7"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color w:val="000000"/>
                <w:sz w:val="18"/>
                <w:szCs w:val="18"/>
              </w:rPr>
            </w:pPr>
            <w:r w:rsidRPr="00D82176">
              <w:rPr>
                <w:color w:val="000000"/>
                <w:sz w:val="18"/>
                <w:szCs w:val="18"/>
              </w:rPr>
              <w:t> </w:t>
            </w:r>
          </w:p>
        </w:tc>
        <w:tc>
          <w:tcPr>
            <w:tcW w:w="768" w:type="pct"/>
            <w:tcBorders>
              <w:top w:val="nil"/>
              <w:left w:val="nil"/>
              <w:bottom w:val="nil"/>
              <w:right w:val="nil"/>
            </w:tcBorders>
            <w:shd w:val="clear" w:color="000000" w:fill="FFFFFF"/>
            <w:vAlign w:val="center"/>
            <w:hideMark/>
          </w:tcPr>
          <w:p w:rsidR="00F22CD3" w:rsidRPr="00363ED7" w:rsidRDefault="00F22CD3" w:rsidP="00F22CD3">
            <w:pPr>
              <w:jc w:val="right"/>
              <w:rPr>
                <w:color w:val="FF0000"/>
                <w:sz w:val="18"/>
                <w:szCs w:val="18"/>
              </w:rPr>
            </w:pPr>
            <w:r w:rsidRPr="00363ED7">
              <w:rPr>
                <w:color w:val="FF0000"/>
                <w:sz w:val="18"/>
                <w:szCs w:val="18"/>
              </w:rPr>
              <w:t> </w:t>
            </w:r>
          </w:p>
        </w:tc>
        <w:tc>
          <w:tcPr>
            <w:tcW w:w="139" w:type="pct"/>
            <w:tcBorders>
              <w:top w:val="nil"/>
              <w:left w:val="nil"/>
              <w:bottom w:val="nil"/>
              <w:right w:val="nil"/>
            </w:tcBorders>
            <w:shd w:val="clear" w:color="000000" w:fill="FFFFFF"/>
            <w:vAlign w:val="center"/>
            <w:hideMark/>
          </w:tcPr>
          <w:p w:rsidR="00F22CD3" w:rsidRPr="00363ED7" w:rsidRDefault="00F22CD3" w:rsidP="00F22CD3">
            <w:pPr>
              <w:jc w:val="right"/>
              <w:rPr>
                <w:color w:val="FF0000"/>
                <w:sz w:val="18"/>
                <w:szCs w:val="18"/>
              </w:rPr>
            </w:pPr>
            <w:r w:rsidRPr="00363ED7">
              <w:rPr>
                <w:color w:val="FF0000"/>
                <w:sz w:val="18"/>
                <w:szCs w:val="18"/>
              </w:rPr>
              <w:t> </w:t>
            </w:r>
          </w:p>
        </w:tc>
        <w:tc>
          <w:tcPr>
            <w:tcW w:w="767" w:type="pct"/>
            <w:tcBorders>
              <w:top w:val="nil"/>
              <w:left w:val="nil"/>
              <w:bottom w:val="nil"/>
              <w:right w:val="nil"/>
            </w:tcBorders>
            <w:shd w:val="clear" w:color="000000" w:fill="FFFFFF"/>
            <w:vAlign w:val="center"/>
            <w:hideMark/>
          </w:tcPr>
          <w:p w:rsidR="00F22CD3" w:rsidRPr="00363ED7" w:rsidRDefault="00F22CD3" w:rsidP="00F22CD3">
            <w:pPr>
              <w:jc w:val="right"/>
              <w:rPr>
                <w:color w:val="FF0000"/>
                <w:sz w:val="18"/>
                <w:szCs w:val="18"/>
              </w:rPr>
            </w:pPr>
            <w:r w:rsidRPr="00363ED7">
              <w:rPr>
                <w:color w:val="FF0000"/>
                <w:sz w:val="18"/>
                <w:szCs w:val="18"/>
              </w:rPr>
              <w:t> </w:t>
            </w:r>
          </w:p>
        </w:tc>
      </w:tr>
      <w:tr w:rsidR="00F22CD3" w:rsidRPr="003068E3" w:rsidTr="00D403A7">
        <w:trPr>
          <w:trHeight w:val="20"/>
        </w:trPr>
        <w:tc>
          <w:tcPr>
            <w:tcW w:w="3326" w:type="pct"/>
            <w:tcBorders>
              <w:top w:val="nil"/>
              <w:left w:val="nil"/>
              <w:bottom w:val="nil"/>
              <w:right w:val="nil"/>
            </w:tcBorders>
            <w:shd w:val="clear" w:color="000000" w:fill="FFFFFF"/>
            <w:vAlign w:val="center"/>
            <w:hideMark/>
          </w:tcPr>
          <w:p w:rsidR="00F22CD3" w:rsidRPr="00D82176" w:rsidRDefault="00F22CD3" w:rsidP="00F22CD3">
            <w:pPr>
              <w:rPr>
                <w:b/>
                <w:bCs/>
                <w:color w:val="000000"/>
                <w:sz w:val="18"/>
                <w:szCs w:val="18"/>
              </w:rPr>
            </w:pPr>
            <w:r w:rsidRPr="00D82176">
              <w:rPr>
                <w:b/>
                <w:bCs/>
                <w:color w:val="000000"/>
                <w:sz w:val="18"/>
                <w:szCs w:val="18"/>
              </w:rPr>
              <w:t>Valor Adicionado Distribuído</w:t>
            </w:r>
          </w:p>
        </w:tc>
        <w:tc>
          <w:tcPr>
            <w:tcW w:w="768" w:type="pct"/>
            <w:tcBorders>
              <w:top w:val="nil"/>
              <w:left w:val="nil"/>
              <w:bottom w:val="double" w:sz="6" w:space="0" w:color="auto"/>
              <w:right w:val="nil"/>
            </w:tcBorders>
            <w:shd w:val="clear" w:color="000000" w:fill="FFFFFF"/>
            <w:vAlign w:val="center"/>
            <w:hideMark/>
          </w:tcPr>
          <w:p w:rsidR="00F22CD3" w:rsidRPr="003068E3" w:rsidRDefault="00F22CD3" w:rsidP="00597670">
            <w:pPr>
              <w:jc w:val="right"/>
              <w:rPr>
                <w:b/>
                <w:bCs/>
                <w:sz w:val="18"/>
                <w:szCs w:val="18"/>
              </w:rPr>
            </w:pPr>
            <w:r w:rsidRPr="003068E3">
              <w:rPr>
                <w:b/>
                <w:bCs/>
                <w:sz w:val="18"/>
                <w:szCs w:val="18"/>
              </w:rPr>
              <w:t>1.</w:t>
            </w:r>
            <w:r w:rsidR="00597670" w:rsidRPr="003068E3">
              <w:rPr>
                <w:b/>
                <w:bCs/>
                <w:sz w:val="18"/>
                <w:szCs w:val="18"/>
              </w:rPr>
              <w:t>067.940</w:t>
            </w:r>
          </w:p>
        </w:tc>
        <w:tc>
          <w:tcPr>
            <w:tcW w:w="139" w:type="pct"/>
            <w:tcBorders>
              <w:top w:val="nil"/>
              <w:left w:val="nil"/>
              <w:bottom w:val="nil"/>
              <w:right w:val="nil"/>
            </w:tcBorders>
            <w:shd w:val="clear" w:color="000000" w:fill="FFFFFF"/>
            <w:vAlign w:val="center"/>
            <w:hideMark/>
          </w:tcPr>
          <w:p w:rsidR="00F22CD3" w:rsidRPr="003068E3" w:rsidRDefault="00F22CD3" w:rsidP="00F22CD3">
            <w:pPr>
              <w:jc w:val="right"/>
              <w:rPr>
                <w:b/>
                <w:bCs/>
                <w:sz w:val="18"/>
                <w:szCs w:val="18"/>
              </w:rPr>
            </w:pPr>
            <w:r w:rsidRPr="003068E3">
              <w:rPr>
                <w:b/>
                <w:bCs/>
                <w:sz w:val="18"/>
                <w:szCs w:val="18"/>
              </w:rPr>
              <w:t> </w:t>
            </w:r>
          </w:p>
        </w:tc>
        <w:tc>
          <w:tcPr>
            <w:tcW w:w="767" w:type="pct"/>
            <w:tcBorders>
              <w:top w:val="nil"/>
              <w:left w:val="nil"/>
              <w:bottom w:val="double" w:sz="6" w:space="0" w:color="auto"/>
              <w:right w:val="nil"/>
            </w:tcBorders>
            <w:shd w:val="clear" w:color="000000" w:fill="FFFFFF"/>
            <w:vAlign w:val="center"/>
            <w:hideMark/>
          </w:tcPr>
          <w:p w:rsidR="00F22CD3" w:rsidRPr="003068E3" w:rsidRDefault="00F22CD3" w:rsidP="00630A1E">
            <w:pPr>
              <w:jc w:val="right"/>
              <w:rPr>
                <w:b/>
                <w:bCs/>
                <w:sz w:val="18"/>
                <w:szCs w:val="18"/>
              </w:rPr>
            </w:pPr>
            <w:r w:rsidRPr="003068E3">
              <w:rPr>
                <w:b/>
                <w:bCs/>
                <w:sz w:val="18"/>
                <w:szCs w:val="18"/>
              </w:rPr>
              <w:t>954.73</w:t>
            </w:r>
            <w:r w:rsidR="00630A1E">
              <w:rPr>
                <w:b/>
                <w:bCs/>
                <w:sz w:val="18"/>
                <w:szCs w:val="18"/>
              </w:rPr>
              <w:t>2</w:t>
            </w:r>
          </w:p>
        </w:tc>
      </w:tr>
    </w:tbl>
    <w:p w:rsidR="00955A65" w:rsidRPr="00FD7B48" w:rsidRDefault="00955A65" w:rsidP="00B63A81">
      <w:pPr>
        <w:sectPr w:rsidR="00955A65" w:rsidRPr="00FD7B48" w:rsidSect="00280DE6">
          <w:headerReference w:type="first" r:id="rId17"/>
          <w:pgSz w:w="11907" w:h="16839" w:code="9"/>
          <w:pgMar w:top="1418" w:right="1134" w:bottom="1134" w:left="1701" w:header="720" w:footer="720" w:gutter="0"/>
          <w:cols w:space="720"/>
          <w:titlePg/>
          <w:docGrid w:linePitch="272"/>
        </w:sectPr>
      </w:pPr>
    </w:p>
    <w:p w:rsidR="009657C6" w:rsidRDefault="007807EC" w:rsidP="007807EC">
      <w:pPr>
        <w:pStyle w:val="Ttulo1"/>
        <w:jc w:val="left"/>
      </w:pPr>
      <w:bookmarkStart w:id="4" w:name="_Toc512497263"/>
      <w:r w:rsidRPr="00FD7B48">
        <w:lastRenderedPageBreak/>
        <w:t>Notas Explicativas</w:t>
      </w:r>
      <w:bookmarkEnd w:id="4"/>
    </w:p>
    <w:p w:rsidR="00595A08" w:rsidRPr="00595A08" w:rsidRDefault="00595A08" w:rsidP="00595A08"/>
    <w:p w:rsidR="009657C6" w:rsidRPr="006338C6" w:rsidRDefault="009657C6" w:rsidP="00AD73F5">
      <w:pPr>
        <w:pStyle w:val="Ttulo"/>
        <w:ind w:left="0" w:firstLine="0"/>
        <w:outlineLvl w:val="0"/>
      </w:pPr>
      <w:bookmarkStart w:id="5" w:name="_Toc512497264"/>
      <w:r w:rsidRPr="006338C6">
        <w:t>Contexto Operacional</w:t>
      </w:r>
      <w:bookmarkEnd w:id="5"/>
    </w:p>
    <w:p w:rsidR="009657C6" w:rsidRPr="00595A08" w:rsidRDefault="009657C6" w:rsidP="009657C6"/>
    <w:p w:rsidR="009657C6" w:rsidRPr="00595A08" w:rsidRDefault="009657C6" w:rsidP="00230EA8">
      <w:pPr>
        <w:jc w:val="both"/>
      </w:pPr>
      <w:r w:rsidRPr="00595A08">
        <w:t xml:space="preserve">O Hospital de Clínicas de Porto Alegre </w:t>
      </w:r>
      <w:r w:rsidR="00404359">
        <w:t xml:space="preserve">- </w:t>
      </w:r>
      <w:r w:rsidRPr="00595A08">
        <w:t xml:space="preserve">HCPA com sede em Porto Alegre, Estado do Rio Grande do Sul, </w:t>
      </w:r>
      <w:r w:rsidR="00345080">
        <w:t xml:space="preserve">é uma </w:t>
      </w:r>
      <w:r w:rsidRPr="00595A08">
        <w:t>empresa pública de direito privado, criado pela Lei n º 5.604, de 02 de setembro de 1970</w:t>
      </w:r>
      <w:r w:rsidR="000F54A5">
        <w:t xml:space="preserve">, sendo regido pelo seu Estatuto Social </w:t>
      </w:r>
      <w:r w:rsidR="00345080">
        <w:t>e</w:t>
      </w:r>
      <w:r w:rsidRPr="00595A08">
        <w:t xml:space="preserve"> caracteriza-se por ser uma Unidade Orçamentária do Ministério da Educação (MEC), com patrimônio próprio e autonomia administrativa. Vincula-se academicamente à Universidade Federal do Rio Grande do Sul (UFRGS) como apoio ao ensino e a pesquisa junto aos cursos da Faculdade de Medicina, da Escola de Enfermagem e demais cursos vinculados à área da saúde, sendo campo de aprendizado para cursos de graduação e pós-graduação.</w:t>
      </w:r>
    </w:p>
    <w:p w:rsidR="009657C6" w:rsidRPr="00595A08" w:rsidRDefault="009657C6" w:rsidP="00230EA8">
      <w:pPr>
        <w:jc w:val="both"/>
      </w:pPr>
    </w:p>
    <w:p w:rsidR="003A4A3E" w:rsidRDefault="009657C6" w:rsidP="00230EA8">
      <w:pPr>
        <w:jc w:val="both"/>
      </w:pPr>
      <w:r w:rsidRPr="00595A08">
        <w:t xml:space="preserve">É um Hospital Geral Universitário, que presta assistência médico-hospitalar a pacientes do Sistema Único de Saúde (SUS), a Convênios Privados e a </w:t>
      </w:r>
      <w:r w:rsidR="00190E48">
        <w:t>P</w:t>
      </w:r>
      <w:r w:rsidRPr="00595A08">
        <w:t xml:space="preserve">acientes </w:t>
      </w:r>
      <w:r w:rsidR="00190E48">
        <w:t>P</w:t>
      </w:r>
      <w:r w:rsidRPr="00595A08">
        <w:t xml:space="preserve">articulares.  </w:t>
      </w:r>
    </w:p>
    <w:p w:rsidR="003A4A3E" w:rsidRDefault="003A4A3E" w:rsidP="00230EA8">
      <w:pPr>
        <w:jc w:val="both"/>
      </w:pPr>
    </w:p>
    <w:p w:rsidR="003E1BD4" w:rsidRDefault="00572C9E" w:rsidP="00572C9E">
      <w:pPr>
        <w:autoSpaceDE w:val="0"/>
        <w:autoSpaceDN w:val="0"/>
        <w:adjustRightInd w:val="0"/>
        <w:jc w:val="both"/>
      </w:pPr>
      <w:r w:rsidRPr="00A41070">
        <w:t xml:space="preserve">Em 21 de novembro de 2017 foi aprovada </w:t>
      </w:r>
      <w:r w:rsidR="00A41070" w:rsidRPr="00A41070">
        <w:t>a alteração do Estatuto Social da Instituição</w:t>
      </w:r>
      <w:r w:rsidRPr="00A41070">
        <w:t xml:space="preserve"> adequando-o a Lei nº 13.303 de 27 de julho de 2016 (Lei das Estatais)</w:t>
      </w:r>
      <w:r w:rsidR="00697DA8">
        <w:t xml:space="preserve"> </w:t>
      </w:r>
      <w:r w:rsidR="00697DA8" w:rsidRPr="00697DA8">
        <w:t>e ao Decreto nº 8.945 de 27 de dezembro de 2016</w:t>
      </w:r>
      <w:r w:rsidR="00697DA8">
        <w:t>.</w:t>
      </w:r>
      <w:r w:rsidRPr="00A41070">
        <w:t xml:space="preserve"> A partir de então, do ponto de vista organizacional, a Assembleia Geral, representada pela União, delibera sobre todos os negócios relativos ao seu objeto, sendo regido pela Lei nº 6.404, de 15 de dezembro de 1976</w:t>
      </w:r>
      <w:r w:rsidR="003E1BD4">
        <w:t xml:space="preserve">. </w:t>
      </w:r>
    </w:p>
    <w:p w:rsidR="008F0681" w:rsidRDefault="008F0681" w:rsidP="00572C9E">
      <w:pPr>
        <w:autoSpaceDE w:val="0"/>
        <w:autoSpaceDN w:val="0"/>
        <w:adjustRightInd w:val="0"/>
        <w:jc w:val="both"/>
      </w:pPr>
    </w:p>
    <w:p w:rsidR="003E1BD4" w:rsidRDefault="003E1BD4" w:rsidP="00572C9E">
      <w:pPr>
        <w:autoSpaceDE w:val="0"/>
        <w:autoSpaceDN w:val="0"/>
        <w:adjustRightInd w:val="0"/>
        <w:jc w:val="both"/>
      </w:pPr>
      <w:r>
        <w:t>O HCPA é</w:t>
      </w:r>
      <w:r w:rsidR="00572C9E" w:rsidRPr="00A41070">
        <w:t xml:space="preserve"> administrado pelo Conselho de Administração (CA) </w:t>
      </w:r>
      <w:r w:rsidR="00572C9E" w:rsidRPr="00697DA8">
        <w:t xml:space="preserve">como órgão </w:t>
      </w:r>
      <w:r w:rsidR="00697DA8">
        <w:t>colegiado de deliberação estratégica e controle da gestão</w:t>
      </w:r>
      <w:r>
        <w:t xml:space="preserve"> e pela Diretoria Executiva (DE) como órgão executivo de administração e representação. O Conselho de Administração (CA) é</w:t>
      </w:r>
      <w:r w:rsidR="00572C9E" w:rsidRPr="00BA2BDE">
        <w:t xml:space="preserve"> composto por integrantes vinculados à Universidade Federal do Rio Grande do Sul (UFRGS) e membros representantes dos Ministérios da Educação (MEC), da Saúde (MS), da Fazenda (MF) e do Planejamento, </w:t>
      </w:r>
      <w:r w:rsidR="00572C9E">
        <w:t>Desenvolvimento</w:t>
      </w:r>
      <w:r w:rsidR="00572C9E" w:rsidRPr="00BA2BDE">
        <w:t xml:space="preserve"> e Gestão </w:t>
      </w:r>
      <w:r w:rsidR="0082561D">
        <w:t>(MP</w:t>
      </w:r>
      <w:r w:rsidR="00F32B9B">
        <w:t>)</w:t>
      </w:r>
      <w:r>
        <w:t xml:space="preserve"> e a Diretoria Executiva (DE)</w:t>
      </w:r>
      <w:r w:rsidR="00F32B9B">
        <w:t xml:space="preserve"> que</w:t>
      </w:r>
      <w:r>
        <w:t xml:space="preserve"> é</w:t>
      </w:r>
      <w:r w:rsidR="00572C9E" w:rsidRPr="00BA2BDE">
        <w:t xml:space="preserve"> composta por Diretora-Presidente, </w:t>
      </w:r>
      <w:r w:rsidR="00572C9E" w:rsidRPr="00222B2B">
        <w:t>Diretor</w:t>
      </w:r>
      <w:r w:rsidR="0082561D">
        <w:t>-</w:t>
      </w:r>
      <w:r w:rsidR="00572C9E" w:rsidRPr="00222B2B">
        <w:t>Médico e Diretor Administrativo.</w:t>
      </w:r>
    </w:p>
    <w:p w:rsidR="003E1BD4" w:rsidRDefault="003E1BD4" w:rsidP="00572C9E">
      <w:pPr>
        <w:autoSpaceDE w:val="0"/>
        <w:autoSpaceDN w:val="0"/>
        <w:adjustRightInd w:val="0"/>
        <w:jc w:val="both"/>
      </w:pPr>
    </w:p>
    <w:p w:rsidR="00572C9E" w:rsidRDefault="003E1BD4" w:rsidP="00572C9E">
      <w:pPr>
        <w:autoSpaceDE w:val="0"/>
        <w:autoSpaceDN w:val="0"/>
        <w:adjustRightInd w:val="0"/>
        <w:jc w:val="both"/>
      </w:pPr>
      <w:r>
        <w:t xml:space="preserve"> Os professores da UFRGS atuam, no HCPA, </w:t>
      </w:r>
      <w:r w:rsidR="00572C9E" w:rsidRPr="00222B2B">
        <w:t>na preceptoria dos programas de Resi</w:t>
      </w:r>
      <w:r w:rsidR="00572C9E" w:rsidRPr="00BA2BDE">
        <w:t xml:space="preserve">dência Médica e </w:t>
      </w:r>
      <w:r w:rsidR="00572C9E" w:rsidRPr="00595A08">
        <w:t>Residência Integrada Multiprofissional em Saúde (RIMS). Os funcionários são contratados sob o regime da CLT, e o Capital Social pertence integralmente à União Federal.</w:t>
      </w:r>
      <w:r w:rsidR="00572C9E">
        <w:t xml:space="preserve"> Possui como órgão fiscalizador o Conselho Fiscal, composto por dois membros do Ministério da Educação (MEC) e um membro representante do Ministério da Fazenda (MF).</w:t>
      </w:r>
    </w:p>
    <w:p w:rsidR="001A2A78" w:rsidRDefault="001A2A78" w:rsidP="001A2A78">
      <w:pPr>
        <w:autoSpaceDE w:val="0"/>
        <w:autoSpaceDN w:val="0"/>
        <w:adjustRightInd w:val="0"/>
        <w:jc w:val="both"/>
      </w:pPr>
    </w:p>
    <w:p w:rsidR="001A2A78" w:rsidRDefault="001A2A78" w:rsidP="001A2A78">
      <w:pPr>
        <w:autoSpaceDE w:val="0"/>
        <w:autoSpaceDN w:val="0"/>
        <w:adjustRightInd w:val="0"/>
        <w:jc w:val="both"/>
      </w:pPr>
      <w:r w:rsidRPr="00ED655B">
        <w:t>Em</w:t>
      </w:r>
      <w:r w:rsidR="00ED655B" w:rsidRPr="00ED655B">
        <w:t xml:space="preserve"> 20 de abril de 2018 </w:t>
      </w:r>
      <w:r w:rsidRPr="00ED655B">
        <w:t>as demonstrações financeiras foram aprovadas pela Assembleia Geral Ordinária.</w:t>
      </w:r>
    </w:p>
    <w:p w:rsidR="001A2A78" w:rsidRPr="00595A08" w:rsidRDefault="001A2A78" w:rsidP="00572C9E">
      <w:pPr>
        <w:autoSpaceDE w:val="0"/>
        <w:autoSpaceDN w:val="0"/>
        <w:adjustRightInd w:val="0"/>
        <w:jc w:val="both"/>
      </w:pPr>
    </w:p>
    <w:p w:rsidR="009657C6" w:rsidRDefault="009657C6" w:rsidP="009657C6">
      <w:pPr>
        <w:autoSpaceDE w:val="0"/>
        <w:autoSpaceDN w:val="0"/>
        <w:adjustRightInd w:val="0"/>
        <w:jc w:val="both"/>
      </w:pPr>
    </w:p>
    <w:p w:rsidR="009657C6" w:rsidRPr="006338C6" w:rsidRDefault="00230EA8" w:rsidP="00AD73F5">
      <w:pPr>
        <w:pStyle w:val="Ttulo"/>
        <w:ind w:left="0" w:firstLine="0"/>
        <w:outlineLvl w:val="0"/>
      </w:pPr>
      <w:bookmarkStart w:id="6" w:name="_Toc512497265"/>
      <w:r w:rsidRPr="006338C6">
        <w:t>Principais Políticas Contábeis</w:t>
      </w:r>
      <w:bookmarkEnd w:id="6"/>
    </w:p>
    <w:p w:rsidR="009657C6" w:rsidRPr="00595A08" w:rsidRDefault="009657C6" w:rsidP="009657C6">
      <w:pPr>
        <w:jc w:val="both"/>
      </w:pPr>
    </w:p>
    <w:p w:rsidR="009657C6" w:rsidRPr="00595A08" w:rsidRDefault="009657C6" w:rsidP="009657C6">
      <w:pPr>
        <w:jc w:val="both"/>
      </w:pPr>
      <w:r w:rsidRPr="00595A08">
        <w:t xml:space="preserve">As principais políticas contábeis aplicadas na preparação destas </w:t>
      </w:r>
      <w:r w:rsidR="00416B8B" w:rsidRPr="00595A08">
        <w:t>Demonstrações Financeiras</w:t>
      </w:r>
      <w:r w:rsidRPr="00595A08">
        <w:t xml:space="preserve"> estão definidas </w:t>
      </w:r>
      <w:r w:rsidR="006B3C15" w:rsidRPr="00595A08">
        <w:t>a seguir</w:t>
      </w:r>
      <w:r w:rsidRPr="00595A08">
        <w:t>. Essas políticas foram aplicadas de modo consistente em t</w:t>
      </w:r>
      <w:r w:rsidR="006B3C15" w:rsidRPr="00595A08">
        <w:t>odos os exercícios apresentados.</w:t>
      </w:r>
    </w:p>
    <w:p w:rsidR="009657C6" w:rsidRPr="00595A08" w:rsidRDefault="009657C6" w:rsidP="009657C6">
      <w:pPr>
        <w:jc w:val="both"/>
        <w:rPr>
          <w:b/>
        </w:rPr>
      </w:pPr>
    </w:p>
    <w:p w:rsidR="004055B7" w:rsidRPr="006338C6" w:rsidRDefault="004055B7" w:rsidP="00BF21BA">
      <w:pPr>
        <w:pStyle w:val="Subttulo"/>
        <w:numPr>
          <w:ilvl w:val="1"/>
          <w:numId w:val="3"/>
        </w:numPr>
        <w:ind w:left="0" w:hanging="426"/>
      </w:pPr>
      <w:r w:rsidRPr="006338C6">
        <w:t>Base de Preparação</w:t>
      </w:r>
    </w:p>
    <w:p w:rsidR="004055B7" w:rsidRPr="00595A08" w:rsidRDefault="004055B7" w:rsidP="009657C6">
      <w:pPr>
        <w:jc w:val="both"/>
        <w:rPr>
          <w:b/>
        </w:rPr>
      </w:pPr>
    </w:p>
    <w:p w:rsidR="009657C6" w:rsidRPr="00FD7B48" w:rsidRDefault="009657C6" w:rsidP="009657C6">
      <w:pPr>
        <w:jc w:val="both"/>
      </w:pPr>
      <w:r w:rsidRPr="00FD7B48">
        <w:t xml:space="preserve">As </w:t>
      </w:r>
      <w:r w:rsidR="00416B8B" w:rsidRPr="00FD7B48">
        <w:t>Demonstrações Financeiras</w:t>
      </w:r>
      <w:r w:rsidRPr="00FD7B48">
        <w:t xml:space="preserve"> foram elaboradas e são apresentadas em conformidade com as práticas contábeis adotadas no Brasil</w:t>
      </w:r>
      <w:r w:rsidR="00E176E1">
        <w:t xml:space="preserve"> e atendem</w:t>
      </w:r>
      <w:r w:rsidRPr="00FD7B48">
        <w:t xml:space="preserve"> as disposições contidas na legislação societária (Lei 6.404/76 e alterações subsequentes incluindo a aplicação da Lei nº 11.638/07), as Normas Brasileiras de Contabilidade, os p</w:t>
      </w:r>
      <w:r w:rsidR="00261113" w:rsidRPr="00FD7B48">
        <w:t>ronunciamentos e</w:t>
      </w:r>
      <w:r w:rsidRPr="00FD7B48">
        <w:t xml:space="preserve"> as orientações e as interpretações emitidas pelo Comitê de Pronunciamentos Contábeis (CPC) aprovadas pelo Conselho Federal de Contabilidade.</w:t>
      </w:r>
    </w:p>
    <w:p w:rsidR="009657C6" w:rsidRPr="00595A08" w:rsidRDefault="009657C6" w:rsidP="009657C6">
      <w:pPr>
        <w:jc w:val="both"/>
      </w:pPr>
    </w:p>
    <w:p w:rsidR="009657C6" w:rsidRPr="00595A08" w:rsidRDefault="009657C6" w:rsidP="009657C6">
      <w:pPr>
        <w:jc w:val="both"/>
      </w:pPr>
      <w:r w:rsidRPr="00595A08">
        <w:t xml:space="preserve">A apresentação da Demonstração do Valor Adicionado (DVA) é requerida pela legislação societária brasileira e pelas práticas contábeis adotadas no Brasil aplicáveis às companhias abertas. Sendo assim, essa demonstração está sendo apresentada pela Instituição como informação suplementar, sem prejuízo </w:t>
      </w:r>
      <w:r w:rsidR="00261113" w:rsidRPr="00595A08">
        <w:t>ao</w:t>
      </w:r>
      <w:r w:rsidR="007A0CE9" w:rsidRPr="00595A08">
        <w:t xml:space="preserve"> conjunto das </w:t>
      </w:r>
      <w:r w:rsidR="00416B8B" w:rsidRPr="00595A08">
        <w:t>Demonstrações Financeiras</w:t>
      </w:r>
      <w:r w:rsidRPr="00595A08">
        <w:t>.</w:t>
      </w:r>
    </w:p>
    <w:p w:rsidR="00230EA8" w:rsidRPr="00595A08" w:rsidRDefault="00230EA8" w:rsidP="009657C6">
      <w:pPr>
        <w:jc w:val="both"/>
      </w:pPr>
    </w:p>
    <w:p w:rsidR="009657C6" w:rsidRDefault="009657C6" w:rsidP="009657C6">
      <w:pPr>
        <w:jc w:val="both"/>
      </w:pPr>
      <w:r w:rsidRPr="00595A08">
        <w:t xml:space="preserve">As </w:t>
      </w:r>
      <w:r w:rsidR="00416B8B" w:rsidRPr="00595A08">
        <w:t>Demonstrações Financeiras</w:t>
      </w:r>
      <w:r w:rsidRPr="00595A08">
        <w:t xml:space="preserve"> foram preparadas, considerando o custo histórico como base de valor e ajustadas para refletir o custo atribuído de todo o Ativo Imobilizado.</w:t>
      </w:r>
    </w:p>
    <w:p w:rsidR="004055B7" w:rsidRPr="006338C6" w:rsidRDefault="004055B7" w:rsidP="00BF21BA">
      <w:pPr>
        <w:pStyle w:val="Subttulo"/>
        <w:numPr>
          <w:ilvl w:val="1"/>
          <w:numId w:val="3"/>
        </w:numPr>
        <w:ind w:left="0" w:hanging="426"/>
      </w:pPr>
      <w:r w:rsidRPr="006338C6">
        <w:lastRenderedPageBreak/>
        <w:t xml:space="preserve">Mudanças nas </w:t>
      </w:r>
      <w:r w:rsidR="00B74CEE">
        <w:t>P</w:t>
      </w:r>
      <w:r w:rsidRPr="006338C6">
        <w:t xml:space="preserve">olíticas </w:t>
      </w:r>
      <w:r w:rsidR="00B74CEE">
        <w:t>C</w:t>
      </w:r>
      <w:r w:rsidRPr="006338C6">
        <w:t xml:space="preserve">ontábeis e </w:t>
      </w:r>
      <w:r w:rsidR="00B74CEE">
        <w:t>D</w:t>
      </w:r>
      <w:r w:rsidRPr="006338C6">
        <w:t>ivulgações</w:t>
      </w:r>
    </w:p>
    <w:p w:rsidR="009657C6" w:rsidRPr="00595A08" w:rsidRDefault="009657C6" w:rsidP="009657C6">
      <w:pPr>
        <w:jc w:val="both"/>
        <w:rPr>
          <w:rFonts w:ascii="Arial" w:hAnsi="Arial" w:cs="Arial"/>
        </w:rPr>
      </w:pPr>
    </w:p>
    <w:p w:rsidR="00DC261B" w:rsidRDefault="00E9394C" w:rsidP="00DC261B">
      <w:pPr>
        <w:jc w:val="both"/>
      </w:pPr>
      <w:r>
        <w:t xml:space="preserve">Em </w:t>
      </w:r>
      <w:r w:rsidR="00B74CEE">
        <w:t>j</w:t>
      </w:r>
      <w:r w:rsidR="004D5DBC">
        <w:t>ulho de 2017,</w:t>
      </w:r>
      <w:r w:rsidR="00DC261B" w:rsidRPr="00232938">
        <w:t xml:space="preserve"> foi atualizada a </w:t>
      </w:r>
      <w:proofErr w:type="spellStart"/>
      <w:r w:rsidR="00DC261B" w:rsidRPr="00232938">
        <w:t>macrofunção</w:t>
      </w:r>
      <w:proofErr w:type="spellEnd"/>
      <w:r w:rsidR="00DC261B" w:rsidRPr="00232938">
        <w:t xml:space="preserve"> SIAFI nº 02.11.22 </w:t>
      </w:r>
      <w:r w:rsidR="002A7691">
        <w:t>a qual</w:t>
      </w:r>
      <w:r w:rsidR="00524DD6">
        <w:t xml:space="preserve"> normatiza as p</w:t>
      </w:r>
      <w:r w:rsidR="00DC261B" w:rsidRPr="00232938">
        <w:t>articipações da Uniã</w:t>
      </w:r>
      <w:r w:rsidR="002A7691">
        <w:t>o no Capital das Empresas e define o reconhecimento dos valores repassados pela</w:t>
      </w:r>
      <w:r w:rsidR="00DC261B" w:rsidRPr="00232938">
        <w:t xml:space="preserve"> União para investimentos</w:t>
      </w:r>
      <w:r w:rsidR="002A7691">
        <w:t>,</w:t>
      </w:r>
      <w:r w:rsidR="00DC261B" w:rsidRPr="00232938">
        <w:t xml:space="preserve"> como Adiantamento p</w:t>
      </w:r>
      <w:r w:rsidR="00C648AA">
        <w:t>ara Futuro Aumento de Capital (</w:t>
      </w:r>
      <w:r w:rsidR="00DC261B" w:rsidRPr="00232938">
        <w:t>AFAC</w:t>
      </w:r>
      <w:r w:rsidR="002A7691">
        <w:t>)</w:t>
      </w:r>
      <w:r w:rsidR="00B74CEE">
        <w:t>. Atendendo a estas orientações,</w:t>
      </w:r>
      <w:r w:rsidR="00010E01">
        <w:t xml:space="preserve"> o</w:t>
      </w:r>
      <w:r w:rsidR="002A7691">
        <w:t xml:space="preserve">s valores recebidos até 31/12/2016 </w:t>
      </w:r>
      <w:r w:rsidR="00B74CEE">
        <w:t>foram</w:t>
      </w:r>
      <w:r w:rsidR="002A7691">
        <w:t xml:space="preserve"> </w:t>
      </w:r>
      <w:r w:rsidR="00DC261B" w:rsidRPr="00232938">
        <w:t>registrado</w:t>
      </w:r>
      <w:r w:rsidR="00DC261B">
        <w:t>s</w:t>
      </w:r>
      <w:r w:rsidR="000B3EF3">
        <w:t xml:space="preserve"> no Passivo Não Circulante (</w:t>
      </w:r>
      <w:r w:rsidR="00F201AA">
        <w:t>PNC</w:t>
      </w:r>
      <w:r w:rsidR="000B3EF3">
        <w:t xml:space="preserve">) </w:t>
      </w:r>
      <w:r w:rsidR="00DC261B" w:rsidRPr="00232938">
        <w:t>como Instrumentos Financeiros</w:t>
      </w:r>
      <w:r w:rsidR="002A7691">
        <w:t xml:space="preserve"> </w:t>
      </w:r>
      <w:r w:rsidR="000B3EF3">
        <w:t>e corrigidos</w:t>
      </w:r>
      <w:r w:rsidR="00012CA5">
        <w:t xml:space="preserve"> </w:t>
      </w:r>
      <w:r w:rsidR="00392C89">
        <w:t>pela Taxa SELIC</w:t>
      </w:r>
      <w:r w:rsidR="001F78C9">
        <w:t xml:space="preserve"> </w:t>
      </w:r>
      <w:r w:rsidR="001F78C9" w:rsidRPr="00E35CAE">
        <w:t>nos termos do Decreto nº 2.673/1998</w:t>
      </w:r>
      <w:r w:rsidR="002A7691">
        <w:t xml:space="preserve"> e os valores recebidos a partir de janeiro de 2017 </w:t>
      </w:r>
      <w:r w:rsidR="00B74CEE">
        <w:t>foram</w:t>
      </w:r>
      <w:r w:rsidR="00DC261B" w:rsidRPr="00232938">
        <w:t xml:space="preserve"> </w:t>
      </w:r>
      <w:r w:rsidR="000B3EF3">
        <w:t xml:space="preserve">registrados </w:t>
      </w:r>
      <w:r w:rsidR="00DC261B" w:rsidRPr="00232938">
        <w:t>no Patrimônio Líquido</w:t>
      </w:r>
      <w:r w:rsidR="000B3EF3">
        <w:t xml:space="preserve"> (</w:t>
      </w:r>
      <w:r w:rsidR="00F201AA">
        <w:t>PL</w:t>
      </w:r>
      <w:r w:rsidR="000B3EF3">
        <w:t>)</w:t>
      </w:r>
      <w:r w:rsidR="00DC261B" w:rsidRPr="00232938">
        <w:t xml:space="preserve"> como Instrumento</w:t>
      </w:r>
      <w:r w:rsidR="000B3EF3">
        <w:t>s</w:t>
      </w:r>
      <w:r w:rsidR="00DC261B" w:rsidRPr="00232938">
        <w:t xml:space="preserve"> Patrimonia</w:t>
      </w:r>
      <w:r w:rsidR="002A7691">
        <w:t>is</w:t>
      </w:r>
      <w:r w:rsidR="00833D93">
        <w:t>.</w:t>
      </w:r>
      <w:r w:rsidR="002A7691">
        <w:t xml:space="preserve"> Esta </w:t>
      </w:r>
      <w:r w:rsidR="00833D93">
        <w:t>Norma d</w:t>
      </w:r>
      <w:r w:rsidR="00DC261B" w:rsidRPr="00232938">
        <w:t>efine também, que os repasses recebidos da União para custeio (sem contraprestação da empresa investida) devem ser reconhecidos no resultado</w:t>
      </w:r>
      <w:r w:rsidR="00A847F5">
        <w:t xml:space="preserve"> do exercício</w:t>
      </w:r>
      <w:r w:rsidR="00DC261B">
        <w:t>.</w:t>
      </w:r>
    </w:p>
    <w:p w:rsidR="00DC261B" w:rsidRDefault="00DC261B" w:rsidP="00DC261B">
      <w:pPr>
        <w:jc w:val="both"/>
      </w:pPr>
    </w:p>
    <w:p w:rsidR="00DC261B" w:rsidRDefault="00B67A1F" w:rsidP="00DC261B">
      <w:pPr>
        <w:jc w:val="both"/>
      </w:pPr>
      <w:r>
        <w:t>Devido ao exposto</w:t>
      </w:r>
      <w:r w:rsidR="00DC261B">
        <w:t xml:space="preserve">, os valores de Subvenções e Doações Governamentais, que </w:t>
      </w:r>
      <w:r w:rsidR="00340989">
        <w:t xml:space="preserve">até 30 de junho de 2017 </w:t>
      </w:r>
      <w:r>
        <w:t xml:space="preserve">eram </w:t>
      </w:r>
      <w:r w:rsidR="004676CD">
        <w:t xml:space="preserve"> </w:t>
      </w:r>
      <w:r w:rsidR="00DC261B">
        <w:t xml:space="preserve">registrados </w:t>
      </w:r>
      <w:r w:rsidR="007351E5">
        <w:t xml:space="preserve">no Passivo Não Circulante (PNC) </w:t>
      </w:r>
      <w:r w:rsidR="00EE7A9E">
        <w:t xml:space="preserve">e reconhecidos </w:t>
      </w:r>
      <w:r w:rsidR="00FE21B5">
        <w:t xml:space="preserve">no resultado </w:t>
      </w:r>
      <w:r w:rsidR="005418EA">
        <w:t xml:space="preserve">quando da sua realização, </w:t>
      </w:r>
      <w:r w:rsidR="00DC261B">
        <w:t>em conformidade com a</w:t>
      </w:r>
      <w:r w:rsidR="00DC261B" w:rsidRPr="00232938">
        <w:t xml:space="preserve"> NBC T TG nº 07</w:t>
      </w:r>
      <w:r w:rsidR="000902F4">
        <w:t>,</w:t>
      </w:r>
      <w:r w:rsidR="00DC261B">
        <w:t xml:space="preserve"> foram transferidos para </w:t>
      </w:r>
      <w:r w:rsidR="000902F4">
        <w:t xml:space="preserve">as </w:t>
      </w:r>
      <w:r w:rsidR="00DC261B">
        <w:t>conta</w:t>
      </w:r>
      <w:r w:rsidR="000902F4">
        <w:t>s</w:t>
      </w:r>
      <w:r w:rsidR="00DC261B">
        <w:t xml:space="preserve"> de Adiantamento para Futuro Aumento de Capital </w:t>
      </w:r>
      <w:r w:rsidR="00C648AA">
        <w:t>(</w:t>
      </w:r>
      <w:r w:rsidR="00DC261B">
        <w:t>AFAC</w:t>
      </w:r>
      <w:r w:rsidR="00C648AA">
        <w:t>)</w:t>
      </w:r>
      <w:r w:rsidR="000902F4">
        <w:t xml:space="preserve"> </w:t>
      </w:r>
      <w:r w:rsidR="00BB6112">
        <w:t xml:space="preserve">e </w:t>
      </w:r>
      <w:r w:rsidR="00CA64DC">
        <w:t>os</w:t>
      </w:r>
      <w:r w:rsidR="007E6E67">
        <w:t xml:space="preserve"> </w:t>
      </w:r>
      <w:r>
        <w:t>valores registrados em Subvenções que correspondiam a</w:t>
      </w:r>
      <w:r w:rsidR="00CA64DC">
        <w:t xml:space="preserve"> repasses recebidos</w:t>
      </w:r>
      <w:r w:rsidR="000902F4">
        <w:t xml:space="preserve"> para Custeio</w:t>
      </w:r>
      <w:r>
        <w:t xml:space="preserve"> e o saldo existente na conta de Custos Diferidos</w:t>
      </w:r>
      <w:r w:rsidR="005418EA">
        <w:t xml:space="preserve"> (valor já realizado)</w:t>
      </w:r>
      <w:r w:rsidR="000902F4">
        <w:t xml:space="preserve"> foram transferidos para </w:t>
      </w:r>
      <w:r w:rsidR="00BB6112">
        <w:t>o Resultado do Exercício de 2017.</w:t>
      </w:r>
    </w:p>
    <w:p w:rsidR="003B139D" w:rsidRPr="00C46EBF" w:rsidRDefault="003B139D" w:rsidP="00DC261B">
      <w:pPr>
        <w:jc w:val="both"/>
        <w:rPr>
          <w:color w:val="5F497A" w:themeColor="accent4" w:themeShade="BF"/>
        </w:rPr>
      </w:pPr>
    </w:p>
    <w:p w:rsidR="00031D7A" w:rsidRDefault="00C84793" w:rsidP="00756A9F">
      <w:pPr>
        <w:jc w:val="both"/>
      </w:pPr>
      <w:r w:rsidRPr="00C84793">
        <w:rPr>
          <w:b/>
        </w:rPr>
        <w:t>Nota</w:t>
      </w:r>
      <w:r>
        <w:rPr>
          <w:b/>
        </w:rPr>
        <w:t xml:space="preserve"> d</w:t>
      </w:r>
      <w:r w:rsidR="001E1C29">
        <w:rPr>
          <w:b/>
        </w:rPr>
        <w:t>e</w:t>
      </w:r>
      <w:r>
        <w:rPr>
          <w:b/>
        </w:rPr>
        <w:t xml:space="preserve"> conciliação</w:t>
      </w:r>
      <w:r>
        <w:t xml:space="preserve">: </w:t>
      </w:r>
      <w:r w:rsidR="001F78C9">
        <w:t xml:space="preserve">Os registros </w:t>
      </w:r>
      <w:r w:rsidR="00265263">
        <w:t>no SIAFI</w:t>
      </w:r>
      <w:r w:rsidR="005F19D0">
        <w:t>, com base na Lei, nº 4.320 de 1964,</w:t>
      </w:r>
      <w:r w:rsidR="004E2927">
        <w:t xml:space="preserve"> referente </w:t>
      </w:r>
      <w:r w:rsidR="00265263">
        <w:t xml:space="preserve">a correção </w:t>
      </w:r>
      <w:r w:rsidR="004E2927">
        <w:t xml:space="preserve">do AFAC </w:t>
      </w:r>
      <w:r w:rsidR="00265263">
        <w:t>pela taxa SELIC</w:t>
      </w:r>
      <w:r w:rsidR="00620DF7">
        <w:t xml:space="preserve"> e às reversões das Subvenções para Custeio e do saldo na conta Custos Diferidos</w:t>
      </w:r>
      <w:r w:rsidR="00D6282F">
        <w:t xml:space="preserve">, </w:t>
      </w:r>
      <w:r w:rsidR="001F78C9">
        <w:t xml:space="preserve">foram </w:t>
      </w:r>
      <w:r w:rsidR="002D4C94">
        <w:t>realizados em conta de Ajustes</w:t>
      </w:r>
      <w:r w:rsidR="001F78C9">
        <w:t xml:space="preserve"> de Exercícios Anteriores, conforme prevê a</w:t>
      </w:r>
      <w:r w:rsidR="00C46EBF" w:rsidRPr="00E35CAE">
        <w:t xml:space="preserve"> Nota Técnica nº 04/2017/CCON/CGF/SPO/SPO</w:t>
      </w:r>
      <w:r>
        <w:t>,</w:t>
      </w:r>
      <w:r w:rsidR="00FC0588">
        <w:t xml:space="preserve"> enquanto que </w:t>
      </w:r>
      <w:r w:rsidR="00B56A6B">
        <w:t xml:space="preserve">na Contabilidade Societária, </w:t>
      </w:r>
      <w:r>
        <w:t xml:space="preserve">levantada </w:t>
      </w:r>
      <w:r w:rsidR="00B56A6B">
        <w:t xml:space="preserve">com base na Lei, nº 6.404 de 1976, foram </w:t>
      </w:r>
      <w:r w:rsidR="00FC0588">
        <w:t>realizados</w:t>
      </w:r>
      <w:r w:rsidR="00B56A6B">
        <w:t xml:space="preserve"> em contas de Resultado do Exercício de 2017</w:t>
      </w:r>
      <w:r w:rsidR="00031D7A">
        <w:t>.</w:t>
      </w:r>
    </w:p>
    <w:p w:rsidR="00015C31" w:rsidRDefault="00015C31" w:rsidP="00756A9F">
      <w:pPr>
        <w:jc w:val="both"/>
      </w:pPr>
    </w:p>
    <w:p w:rsidR="006577DE" w:rsidRDefault="00031D7A" w:rsidP="00756A9F">
      <w:pPr>
        <w:jc w:val="both"/>
      </w:pPr>
      <w:r>
        <w:t>O</w:t>
      </w:r>
      <w:r w:rsidR="001E1C29">
        <w:t xml:space="preserve"> </w:t>
      </w:r>
      <w:r w:rsidR="004E2927" w:rsidRPr="004E2927">
        <w:t>registro</w:t>
      </w:r>
      <w:r>
        <w:t xml:space="preserve"> em conta de Resultado do Exercício de 2017 deve-se ao</w:t>
      </w:r>
      <w:r w:rsidR="001E1C29" w:rsidRPr="004E2927">
        <w:t xml:space="preserve"> fato  de </w:t>
      </w:r>
      <w:r w:rsidR="004E2927" w:rsidRPr="004E2927">
        <w:t>que a</w:t>
      </w:r>
      <w:r w:rsidR="007D3B96" w:rsidRPr="004E2927">
        <w:t xml:space="preserve"> contabilização</w:t>
      </w:r>
      <w:r>
        <w:t>, até então,</w:t>
      </w:r>
      <w:r w:rsidR="007D3B96" w:rsidRPr="004E2927">
        <w:t xml:space="preserve"> possuía amparo </w:t>
      </w:r>
      <w:r w:rsidR="00CE36FF" w:rsidRPr="004E2927">
        <w:t>na</w:t>
      </w:r>
      <w:r w:rsidR="00C46EBF" w:rsidRPr="004E2927">
        <w:t xml:space="preserve"> NBC TG 07 – Subvenção e Assistência Governamentais, aprovada através da Resolução 1.305/10 pelo Conselho Federal de Contabilidade</w:t>
      </w:r>
      <w:r w:rsidR="001E1C29" w:rsidRPr="004E2927">
        <w:t>, além disso, o</w:t>
      </w:r>
      <w:r w:rsidR="00132F6D" w:rsidRPr="004E2927">
        <w:t xml:space="preserve"> </w:t>
      </w:r>
      <w:r w:rsidR="00C46EBF" w:rsidRPr="004E2927">
        <w:t>disposto no Pronunciamento Técnico – CPC 23, que trata das políticas contábeis, mudanças de estimativa e retificação de erro,</w:t>
      </w:r>
      <w:r w:rsidR="00794685" w:rsidRPr="004E2927">
        <w:t xml:space="preserve"> </w:t>
      </w:r>
      <w:r w:rsidR="00C46EBF" w:rsidRPr="004E2927">
        <w:t xml:space="preserve">prevê </w:t>
      </w:r>
      <w:r w:rsidR="00C46EBF" w:rsidRPr="00756A9F">
        <w:t>que para aplicar, retrospectivamente, nova política contábil ou corrigir erro de período anterior, devem ser identificadas  evidência</w:t>
      </w:r>
      <w:r w:rsidR="00197411">
        <w:t>s</w:t>
      </w:r>
      <w:r w:rsidR="00C46EBF" w:rsidRPr="00756A9F">
        <w:t xml:space="preserve"> das circunstâncias que existiam à época em que a transação, outro evento ou condição ocorreu, e que estavam presentes e disponíveis quando as demonstrações contábeis relativas àquele período anterior foram elaboradas</w:t>
      </w:r>
      <w:r w:rsidR="00756A9F">
        <w:t xml:space="preserve"> </w:t>
      </w:r>
      <w:r w:rsidR="00C46EBF" w:rsidRPr="00756A9F">
        <w:t xml:space="preserve">e </w:t>
      </w:r>
      <w:r w:rsidR="00197411">
        <w:t xml:space="preserve">que a informação </w:t>
      </w:r>
      <w:r w:rsidR="00C46EBF" w:rsidRPr="00756A9F">
        <w:t>teria estado disponível quando as demonstrações contábeis desse período anterior foram autorizadas para divulgação</w:t>
      </w:r>
      <w:r w:rsidR="008E2ED9">
        <w:t>.</w:t>
      </w:r>
      <w:r w:rsidR="00DA4BD6">
        <w:t xml:space="preserve"> </w:t>
      </w:r>
      <w:r w:rsidR="008E2ED9">
        <w:t>P</w:t>
      </w:r>
      <w:r w:rsidR="00DA4BD6">
        <w:t>orém, n</w:t>
      </w:r>
      <w:r w:rsidR="004D673B">
        <w:t>o presente caso</w:t>
      </w:r>
      <w:r w:rsidR="00DA4BD6">
        <w:t>,</w:t>
      </w:r>
      <w:r w:rsidR="004D673B">
        <w:t xml:space="preserve"> a unificação do critério de contabilização e reconhecimento dos repasses realizados pela União </w:t>
      </w:r>
      <w:r w:rsidR="00CC1709">
        <w:t xml:space="preserve">como AFAC </w:t>
      </w:r>
      <w:r w:rsidR="004D673B">
        <w:t>ocorreu em julho de 2017</w:t>
      </w:r>
      <w:r w:rsidR="00DA4BD6">
        <w:t>, ou seja, posterior a publicação das Demonstrações Financeiras dos exercícios anteriores</w:t>
      </w:r>
      <w:r w:rsidR="00C46EBF" w:rsidRPr="00756A9F">
        <w:t xml:space="preserve">. </w:t>
      </w:r>
    </w:p>
    <w:p w:rsidR="00015C31" w:rsidRDefault="00015C31" w:rsidP="000A63DE">
      <w:pPr>
        <w:jc w:val="both"/>
      </w:pPr>
    </w:p>
    <w:p w:rsidR="00C46EBF" w:rsidRPr="0083077F" w:rsidRDefault="00883F32" w:rsidP="000A63DE">
      <w:pPr>
        <w:jc w:val="both"/>
      </w:pPr>
      <w:r w:rsidRPr="0083077F">
        <w:t>Adicionalmente ao exposto,</w:t>
      </w:r>
      <w:r w:rsidR="00C46EBF" w:rsidRPr="0083077F">
        <w:t xml:space="preserve"> </w:t>
      </w:r>
      <w:r w:rsidR="000A63DE" w:rsidRPr="0083077F">
        <w:t>fo</w:t>
      </w:r>
      <w:r w:rsidR="008E2ED9">
        <w:t>i</w:t>
      </w:r>
      <w:r w:rsidR="00C46EBF" w:rsidRPr="0083077F">
        <w:t xml:space="preserve"> considera</w:t>
      </w:r>
      <w:r w:rsidR="00CC1709">
        <w:t>d</w:t>
      </w:r>
      <w:r w:rsidR="000A63DE" w:rsidRPr="0083077F">
        <w:t>a</w:t>
      </w:r>
      <w:r w:rsidR="00C46EBF" w:rsidRPr="0083077F">
        <w:t xml:space="preserve"> a</w:t>
      </w:r>
      <w:r w:rsidR="000A63DE" w:rsidRPr="0083077F">
        <w:t xml:space="preserve"> manifestaç</w:t>
      </w:r>
      <w:r w:rsidR="008E2ED9">
        <w:t>ão</w:t>
      </w:r>
      <w:r w:rsidR="00C46EBF" w:rsidRPr="0083077F">
        <w:t xml:space="preserve"> da Auditoria </w:t>
      </w:r>
      <w:r w:rsidR="008E2ED9">
        <w:t>I</w:t>
      </w:r>
      <w:r w:rsidR="000A63DE" w:rsidRPr="0083077F">
        <w:t>ndependente</w:t>
      </w:r>
      <w:r w:rsidR="006D0093" w:rsidRPr="0083077F">
        <w:t xml:space="preserve"> a qua</w:t>
      </w:r>
      <w:r w:rsidR="008E2ED9">
        <w:t>l</w:t>
      </w:r>
      <w:r w:rsidR="00C46EBF" w:rsidRPr="0083077F">
        <w:t xml:space="preserve"> </w:t>
      </w:r>
      <w:r w:rsidR="000A63DE" w:rsidRPr="0083077F">
        <w:t>valid</w:t>
      </w:r>
      <w:r w:rsidR="008E2ED9">
        <w:t>ou</w:t>
      </w:r>
      <w:r w:rsidR="00C46EBF" w:rsidRPr="0083077F">
        <w:t xml:space="preserve"> o critério utilizado até </w:t>
      </w:r>
      <w:r w:rsidR="006D0093" w:rsidRPr="0083077F">
        <w:t>31/12/2016</w:t>
      </w:r>
      <w:r w:rsidR="00C46EBF" w:rsidRPr="0083077F">
        <w:t xml:space="preserve"> pelo HCPA e </w:t>
      </w:r>
      <w:r w:rsidR="000A63DE" w:rsidRPr="0083077F">
        <w:t>consider</w:t>
      </w:r>
      <w:r w:rsidR="008E2ED9">
        <w:t>ou</w:t>
      </w:r>
      <w:r w:rsidR="00C46EBF" w:rsidRPr="0083077F">
        <w:t xml:space="preserve"> </w:t>
      </w:r>
      <w:r w:rsidR="000A63DE" w:rsidRPr="0083077F">
        <w:t xml:space="preserve">o efeito desta </w:t>
      </w:r>
      <w:r w:rsidR="00C65306" w:rsidRPr="0083077F">
        <w:t>mudança</w:t>
      </w:r>
      <w:r w:rsidR="00333778" w:rsidRPr="0083077F">
        <w:t xml:space="preserve"> como</w:t>
      </w:r>
      <w:r w:rsidR="00C46EBF" w:rsidRPr="0083077F">
        <w:t xml:space="preserve"> resultado do exercício de 2017 e não retrospectivo.</w:t>
      </w:r>
    </w:p>
    <w:p w:rsidR="0010094B" w:rsidRPr="0083077F" w:rsidRDefault="0010094B" w:rsidP="00DC261B">
      <w:pPr>
        <w:jc w:val="both"/>
      </w:pPr>
    </w:p>
    <w:p w:rsidR="004055B7" w:rsidRPr="006338C6" w:rsidRDefault="00734155" w:rsidP="00BF21BA">
      <w:pPr>
        <w:pStyle w:val="Subttulo"/>
        <w:numPr>
          <w:ilvl w:val="1"/>
          <w:numId w:val="3"/>
        </w:numPr>
        <w:ind w:left="0" w:hanging="426"/>
      </w:pPr>
      <w:r w:rsidRPr="006338C6">
        <w:t>Base da elaboração das Demonstrações Financeiras</w:t>
      </w:r>
    </w:p>
    <w:p w:rsidR="004055B7" w:rsidRPr="00595A08" w:rsidRDefault="004055B7" w:rsidP="009657C6">
      <w:pPr>
        <w:jc w:val="both"/>
        <w:rPr>
          <w:rFonts w:ascii="Arial" w:hAnsi="Arial" w:cs="Arial"/>
        </w:rPr>
      </w:pPr>
    </w:p>
    <w:p w:rsidR="00595A08" w:rsidRDefault="005B7DB6" w:rsidP="00595A08">
      <w:pPr>
        <w:jc w:val="both"/>
      </w:pPr>
      <w:r>
        <w:t xml:space="preserve">A </w:t>
      </w:r>
      <w:r w:rsidR="007D2F8A" w:rsidRPr="00595A08">
        <w:t>elaboração das Demonstrações Financeiras</w:t>
      </w:r>
      <w:r>
        <w:t xml:space="preserve"> observa os</w:t>
      </w:r>
      <w:r w:rsidR="007D2F8A" w:rsidRPr="00FD7B48">
        <w:t xml:space="preserve"> aspectos da Lei 6.404/76 e Lei 11.638/07 </w:t>
      </w:r>
      <w:r>
        <w:t>e</w:t>
      </w:r>
      <w:r w:rsidRPr="00595A08">
        <w:t xml:space="preserve"> o Sistema Integrado de Administração Financeira (SIAFI), Sistema Financeiro do Governo Federal, no qual o HCPA </w:t>
      </w:r>
      <w:r w:rsidR="00BA1699">
        <w:t>aderiu em</w:t>
      </w:r>
      <w:r w:rsidRPr="00595A08">
        <w:t xml:space="preserve"> 01 de janeiro de</w:t>
      </w:r>
      <w:r w:rsidRPr="00FD7B48">
        <w:t xml:space="preserve"> 1</w:t>
      </w:r>
      <w:r w:rsidR="00F20A6E">
        <w:t>992, na forma da Lei n° 4.320/64</w:t>
      </w:r>
      <w:r w:rsidR="00A809DD">
        <w:t>.</w:t>
      </w:r>
    </w:p>
    <w:p w:rsidR="00E52C27" w:rsidRDefault="00E52C27" w:rsidP="00595A08">
      <w:pPr>
        <w:jc w:val="both"/>
      </w:pPr>
    </w:p>
    <w:p w:rsidR="009657C6" w:rsidRPr="006338C6" w:rsidRDefault="009657C6" w:rsidP="00BF21BA">
      <w:pPr>
        <w:pStyle w:val="Subttulo"/>
        <w:numPr>
          <w:ilvl w:val="1"/>
          <w:numId w:val="3"/>
        </w:numPr>
        <w:ind w:left="0" w:hanging="426"/>
        <w:rPr>
          <w:iCs/>
        </w:rPr>
      </w:pPr>
      <w:r w:rsidRPr="006338C6">
        <w:rPr>
          <w:iCs/>
        </w:rPr>
        <w:t>Operações com Moeda Estrangeira</w:t>
      </w:r>
    </w:p>
    <w:p w:rsidR="009657C6" w:rsidRPr="00FD7B48" w:rsidRDefault="009657C6" w:rsidP="009657C6">
      <w:pPr>
        <w:jc w:val="both"/>
        <w:rPr>
          <w:rFonts w:ascii="Arial" w:hAnsi="Arial" w:cs="Arial"/>
          <w:sz w:val="24"/>
          <w:szCs w:val="24"/>
        </w:rPr>
      </w:pPr>
    </w:p>
    <w:p w:rsidR="009657C6" w:rsidRDefault="009657C6" w:rsidP="009657C6">
      <w:pPr>
        <w:jc w:val="both"/>
      </w:pPr>
      <w:r w:rsidRPr="00FD7B48">
        <w:t>As operações de importação, realizadas em moeda estrangeira são convertidas para a moeda funcional (Real – R$) mediante a utilização das taxas de câmbio divulgadas pelo Banco Central do Brasil</w:t>
      </w:r>
      <w:r w:rsidR="00F2433D" w:rsidRPr="00FD7B48">
        <w:t>-BACEN</w:t>
      </w:r>
      <w:r w:rsidRPr="00FD7B48">
        <w:t xml:space="preserve"> e pela  da Receita Federal do Brasil</w:t>
      </w:r>
      <w:r w:rsidR="00F2433D" w:rsidRPr="00FD7B48">
        <w:t>- RFB</w:t>
      </w:r>
      <w:r w:rsidRPr="00FD7B48">
        <w:t>. Os ganhos e perdas com variação cambial na aplicação das taxas</w:t>
      </w:r>
      <w:r w:rsidR="00E968FC">
        <w:t xml:space="preserve"> de câmbio</w:t>
      </w:r>
      <w:r w:rsidRPr="00FD7B48">
        <w:t xml:space="preserve"> sobre os ativos e passivos são apresentados na Demonstração do Resultado como Receitas e Despesas Financeiras.</w:t>
      </w:r>
    </w:p>
    <w:p w:rsidR="00043C55" w:rsidRDefault="00043C55" w:rsidP="009657C6">
      <w:pPr>
        <w:jc w:val="both"/>
      </w:pPr>
    </w:p>
    <w:p w:rsidR="00043C55" w:rsidRDefault="00043C55" w:rsidP="009657C6">
      <w:pPr>
        <w:jc w:val="both"/>
      </w:pPr>
    </w:p>
    <w:p w:rsidR="00043C55" w:rsidRDefault="00043C55" w:rsidP="009657C6">
      <w:pPr>
        <w:jc w:val="both"/>
      </w:pPr>
    </w:p>
    <w:p w:rsidR="009657C6" w:rsidRPr="006338C6" w:rsidRDefault="00122208" w:rsidP="00BF21BA">
      <w:pPr>
        <w:pStyle w:val="Subttulo"/>
        <w:numPr>
          <w:ilvl w:val="1"/>
          <w:numId w:val="3"/>
        </w:numPr>
        <w:ind w:left="0" w:hanging="426"/>
        <w:rPr>
          <w:iCs/>
        </w:rPr>
      </w:pPr>
      <w:r w:rsidRPr="006338C6">
        <w:rPr>
          <w:iCs/>
        </w:rPr>
        <w:lastRenderedPageBreak/>
        <w:t>Instrumentos</w:t>
      </w:r>
      <w:r w:rsidR="000D34DD" w:rsidRPr="006338C6">
        <w:rPr>
          <w:iCs/>
        </w:rPr>
        <w:t xml:space="preserve"> Financeiros</w:t>
      </w:r>
    </w:p>
    <w:p w:rsidR="009657C6" w:rsidRPr="00FD7B48" w:rsidRDefault="009657C6" w:rsidP="009657C6">
      <w:pPr>
        <w:jc w:val="both"/>
      </w:pPr>
    </w:p>
    <w:p w:rsidR="00122208" w:rsidRPr="00FD7B48" w:rsidRDefault="00122208" w:rsidP="00122208">
      <w:pPr>
        <w:jc w:val="both"/>
      </w:pPr>
      <w:r w:rsidRPr="00FD7B48">
        <w:t xml:space="preserve">A Instituição classifica seus ativos financeiros não derivativos sob a categoria de recebíveis, reconhecidos inicialmente na data em que foram originados, </w:t>
      </w:r>
      <w:r w:rsidR="0006288E" w:rsidRPr="00FD7B48">
        <w:t xml:space="preserve">pelo </w:t>
      </w:r>
      <w:r w:rsidRPr="00FD7B48">
        <w:t xml:space="preserve">valor justo, e após o reconhecimento inicial são mensuradas pelo custo amortizado com o uso do método da taxa de juros efetiva menos a provisão para </w:t>
      </w:r>
      <w:proofErr w:type="spellStart"/>
      <w:r w:rsidRPr="00FD7B48">
        <w:rPr>
          <w:i/>
        </w:rPr>
        <w:t>impairment</w:t>
      </w:r>
      <w:proofErr w:type="spellEnd"/>
      <w:r w:rsidRPr="00FD7B48">
        <w:t>. São apresentados como Ativo Circulante, exceto aqueles com prazo de vencimento superior a 12 meses após a data de emissão do balanço (estes são classificados como Ativos Não Circulante</w:t>
      </w:r>
      <w:r w:rsidR="0006288E" w:rsidRPr="00FD7B48">
        <w:t>s</w:t>
      </w:r>
      <w:r w:rsidRPr="00FD7B48">
        <w:t xml:space="preserve">). </w:t>
      </w:r>
    </w:p>
    <w:p w:rsidR="00B457E8" w:rsidRPr="00FD7B48" w:rsidRDefault="00B457E8" w:rsidP="00122208">
      <w:pPr>
        <w:jc w:val="both"/>
      </w:pPr>
    </w:p>
    <w:p w:rsidR="00122208" w:rsidRPr="00FD7B48" w:rsidRDefault="00122208" w:rsidP="00122208">
      <w:pPr>
        <w:jc w:val="both"/>
      </w:pPr>
      <w:r w:rsidRPr="00FD7B48">
        <w:t>Os recebíveis da Instituição compreendem: Caixa e Equivalentes de Caixa, Crédito de Fornecimento de Serviços, Recursos a Receber para Provisões de Contingências, Recursos a Receber para Apropriações por Competência de</w:t>
      </w:r>
      <w:r w:rsidR="00D155DF">
        <w:t>:</w:t>
      </w:r>
      <w:r w:rsidRPr="00FD7B48">
        <w:t xml:space="preserve"> Férias, Décimo Terceiro</w:t>
      </w:r>
      <w:r w:rsidR="007D381C" w:rsidRPr="00FD7B48">
        <w:t xml:space="preserve"> Salário</w:t>
      </w:r>
      <w:r w:rsidRPr="00FD7B48">
        <w:t>, Licença Especial</w:t>
      </w:r>
      <w:r w:rsidR="007D381C" w:rsidRPr="00FD7B48">
        <w:t>,</w:t>
      </w:r>
      <w:r w:rsidRPr="00FD7B48">
        <w:t xml:space="preserve"> </w:t>
      </w:r>
      <w:r w:rsidR="00707FA3">
        <w:t xml:space="preserve">Tempo de Serviço Passado / </w:t>
      </w:r>
      <w:r w:rsidRPr="00FD7B48">
        <w:t>Previdência Privada</w:t>
      </w:r>
      <w:r w:rsidR="00707FA3">
        <w:t xml:space="preserve"> </w:t>
      </w:r>
      <w:r w:rsidRPr="00FD7B48">
        <w:t>e demais contas a receber.</w:t>
      </w:r>
    </w:p>
    <w:p w:rsidR="00B457E8" w:rsidRPr="00FD7B48" w:rsidRDefault="00122208" w:rsidP="00122208">
      <w:pPr>
        <w:jc w:val="both"/>
      </w:pPr>
      <w:r w:rsidRPr="00FD7B48">
        <w:t xml:space="preserve"> </w:t>
      </w:r>
    </w:p>
    <w:p w:rsidR="00122208" w:rsidRPr="00FD7B48" w:rsidRDefault="00122208" w:rsidP="00122208">
      <w:pPr>
        <w:jc w:val="both"/>
      </w:pPr>
      <w:r w:rsidRPr="00FD7B48">
        <w:t>A Instituição não possui ativos financeiros mantidos para negociação, ativos disponíveis para venda e operações em derivativos.</w:t>
      </w:r>
    </w:p>
    <w:p w:rsidR="00122208" w:rsidRPr="00FD7B48" w:rsidRDefault="00122208" w:rsidP="00122208">
      <w:pPr>
        <w:jc w:val="both"/>
      </w:pPr>
    </w:p>
    <w:p w:rsidR="00122208" w:rsidRPr="00FD7B48" w:rsidRDefault="00122208" w:rsidP="00122208">
      <w:pPr>
        <w:jc w:val="both"/>
      </w:pPr>
      <w:r w:rsidRPr="00FD7B48">
        <w:t xml:space="preserve">A Instituição reconhece seus passivos financeiros não derivativos inicialmente na data em que são originados. A baixa de um passivo financeiro ocorre quando tem suas obrigações contratuais retiradas, canceladas ou liquidadas. </w:t>
      </w:r>
    </w:p>
    <w:p w:rsidR="006A7CF2" w:rsidRPr="00FD7B48" w:rsidRDefault="006A7CF2" w:rsidP="00122208">
      <w:pPr>
        <w:jc w:val="both"/>
      </w:pPr>
    </w:p>
    <w:p w:rsidR="000D34DD" w:rsidRPr="00FD7B48" w:rsidRDefault="00122208" w:rsidP="00122208">
      <w:pPr>
        <w:jc w:val="both"/>
      </w:pPr>
      <w:r w:rsidRPr="00FD7B48">
        <w:t xml:space="preserve">A Instituição tem </w:t>
      </w:r>
      <w:r w:rsidR="007F3D06">
        <w:t>como</w:t>
      </w:r>
      <w:r w:rsidRPr="00FD7B48">
        <w:t xml:space="preserve"> passivos financeiros não derivativos fornecedores e outras contas a pagar.</w:t>
      </w:r>
    </w:p>
    <w:p w:rsidR="00122208" w:rsidRPr="00FD7B48" w:rsidRDefault="00122208" w:rsidP="00122208">
      <w:pPr>
        <w:jc w:val="both"/>
      </w:pPr>
    </w:p>
    <w:p w:rsidR="000D34DD" w:rsidRPr="006338C6" w:rsidRDefault="000D34DD" w:rsidP="00BF21BA">
      <w:pPr>
        <w:pStyle w:val="Subttulo"/>
        <w:numPr>
          <w:ilvl w:val="1"/>
          <w:numId w:val="3"/>
        </w:numPr>
        <w:ind w:left="0" w:hanging="426"/>
        <w:rPr>
          <w:iCs/>
        </w:rPr>
      </w:pPr>
      <w:r w:rsidRPr="006338C6">
        <w:rPr>
          <w:iCs/>
        </w:rPr>
        <w:t>Caixa e equivalentes de caixa</w:t>
      </w:r>
    </w:p>
    <w:p w:rsidR="000D34DD" w:rsidRPr="00FD7B48" w:rsidRDefault="000D34DD" w:rsidP="000D34DD">
      <w:pPr>
        <w:jc w:val="both"/>
      </w:pPr>
    </w:p>
    <w:p w:rsidR="009657C6" w:rsidRPr="001A2EB8" w:rsidRDefault="003607F1" w:rsidP="009657C6">
      <w:pPr>
        <w:jc w:val="both"/>
      </w:pPr>
      <w:r w:rsidRPr="00FD7B48">
        <w:t xml:space="preserve">Os ativos classificados como </w:t>
      </w:r>
      <w:r w:rsidR="00122208" w:rsidRPr="00FD7B48">
        <w:t xml:space="preserve">Caixa e Equivalentes de Caixa incluem o caixa, os depósitos bancários, depósitos em poupança, investimentos de curto prazo de alta liquidez e rendimentos diários, com risco insignificante de mudança de valor. </w:t>
      </w:r>
    </w:p>
    <w:p w:rsidR="00122208" w:rsidRPr="00FD7B48" w:rsidRDefault="00122208" w:rsidP="009657C6">
      <w:pPr>
        <w:jc w:val="both"/>
      </w:pPr>
    </w:p>
    <w:p w:rsidR="009657C6" w:rsidRPr="006338C6" w:rsidRDefault="009657C6" w:rsidP="00BF21BA">
      <w:pPr>
        <w:pStyle w:val="Subttulo"/>
        <w:numPr>
          <w:ilvl w:val="1"/>
          <w:numId w:val="3"/>
        </w:numPr>
        <w:ind w:left="0" w:hanging="426"/>
        <w:rPr>
          <w:iCs/>
        </w:rPr>
      </w:pPr>
      <w:r w:rsidRPr="006338C6">
        <w:rPr>
          <w:iCs/>
        </w:rPr>
        <w:t>Estoques</w:t>
      </w:r>
    </w:p>
    <w:p w:rsidR="009657C6" w:rsidRPr="00FD7B48" w:rsidRDefault="009657C6" w:rsidP="009657C6">
      <w:pPr>
        <w:jc w:val="both"/>
      </w:pPr>
    </w:p>
    <w:p w:rsidR="00DC261B" w:rsidRDefault="00DC261B" w:rsidP="00DC261B">
      <w:pPr>
        <w:jc w:val="both"/>
      </w:pPr>
      <w:r w:rsidRPr="00FD7B48">
        <w:t xml:space="preserve">Os estoques de materiais em almoxarifado a serem consumidos na prestação de serviços e no curso normal das atividades da Instituição são avaliados pelo custo médio ponderado de aquisição e não excedem o valor de mercado. As importações em andamento estão registradas pelos custos incorridos apropriados até </w:t>
      </w:r>
      <w:r>
        <w:t>31 de dezembro de 2017.</w:t>
      </w:r>
      <w:r w:rsidRPr="00FD7B48">
        <w:t xml:space="preserve"> No estoque não constam itens com custo superior ao valor realizável líquido. As perdas </w:t>
      </w:r>
      <w:r w:rsidR="00B649AE">
        <w:t>de</w:t>
      </w:r>
      <w:r w:rsidRPr="00FD7B48">
        <w:t xml:space="preserve"> estoque são reconhecidas como despesa do exercíc</w:t>
      </w:r>
      <w:r>
        <w:t xml:space="preserve">io em que ocorrem. </w:t>
      </w:r>
    </w:p>
    <w:p w:rsidR="009657C6" w:rsidRDefault="009657C6" w:rsidP="009657C6">
      <w:pPr>
        <w:jc w:val="both"/>
      </w:pPr>
    </w:p>
    <w:p w:rsidR="001F2C40" w:rsidRPr="001F2C40" w:rsidRDefault="009657C6" w:rsidP="001F2C40">
      <w:pPr>
        <w:pStyle w:val="Subttulo"/>
        <w:numPr>
          <w:ilvl w:val="1"/>
          <w:numId w:val="3"/>
        </w:numPr>
        <w:ind w:left="0" w:hanging="426"/>
        <w:rPr>
          <w:iCs/>
        </w:rPr>
      </w:pPr>
      <w:r w:rsidRPr="006338C6">
        <w:rPr>
          <w:iCs/>
        </w:rPr>
        <w:t>Depósitos Judiciais</w:t>
      </w:r>
    </w:p>
    <w:p w:rsidR="009657C6" w:rsidRPr="00FD7B48" w:rsidRDefault="009657C6" w:rsidP="009657C6">
      <w:pPr>
        <w:jc w:val="both"/>
      </w:pPr>
    </w:p>
    <w:p w:rsidR="001870D3" w:rsidRPr="00FD7B48" w:rsidRDefault="009657C6" w:rsidP="001870D3">
      <w:pPr>
        <w:jc w:val="both"/>
      </w:pPr>
      <w:r w:rsidRPr="00FD7B48">
        <w:t xml:space="preserve">Os Depósitos Judiciais estão compostos de valores recursais vinculados a causas trabalhistas, corrigidos até </w:t>
      </w:r>
      <w:r w:rsidR="00113CCA" w:rsidRPr="00FD7B48">
        <w:t xml:space="preserve">31 de dezembro </w:t>
      </w:r>
      <w:r w:rsidR="000D34DD" w:rsidRPr="00FD7B48">
        <w:t>de 201</w:t>
      </w:r>
      <w:r w:rsidR="00DC261B">
        <w:t>7</w:t>
      </w:r>
      <w:r w:rsidR="00E612B7" w:rsidRPr="00FD7B48">
        <w:t>. Os recursos vinculados aos</w:t>
      </w:r>
      <w:r w:rsidRPr="00FD7B48">
        <w:t xml:space="preserve"> processos trabalhistas, depositados na Caixa Econômica Federal são atualizados pelo coeficiente de remuneração das contas do FGTS, enquanto que o</w:t>
      </w:r>
      <w:r w:rsidR="00EB59F2" w:rsidRPr="00FD7B48">
        <w:t>s</w:t>
      </w:r>
      <w:r w:rsidRPr="00FD7B48">
        <w:t xml:space="preserve"> depositado</w:t>
      </w:r>
      <w:r w:rsidR="00EB59F2" w:rsidRPr="00FD7B48">
        <w:t>s</w:t>
      </w:r>
      <w:r w:rsidRPr="00FD7B48">
        <w:t xml:space="preserve"> no Banco do Brasil </w:t>
      </w:r>
      <w:r w:rsidR="00EB59F2" w:rsidRPr="00FD7B48">
        <w:t>são</w:t>
      </w:r>
      <w:r w:rsidRPr="00FD7B48">
        <w:t xml:space="preserve"> atualizado</w:t>
      </w:r>
      <w:r w:rsidR="00EB59F2" w:rsidRPr="00FD7B48">
        <w:t>s</w:t>
      </w:r>
      <w:r w:rsidRPr="00FD7B48">
        <w:t xml:space="preserve"> </w:t>
      </w:r>
      <w:r w:rsidR="00E612B7" w:rsidRPr="00FD7B48">
        <w:t>pela taxa de juros remuneratória da poupança</w:t>
      </w:r>
      <w:r w:rsidRPr="00FD7B48">
        <w:t xml:space="preserve">. Os depósitos recursais referentes a processos trabalhistas são pagos com recursos próprios. Quando da execução do processo, se o desfecho for a favor do reclamante, a Instituição quita a dívida com recursos recebidos do Tesouro Nacional e o valor do depósito existente é restituído ao HCPA, devidamente corrigido. </w:t>
      </w:r>
    </w:p>
    <w:p w:rsidR="009657C6" w:rsidRPr="00FD7B48" w:rsidRDefault="009657C6" w:rsidP="00C46C0C">
      <w:pPr>
        <w:jc w:val="both"/>
      </w:pPr>
    </w:p>
    <w:p w:rsidR="009657C6" w:rsidRPr="006338C6" w:rsidRDefault="009657C6" w:rsidP="00BF21BA">
      <w:pPr>
        <w:pStyle w:val="Subttulo"/>
        <w:numPr>
          <w:ilvl w:val="1"/>
          <w:numId w:val="3"/>
        </w:numPr>
        <w:ind w:left="0" w:hanging="426"/>
        <w:rPr>
          <w:iCs/>
        </w:rPr>
      </w:pPr>
      <w:r w:rsidRPr="006338C6">
        <w:rPr>
          <w:iCs/>
        </w:rPr>
        <w:t>Imobilizado e Intangível</w:t>
      </w:r>
    </w:p>
    <w:p w:rsidR="009657C6" w:rsidRPr="00FD7B48" w:rsidRDefault="009657C6" w:rsidP="00C46C0C">
      <w:pPr>
        <w:jc w:val="both"/>
      </w:pPr>
    </w:p>
    <w:p w:rsidR="009657C6" w:rsidRPr="00FD7B48" w:rsidRDefault="009657C6" w:rsidP="00C46C0C">
      <w:pPr>
        <w:jc w:val="both"/>
      </w:pPr>
      <w:r w:rsidRPr="00FD7B48">
        <w:t xml:space="preserve">O Imobilizado e o Intangível são mensurados pelo seu custo histórico, menos depreciação ou amortização acumulada. Os terrenos não são depreciados. O custo dos bens constantes no Patrimônio e nas </w:t>
      </w:r>
      <w:r w:rsidR="00416B8B" w:rsidRPr="00FD7B48">
        <w:t>Demonstrações Financeiras</w:t>
      </w:r>
      <w:r w:rsidRPr="00FD7B48">
        <w:t xml:space="preserve"> em 31 de dezembro de 2009 foi ajustado conforme laudo de empresa especializada, contratada para refletir o custo atribuído aos bens do permanente. Os custos subsequentes são incluídos no valor contábil do Ativo ou reconhecidos como um ativo separado, conforme apropriado, somente quando </w:t>
      </w:r>
      <w:r w:rsidR="00150C27" w:rsidRPr="00FD7B48">
        <w:t>esses custos adicionais puderem ser mensurados com segurança e quando dos quais espera-se benefícios econômicos futuros</w:t>
      </w:r>
      <w:r w:rsidRPr="00FD7B48">
        <w:t xml:space="preserve">. Os valores contábeis de itens ou peças substituídas são baixados. </w:t>
      </w:r>
      <w:r w:rsidR="00D41D54">
        <w:t xml:space="preserve">Os gastos com </w:t>
      </w:r>
      <w:r w:rsidRPr="00FD7B48">
        <w:t xml:space="preserve">reparos e manutenções </w:t>
      </w:r>
      <w:r w:rsidR="00944DC2">
        <w:t>possuem como</w:t>
      </w:r>
      <w:r w:rsidRPr="00FD7B48">
        <w:t xml:space="preserve"> contrapartida o resultado do exercício, quando incorridos</w:t>
      </w:r>
      <w:r w:rsidR="00EB59F2" w:rsidRPr="001F4559">
        <w:t>.</w:t>
      </w:r>
      <w:r w:rsidRPr="001F4559">
        <w:t xml:space="preserve"> (Nota n°</w:t>
      </w:r>
      <w:r w:rsidR="00C32586" w:rsidRPr="001F4559">
        <w:fldChar w:fldCharType="begin"/>
      </w:r>
      <w:r w:rsidR="00C32586" w:rsidRPr="001F4559">
        <w:instrText xml:space="preserve"> REF _Ref476905400 \r \h  \* MERGEFORMAT </w:instrText>
      </w:r>
      <w:r w:rsidR="00C32586" w:rsidRPr="001F4559">
        <w:fldChar w:fldCharType="separate"/>
      </w:r>
      <w:r w:rsidR="00E11749">
        <w:t>09</w:t>
      </w:r>
      <w:r w:rsidR="00C32586" w:rsidRPr="001F4559">
        <w:fldChar w:fldCharType="end"/>
      </w:r>
      <w:r w:rsidR="00CF26DB">
        <w:t xml:space="preserve"> e nº 10</w:t>
      </w:r>
      <w:r w:rsidRPr="001F4559">
        <w:t xml:space="preserve">) </w:t>
      </w:r>
    </w:p>
    <w:p w:rsidR="009657C6" w:rsidRPr="00FD7B48" w:rsidRDefault="009657C6" w:rsidP="00C46C0C">
      <w:pPr>
        <w:jc w:val="both"/>
      </w:pPr>
      <w:r w:rsidRPr="00FD7B48">
        <w:lastRenderedPageBreak/>
        <w:t xml:space="preserve">Para que não haja perda do custo histórico, a depreciação ou amortização nas </w:t>
      </w:r>
      <w:r w:rsidR="00416B8B" w:rsidRPr="00FD7B48">
        <w:t>Demonstrações Financeiras</w:t>
      </w:r>
      <w:r w:rsidRPr="00FD7B48">
        <w:t xml:space="preserve"> está demonstrada pelo valor acumulado, desde a data do início de operação na Instituição, acrescido da depreciação do custo atribuído a partir do exercício de 2010. </w:t>
      </w:r>
    </w:p>
    <w:p w:rsidR="009657C6" w:rsidRPr="00FD7B48" w:rsidRDefault="009657C6" w:rsidP="00C46C0C">
      <w:pPr>
        <w:jc w:val="both"/>
      </w:pPr>
    </w:p>
    <w:p w:rsidR="009657C6" w:rsidRDefault="009657C6" w:rsidP="009657C6">
      <w:pPr>
        <w:jc w:val="both"/>
      </w:pPr>
      <w:r w:rsidRPr="00FD7B48">
        <w:t xml:space="preserve">As depreciações e amortizações são calculadas usando o método linear, considerando os seus custos durante a vida útil estimada, como </w:t>
      </w:r>
      <w:r w:rsidR="009E013F" w:rsidRPr="00FD7B48">
        <w:t>demonstrado a seguir</w:t>
      </w:r>
      <w:r w:rsidRPr="00FD7B48">
        <w:t>:</w:t>
      </w:r>
    </w:p>
    <w:p w:rsidR="00A6699D" w:rsidRPr="00FD7B48" w:rsidRDefault="00A6699D" w:rsidP="009657C6">
      <w:pPr>
        <w:jc w:val="both"/>
      </w:pPr>
    </w:p>
    <w:tbl>
      <w:tblPr>
        <w:tblStyle w:val="Tabelacomgrade"/>
        <w:tblW w:w="0" w:type="auto"/>
        <w:tblInd w:w="108" w:type="dxa"/>
        <w:tblLook w:val="01E0" w:firstRow="1" w:lastRow="1" w:firstColumn="1" w:lastColumn="1" w:noHBand="0" w:noVBand="0"/>
      </w:tblPr>
      <w:tblGrid>
        <w:gridCol w:w="6526"/>
        <w:gridCol w:w="2379"/>
      </w:tblGrid>
      <w:tr w:rsidR="00FD7B48" w:rsidRPr="00FD7B48" w:rsidTr="00181455">
        <w:tc>
          <w:tcPr>
            <w:tcW w:w="6526" w:type="dxa"/>
          </w:tcPr>
          <w:p w:rsidR="009657C6" w:rsidRPr="00FD7B48" w:rsidRDefault="009657C6" w:rsidP="009657C6">
            <w:pPr>
              <w:jc w:val="both"/>
            </w:pPr>
          </w:p>
        </w:tc>
        <w:tc>
          <w:tcPr>
            <w:tcW w:w="2379" w:type="dxa"/>
          </w:tcPr>
          <w:p w:rsidR="009657C6" w:rsidRPr="00FD7B48" w:rsidRDefault="009657C6" w:rsidP="00C46C0C">
            <w:pPr>
              <w:jc w:val="both"/>
            </w:pPr>
            <w:r w:rsidRPr="00FD7B48">
              <w:t>VIDA ÚTIL ESTIMADA</w:t>
            </w:r>
          </w:p>
        </w:tc>
      </w:tr>
      <w:tr w:rsidR="00FD7B48" w:rsidRPr="00FD7B48" w:rsidTr="00181455">
        <w:tc>
          <w:tcPr>
            <w:tcW w:w="6526" w:type="dxa"/>
          </w:tcPr>
          <w:p w:rsidR="009657C6" w:rsidRPr="00FD7B48" w:rsidRDefault="009657C6" w:rsidP="00C46C0C">
            <w:pPr>
              <w:jc w:val="both"/>
            </w:pPr>
            <w:r w:rsidRPr="00FD7B48">
              <w:t xml:space="preserve">Edificações (Prédios) </w:t>
            </w:r>
          </w:p>
        </w:tc>
        <w:tc>
          <w:tcPr>
            <w:tcW w:w="2379" w:type="dxa"/>
          </w:tcPr>
          <w:p w:rsidR="009657C6" w:rsidRPr="00FD7B48" w:rsidRDefault="009657C6" w:rsidP="00512FE5">
            <w:pPr>
              <w:jc w:val="right"/>
            </w:pPr>
            <w:r w:rsidRPr="00FD7B48">
              <w:t>De 40 anos a 100 anos</w:t>
            </w:r>
          </w:p>
        </w:tc>
      </w:tr>
      <w:tr w:rsidR="00FD7B48" w:rsidRPr="00FD7B48" w:rsidTr="00181455">
        <w:tc>
          <w:tcPr>
            <w:tcW w:w="6526" w:type="dxa"/>
          </w:tcPr>
          <w:p w:rsidR="009657C6" w:rsidRPr="00FD7B48" w:rsidRDefault="009657C6" w:rsidP="009657C6">
            <w:pPr>
              <w:jc w:val="both"/>
            </w:pPr>
            <w:r w:rsidRPr="00FD7B48">
              <w:t xml:space="preserve">Máquinas e Equipamentos </w:t>
            </w:r>
          </w:p>
        </w:tc>
        <w:tc>
          <w:tcPr>
            <w:tcW w:w="2379" w:type="dxa"/>
          </w:tcPr>
          <w:p w:rsidR="009657C6" w:rsidRPr="00FD7B48" w:rsidRDefault="009657C6" w:rsidP="00512FE5">
            <w:pPr>
              <w:jc w:val="right"/>
            </w:pPr>
            <w:r w:rsidRPr="00FD7B48">
              <w:t>De 04 anos a 10 anos</w:t>
            </w:r>
          </w:p>
        </w:tc>
      </w:tr>
      <w:tr w:rsidR="00FD7B48" w:rsidRPr="00FD7B48" w:rsidTr="00181455">
        <w:tc>
          <w:tcPr>
            <w:tcW w:w="6526" w:type="dxa"/>
          </w:tcPr>
          <w:p w:rsidR="009657C6" w:rsidRPr="00FD7B48" w:rsidRDefault="009657C6" w:rsidP="009657C6">
            <w:pPr>
              <w:jc w:val="both"/>
            </w:pPr>
            <w:r w:rsidRPr="00FD7B48">
              <w:t xml:space="preserve">Maquinas de Processamento de Dados </w:t>
            </w:r>
          </w:p>
        </w:tc>
        <w:tc>
          <w:tcPr>
            <w:tcW w:w="2379" w:type="dxa"/>
          </w:tcPr>
          <w:p w:rsidR="009657C6" w:rsidRPr="00FD7B48" w:rsidRDefault="009657C6" w:rsidP="00512FE5">
            <w:pPr>
              <w:jc w:val="right"/>
            </w:pPr>
            <w:r w:rsidRPr="00FD7B48">
              <w:t>De 06 anos a 10 anos</w:t>
            </w:r>
          </w:p>
        </w:tc>
      </w:tr>
      <w:tr w:rsidR="00FD7B48" w:rsidRPr="00FD7B48" w:rsidTr="00181455">
        <w:tc>
          <w:tcPr>
            <w:tcW w:w="6526" w:type="dxa"/>
          </w:tcPr>
          <w:p w:rsidR="009657C6" w:rsidRPr="00FD7B48" w:rsidRDefault="009657C6" w:rsidP="009657C6">
            <w:pPr>
              <w:jc w:val="both"/>
            </w:pPr>
            <w:r w:rsidRPr="00FD7B48">
              <w:t>Móveis, Utensílios Diversos.</w:t>
            </w:r>
          </w:p>
        </w:tc>
        <w:tc>
          <w:tcPr>
            <w:tcW w:w="2379" w:type="dxa"/>
          </w:tcPr>
          <w:p w:rsidR="009657C6" w:rsidRPr="00FD7B48" w:rsidRDefault="009657C6" w:rsidP="00512FE5">
            <w:pPr>
              <w:jc w:val="right"/>
            </w:pPr>
            <w:r w:rsidRPr="00FD7B48">
              <w:t>De 06 anos a 10 anos</w:t>
            </w:r>
          </w:p>
        </w:tc>
      </w:tr>
      <w:tr w:rsidR="00FD7B48" w:rsidRPr="00FD7B48" w:rsidTr="00181455">
        <w:tc>
          <w:tcPr>
            <w:tcW w:w="6526" w:type="dxa"/>
          </w:tcPr>
          <w:p w:rsidR="009657C6" w:rsidRPr="00FD7B48" w:rsidRDefault="009657C6" w:rsidP="009657C6">
            <w:pPr>
              <w:jc w:val="both"/>
            </w:pPr>
            <w:r w:rsidRPr="00FD7B48">
              <w:t xml:space="preserve">Veículos </w:t>
            </w:r>
          </w:p>
        </w:tc>
        <w:tc>
          <w:tcPr>
            <w:tcW w:w="2379" w:type="dxa"/>
          </w:tcPr>
          <w:p w:rsidR="009657C6" w:rsidRPr="00FD7B48" w:rsidRDefault="007B715B" w:rsidP="00512FE5">
            <w:pPr>
              <w:jc w:val="right"/>
            </w:pPr>
            <w:r w:rsidRPr="00FD7B48">
              <w:t xml:space="preserve">De </w:t>
            </w:r>
            <w:r w:rsidR="009657C6" w:rsidRPr="00FD7B48">
              <w:t>03 anos a 10 anos</w:t>
            </w:r>
          </w:p>
        </w:tc>
      </w:tr>
      <w:tr w:rsidR="009657C6" w:rsidRPr="00FD7B48" w:rsidTr="00181455">
        <w:tc>
          <w:tcPr>
            <w:tcW w:w="6526" w:type="dxa"/>
          </w:tcPr>
          <w:p w:rsidR="009657C6" w:rsidRPr="00FD7B48" w:rsidRDefault="009657C6" w:rsidP="009657C6">
            <w:pPr>
              <w:jc w:val="both"/>
            </w:pPr>
            <w:r w:rsidRPr="00FD7B48">
              <w:t xml:space="preserve">Intangível – Software </w:t>
            </w:r>
          </w:p>
        </w:tc>
        <w:tc>
          <w:tcPr>
            <w:tcW w:w="2379" w:type="dxa"/>
          </w:tcPr>
          <w:p w:rsidR="009657C6" w:rsidRPr="00FD7B48" w:rsidRDefault="009657C6" w:rsidP="00512FE5">
            <w:pPr>
              <w:jc w:val="right"/>
            </w:pPr>
            <w:r w:rsidRPr="00FD7B48">
              <w:t>05 anos</w:t>
            </w:r>
          </w:p>
        </w:tc>
      </w:tr>
    </w:tbl>
    <w:p w:rsidR="009657C6" w:rsidRPr="00FD7B48" w:rsidRDefault="009657C6" w:rsidP="009657C6">
      <w:pPr>
        <w:jc w:val="both"/>
      </w:pPr>
    </w:p>
    <w:p w:rsidR="009657C6" w:rsidRPr="006338C6" w:rsidRDefault="009657C6" w:rsidP="00BF21BA">
      <w:pPr>
        <w:pStyle w:val="Subttulo"/>
        <w:numPr>
          <w:ilvl w:val="1"/>
          <w:numId w:val="3"/>
        </w:numPr>
        <w:ind w:left="0" w:hanging="426"/>
        <w:rPr>
          <w:iCs/>
        </w:rPr>
      </w:pPr>
      <w:proofErr w:type="spellStart"/>
      <w:r w:rsidRPr="006338C6">
        <w:rPr>
          <w:i/>
          <w:iCs/>
        </w:rPr>
        <w:t>I</w:t>
      </w:r>
      <w:r w:rsidRPr="006338C6">
        <w:rPr>
          <w:i/>
        </w:rPr>
        <w:t>mpairment</w:t>
      </w:r>
      <w:proofErr w:type="spellEnd"/>
      <w:r w:rsidRPr="006338C6">
        <w:rPr>
          <w:iCs/>
        </w:rPr>
        <w:t xml:space="preserve"> de ativos não financeiros</w:t>
      </w:r>
    </w:p>
    <w:p w:rsidR="009657C6" w:rsidRPr="00FD7B48" w:rsidRDefault="009657C6" w:rsidP="009657C6">
      <w:pPr>
        <w:jc w:val="both"/>
      </w:pPr>
    </w:p>
    <w:p w:rsidR="009657C6" w:rsidRPr="00FD7B48" w:rsidRDefault="009657C6" w:rsidP="009657C6">
      <w:pPr>
        <w:jc w:val="both"/>
      </w:pPr>
      <w:r w:rsidRPr="00FD7B48">
        <w:t xml:space="preserve">A administração do HCPA revisa o valor contábil dos ativos de vida longa, principalmente o imobilizado a ser mantido e utilizado nas operações, com o objetivo de determinar e avaliar eventos ou mudanças nas circunstâncias </w:t>
      </w:r>
      <w:r w:rsidR="007E3BB7">
        <w:t xml:space="preserve">que </w:t>
      </w:r>
      <w:r w:rsidRPr="00FD7B48">
        <w:t>indi</w:t>
      </w:r>
      <w:r w:rsidR="002E0E32">
        <w:t>qu</w:t>
      </w:r>
      <w:r w:rsidRPr="00FD7B48">
        <w:t>em</w:t>
      </w:r>
      <w:r w:rsidR="008B22E5" w:rsidRPr="00FD7B48">
        <w:t>,</w:t>
      </w:r>
      <w:r w:rsidRPr="00FD7B48">
        <w:t xml:space="preserve"> qu</w:t>
      </w:r>
      <w:r w:rsidR="007E3BB7">
        <w:t>ando um</w:t>
      </w:r>
      <w:r w:rsidRPr="00FD7B48">
        <w:t xml:space="preserve"> valor contábil de um ativo ou grupo de ativos não pode ser recuperado.</w:t>
      </w:r>
    </w:p>
    <w:p w:rsidR="009657C6" w:rsidRPr="00FD7B48" w:rsidRDefault="009657C6" w:rsidP="009657C6">
      <w:pPr>
        <w:jc w:val="both"/>
      </w:pPr>
    </w:p>
    <w:p w:rsidR="009657C6" w:rsidRPr="00FD7B48" w:rsidRDefault="009657C6" w:rsidP="009657C6">
      <w:pPr>
        <w:jc w:val="both"/>
      </w:pPr>
      <w:r w:rsidRPr="00FD7B48">
        <w:t xml:space="preserve">São realizadas análises para identificar as circunstâncias que possam exigir a avaliação da </w:t>
      </w:r>
      <w:proofErr w:type="spellStart"/>
      <w:r w:rsidRPr="00FD7B48">
        <w:t>recuperabilidade</w:t>
      </w:r>
      <w:proofErr w:type="spellEnd"/>
      <w:r w:rsidRPr="00FD7B48">
        <w:t xml:space="preserve"> dos ativos de vida longa e medir a taxa potencial de deterioração, com base nos fluxos de caixa futuros projetados </w:t>
      </w:r>
      <w:r w:rsidR="0066365A" w:rsidRPr="00FD7B48">
        <w:t xml:space="preserve">e </w:t>
      </w:r>
      <w:r w:rsidRPr="00FD7B48">
        <w:t>descontados durante a vida remanescente estimada dos ativos, conforme o surgimento de novos acontecimentos ou novas circunstâncias. Nesse caso, uma perda seria reconhecida com base no montante pelo qual o valor contábil excede o valor provável de recuperação de um ativo de vida longa. O valor provável de recuperação é determinado como sendo o maior valor entre: (a) o valor de venda dos ativos menos os custos estimados para venda e b) o valor em uso, determinado pelo valor presente esperado dos fluxos de caixa futuros do ativo ou unidade geradora de caixa.</w:t>
      </w:r>
    </w:p>
    <w:p w:rsidR="009657C6" w:rsidRPr="00FD7B48" w:rsidRDefault="009657C6" w:rsidP="009657C6">
      <w:pPr>
        <w:jc w:val="both"/>
      </w:pPr>
    </w:p>
    <w:p w:rsidR="009657C6" w:rsidRPr="006338C6" w:rsidRDefault="009657C6" w:rsidP="00BF21BA">
      <w:pPr>
        <w:pStyle w:val="Subttulo"/>
        <w:numPr>
          <w:ilvl w:val="1"/>
          <w:numId w:val="3"/>
        </w:numPr>
        <w:ind w:left="0" w:hanging="426"/>
        <w:rPr>
          <w:iCs/>
        </w:rPr>
      </w:pPr>
      <w:r w:rsidRPr="006338C6">
        <w:rPr>
          <w:iCs/>
        </w:rPr>
        <w:t>Fornecedores</w:t>
      </w:r>
    </w:p>
    <w:p w:rsidR="009657C6" w:rsidRPr="00FD7B48" w:rsidRDefault="009657C6" w:rsidP="009657C6">
      <w:pPr>
        <w:jc w:val="both"/>
      </w:pPr>
    </w:p>
    <w:p w:rsidR="00595A08" w:rsidRDefault="009657C6" w:rsidP="00595A08">
      <w:pPr>
        <w:jc w:val="both"/>
      </w:pPr>
      <w:r w:rsidRPr="00FD7B48">
        <w:t xml:space="preserve">As contas a pagar aos fornecedores são obrigações assumidas pelas compras de bens ou serviços que foram adquiridos no curso normal dos negócios, sendo reconhecidas pelo valor justo e classificadas como passivos circulantes, pois a Instituição tem por prática o pagamento dos fornecedores no vencimento que é de até 30 dias após a certificação do serviço prestado ou bem </w:t>
      </w:r>
      <w:r w:rsidRPr="001F4559">
        <w:t xml:space="preserve">adquirido. </w:t>
      </w:r>
      <w:r w:rsidR="001870D3" w:rsidRPr="001F4559">
        <w:t xml:space="preserve">(Nota n° </w:t>
      </w:r>
      <w:r w:rsidR="000F35FF" w:rsidRPr="001F4559">
        <w:t>1</w:t>
      </w:r>
      <w:r w:rsidR="003E6D4E">
        <w:t>1</w:t>
      </w:r>
      <w:r w:rsidR="00595A08" w:rsidRPr="001F4559">
        <w:t>)</w:t>
      </w:r>
    </w:p>
    <w:p w:rsidR="00DC261B" w:rsidRDefault="00DC261B" w:rsidP="00595A08">
      <w:pPr>
        <w:jc w:val="both"/>
      </w:pPr>
    </w:p>
    <w:p w:rsidR="009657C6" w:rsidRPr="006338C6" w:rsidRDefault="009657C6" w:rsidP="00BF21BA">
      <w:pPr>
        <w:pStyle w:val="Subttulo"/>
        <w:numPr>
          <w:ilvl w:val="1"/>
          <w:numId w:val="3"/>
        </w:numPr>
        <w:ind w:left="0" w:hanging="426"/>
        <w:rPr>
          <w:iCs/>
        </w:rPr>
      </w:pPr>
      <w:r w:rsidRPr="006338C6">
        <w:rPr>
          <w:iCs/>
        </w:rPr>
        <w:t>Obrigações Tributárias</w:t>
      </w:r>
    </w:p>
    <w:p w:rsidR="009657C6" w:rsidRPr="00595A08" w:rsidRDefault="009657C6" w:rsidP="009657C6">
      <w:pPr>
        <w:jc w:val="both"/>
        <w:rPr>
          <w:sz w:val="18"/>
          <w:szCs w:val="18"/>
        </w:rPr>
      </w:pPr>
    </w:p>
    <w:p w:rsidR="009657C6" w:rsidRPr="00595A08" w:rsidRDefault="009657C6" w:rsidP="009657C6">
      <w:pPr>
        <w:jc w:val="both"/>
      </w:pPr>
      <w:r w:rsidRPr="00595A08">
        <w:t xml:space="preserve">Na conta Obrigações Tributárias, são registrados os </w:t>
      </w:r>
      <w:r w:rsidR="00287034">
        <w:t>tributos</w:t>
      </w:r>
      <w:r w:rsidRPr="00595A08">
        <w:t xml:space="preserve"> federais PIS e COFINS </w:t>
      </w:r>
      <w:r w:rsidR="0004788E">
        <w:t xml:space="preserve">incidentes sobre receitas próprias </w:t>
      </w:r>
      <w:r w:rsidRPr="00595A08">
        <w:t xml:space="preserve">e os valores retidos dos fornecedores, referentes a tributos municipais incidentes sobre serviços prestados na sede da Instituição, conforme Lei Complementar Municipal n° 306/93 e 07/73 e </w:t>
      </w:r>
      <w:r w:rsidR="001A6944" w:rsidRPr="00595A08">
        <w:t>Leis F</w:t>
      </w:r>
      <w:r w:rsidRPr="00595A08">
        <w:t>ederais incidentes sobre bens ou serviços fornecidos conforme IN/RFB n° 1</w:t>
      </w:r>
      <w:r w:rsidR="0004788E">
        <w:t>.</w:t>
      </w:r>
      <w:r w:rsidRPr="00595A08">
        <w:t xml:space="preserve">234 de 11/01/2012 e IN/RFB n° 971 de 2009. A Instituição goza de isenção </w:t>
      </w:r>
      <w:r w:rsidR="00366723">
        <w:t xml:space="preserve">dos demais </w:t>
      </w:r>
      <w:r w:rsidRPr="00595A08">
        <w:t xml:space="preserve">tributos federais conforme artigo n° 15 da Lei 5.604 de 02 de setembro de </w:t>
      </w:r>
      <w:r w:rsidRPr="001F4559">
        <w:t xml:space="preserve">1970.  (Nota n° </w:t>
      </w:r>
      <w:r w:rsidR="00C32586" w:rsidRPr="001F4559">
        <w:fldChar w:fldCharType="begin"/>
      </w:r>
      <w:r w:rsidR="00C32586" w:rsidRPr="001F4559">
        <w:instrText xml:space="preserve"> REF _Ref466472218 \r \h  \* MERGEFORMAT </w:instrText>
      </w:r>
      <w:r w:rsidR="00C32586" w:rsidRPr="001F4559">
        <w:fldChar w:fldCharType="separate"/>
      </w:r>
      <w:r w:rsidR="00E11749">
        <w:t>12</w:t>
      </w:r>
      <w:r w:rsidR="00C32586" w:rsidRPr="001F4559">
        <w:fldChar w:fldCharType="end"/>
      </w:r>
      <w:r w:rsidRPr="001F4559">
        <w:t>)</w:t>
      </w:r>
    </w:p>
    <w:p w:rsidR="009657C6" w:rsidRPr="00595A08" w:rsidRDefault="009657C6" w:rsidP="009657C6">
      <w:pPr>
        <w:jc w:val="both"/>
        <w:rPr>
          <w:sz w:val="18"/>
          <w:szCs w:val="18"/>
        </w:rPr>
      </w:pPr>
    </w:p>
    <w:p w:rsidR="009657C6" w:rsidRPr="006338C6" w:rsidRDefault="009657C6" w:rsidP="00BF21BA">
      <w:pPr>
        <w:pStyle w:val="Subttulo"/>
        <w:numPr>
          <w:ilvl w:val="1"/>
          <w:numId w:val="3"/>
        </w:numPr>
        <w:ind w:left="0" w:hanging="426"/>
        <w:rPr>
          <w:iCs/>
        </w:rPr>
      </w:pPr>
      <w:r w:rsidRPr="006338C6">
        <w:rPr>
          <w:iCs/>
        </w:rPr>
        <w:t>Benefícios a Empregados</w:t>
      </w:r>
    </w:p>
    <w:p w:rsidR="009657C6" w:rsidRPr="00595A08" w:rsidRDefault="009657C6" w:rsidP="009657C6">
      <w:pPr>
        <w:jc w:val="both"/>
        <w:rPr>
          <w:sz w:val="18"/>
          <w:szCs w:val="18"/>
        </w:rPr>
      </w:pPr>
    </w:p>
    <w:p w:rsidR="009657C6" w:rsidRDefault="009657C6" w:rsidP="009657C6">
      <w:pPr>
        <w:jc w:val="both"/>
      </w:pPr>
      <w:r w:rsidRPr="00595A08">
        <w:t xml:space="preserve">A Instituição possui diversos planos de benefícios a empregados, como </w:t>
      </w:r>
      <w:r w:rsidR="00366723">
        <w:t xml:space="preserve">auxilio </w:t>
      </w:r>
      <w:r w:rsidRPr="00595A08">
        <w:t>creche, assistência médica, seguro de vida, auxílio alimentação, entre outros, que são reconhecidos no resultado do exercício em que ocorre a prestação do serviço ao empregado. Como benefício pós-emprego a Instituição oferece plano de aposentadoria complementar</w:t>
      </w:r>
      <w:r w:rsidR="006B231E" w:rsidRPr="00595A08">
        <w:t>.</w:t>
      </w:r>
      <w:r w:rsidRPr="00595A08">
        <w:t xml:space="preserve"> </w:t>
      </w:r>
    </w:p>
    <w:p w:rsidR="006874C1" w:rsidRDefault="006874C1" w:rsidP="009657C6">
      <w:pPr>
        <w:jc w:val="both"/>
      </w:pPr>
    </w:p>
    <w:p w:rsidR="00093A03" w:rsidRDefault="00093A03" w:rsidP="009657C6">
      <w:pPr>
        <w:jc w:val="both"/>
      </w:pPr>
    </w:p>
    <w:p w:rsidR="00093A03" w:rsidRDefault="00093A03" w:rsidP="009657C6">
      <w:pPr>
        <w:jc w:val="both"/>
      </w:pPr>
    </w:p>
    <w:p w:rsidR="00093A03" w:rsidRDefault="00093A03" w:rsidP="009657C6">
      <w:pPr>
        <w:jc w:val="both"/>
      </w:pPr>
    </w:p>
    <w:p w:rsidR="009657C6" w:rsidRPr="006338C6" w:rsidRDefault="00430580" w:rsidP="00BF21BA">
      <w:pPr>
        <w:pStyle w:val="Subttulo"/>
        <w:numPr>
          <w:ilvl w:val="1"/>
          <w:numId w:val="3"/>
        </w:numPr>
        <w:ind w:left="0" w:hanging="426"/>
        <w:rPr>
          <w:iCs/>
        </w:rPr>
      </w:pPr>
      <w:r w:rsidRPr="006338C6">
        <w:rPr>
          <w:iCs/>
        </w:rPr>
        <w:lastRenderedPageBreak/>
        <w:t>Contingências</w:t>
      </w:r>
    </w:p>
    <w:p w:rsidR="009657C6" w:rsidRPr="00595A08" w:rsidRDefault="009657C6" w:rsidP="009657C6">
      <w:pPr>
        <w:jc w:val="both"/>
        <w:rPr>
          <w:sz w:val="18"/>
          <w:szCs w:val="18"/>
        </w:rPr>
      </w:pPr>
    </w:p>
    <w:p w:rsidR="009657C6" w:rsidRPr="00595A08" w:rsidRDefault="009657C6" w:rsidP="009657C6">
      <w:pPr>
        <w:jc w:val="both"/>
      </w:pPr>
      <w:r w:rsidRPr="00595A08">
        <w:t>As provisões para ações judiciais (trabalhistas, cíveis e tributárias e outras) são reconhecidas quando: (i) a Instituição tem uma obrigação presente ou não formalizada (</w:t>
      </w:r>
      <w:proofErr w:type="spellStart"/>
      <w:r w:rsidRPr="00595A08">
        <w:rPr>
          <w:i/>
        </w:rPr>
        <w:t>constructive</w:t>
      </w:r>
      <w:proofErr w:type="spellEnd"/>
      <w:r w:rsidRPr="00595A08">
        <w:rPr>
          <w:i/>
        </w:rPr>
        <w:t xml:space="preserve"> </w:t>
      </w:r>
      <w:proofErr w:type="spellStart"/>
      <w:r w:rsidRPr="00595A08">
        <w:rPr>
          <w:i/>
        </w:rPr>
        <w:t>obligation</w:t>
      </w:r>
      <w:proofErr w:type="spellEnd"/>
      <w:r w:rsidRPr="00595A08">
        <w:t>) como resultado de eventos já ocorridos; (</w:t>
      </w:r>
      <w:proofErr w:type="spellStart"/>
      <w:r w:rsidRPr="00595A08">
        <w:t>ii</w:t>
      </w:r>
      <w:proofErr w:type="spellEnd"/>
      <w:r w:rsidRPr="00595A08">
        <w:t>) é provável que uma saída de recursos seja necessária para liquidar a obrigação; e (</w:t>
      </w:r>
      <w:proofErr w:type="spellStart"/>
      <w:r w:rsidRPr="00595A08">
        <w:t>iii</w:t>
      </w:r>
      <w:proofErr w:type="spellEnd"/>
      <w:r w:rsidRPr="00595A08">
        <w:t xml:space="preserve">) o valor puder ser estimado com segurança. </w:t>
      </w:r>
    </w:p>
    <w:p w:rsidR="009657C6" w:rsidRPr="00595A08" w:rsidRDefault="009657C6" w:rsidP="009657C6">
      <w:pPr>
        <w:jc w:val="both"/>
      </w:pPr>
    </w:p>
    <w:p w:rsidR="009657C6" w:rsidRPr="00595A08" w:rsidRDefault="009657C6" w:rsidP="009657C6">
      <w:pPr>
        <w:jc w:val="both"/>
      </w:pPr>
      <w:r w:rsidRPr="00595A08">
        <w:t xml:space="preserve">Quando houver uma série de obrigações similares, a probabilidade de liquidá-las é determinada levando-se em consideração a classe de obrigações como um todo. Uma provisão é reconhecida mesmo que a probabilidade de liquidação relacionada com qualquer item individual incluído na mesma classe de obrigações seja pequena. </w:t>
      </w:r>
    </w:p>
    <w:p w:rsidR="009657C6" w:rsidRPr="00595A08" w:rsidRDefault="009657C6" w:rsidP="009657C6">
      <w:pPr>
        <w:jc w:val="both"/>
      </w:pPr>
    </w:p>
    <w:p w:rsidR="009657C6" w:rsidRPr="00595A08" w:rsidRDefault="009657C6" w:rsidP="009657C6">
      <w:pPr>
        <w:jc w:val="both"/>
      </w:pPr>
      <w:r w:rsidRPr="00595A08">
        <w:t xml:space="preserve">As provisões são mensuradas pelo valor presente dos gastos que devem ser necessários para liquidar a obrigação, usando uma taxa antes dos efeitos tributários, a qual reflita as avaliações atuais de mercado do valor do dinheiro no tempo e dos riscos específicos da obrigação. </w:t>
      </w:r>
    </w:p>
    <w:p w:rsidR="008402DA" w:rsidRPr="00595A08" w:rsidRDefault="008402DA" w:rsidP="009657C6">
      <w:pPr>
        <w:jc w:val="both"/>
      </w:pPr>
    </w:p>
    <w:p w:rsidR="004E27E0" w:rsidRPr="005005D7" w:rsidRDefault="00EF0271" w:rsidP="009657C6">
      <w:pPr>
        <w:jc w:val="both"/>
      </w:pPr>
      <w:r w:rsidRPr="005005D7">
        <w:t xml:space="preserve">O valor das ações </w:t>
      </w:r>
      <w:r w:rsidR="004E27E0" w:rsidRPr="005005D7">
        <w:t xml:space="preserve">cuja probabilidade de perda, segundo a área jurídica do HCPA, é considerada possível </w:t>
      </w:r>
      <w:r w:rsidR="009A0680">
        <w:t>é de</w:t>
      </w:r>
      <w:r w:rsidR="004E27E0" w:rsidRPr="005005D7">
        <w:t xml:space="preserve">: R$ </w:t>
      </w:r>
      <w:r w:rsidR="00F236D7" w:rsidRPr="005005D7">
        <w:t>11.032</w:t>
      </w:r>
      <w:r w:rsidR="004E27E0" w:rsidRPr="005005D7">
        <w:t xml:space="preserve"> Cíveis, R$ </w:t>
      </w:r>
      <w:r w:rsidR="00F236D7" w:rsidRPr="005005D7">
        <w:t>116.024</w:t>
      </w:r>
      <w:r w:rsidR="00A809DD" w:rsidRPr="005005D7">
        <w:t xml:space="preserve"> </w:t>
      </w:r>
      <w:r w:rsidR="004E27E0" w:rsidRPr="005005D7">
        <w:t xml:space="preserve">Trabalhistas e R$ </w:t>
      </w:r>
      <w:r w:rsidR="00F236D7" w:rsidRPr="005005D7">
        <w:t>19.619</w:t>
      </w:r>
      <w:r w:rsidR="004E27E0" w:rsidRPr="005005D7">
        <w:t xml:space="preserve"> Tributárias, totalizando R$ </w:t>
      </w:r>
      <w:r w:rsidR="005005D7" w:rsidRPr="005005D7">
        <w:t>146.67</w:t>
      </w:r>
      <w:r w:rsidR="001A2A78">
        <w:t>5</w:t>
      </w:r>
      <w:r w:rsidR="000B7283" w:rsidRPr="005005D7">
        <w:t>.</w:t>
      </w:r>
    </w:p>
    <w:p w:rsidR="000B7283" w:rsidRPr="005005D7" w:rsidRDefault="000B7283" w:rsidP="009657C6">
      <w:pPr>
        <w:jc w:val="both"/>
      </w:pPr>
    </w:p>
    <w:p w:rsidR="00595A08" w:rsidRDefault="009657C6" w:rsidP="00595A08">
      <w:pPr>
        <w:jc w:val="both"/>
      </w:pPr>
      <w:r w:rsidRPr="00FD7B48">
        <w:t xml:space="preserve">Os valores estimados das causas trabalhistas e ainda não depositados são inscritos em Recursos a Receber já que </w:t>
      </w:r>
      <w:r w:rsidR="00B971EB">
        <w:t>esta despesa é</w:t>
      </w:r>
      <w:r w:rsidRPr="00FD7B48">
        <w:t xml:space="preserve"> coberta por recursos repassados pelo Tesouro </w:t>
      </w:r>
      <w:r w:rsidRPr="001F4559">
        <w:t>Nacional. (Nota nº</w:t>
      </w:r>
      <w:r w:rsidR="00C32586" w:rsidRPr="001F4559">
        <w:fldChar w:fldCharType="begin"/>
      </w:r>
      <w:r w:rsidR="00C32586" w:rsidRPr="001F4559">
        <w:instrText xml:space="preserve"> REF _Ref466472309 \r \h  \* MERGEFORMAT </w:instrText>
      </w:r>
      <w:r w:rsidR="00C32586" w:rsidRPr="001F4559">
        <w:fldChar w:fldCharType="separate"/>
      </w:r>
      <w:r w:rsidR="00E11749">
        <w:t>13</w:t>
      </w:r>
      <w:r w:rsidR="00C32586" w:rsidRPr="001F4559">
        <w:fldChar w:fldCharType="end"/>
      </w:r>
      <w:r w:rsidR="00595A08" w:rsidRPr="001F4559">
        <w:t>).</w:t>
      </w:r>
    </w:p>
    <w:p w:rsidR="00DC261B" w:rsidRDefault="00DC261B" w:rsidP="00595A08">
      <w:pPr>
        <w:jc w:val="both"/>
      </w:pPr>
    </w:p>
    <w:p w:rsidR="009657C6" w:rsidRPr="006338C6" w:rsidRDefault="009657C6" w:rsidP="00BF21BA">
      <w:pPr>
        <w:pStyle w:val="Subttulo"/>
        <w:numPr>
          <w:ilvl w:val="1"/>
          <w:numId w:val="3"/>
        </w:numPr>
        <w:ind w:left="0" w:hanging="426"/>
        <w:rPr>
          <w:iCs/>
        </w:rPr>
      </w:pPr>
      <w:r w:rsidRPr="006338C6">
        <w:rPr>
          <w:iCs/>
        </w:rPr>
        <w:t xml:space="preserve">Reconhecimento da Receita </w:t>
      </w:r>
    </w:p>
    <w:p w:rsidR="009657C6" w:rsidRPr="00FD7B48" w:rsidRDefault="009657C6" w:rsidP="009657C6">
      <w:pPr>
        <w:jc w:val="both"/>
      </w:pPr>
    </w:p>
    <w:p w:rsidR="00DC261B" w:rsidRDefault="00DC261B" w:rsidP="00DC261B">
      <w:pPr>
        <w:jc w:val="both"/>
      </w:pPr>
      <w:r w:rsidRPr="00FD7B48">
        <w:t xml:space="preserve">A receita compreende o valor justo da contraprestação recebida ou a receber pela prestação dos serviços no curso normal das atividades da Instituição. </w:t>
      </w:r>
    </w:p>
    <w:p w:rsidR="00DC261B" w:rsidRPr="00FD7B48" w:rsidRDefault="00DC261B" w:rsidP="00DC261B">
      <w:pPr>
        <w:jc w:val="both"/>
      </w:pPr>
    </w:p>
    <w:p w:rsidR="00DC261B" w:rsidRPr="00FD7B48" w:rsidRDefault="00DC261B" w:rsidP="00DC261B">
      <w:pPr>
        <w:jc w:val="both"/>
      </w:pPr>
      <w:r w:rsidRPr="00FD7B48">
        <w:t>A receita é apresentada líquida dos impostos, dos abatimentos, dos descontos, dos ajustes da</w:t>
      </w:r>
      <w:r w:rsidR="00116EBB">
        <w:t xml:space="preserve"> receita referentes à dedução dos repasses recebidos da União para investimento</w:t>
      </w:r>
      <w:r w:rsidRPr="00FD7B48">
        <w:t xml:space="preserve"> e contabilizada independentemente de seu efetivo </w:t>
      </w:r>
      <w:r w:rsidRPr="00DD280E">
        <w:t>recebimento</w:t>
      </w:r>
      <w:r w:rsidRPr="00FF3907">
        <w:t>.</w:t>
      </w:r>
    </w:p>
    <w:p w:rsidR="009657C6" w:rsidRPr="00FD7B48" w:rsidRDefault="009657C6" w:rsidP="009657C6">
      <w:pPr>
        <w:jc w:val="both"/>
      </w:pPr>
    </w:p>
    <w:p w:rsidR="009657C6" w:rsidRPr="006338C6" w:rsidRDefault="009657C6" w:rsidP="00DC261B">
      <w:pPr>
        <w:pStyle w:val="Subttulo"/>
        <w:numPr>
          <w:ilvl w:val="1"/>
          <w:numId w:val="3"/>
        </w:numPr>
        <w:ind w:left="0" w:hanging="426"/>
        <w:rPr>
          <w:iCs/>
        </w:rPr>
      </w:pPr>
      <w:r w:rsidRPr="006338C6">
        <w:rPr>
          <w:iCs/>
        </w:rPr>
        <w:t>Serviços Prestados</w:t>
      </w:r>
    </w:p>
    <w:p w:rsidR="009657C6" w:rsidRPr="00FD7B48" w:rsidRDefault="009657C6" w:rsidP="009657C6">
      <w:pPr>
        <w:jc w:val="both"/>
      </w:pPr>
    </w:p>
    <w:p w:rsidR="009657C6" w:rsidRDefault="009657C6" w:rsidP="009657C6">
      <w:pPr>
        <w:jc w:val="both"/>
      </w:pPr>
      <w:r w:rsidRPr="00FD7B48">
        <w:t>Todos os serviços prestados pela Instituição, ao Sistema Único de Saúde (SUS), a convênios privados, particulares</w:t>
      </w:r>
      <w:r w:rsidR="00704446">
        <w:t xml:space="preserve">, </w:t>
      </w:r>
      <w:r w:rsidRPr="00FD7B48">
        <w:t>pesquisas</w:t>
      </w:r>
      <w:r w:rsidR="00704446">
        <w:t xml:space="preserve"> e ensino</w:t>
      </w:r>
      <w:r w:rsidRPr="00FD7B48">
        <w:t xml:space="preserve">, estão contabilizados </w:t>
      </w:r>
      <w:r w:rsidR="00723ADF">
        <w:t>na</w:t>
      </w:r>
      <w:r w:rsidRPr="00FD7B48">
        <w:t xml:space="preserve"> competência</w:t>
      </w:r>
      <w:r w:rsidR="00723ADF">
        <w:t xml:space="preserve"> em que o fato gerador ocorreu e </w:t>
      </w:r>
      <w:r w:rsidRPr="00FD7B48">
        <w:t xml:space="preserve"> pelo seu valor bruto.</w:t>
      </w:r>
    </w:p>
    <w:p w:rsidR="00744C61" w:rsidRPr="00FD7B48" w:rsidRDefault="00744C61" w:rsidP="009657C6">
      <w:pPr>
        <w:jc w:val="both"/>
      </w:pPr>
    </w:p>
    <w:p w:rsidR="009657C6" w:rsidRPr="006338C6" w:rsidRDefault="009657C6" w:rsidP="00DC261B">
      <w:pPr>
        <w:pStyle w:val="Subttulo"/>
        <w:numPr>
          <w:ilvl w:val="1"/>
          <w:numId w:val="3"/>
        </w:numPr>
        <w:ind w:left="0" w:hanging="426"/>
        <w:rPr>
          <w:iCs/>
        </w:rPr>
      </w:pPr>
      <w:r w:rsidRPr="006338C6">
        <w:rPr>
          <w:iCs/>
        </w:rPr>
        <w:t>Repasses Recebidos</w:t>
      </w:r>
    </w:p>
    <w:p w:rsidR="009657C6" w:rsidRPr="00FD7B48" w:rsidRDefault="009657C6" w:rsidP="009657C6">
      <w:pPr>
        <w:jc w:val="both"/>
      </w:pPr>
    </w:p>
    <w:p w:rsidR="009657C6" w:rsidRPr="00FD7B48" w:rsidRDefault="009657C6" w:rsidP="009657C6">
      <w:pPr>
        <w:jc w:val="both"/>
      </w:pPr>
      <w:r w:rsidRPr="00FD7B48">
        <w:t>Esta rubrica representa os valores descentralizados pelo MEC para cobrir despesas com folha de pagamento de pessoal, encargos sociai</w:t>
      </w:r>
      <w:r w:rsidR="00C9158E">
        <w:t xml:space="preserve">s, benefícios, financiamento do Tempo de Serviços Passado / Previdência Complementar </w:t>
      </w:r>
      <w:r w:rsidRPr="00FD7B48">
        <w:t>e</w:t>
      </w:r>
      <w:r w:rsidR="00293137">
        <w:t>ntre</w:t>
      </w:r>
      <w:r w:rsidRPr="00FD7B48">
        <w:t xml:space="preserve"> outras despesas.</w:t>
      </w:r>
      <w:r w:rsidR="00293137">
        <w:t xml:space="preserve"> Inclui, também,</w:t>
      </w:r>
      <w:r w:rsidRPr="00FD7B48">
        <w:t xml:space="preserve"> as descentralizações de recursos repassados pelo MEC e por outros órgãos através de convênios para cobri</w:t>
      </w:r>
      <w:r w:rsidR="00293137">
        <w:t>r despesas de capital e custeio e as</w:t>
      </w:r>
      <w:r w:rsidRPr="00FD7B48">
        <w:t xml:space="preserve"> transferências de recursos por empresas privadas, para realização de projetos específicos.</w:t>
      </w:r>
    </w:p>
    <w:p w:rsidR="009657C6" w:rsidRPr="00FD7B48" w:rsidRDefault="009657C6" w:rsidP="009657C6">
      <w:pPr>
        <w:jc w:val="both"/>
      </w:pPr>
    </w:p>
    <w:p w:rsidR="009657C6" w:rsidRPr="006338C6" w:rsidRDefault="009657C6" w:rsidP="00744C61">
      <w:pPr>
        <w:pStyle w:val="Subttulo"/>
        <w:numPr>
          <w:ilvl w:val="1"/>
          <w:numId w:val="3"/>
        </w:numPr>
        <w:ind w:left="0" w:hanging="426"/>
        <w:rPr>
          <w:iCs/>
        </w:rPr>
      </w:pPr>
      <w:r w:rsidRPr="006338C6">
        <w:rPr>
          <w:iCs/>
        </w:rPr>
        <w:t>Ajustes da Receita Bruta</w:t>
      </w:r>
    </w:p>
    <w:p w:rsidR="009657C6" w:rsidRPr="00FD7B48" w:rsidRDefault="009657C6" w:rsidP="009657C6">
      <w:pPr>
        <w:jc w:val="both"/>
      </w:pPr>
    </w:p>
    <w:p w:rsidR="00744C61" w:rsidRDefault="0003152B" w:rsidP="00744C61">
      <w:pPr>
        <w:jc w:val="both"/>
      </w:pPr>
      <w:r>
        <w:t>Neste grupo, até 31/12/2016</w:t>
      </w:r>
      <w:r w:rsidR="000941CE">
        <w:t>,</w:t>
      </w:r>
      <w:r>
        <w:t xml:space="preserve"> </w:t>
      </w:r>
      <w:r w:rsidR="00744C61" w:rsidRPr="00232938">
        <w:t>foram lançados os ajustes da cont</w:t>
      </w:r>
      <w:r w:rsidR="00744C61">
        <w:t xml:space="preserve">a de receita de Repasses Recebidos, </w:t>
      </w:r>
      <w:r w:rsidR="000941CE">
        <w:t xml:space="preserve">conforme prevê </w:t>
      </w:r>
      <w:r w:rsidR="00744C61" w:rsidRPr="00232938">
        <w:t>o CPC n°</w:t>
      </w:r>
      <w:r w:rsidR="0064214D">
        <w:t>.</w:t>
      </w:r>
      <w:r w:rsidR="00744C61" w:rsidRPr="00232938">
        <w:t xml:space="preserve"> 7 (R1) e Resolução do Conselho Federal de Conta</w:t>
      </w:r>
      <w:r w:rsidR="00744C61">
        <w:t xml:space="preserve">bilidade CFC nº </w:t>
      </w:r>
      <w:r w:rsidR="00744C61" w:rsidRPr="00232938">
        <w:t>1</w:t>
      </w:r>
      <w:r w:rsidR="00744C61">
        <w:t>.143 de 21 de novembro de 2008, sendo</w:t>
      </w:r>
      <w:r w:rsidR="00744C61" w:rsidRPr="00232938">
        <w:t xml:space="preserve"> a receita excluída do resultado e lançada no Passivo no momento da descentralização ou da transferência dos créditos, e incluída no Resultado </w:t>
      </w:r>
      <w:r w:rsidR="00744C61">
        <w:t>quando d</w:t>
      </w:r>
      <w:r w:rsidR="00744C61" w:rsidRPr="00232938">
        <w:t>a respectiva baixa no Passivo na mesma proporção em que ocor</w:t>
      </w:r>
      <w:r w:rsidR="00744C61">
        <w:t>ria</w:t>
      </w:r>
      <w:r w:rsidR="00744C61" w:rsidRPr="00232938">
        <w:t xml:space="preserve"> a apropriação das despesas de custeio ou as despesas de depreciação dos bens adquiridos com esses recursos ou ainda, na devolução dos recursos não utilizados. </w:t>
      </w:r>
    </w:p>
    <w:p w:rsidR="00744C61" w:rsidRDefault="00744C61" w:rsidP="00744C61">
      <w:pPr>
        <w:jc w:val="both"/>
      </w:pPr>
    </w:p>
    <w:p w:rsidR="00744C61" w:rsidRDefault="00744C61" w:rsidP="00744C61">
      <w:pPr>
        <w:jc w:val="both"/>
      </w:pPr>
      <w:r w:rsidRPr="00232938">
        <w:t>A partir de 2017 os</w:t>
      </w:r>
      <w:r w:rsidR="003807D4">
        <w:t xml:space="preserve"> </w:t>
      </w:r>
      <w:r w:rsidR="009B3861">
        <w:t>r</w:t>
      </w:r>
      <w:r w:rsidRPr="00232938">
        <w:t>ep</w:t>
      </w:r>
      <w:r>
        <w:t>asses recebidos da União para Investimento passaram a ser</w:t>
      </w:r>
      <w:r w:rsidRPr="00232938">
        <w:t xml:space="preserve"> regist</w:t>
      </w:r>
      <w:r w:rsidR="0064214D">
        <w:t>r</w:t>
      </w:r>
      <w:r w:rsidRPr="00232938">
        <w:t xml:space="preserve">ados como Adiantamento para Futuro Aumento de Capital </w:t>
      </w:r>
      <w:r w:rsidR="00A809DD">
        <w:t>(</w:t>
      </w:r>
      <w:r w:rsidRPr="00232938">
        <w:t>AFAC</w:t>
      </w:r>
      <w:r w:rsidR="0064214D">
        <w:t>)</w:t>
      </w:r>
      <w:r w:rsidRPr="00232938">
        <w:t xml:space="preserve">, em conformidade com o disposto na </w:t>
      </w:r>
      <w:proofErr w:type="spellStart"/>
      <w:r w:rsidRPr="00232938">
        <w:t>macrofunção</w:t>
      </w:r>
      <w:proofErr w:type="spellEnd"/>
      <w:r w:rsidRPr="00232938">
        <w:t xml:space="preserve"> SIAFI nº 02.11.22.</w:t>
      </w:r>
    </w:p>
    <w:p w:rsidR="006338C6" w:rsidRDefault="006338C6" w:rsidP="00744C61">
      <w:pPr>
        <w:jc w:val="both"/>
      </w:pPr>
    </w:p>
    <w:p w:rsidR="009657C6" w:rsidRPr="006338C6" w:rsidRDefault="009657C6" w:rsidP="00744C61">
      <w:pPr>
        <w:pStyle w:val="Subttulo"/>
        <w:numPr>
          <w:ilvl w:val="1"/>
          <w:numId w:val="3"/>
        </w:numPr>
        <w:ind w:left="0" w:hanging="426"/>
        <w:rPr>
          <w:iCs/>
        </w:rPr>
      </w:pPr>
      <w:r w:rsidRPr="006338C6">
        <w:rPr>
          <w:iCs/>
        </w:rPr>
        <w:t>Receitas Financeiras</w:t>
      </w:r>
    </w:p>
    <w:p w:rsidR="009657C6" w:rsidRPr="00FD7B48" w:rsidRDefault="009657C6" w:rsidP="009657C6">
      <w:pPr>
        <w:jc w:val="both"/>
      </w:pPr>
    </w:p>
    <w:p w:rsidR="009657C6" w:rsidRPr="00FD7B48" w:rsidRDefault="009657C6" w:rsidP="009657C6">
      <w:pPr>
        <w:jc w:val="both"/>
      </w:pPr>
      <w:r w:rsidRPr="00FD7B48">
        <w:t xml:space="preserve">A receita financeira é reconhecida conforme o prazo decorrido pelo regime de competência, usando o método da taxa efetiva de juros. </w:t>
      </w:r>
    </w:p>
    <w:p w:rsidR="009657C6" w:rsidRPr="00FD7B48" w:rsidRDefault="009657C6" w:rsidP="009657C6">
      <w:pPr>
        <w:jc w:val="both"/>
      </w:pPr>
    </w:p>
    <w:p w:rsidR="009657C6" w:rsidRPr="00FD7B48" w:rsidRDefault="009657C6" w:rsidP="009657C6">
      <w:pPr>
        <w:jc w:val="both"/>
      </w:pPr>
      <w:r w:rsidRPr="00FD7B48">
        <w:t>Quando uma perda (</w:t>
      </w:r>
      <w:proofErr w:type="spellStart"/>
      <w:r w:rsidRPr="00FD7B48">
        <w:rPr>
          <w:i/>
        </w:rPr>
        <w:t>impairment</w:t>
      </w:r>
      <w:proofErr w:type="spellEnd"/>
      <w:r w:rsidRPr="00FD7B48">
        <w:t>) é identificada em relação às</w:t>
      </w:r>
      <w:r w:rsidR="00665701" w:rsidRPr="00FD7B48">
        <w:t xml:space="preserve"> </w:t>
      </w:r>
      <w:r w:rsidRPr="00FD7B48">
        <w:t>contas a receber, a Instituição reduz</w:t>
      </w:r>
      <w:r w:rsidR="00D33697" w:rsidRPr="00FD7B48">
        <w:t xml:space="preserve"> </w:t>
      </w:r>
      <w:r w:rsidRPr="00FD7B48">
        <w:t>o valor contábil para seu valor recuperável, que corresponde ao fluxo de caixa futuro estimado, descontado à taxa efetiva de juros original do instrumento.</w:t>
      </w:r>
    </w:p>
    <w:p w:rsidR="009657C6" w:rsidRPr="00FD7B48" w:rsidRDefault="009657C6" w:rsidP="009657C6">
      <w:pPr>
        <w:jc w:val="both"/>
      </w:pPr>
    </w:p>
    <w:p w:rsidR="009657C6" w:rsidRPr="00FD7B48" w:rsidRDefault="009657C6" w:rsidP="009657C6">
      <w:pPr>
        <w:jc w:val="both"/>
      </w:pPr>
    </w:p>
    <w:p w:rsidR="009657C6" w:rsidRPr="006338C6" w:rsidRDefault="009657C6" w:rsidP="00BF21BA">
      <w:pPr>
        <w:pStyle w:val="Subttulo"/>
        <w:numPr>
          <w:ilvl w:val="1"/>
          <w:numId w:val="3"/>
        </w:numPr>
        <w:ind w:left="0" w:hanging="426"/>
        <w:rPr>
          <w:iCs/>
        </w:rPr>
      </w:pPr>
      <w:r w:rsidRPr="006338C6">
        <w:rPr>
          <w:iCs/>
        </w:rPr>
        <w:t>Custos dos Serviços e Despesas Administrativas</w:t>
      </w:r>
    </w:p>
    <w:p w:rsidR="009657C6" w:rsidRPr="00FD7B48" w:rsidRDefault="009657C6" w:rsidP="009657C6">
      <w:pPr>
        <w:jc w:val="both"/>
      </w:pPr>
    </w:p>
    <w:p w:rsidR="00F106B7" w:rsidRDefault="009657C6" w:rsidP="00F106B7">
      <w:pPr>
        <w:jc w:val="both"/>
      </w:pPr>
      <w:r w:rsidRPr="00FD7B48">
        <w:t>Os custos dos serviços e despesas administrativas foram apropriados de acordo com a compatibilização dos valores contábeis e os valores existentes nos controles elaborados pelo Serviço de Análise e Controle do HCPA</w:t>
      </w:r>
      <w:r w:rsidR="00F106B7">
        <w:t xml:space="preserve"> que considera as seguintes premissas de cálculo: a</w:t>
      </w:r>
      <w:r w:rsidR="00F106B7" w:rsidRPr="00F106B7">
        <w:t xml:space="preserve"> analise é feita por grupos de centros de custos agrupados por áreas afins, sendo 36 classificados como administrativos e 150 grupos relacionados à atividade fim. Os valores dos custos diretos são distribuídos em: pessoal, material, depreciação, serviços, água, energia e telefone. Não são considerados os grupos de centro de custos referente os complementos patrimoniais, custos não operacionais e obras em andamento</w:t>
      </w:r>
      <w:r w:rsidR="00F106B7">
        <w:t>.</w:t>
      </w:r>
    </w:p>
    <w:p w:rsidR="003F102B" w:rsidRDefault="003F102B" w:rsidP="00F32D11">
      <w:pPr>
        <w:jc w:val="both"/>
      </w:pPr>
    </w:p>
    <w:p w:rsidR="00595A08" w:rsidRDefault="009657C6" w:rsidP="00F32D11">
      <w:pPr>
        <w:jc w:val="both"/>
      </w:pPr>
      <w:r w:rsidRPr="00FD7B48">
        <w:t xml:space="preserve">Na determinação do resultado do exercício foram </w:t>
      </w:r>
      <w:r w:rsidRPr="001F4559">
        <w:t>computados os custos e as despesas pagos ou incorridos correspondente às receitas de serviços reconhecidas no exercício</w:t>
      </w:r>
      <w:r w:rsidR="00181455" w:rsidRPr="001F4559">
        <w:t>.</w:t>
      </w:r>
      <w:r w:rsidRPr="001F4559">
        <w:t xml:space="preserve"> (Nota n°</w:t>
      </w:r>
      <w:r w:rsidR="003272FC" w:rsidRPr="001F4559">
        <w:t>2</w:t>
      </w:r>
      <w:r w:rsidR="001F4559" w:rsidRPr="001F4559">
        <w:t>1</w:t>
      </w:r>
      <w:r w:rsidR="00595A08" w:rsidRPr="001F4559">
        <w:t>).</w:t>
      </w:r>
    </w:p>
    <w:p w:rsidR="00F106B7" w:rsidRPr="00F106B7" w:rsidRDefault="00F106B7" w:rsidP="00F32D11">
      <w:pPr>
        <w:jc w:val="both"/>
      </w:pPr>
    </w:p>
    <w:p w:rsidR="009657C6" w:rsidRPr="006338C6" w:rsidRDefault="009657C6" w:rsidP="00BF21BA">
      <w:pPr>
        <w:pStyle w:val="Subttulo"/>
        <w:numPr>
          <w:ilvl w:val="1"/>
          <w:numId w:val="3"/>
        </w:numPr>
        <w:ind w:left="0" w:hanging="426"/>
        <w:rPr>
          <w:iCs/>
        </w:rPr>
      </w:pPr>
      <w:r w:rsidRPr="006338C6">
        <w:rPr>
          <w:iCs/>
        </w:rPr>
        <w:t>Publicação da Concessão de Suprimento de Fundos</w:t>
      </w:r>
    </w:p>
    <w:p w:rsidR="009657C6" w:rsidRPr="00FD7B48" w:rsidRDefault="009657C6" w:rsidP="009657C6">
      <w:pPr>
        <w:jc w:val="both"/>
      </w:pPr>
    </w:p>
    <w:p w:rsidR="009657C6" w:rsidRPr="00FD7B48" w:rsidRDefault="009657C6" w:rsidP="009657C6">
      <w:pPr>
        <w:jc w:val="both"/>
      </w:pPr>
      <w:r w:rsidRPr="00FD7B48">
        <w:t xml:space="preserve">Atendendo o Princípio da Publicidade previsto no art. 37 da Constituição Federal e art. 3º da Lei n° 8.666/93 (item 9.1.10 do relatório de Auditoria - Acórdão/TCU n° 1276/2008), o ato de concessão de suprimento de fundos é divulgado </w:t>
      </w:r>
      <w:r w:rsidR="0083239C" w:rsidRPr="00FD7B48">
        <w:t>em meio eletrônico no seguinte endereço eletrônico</w:t>
      </w:r>
      <w:r w:rsidRPr="00FD7B48">
        <w:t xml:space="preserve">: </w:t>
      </w:r>
      <w:hyperlink r:id="rId18" w:history="1">
        <w:r w:rsidRPr="00FD7B48">
          <w:t>www.hcpa.edu.br</w:t>
        </w:r>
      </w:hyperlink>
      <w:r w:rsidRPr="00FD7B48">
        <w:t xml:space="preserve"> e intranet.    </w:t>
      </w:r>
    </w:p>
    <w:p w:rsidR="009657C6" w:rsidRDefault="009657C6" w:rsidP="009657C6">
      <w:pPr>
        <w:jc w:val="both"/>
      </w:pPr>
    </w:p>
    <w:p w:rsidR="00491D0E" w:rsidRPr="00222F3C" w:rsidRDefault="00491D0E" w:rsidP="00491D0E">
      <w:pPr>
        <w:pStyle w:val="Subttulo"/>
        <w:numPr>
          <w:ilvl w:val="1"/>
          <w:numId w:val="3"/>
        </w:numPr>
        <w:ind w:left="0" w:hanging="426"/>
        <w:rPr>
          <w:iCs/>
        </w:rPr>
      </w:pPr>
      <w:r>
        <w:rPr>
          <w:iCs/>
        </w:rPr>
        <w:t>Novas Normas, Alterações e Interpretações de Normas</w:t>
      </w:r>
    </w:p>
    <w:p w:rsidR="00491D0E" w:rsidRDefault="00491D0E" w:rsidP="00491D0E">
      <w:pPr>
        <w:jc w:val="both"/>
      </w:pPr>
    </w:p>
    <w:p w:rsidR="00491D0E" w:rsidRPr="00FE0CF2" w:rsidRDefault="00491D0E" w:rsidP="00491D0E">
      <w:pPr>
        <w:jc w:val="both"/>
      </w:pPr>
      <w:r w:rsidRPr="00FE0CF2">
        <w:t>Das normas, alterações e interpretações de normas emitidas, mas ainda não adotadas até a data de emissão das demonstrações financeiras da Instituição destaca-se a abaixo apresentada</w:t>
      </w:r>
      <w:r w:rsidR="00BC494E" w:rsidRPr="00FE0CF2">
        <w:t>. Ressalta-se</w:t>
      </w:r>
      <w:r w:rsidR="00FE0CF2" w:rsidRPr="00FE0CF2">
        <w:t xml:space="preserve"> que não foram identificados contratos com obrigações de desempenho previstas que resultem em mudança de registros contábeis no HCPA.</w:t>
      </w:r>
    </w:p>
    <w:p w:rsidR="00491D0E" w:rsidRDefault="00491D0E" w:rsidP="00491D0E">
      <w:pPr>
        <w:jc w:val="both"/>
      </w:pPr>
    </w:p>
    <w:p w:rsidR="00FE0CF2" w:rsidRDefault="00FE0CF2" w:rsidP="00491D0E">
      <w:pPr>
        <w:jc w:val="both"/>
      </w:pPr>
    </w:p>
    <w:p w:rsidR="009657C6" w:rsidRPr="006338C6" w:rsidRDefault="00E65AC5" w:rsidP="00E65AC5">
      <w:pPr>
        <w:pStyle w:val="Ttulo"/>
        <w:outlineLvl w:val="0"/>
      </w:pPr>
      <w:bookmarkStart w:id="7" w:name="_Toc512497266"/>
      <w:r w:rsidRPr="006338C6">
        <w:t>Estimativas e Julgamentos Contábeis Críticos</w:t>
      </w:r>
      <w:bookmarkEnd w:id="7"/>
    </w:p>
    <w:p w:rsidR="009657C6" w:rsidRPr="00FD7B48" w:rsidRDefault="009657C6" w:rsidP="009657C6">
      <w:pPr>
        <w:jc w:val="both"/>
      </w:pPr>
    </w:p>
    <w:p w:rsidR="009657C6" w:rsidRPr="00FD7B48" w:rsidRDefault="009657C6" w:rsidP="009657C6">
      <w:pPr>
        <w:jc w:val="both"/>
      </w:pPr>
      <w:r w:rsidRPr="00FD7B48">
        <w:t xml:space="preserve">As </w:t>
      </w:r>
      <w:r w:rsidR="00595A08">
        <w:t>e</w:t>
      </w:r>
      <w:r w:rsidRPr="00FD7B48">
        <w:t xml:space="preserve">stimativas e os </w:t>
      </w:r>
      <w:r w:rsidR="00595A08">
        <w:t>j</w:t>
      </w:r>
      <w:r w:rsidRPr="00FD7B48">
        <w:t xml:space="preserve">ulgamentos </w:t>
      </w:r>
      <w:r w:rsidR="00595A08">
        <w:t>c</w:t>
      </w:r>
      <w:r w:rsidRPr="00FD7B48">
        <w:t>ontábeis são continuamente avaliados baseando-se na experiência histórica e em outros fatores, incluindo expectativas de eventos futuros, políticas governamentais, orientações dos Órgãos Setoriais de Controle do M</w:t>
      </w:r>
      <w:r w:rsidR="008B663F">
        <w:t>inistério da Educação (MEC)</w:t>
      </w:r>
      <w:r w:rsidRPr="00FD7B48">
        <w:t xml:space="preserve"> e da </w:t>
      </w:r>
      <w:r w:rsidR="008B663F">
        <w:t>Secretaria do Tesouro Nacional (</w:t>
      </w:r>
      <w:r w:rsidRPr="00FD7B48">
        <w:t>STN</w:t>
      </w:r>
      <w:r w:rsidR="008B663F">
        <w:t xml:space="preserve">) assim como da </w:t>
      </w:r>
      <w:r w:rsidR="00497EE9">
        <w:t xml:space="preserve">Ministério da Transparência e </w:t>
      </w:r>
      <w:r w:rsidR="008B663F">
        <w:t>Controladoria</w:t>
      </w:r>
      <w:r w:rsidR="00497EE9">
        <w:t>-</w:t>
      </w:r>
      <w:r w:rsidR="008B663F">
        <w:t>Geral da União (</w:t>
      </w:r>
      <w:r w:rsidRPr="00FD7B48">
        <w:t>CGU</w:t>
      </w:r>
      <w:r w:rsidR="008B663F">
        <w:t>)</w:t>
      </w:r>
      <w:r w:rsidRPr="00FD7B48">
        <w:t xml:space="preserve"> e </w:t>
      </w:r>
      <w:r w:rsidR="008B663F">
        <w:t>do Tribunal de Contas da União (</w:t>
      </w:r>
      <w:r w:rsidRPr="00FD7B48">
        <w:t>TCU</w:t>
      </w:r>
      <w:r w:rsidR="008B663F">
        <w:t>)</w:t>
      </w:r>
      <w:r w:rsidRPr="00FD7B48">
        <w:t xml:space="preserve"> e demais fatores considerados razoáveis para as circunstâncias. Com base em diversas premissas, a Instituição faz estimativas c</w:t>
      </w:r>
      <w:r w:rsidR="0025624A">
        <w:t>om relação ao futuro resultantes</w:t>
      </w:r>
      <w:r w:rsidRPr="00FD7B48">
        <w:t xml:space="preserve"> de um orçamento econômico, continuamente acompanhado pela </w:t>
      </w:r>
      <w:r w:rsidRPr="00E2221E">
        <w:t xml:space="preserve">Coordenadoria </w:t>
      </w:r>
      <w:r w:rsidR="00E87205" w:rsidRPr="00E2221E">
        <w:t xml:space="preserve">de Gestão </w:t>
      </w:r>
      <w:r w:rsidR="000D13A3" w:rsidRPr="00E2221E">
        <w:t>Financeira</w:t>
      </w:r>
      <w:r w:rsidR="00E90D05">
        <w:t xml:space="preserve"> (COFIN)</w:t>
      </w:r>
      <w:r w:rsidR="00527F6F">
        <w:t xml:space="preserve"> e pela </w:t>
      </w:r>
      <w:r w:rsidR="007B2064">
        <w:t>Diretoria Executiva</w:t>
      </w:r>
      <w:r w:rsidR="00527F6F">
        <w:t xml:space="preserve"> do HCPA</w:t>
      </w:r>
      <w:r w:rsidRPr="00E2221E">
        <w:t>.</w:t>
      </w:r>
      <w:r w:rsidRPr="00FD7B48">
        <w:t xml:space="preserve"> </w:t>
      </w:r>
    </w:p>
    <w:p w:rsidR="009657C6" w:rsidRPr="00FD7B48" w:rsidRDefault="009657C6" w:rsidP="009657C6">
      <w:pPr>
        <w:jc w:val="both"/>
      </w:pPr>
    </w:p>
    <w:p w:rsidR="009657C6" w:rsidRPr="00FD7B48" w:rsidRDefault="009657C6" w:rsidP="009657C6">
      <w:pPr>
        <w:jc w:val="both"/>
      </w:pPr>
      <w:r w:rsidRPr="00FD7B48">
        <w:t xml:space="preserve">As demonstrações financeiras incluem, portanto, várias estimativas, </w:t>
      </w:r>
      <w:r w:rsidR="00AB7073" w:rsidRPr="00FD7B48">
        <w:t>dentre elas</w:t>
      </w:r>
      <w:r w:rsidRPr="00FD7B48">
        <w:t>: seleção de vida útil dos bens do imobilizado, provisões para créditos de liquidação duvidosa, provisões para contingências tributárias, cíveis e trabalhistas, redução do valor recuperável de ativos</w:t>
      </w:r>
      <w:r w:rsidR="00AB7073" w:rsidRPr="00FD7B48">
        <w:t>, entre outras</w:t>
      </w:r>
      <w:r w:rsidRPr="00FD7B48">
        <w:t>.</w:t>
      </w:r>
    </w:p>
    <w:p w:rsidR="009657C6" w:rsidRDefault="009657C6" w:rsidP="009657C6">
      <w:pPr>
        <w:jc w:val="both"/>
      </w:pPr>
    </w:p>
    <w:p w:rsidR="00ED4D37" w:rsidRDefault="00ED4D37">
      <w:bookmarkStart w:id="8" w:name="_Toc512497267"/>
      <w:r>
        <w:rPr>
          <w:b/>
        </w:rPr>
        <w:br w:type="page"/>
      </w:r>
    </w:p>
    <w:p w:rsidR="009657C6" w:rsidRPr="006338C6" w:rsidRDefault="001A2A78" w:rsidP="00E65AC5">
      <w:pPr>
        <w:pStyle w:val="Ttulo"/>
        <w:outlineLvl w:val="0"/>
      </w:pPr>
      <w:r>
        <w:lastRenderedPageBreak/>
        <w:t>G</w:t>
      </w:r>
      <w:r w:rsidR="00E65AC5" w:rsidRPr="006338C6">
        <w:t>estão de Risco Financeiro</w:t>
      </w:r>
      <w:bookmarkEnd w:id="8"/>
    </w:p>
    <w:p w:rsidR="009657C6" w:rsidRPr="00FD7B48" w:rsidRDefault="009657C6" w:rsidP="009657C6">
      <w:pPr>
        <w:jc w:val="both"/>
      </w:pPr>
    </w:p>
    <w:p w:rsidR="009657C6" w:rsidRPr="006338C6" w:rsidRDefault="009657C6" w:rsidP="00BF21BA">
      <w:pPr>
        <w:pStyle w:val="Subttulo"/>
        <w:numPr>
          <w:ilvl w:val="0"/>
          <w:numId w:val="4"/>
        </w:numPr>
        <w:ind w:left="0" w:hanging="426"/>
        <w:rPr>
          <w:iCs/>
        </w:rPr>
      </w:pPr>
      <w:r w:rsidRPr="006338C6">
        <w:rPr>
          <w:iCs/>
        </w:rPr>
        <w:t>Risco de Liquidez</w:t>
      </w:r>
    </w:p>
    <w:p w:rsidR="009657C6" w:rsidRPr="00FD7B48" w:rsidRDefault="009657C6" w:rsidP="009657C6">
      <w:pPr>
        <w:jc w:val="both"/>
      </w:pPr>
    </w:p>
    <w:p w:rsidR="006338C6" w:rsidRDefault="009657C6" w:rsidP="009657C6">
      <w:pPr>
        <w:jc w:val="both"/>
      </w:pPr>
      <w:r w:rsidRPr="00FD7B48">
        <w:t>O risco da Instituição não dispor de recursos suficientes para honrar seus compromissos financeiros é administrado através do monitoramento das previsões de um fluxo orçamentário</w:t>
      </w:r>
      <w:r w:rsidR="003617F5">
        <w:t xml:space="preserve">/financeiro </w:t>
      </w:r>
      <w:r w:rsidRPr="00FD7B48">
        <w:t xml:space="preserve">realizado pela Coordenadoria </w:t>
      </w:r>
      <w:r w:rsidR="00AD068B">
        <w:t xml:space="preserve">de Gestão </w:t>
      </w:r>
      <w:r w:rsidRPr="00FD7B48">
        <w:t>Financeira</w:t>
      </w:r>
      <w:r w:rsidR="00AD068B">
        <w:t xml:space="preserve"> (COFIN)</w:t>
      </w:r>
      <w:r w:rsidRPr="00FD7B48">
        <w:t>. A este departamento compete assegurar que haja caixa suficiente para atender as n</w:t>
      </w:r>
      <w:r w:rsidR="00AB7073" w:rsidRPr="00FD7B48">
        <w:t xml:space="preserve">ecessidades operacionais, </w:t>
      </w:r>
      <w:r w:rsidRPr="00FD7B48">
        <w:t xml:space="preserve">obedecendo às leis vigentes e assegurando que haja empenho prévio para os compromissos assumidos dentro dos recursos orçamentários previstos. A realização de despesas com recursos diretamente arrecadados </w:t>
      </w:r>
      <w:r w:rsidR="00AD068B">
        <w:t>é</w:t>
      </w:r>
      <w:r w:rsidRPr="00FD7B48">
        <w:t xml:space="preserve"> efetivada após o recebimento efetivo dos mesmos.</w:t>
      </w:r>
    </w:p>
    <w:p w:rsidR="006338C6" w:rsidRDefault="006338C6" w:rsidP="009657C6">
      <w:pPr>
        <w:jc w:val="both"/>
      </w:pPr>
    </w:p>
    <w:p w:rsidR="009657C6" w:rsidRPr="006338C6" w:rsidRDefault="009657C6" w:rsidP="00BF21BA">
      <w:pPr>
        <w:pStyle w:val="Subttulo"/>
        <w:numPr>
          <w:ilvl w:val="0"/>
          <w:numId w:val="4"/>
        </w:numPr>
        <w:ind w:left="0" w:hanging="426"/>
        <w:rPr>
          <w:iCs/>
        </w:rPr>
      </w:pPr>
      <w:r w:rsidRPr="006338C6">
        <w:rPr>
          <w:iCs/>
        </w:rPr>
        <w:t>Risco de Crédito</w:t>
      </w:r>
    </w:p>
    <w:p w:rsidR="009657C6" w:rsidRPr="00FD7B48" w:rsidRDefault="009657C6" w:rsidP="009657C6">
      <w:pPr>
        <w:jc w:val="both"/>
      </w:pPr>
    </w:p>
    <w:p w:rsidR="009657C6" w:rsidRPr="00FD7B48" w:rsidRDefault="009657C6" w:rsidP="009657C6">
      <w:pPr>
        <w:jc w:val="both"/>
      </w:pPr>
      <w:r w:rsidRPr="00FD7B48">
        <w:t>Os riscos de crédito da Instituição, decorrentes de caixa e equivalentes de caixa, depósitos em bancos, valores a receber do Tesouro Nacional e dos clientes de convênios e particulares, são mínimos e administrados corporativamente.</w:t>
      </w:r>
    </w:p>
    <w:p w:rsidR="009657C6" w:rsidRPr="00FD7B48" w:rsidRDefault="009657C6" w:rsidP="009657C6">
      <w:pPr>
        <w:jc w:val="both"/>
      </w:pPr>
    </w:p>
    <w:p w:rsidR="009657C6" w:rsidRPr="00431280" w:rsidRDefault="009657C6" w:rsidP="009657C6">
      <w:pPr>
        <w:jc w:val="both"/>
      </w:pPr>
      <w:r w:rsidRPr="00431280">
        <w:t>A administração não espera nenhuma perda decorrente de inadimplência dessas contrapartes superior ao valor já provisionado.</w:t>
      </w:r>
    </w:p>
    <w:p w:rsidR="009657C6" w:rsidRPr="00FD7B48" w:rsidRDefault="009657C6" w:rsidP="009657C6">
      <w:pPr>
        <w:jc w:val="both"/>
      </w:pPr>
    </w:p>
    <w:p w:rsidR="009657C6" w:rsidRPr="00FD7B48" w:rsidRDefault="009657C6" w:rsidP="009657C6">
      <w:pPr>
        <w:jc w:val="both"/>
      </w:pPr>
      <w:r w:rsidRPr="00FD7B48">
        <w:t>Os recursos oriundos do Tesouro Nacional são deliberados pela Lei de Diretrizes Orçamentárias e fixados pela Lei Orçamentária Anual e suas regulamentações.</w:t>
      </w:r>
    </w:p>
    <w:p w:rsidR="009657C6" w:rsidRPr="00FD7B48" w:rsidRDefault="009657C6" w:rsidP="009657C6">
      <w:pPr>
        <w:jc w:val="both"/>
      </w:pPr>
    </w:p>
    <w:p w:rsidR="00FB7068" w:rsidRDefault="00FB7068" w:rsidP="00FB7068">
      <w:pPr>
        <w:jc w:val="both"/>
      </w:pPr>
      <w:r>
        <w:t>No exercício de 2017 os recursos orçamentários foram fixados pela Lei 13.414, de 10 de janeiro de 2017, publicada no DOU em 11 de janeiro de 2017.</w:t>
      </w:r>
    </w:p>
    <w:p w:rsidR="003839BA" w:rsidRPr="00FD7B48" w:rsidRDefault="003839BA" w:rsidP="003839BA">
      <w:pPr>
        <w:jc w:val="both"/>
      </w:pPr>
    </w:p>
    <w:p w:rsidR="009657C6" w:rsidRPr="006338C6" w:rsidRDefault="009657C6" w:rsidP="00BF21BA">
      <w:pPr>
        <w:pStyle w:val="Subttulo"/>
        <w:numPr>
          <w:ilvl w:val="0"/>
          <w:numId w:val="4"/>
        </w:numPr>
        <w:ind w:left="0" w:hanging="426"/>
        <w:rPr>
          <w:iCs/>
        </w:rPr>
      </w:pPr>
      <w:r w:rsidRPr="006338C6">
        <w:rPr>
          <w:iCs/>
        </w:rPr>
        <w:t>Estimativa do Valor Justo</w:t>
      </w:r>
    </w:p>
    <w:p w:rsidR="009657C6" w:rsidRPr="00FD7B48" w:rsidRDefault="009657C6" w:rsidP="009657C6">
      <w:pPr>
        <w:jc w:val="both"/>
      </w:pPr>
    </w:p>
    <w:p w:rsidR="009657C6" w:rsidRPr="00FD7B48" w:rsidRDefault="009657C6" w:rsidP="009657C6">
      <w:pPr>
        <w:jc w:val="both"/>
      </w:pPr>
      <w:r w:rsidRPr="00FD7B48">
        <w:t>Os saldos das Contas a Receber dos Clientes e Contas a Pagar aos fornecedores estão próximos de seus valores justos.</w:t>
      </w:r>
    </w:p>
    <w:p w:rsidR="009657C6" w:rsidRPr="00FD7B48" w:rsidRDefault="009657C6" w:rsidP="009657C6">
      <w:pPr>
        <w:jc w:val="both"/>
      </w:pPr>
    </w:p>
    <w:p w:rsidR="00B457E8" w:rsidRPr="00FD7B48" w:rsidRDefault="009657C6" w:rsidP="009657C6">
      <w:pPr>
        <w:jc w:val="both"/>
      </w:pPr>
      <w:r w:rsidRPr="00F34882">
        <w:t xml:space="preserve">A Instituição aprovou no </w:t>
      </w:r>
      <w:r w:rsidR="00ED2518" w:rsidRPr="00F34882">
        <w:t xml:space="preserve">Conselho </w:t>
      </w:r>
      <w:r w:rsidR="00744C61" w:rsidRPr="00F34882">
        <w:t xml:space="preserve">Diretor </w:t>
      </w:r>
      <w:r w:rsidR="005B0555">
        <w:t>(atual Conselho de Administração)</w:t>
      </w:r>
      <w:r w:rsidR="00214EAD">
        <w:t xml:space="preserve"> </w:t>
      </w:r>
      <w:r w:rsidR="00ED2518" w:rsidRPr="00F34882">
        <w:t>na reunião n° 4</w:t>
      </w:r>
      <w:r w:rsidR="00E87205" w:rsidRPr="00F34882">
        <w:t>1</w:t>
      </w:r>
      <w:r w:rsidR="00ED2518" w:rsidRPr="00F34882">
        <w:t xml:space="preserve">8, realizada em </w:t>
      </w:r>
      <w:r w:rsidR="00E87205" w:rsidRPr="00F34882">
        <w:t>23</w:t>
      </w:r>
      <w:r w:rsidRPr="00F34882">
        <w:t xml:space="preserve"> de </w:t>
      </w:r>
      <w:r w:rsidR="00E87205" w:rsidRPr="00F34882">
        <w:t>outubro</w:t>
      </w:r>
      <w:r w:rsidRPr="00F34882">
        <w:t xml:space="preserve"> de 201</w:t>
      </w:r>
      <w:r w:rsidR="00E87205" w:rsidRPr="00F34882">
        <w:t>7</w:t>
      </w:r>
      <w:r w:rsidRPr="00F34882">
        <w:t>, a</w:t>
      </w:r>
      <w:r w:rsidR="00E95153" w:rsidRPr="00F34882">
        <w:t>s</w:t>
      </w:r>
      <w:r w:rsidRPr="00F34882">
        <w:t xml:space="preserve"> </w:t>
      </w:r>
      <w:r w:rsidR="003B5EE2" w:rsidRPr="00F34882">
        <w:t>Perdas</w:t>
      </w:r>
      <w:r w:rsidRPr="00F34882">
        <w:t xml:space="preserve"> </w:t>
      </w:r>
      <w:r w:rsidR="003B5EE2" w:rsidRPr="00F34882">
        <w:t xml:space="preserve">Estimadas </w:t>
      </w:r>
      <w:r w:rsidRPr="00F34882">
        <w:t xml:space="preserve">para </w:t>
      </w:r>
      <w:r w:rsidR="003B5EE2" w:rsidRPr="00F34882">
        <w:t>Créditos de Liquidação</w:t>
      </w:r>
      <w:r w:rsidRPr="00F34882">
        <w:t xml:space="preserve"> Duvidos</w:t>
      </w:r>
      <w:r w:rsidR="003B5EE2" w:rsidRPr="00F34882">
        <w:t>a</w:t>
      </w:r>
      <w:r w:rsidR="00EB37E3">
        <w:t xml:space="preserve"> (</w:t>
      </w:r>
      <w:r w:rsidR="00E95153" w:rsidRPr="00F34882">
        <w:t>PECLD</w:t>
      </w:r>
      <w:r w:rsidR="00EB37E3">
        <w:t>)</w:t>
      </w:r>
      <w:r w:rsidR="003B5EE2" w:rsidRPr="00F34882">
        <w:t xml:space="preserve"> </w:t>
      </w:r>
      <w:r w:rsidRPr="00F34882">
        <w:t xml:space="preserve">relativos a perdas prováveis </w:t>
      </w:r>
      <w:r w:rsidRPr="00F34882">
        <w:rPr>
          <w:i/>
        </w:rPr>
        <w:t>(</w:t>
      </w:r>
      <w:proofErr w:type="spellStart"/>
      <w:r w:rsidRPr="00F34882">
        <w:rPr>
          <w:i/>
        </w:rPr>
        <w:t>impairment</w:t>
      </w:r>
      <w:proofErr w:type="spellEnd"/>
      <w:r w:rsidRPr="00F34882">
        <w:t>) de Contas a Receber de Clientes, utilizando como critério as contas não recebidas e vencidas há pelo menos seis (6) meses</w:t>
      </w:r>
      <w:r w:rsidRPr="00E87205">
        <w:rPr>
          <w:color w:val="FF0000"/>
        </w:rPr>
        <w:t>,</w:t>
      </w:r>
      <w:r w:rsidRPr="00FD7B48">
        <w:t xml:space="preserve"> acrescido de uma análise técnica qualitativa de cada devedor</w:t>
      </w:r>
      <w:r w:rsidR="00B457E8" w:rsidRPr="00FD7B48">
        <w:t xml:space="preserve">. </w:t>
      </w:r>
    </w:p>
    <w:p w:rsidR="00ED2518" w:rsidRPr="00FD7B48" w:rsidRDefault="00ED2518" w:rsidP="009657C6">
      <w:pPr>
        <w:jc w:val="both"/>
      </w:pPr>
    </w:p>
    <w:p w:rsidR="009657C6" w:rsidRDefault="009657C6" w:rsidP="009657C6">
      <w:pPr>
        <w:jc w:val="both"/>
      </w:pPr>
      <w:r w:rsidRPr="00FD7B48">
        <w:t xml:space="preserve">Os Estoques </w:t>
      </w:r>
      <w:r w:rsidRPr="00555C99">
        <w:t xml:space="preserve">garantem </w:t>
      </w:r>
      <w:r w:rsidR="00866EA1" w:rsidRPr="00555C99">
        <w:t>53,15</w:t>
      </w:r>
      <w:r w:rsidRPr="00555C99">
        <w:t xml:space="preserve"> dias</w:t>
      </w:r>
      <w:r w:rsidRPr="00FD7B48">
        <w:t xml:space="preserve"> de utilização, com os preços médios devidamente de acordo com o mercado. O volume dos estoques decorre muitas vezes da política governamental orçamentária de cada exercício. </w:t>
      </w:r>
    </w:p>
    <w:p w:rsidR="00E40A57" w:rsidRPr="00FD7B48" w:rsidRDefault="00E40A57" w:rsidP="009657C6">
      <w:pPr>
        <w:jc w:val="both"/>
      </w:pPr>
    </w:p>
    <w:p w:rsidR="00196D9E" w:rsidRPr="006338C6" w:rsidRDefault="00196D9E" w:rsidP="00230EA8">
      <w:pPr>
        <w:pStyle w:val="Ttulo"/>
        <w:outlineLvl w:val="0"/>
      </w:pPr>
      <w:bookmarkStart w:id="9" w:name="_Ref457927830"/>
      <w:bookmarkStart w:id="10" w:name="_Toc512497268"/>
      <w:r w:rsidRPr="006338C6">
        <w:t>Caixa e Equivalentes de Caixa</w:t>
      </w:r>
      <w:bookmarkEnd w:id="9"/>
      <w:bookmarkEnd w:id="10"/>
    </w:p>
    <w:tbl>
      <w:tblPr>
        <w:tblW w:w="5000" w:type="pct"/>
        <w:tblCellMar>
          <w:left w:w="70" w:type="dxa"/>
          <w:right w:w="70" w:type="dxa"/>
        </w:tblCellMar>
        <w:tblLook w:val="04A0" w:firstRow="1" w:lastRow="0" w:firstColumn="1" w:lastColumn="0" w:noHBand="0" w:noVBand="1"/>
      </w:tblPr>
      <w:tblGrid>
        <w:gridCol w:w="5250"/>
        <w:gridCol w:w="1817"/>
        <w:gridCol w:w="328"/>
        <w:gridCol w:w="1817"/>
      </w:tblGrid>
      <w:tr w:rsidR="00734989" w:rsidRPr="00734989" w:rsidTr="00734989">
        <w:trPr>
          <w:trHeight w:val="20"/>
        </w:trPr>
        <w:tc>
          <w:tcPr>
            <w:tcW w:w="2850" w:type="pct"/>
            <w:tcBorders>
              <w:top w:val="nil"/>
              <w:left w:val="nil"/>
              <w:bottom w:val="nil"/>
              <w:right w:val="nil"/>
            </w:tcBorders>
            <w:shd w:val="clear" w:color="000000" w:fill="FFFFFF"/>
            <w:noWrap/>
            <w:vAlign w:val="center"/>
            <w:hideMark/>
          </w:tcPr>
          <w:p w:rsidR="00734989" w:rsidRPr="00734989" w:rsidRDefault="00734989" w:rsidP="00734989">
            <w:pPr>
              <w:rPr>
                <w:color w:val="000000"/>
              </w:rPr>
            </w:pPr>
          </w:p>
        </w:tc>
        <w:tc>
          <w:tcPr>
            <w:tcW w:w="986" w:type="pct"/>
            <w:tcBorders>
              <w:top w:val="nil"/>
              <w:left w:val="nil"/>
              <w:bottom w:val="single" w:sz="8" w:space="0" w:color="auto"/>
              <w:right w:val="nil"/>
            </w:tcBorders>
            <w:shd w:val="clear" w:color="000000" w:fill="FFFFFF"/>
            <w:vAlign w:val="center"/>
            <w:hideMark/>
          </w:tcPr>
          <w:p w:rsidR="00734989" w:rsidRPr="00734989" w:rsidRDefault="00734989" w:rsidP="00734989">
            <w:pPr>
              <w:jc w:val="right"/>
              <w:rPr>
                <w:b/>
                <w:bCs/>
                <w:color w:val="000000"/>
              </w:rPr>
            </w:pPr>
            <w:r w:rsidRPr="00734989">
              <w:rPr>
                <w:b/>
                <w:bCs/>
                <w:color w:val="000000"/>
              </w:rPr>
              <w:t>31/12/2017</w:t>
            </w:r>
          </w:p>
        </w:tc>
        <w:tc>
          <w:tcPr>
            <w:tcW w:w="178" w:type="pct"/>
            <w:tcBorders>
              <w:top w:val="nil"/>
              <w:left w:val="nil"/>
              <w:bottom w:val="nil"/>
              <w:right w:val="nil"/>
            </w:tcBorders>
            <w:shd w:val="clear" w:color="000000" w:fill="FFFFFF"/>
            <w:vAlign w:val="center"/>
            <w:hideMark/>
          </w:tcPr>
          <w:p w:rsidR="00734989" w:rsidRPr="00734989" w:rsidRDefault="00734989" w:rsidP="00734989">
            <w:pPr>
              <w:rPr>
                <w:b/>
                <w:bCs/>
                <w:color w:val="000000"/>
              </w:rPr>
            </w:pPr>
            <w:r w:rsidRPr="00734989">
              <w:rPr>
                <w:b/>
                <w:bCs/>
                <w:color w:val="000000"/>
              </w:rPr>
              <w:t> </w:t>
            </w:r>
          </w:p>
        </w:tc>
        <w:tc>
          <w:tcPr>
            <w:tcW w:w="986" w:type="pct"/>
            <w:tcBorders>
              <w:top w:val="nil"/>
              <w:left w:val="nil"/>
              <w:bottom w:val="single" w:sz="8" w:space="0" w:color="auto"/>
              <w:right w:val="nil"/>
            </w:tcBorders>
            <w:shd w:val="clear" w:color="000000" w:fill="FFFFFF"/>
            <w:noWrap/>
            <w:vAlign w:val="center"/>
            <w:hideMark/>
          </w:tcPr>
          <w:p w:rsidR="00734989" w:rsidRPr="00734989" w:rsidRDefault="00734989" w:rsidP="00734989">
            <w:pPr>
              <w:jc w:val="right"/>
              <w:rPr>
                <w:b/>
                <w:bCs/>
                <w:color w:val="000000"/>
              </w:rPr>
            </w:pPr>
            <w:r w:rsidRPr="00734989">
              <w:rPr>
                <w:b/>
                <w:bCs/>
                <w:color w:val="000000"/>
              </w:rPr>
              <w:t>31/12/2016</w:t>
            </w:r>
          </w:p>
        </w:tc>
      </w:tr>
      <w:tr w:rsidR="00734989" w:rsidRPr="00734989" w:rsidTr="00734989">
        <w:trPr>
          <w:trHeight w:val="20"/>
        </w:trPr>
        <w:tc>
          <w:tcPr>
            <w:tcW w:w="2850" w:type="pct"/>
            <w:tcBorders>
              <w:top w:val="nil"/>
              <w:left w:val="nil"/>
              <w:bottom w:val="nil"/>
              <w:right w:val="nil"/>
            </w:tcBorders>
            <w:shd w:val="clear" w:color="000000" w:fill="FFFFFF"/>
            <w:noWrap/>
            <w:vAlign w:val="center"/>
            <w:hideMark/>
          </w:tcPr>
          <w:p w:rsidR="00734989" w:rsidRPr="00734989" w:rsidRDefault="00734989" w:rsidP="00734989">
            <w:pPr>
              <w:rPr>
                <w:color w:val="000000"/>
              </w:rPr>
            </w:pPr>
            <w:r w:rsidRPr="00734989">
              <w:rPr>
                <w:color w:val="000000"/>
              </w:rPr>
              <w:t>Caixa</w:t>
            </w:r>
          </w:p>
        </w:tc>
        <w:tc>
          <w:tcPr>
            <w:tcW w:w="986" w:type="pct"/>
            <w:tcBorders>
              <w:top w:val="nil"/>
              <w:left w:val="nil"/>
              <w:bottom w:val="nil"/>
              <w:right w:val="nil"/>
            </w:tcBorders>
            <w:shd w:val="clear" w:color="000000" w:fill="FFFFFF"/>
            <w:vAlign w:val="center"/>
            <w:hideMark/>
          </w:tcPr>
          <w:p w:rsidR="00734989" w:rsidRPr="00734989" w:rsidRDefault="00734989" w:rsidP="00734989">
            <w:pPr>
              <w:jc w:val="right"/>
              <w:rPr>
                <w:color w:val="000000"/>
              </w:rPr>
            </w:pPr>
            <w:r w:rsidRPr="00734989">
              <w:rPr>
                <w:color w:val="000000"/>
              </w:rPr>
              <w:t>17</w:t>
            </w:r>
          </w:p>
        </w:tc>
        <w:tc>
          <w:tcPr>
            <w:tcW w:w="178" w:type="pct"/>
            <w:tcBorders>
              <w:top w:val="nil"/>
              <w:left w:val="nil"/>
              <w:bottom w:val="nil"/>
              <w:right w:val="nil"/>
            </w:tcBorders>
            <w:shd w:val="clear" w:color="000000" w:fill="FFFFFF"/>
            <w:vAlign w:val="center"/>
            <w:hideMark/>
          </w:tcPr>
          <w:p w:rsidR="00734989" w:rsidRPr="00734989" w:rsidRDefault="00734989" w:rsidP="00734989">
            <w:pPr>
              <w:rPr>
                <w:color w:val="000000"/>
              </w:rPr>
            </w:pPr>
            <w:r w:rsidRPr="00734989">
              <w:rPr>
                <w:color w:val="000000"/>
              </w:rPr>
              <w:t> </w:t>
            </w:r>
          </w:p>
        </w:tc>
        <w:tc>
          <w:tcPr>
            <w:tcW w:w="986" w:type="pct"/>
            <w:tcBorders>
              <w:top w:val="nil"/>
              <w:left w:val="nil"/>
              <w:bottom w:val="nil"/>
              <w:right w:val="nil"/>
            </w:tcBorders>
            <w:shd w:val="clear" w:color="000000" w:fill="FFFFFF"/>
            <w:noWrap/>
            <w:vAlign w:val="center"/>
            <w:hideMark/>
          </w:tcPr>
          <w:p w:rsidR="00734989" w:rsidRPr="00734989" w:rsidRDefault="00734989" w:rsidP="00734989">
            <w:pPr>
              <w:jc w:val="right"/>
              <w:rPr>
                <w:color w:val="000000"/>
              </w:rPr>
            </w:pPr>
            <w:r w:rsidRPr="00734989">
              <w:rPr>
                <w:color w:val="000000"/>
              </w:rPr>
              <w:t>10</w:t>
            </w:r>
          </w:p>
        </w:tc>
      </w:tr>
      <w:tr w:rsidR="00734989" w:rsidRPr="00734989" w:rsidTr="00734989">
        <w:trPr>
          <w:trHeight w:val="20"/>
        </w:trPr>
        <w:tc>
          <w:tcPr>
            <w:tcW w:w="2850" w:type="pct"/>
            <w:tcBorders>
              <w:top w:val="nil"/>
              <w:left w:val="nil"/>
              <w:bottom w:val="nil"/>
              <w:right w:val="nil"/>
            </w:tcBorders>
            <w:shd w:val="clear" w:color="000000" w:fill="FFFFFF"/>
            <w:noWrap/>
            <w:vAlign w:val="center"/>
            <w:hideMark/>
          </w:tcPr>
          <w:p w:rsidR="00734989" w:rsidRPr="00734989" w:rsidRDefault="00734989" w:rsidP="00734989">
            <w:pPr>
              <w:rPr>
                <w:color w:val="000000"/>
              </w:rPr>
            </w:pPr>
            <w:r w:rsidRPr="00734989">
              <w:rPr>
                <w:color w:val="000000"/>
              </w:rPr>
              <w:t>Conta Corrente</w:t>
            </w:r>
          </w:p>
        </w:tc>
        <w:tc>
          <w:tcPr>
            <w:tcW w:w="986" w:type="pct"/>
            <w:tcBorders>
              <w:top w:val="nil"/>
              <w:left w:val="nil"/>
              <w:bottom w:val="nil"/>
              <w:right w:val="nil"/>
            </w:tcBorders>
            <w:shd w:val="clear" w:color="000000" w:fill="FFFFFF"/>
            <w:vAlign w:val="center"/>
            <w:hideMark/>
          </w:tcPr>
          <w:p w:rsidR="00734989" w:rsidRPr="00734989" w:rsidRDefault="00734989" w:rsidP="00734989">
            <w:pPr>
              <w:jc w:val="right"/>
              <w:rPr>
                <w:color w:val="000000"/>
              </w:rPr>
            </w:pPr>
            <w:r w:rsidRPr="00734989">
              <w:rPr>
                <w:color w:val="000000"/>
              </w:rPr>
              <w:t>1.900</w:t>
            </w:r>
          </w:p>
        </w:tc>
        <w:tc>
          <w:tcPr>
            <w:tcW w:w="178" w:type="pct"/>
            <w:tcBorders>
              <w:top w:val="nil"/>
              <w:left w:val="nil"/>
              <w:bottom w:val="nil"/>
              <w:right w:val="nil"/>
            </w:tcBorders>
            <w:shd w:val="clear" w:color="000000" w:fill="FFFFFF"/>
            <w:vAlign w:val="center"/>
            <w:hideMark/>
          </w:tcPr>
          <w:p w:rsidR="00734989" w:rsidRPr="00734989" w:rsidRDefault="00734989" w:rsidP="00734989">
            <w:pPr>
              <w:rPr>
                <w:color w:val="000000"/>
              </w:rPr>
            </w:pPr>
            <w:r w:rsidRPr="00734989">
              <w:rPr>
                <w:color w:val="000000"/>
              </w:rPr>
              <w:t> </w:t>
            </w:r>
          </w:p>
        </w:tc>
        <w:tc>
          <w:tcPr>
            <w:tcW w:w="986" w:type="pct"/>
            <w:tcBorders>
              <w:top w:val="nil"/>
              <w:left w:val="nil"/>
              <w:bottom w:val="nil"/>
              <w:right w:val="nil"/>
            </w:tcBorders>
            <w:shd w:val="clear" w:color="000000" w:fill="FFFFFF"/>
            <w:noWrap/>
            <w:vAlign w:val="center"/>
            <w:hideMark/>
          </w:tcPr>
          <w:p w:rsidR="00734989" w:rsidRPr="00734989" w:rsidRDefault="00734989" w:rsidP="00734989">
            <w:pPr>
              <w:jc w:val="right"/>
              <w:rPr>
                <w:color w:val="000000"/>
              </w:rPr>
            </w:pPr>
            <w:r w:rsidRPr="00734989">
              <w:rPr>
                <w:color w:val="000000"/>
              </w:rPr>
              <w:t>3.007</w:t>
            </w:r>
          </w:p>
        </w:tc>
      </w:tr>
      <w:tr w:rsidR="00734989" w:rsidRPr="00734989" w:rsidTr="00734989">
        <w:trPr>
          <w:trHeight w:val="20"/>
        </w:trPr>
        <w:tc>
          <w:tcPr>
            <w:tcW w:w="2850" w:type="pct"/>
            <w:tcBorders>
              <w:top w:val="nil"/>
              <w:left w:val="nil"/>
              <w:bottom w:val="nil"/>
              <w:right w:val="nil"/>
            </w:tcBorders>
            <w:shd w:val="clear" w:color="000000" w:fill="FFFFFF"/>
            <w:noWrap/>
            <w:vAlign w:val="center"/>
            <w:hideMark/>
          </w:tcPr>
          <w:p w:rsidR="00734989" w:rsidRPr="00734989" w:rsidRDefault="00734989" w:rsidP="00734989">
            <w:pPr>
              <w:rPr>
                <w:color w:val="000000"/>
              </w:rPr>
            </w:pPr>
            <w:r w:rsidRPr="00734989">
              <w:rPr>
                <w:color w:val="000000"/>
              </w:rPr>
              <w:t>Depósitos Bancários de Curto Prazo</w:t>
            </w:r>
          </w:p>
        </w:tc>
        <w:tc>
          <w:tcPr>
            <w:tcW w:w="986" w:type="pct"/>
            <w:tcBorders>
              <w:top w:val="nil"/>
              <w:left w:val="nil"/>
              <w:bottom w:val="nil"/>
              <w:right w:val="nil"/>
            </w:tcBorders>
            <w:shd w:val="clear" w:color="000000" w:fill="FFFFFF"/>
            <w:vAlign w:val="center"/>
            <w:hideMark/>
          </w:tcPr>
          <w:p w:rsidR="00734989" w:rsidRPr="00734989" w:rsidRDefault="00734989" w:rsidP="00734989">
            <w:pPr>
              <w:jc w:val="right"/>
              <w:rPr>
                <w:color w:val="000000"/>
              </w:rPr>
            </w:pPr>
            <w:r w:rsidRPr="00734989">
              <w:rPr>
                <w:color w:val="000000"/>
              </w:rPr>
              <w:t>25.093</w:t>
            </w:r>
          </w:p>
        </w:tc>
        <w:tc>
          <w:tcPr>
            <w:tcW w:w="178" w:type="pct"/>
            <w:tcBorders>
              <w:top w:val="nil"/>
              <w:left w:val="nil"/>
              <w:bottom w:val="nil"/>
              <w:right w:val="nil"/>
            </w:tcBorders>
            <w:shd w:val="clear" w:color="000000" w:fill="FFFFFF"/>
            <w:vAlign w:val="center"/>
            <w:hideMark/>
          </w:tcPr>
          <w:p w:rsidR="00734989" w:rsidRPr="00734989" w:rsidRDefault="00734989" w:rsidP="00734989">
            <w:pPr>
              <w:rPr>
                <w:color w:val="000000"/>
              </w:rPr>
            </w:pPr>
            <w:r w:rsidRPr="00734989">
              <w:rPr>
                <w:color w:val="000000"/>
              </w:rPr>
              <w:t> </w:t>
            </w:r>
          </w:p>
        </w:tc>
        <w:tc>
          <w:tcPr>
            <w:tcW w:w="986" w:type="pct"/>
            <w:tcBorders>
              <w:top w:val="nil"/>
              <w:left w:val="nil"/>
              <w:bottom w:val="nil"/>
              <w:right w:val="nil"/>
            </w:tcBorders>
            <w:shd w:val="clear" w:color="000000" w:fill="FFFFFF"/>
            <w:noWrap/>
            <w:vAlign w:val="center"/>
            <w:hideMark/>
          </w:tcPr>
          <w:p w:rsidR="00734989" w:rsidRPr="00734989" w:rsidRDefault="00734989" w:rsidP="00734989">
            <w:pPr>
              <w:jc w:val="right"/>
              <w:rPr>
                <w:color w:val="000000"/>
              </w:rPr>
            </w:pPr>
            <w:r w:rsidRPr="00734989">
              <w:rPr>
                <w:color w:val="000000"/>
              </w:rPr>
              <w:t>22.995</w:t>
            </w:r>
          </w:p>
        </w:tc>
      </w:tr>
      <w:tr w:rsidR="00734989" w:rsidRPr="00734989" w:rsidTr="00734989">
        <w:trPr>
          <w:trHeight w:val="20"/>
        </w:trPr>
        <w:tc>
          <w:tcPr>
            <w:tcW w:w="2850" w:type="pct"/>
            <w:tcBorders>
              <w:top w:val="nil"/>
              <w:left w:val="nil"/>
              <w:bottom w:val="nil"/>
              <w:right w:val="nil"/>
            </w:tcBorders>
            <w:shd w:val="clear" w:color="000000" w:fill="FFFFFF"/>
            <w:noWrap/>
            <w:vAlign w:val="center"/>
            <w:hideMark/>
          </w:tcPr>
          <w:p w:rsidR="00734989" w:rsidRPr="00734989" w:rsidRDefault="00734989" w:rsidP="00734989">
            <w:pPr>
              <w:rPr>
                <w:color w:val="000000"/>
              </w:rPr>
            </w:pPr>
            <w:r w:rsidRPr="00734989">
              <w:rPr>
                <w:color w:val="000000"/>
              </w:rPr>
              <w:t>Conta Limite de Saque</w:t>
            </w:r>
          </w:p>
        </w:tc>
        <w:tc>
          <w:tcPr>
            <w:tcW w:w="986" w:type="pct"/>
            <w:tcBorders>
              <w:top w:val="nil"/>
              <w:left w:val="nil"/>
              <w:bottom w:val="single" w:sz="8" w:space="0" w:color="auto"/>
              <w:right w:val="nil"/>
            </w:tcBorders>
            <w:shd w:val="clear" w:color="000000" w:fill="FFFFFF"/>
            <w:vAlign w:val="center"/>
            <w:hideMark/>
          </w:tcPr>
          <w:p w:rsidR="00734989" w:rsidRPr="00734989" w:rsidRDefault="00734989" w:rsidP="00734989">
            <w:pPr>
              <w:jc w:val="right"/>
              <w:rPr>
                <w:color w:val="000000"/>
              </w:rPr>
            </w:pPr>
            <w:r w:rsidRPr="00734989">
              <w:rPr>
                <w:color w:val="000000"/>
              </w:rPr>
              <w:t>31.845</w:t>
            </w:r>
          </w:p>
        </w:tc>
        <w:tc>
          <w:tcPr>
            <w:tcW w:w="178" w:type="pct"/>
            <w:tcBorders>
              <w:top w:val="nil"/>
              <w:left w:val="nil"/>
              <w:bottom w:val="nil"/>
              <w:right w:val="nil"/>
            </w:tcBorders>
            <w:shd w:val="clear" w:color="000000" w:fill="FFFFFF"/>
            <w:vAlign w:val="center"/>
            <w:hideMark/>
          </w:tcPr>
          <w:p w:rsidR="00734989" w:rsidRPr="00734989" w:rsidRDefault="00734989" w:rsidP="00734989">
            <w:pPr>
              <w:rPr>
                <w:color w:val="000000"/>
              </w:rPr>
            </w:pPr>
            <w:r w:rsidRPr="00734989">
              <w:rPr>
                <w:color w:val="000000"/>
              </w:rPr>
              <w:t> </w:t>
            </w:r>
          </w:p>
        </w:tc>
        <w:tc>
          <w:tcPr>
            <w:tcW w:w="986" w:type="pct"/>
            <w:tcBorders>
              <w:top w:val="nil"/>
              <w:left w:val="nil"/>
              <w:bottom w:val="single" w:sz="8" w:space="0" w:color="auto"/>
              <w:right w:val="nil"/>
            </w:tcBorders>
            <w:shd w:val="clear" w:color="000000" w:fill="FFFFFF"/>
            <w:noWrap/>
            <w:vAlign w:val="center"/>
            <w:hideMark/>
          </w:tcPr>
          <w:p w:rsidR="00734989" w:rsidRPr="00734989" w:rsidRDefault="00734989" w:rsidP="00734989">
            <w:pPr>
              <w:jc w:val="right"/>
              <w:rPr>
                <w:color w:val="000000"/>
              </w:rPr>
            </w:pPr>
            <w:r w:rsidRPr="00734989">
              <w:rPr>
                <w:color w:val="000000"/>
              </w:rPr>
              <w:t>8.993</w:t>
            </w:r>
          </w:p>
        </w:tc>
      </w:tr>
      <w:tr w:rsidR="00734989" w:rsidRPr="00734989" w:rsidTr="00734989">
        <w:trPr>
          <w:trHeight w:val="20"/>
        </w:trPr>
        <w:tc>
          <w:tcPr>
            <w:tcW w:w="2850" w:type="pct"/>
            <w:tcBorders>
              <w:top w:val="nil"/>
              <w:left w:val="nil"/>
              <w:bottom w:val="nil"/>
              <w:right w:val="nil"/>
            </w:tcBorders>
            <w:shd w:val="clear" w:color="000000" w:fill="FFFFFF"/>
            <w:noWrap/>
            <w:vAlign w:val="center"/>
            <w:hideMark/>
          </w:tcPr>
          <w:p w:rsidR="00734989" w:rsidRPr="00734989" w:rsidRDefault="00734989" w:rsidP="00734989">
            <w:pPr>
              <w:rPr>
                <w:b/>
                <w:bCs/>
                <w:color w:val="000000"/>
              </w:rPr>
            </w:pPr>
            <w:r w:rsidRPr="00734989">
              <w:rPr>
                <w:b/>
                <w:bCs/>
                <w:color w:val="000000"/>
              </w:rPr>
              <w:t>Saldo Contábil</w:t>
            </w:r>
          </w:p>
        </w:tc>
        <w:tc>
          <w:tcPr>
            <w:tcW w:w="986" w:type="pct"/>
            <w:tcBorders>
              <w:top w:val="nil"/>
              <w:left w:val="nil"/>
              <w:bottom w:val="double" w:sz="6" w:space="0" w:color="auto"/>
              <w:right w:val="nil"/>
            </w:tcBorders>
            <w:shd w:val="clear" w:color="000000" w:fill="FFFFFF"/>
            <w:vAlign w:val="center"/>
            <w:hideMark/>
          </w:tcPr>
          <w:p w:rsidR="00734989" w:rsidRPr="00734989" w:rsidRDefault="00734989" w:rsidP="00734989">
            <w:pPr>
              <w:jc w:val="right"/>
              <w:rPr>
                <w:b/>
                <w:bCs/>
                <w:color w:val="000000"/>
              </w:rPr>
            </w:pPr>
            <w:r w:rsidRPr="00734989">
              <w:rPr>
                <w:b/>
                <w:bCs/>
                <w:color w:val="000000"/>
              </w:rPr>
              <w:t>58.85</w:t>
            </w:r>
            <w:r>
              <w:rPr>
                <w:b/>
                <w:bCs/>
                <w:color w:val="000000"/>
              </w:rPr>
              <w:t>5</w:t>
            </w:r>
          </w:p>
        </w:tc>
        <w:tc>
          <w:tcPr>
            <w:tcW w:w="178" w:type="pct"/>
            <w:tcBorders>
              <w:top w:val="nil"/>
              <w:left w:val="nil"/>
              <w:bottom w:val="nil"/>
              <w:right w:val="nil"/>
            </w:tcBorders>
            <w:shd w:val="clear" w:color="000000" w:fill="FFFFFF"/>
            <w:vAlign w:val="center"/>
            <w:hideMark/>
          </w:tcPr>
          <w:p w:rsidR="00734989" w:rsidRPr="00734989" w:rsidRDefault="00734989" w:rsidP="00734989">
            <w:pPr>
              <w:rPr>
                <w:b/>
                <w:bCs/>
                <w:color w:val="000000"/>
              </w:rPr>
            </w:pPr>
            <w:r w:rsidRPr="00734989">
              <w:rPr>
                <w:b/>
                <w:bCs/>
                <w:color w:val="000000"/>
              </w:rPr>
              <w:t> </w:t>
            </w:r>
          </w:p>
        </w:tc>
        <w:tc>
          <w:tcPr>
            <w:tcW w:w="986" w:type="pct"/>
            <w:tcBorders>
              <w:top w:val="nil"/>
              <w:left w:val="nil"/>
              <w:bottom w:val="double" w:sz="6" w:space="0" w:color="auto"/>
              <w:right w:val="nil"/>
            </w:tcBorders>
            <w:shd w:val="clear" w:color="000000" w:fill="FFFFFF"/>
            <w:noWrap/>
            <w:vAlign w:val="center"/>
            <w:hideMark/>
          </w:tcPr>
          <w:p w:rsidR="00734989" w:rsidRPr="00734989" w:rsidRDefault="00734989" w:rsidP="00734989">
            <w:pPr>
              <w:jc w:val="right"/>
              <w:rPr>
                <w:b/>
                <w:bCs/>
                <w:color w:val="000000"/>
              </w:rPr>
            </w:pPr>
            <w:r w:rsidRPr="00734989">
              <w:rPr>
                <w:b/>
                <w:bCs/>
                <w:color w:val="000000"/>
              </w:rPr>
              <w:t>35.005</w:t>
            </w:r>
          </w:p>
        </w:tc>
      </w:tr>
    </w:tbl>
    <w:p w:rsidR="00BF4164" w:rsidRPr="00FD7B48" w:rsidRDefault="00BF4164" w:rsidP="00BF4164">
      <w:pPr>
        <w:tabs>
          <w:tab w:val="center" w:pos="4348"/>
        </w:tabs>
        <w:jc w:val="both"/>
        <w:rPr>
          <w:b/>
        </w:rPr>
      </w:pPr>
    </w:p>
    <w:p w:rsidR="00744C61" w:rsidRDefault="00744C61" w:rsidP="00744C61">
      <w:pPr>
        <w:jc w:val="both"/>
      </w:pPr>
      <w:r w:rsidRPr="00FD7B48">
        <w:t xml:space="preserve">A conta limite de saque é composta pelo saldo dos recursos públicos vinculados a convênios ou recursos especiais que não podem ser aplicados em Fundos de Curto Prazo. Estes recursos estão disponíveis para cobrir despesas de capital ou </w:t>
      </w:r>
      <w:r w:rsidR="00443B0B">
        <w:t xml:space="preserve">de </w:t>
      </w:r>
      <w:r w:rsidRPr="00FD7B48">
        <w:t>custeio.</w:t>
      </w:r>
    </w:p>
    <w:p w:rsidR="00524DD6" w:rsidRDefault="00524DD6" w:rsidP="00744C61">
      <w:pPr>
        <w:jc w:val="both"/>
      </w:pPr>
    </w:p>
    <w:p w:rsidR="00ED4D37" w:rsidRDefault="00ED4D37">
      <w:bookmarkStart w:id="11" w:name="_Ref457927885"/>
      <w:bookmarkStart w:id="12" w:name="_Toc512497269"/>
      <w:r>
        <w:rPr>
          <w:b/>
        </w:rPr>
        <w:br w:type="page"/>
      </w:r>
    </w:p>
    <w:p w:rsidR="00B20F98" w:rsidRPr="008F01DF" w:rsidRDefault="005963AE" w:rsidP="00F27C83">
      <w:pPr>
        <w:pStyle w:val="Ttulo"/>
        <w:outlineLvl w:val="0"/>
      </w:pPr>
      <w:r w:rsidRPr="008F01DF">
        <w:lastRenderedPageBreak/>
        <w:t>Créditos de Fornecimento de Serviços</w:t>
      </w:r>
      <w:bookmarkEnd w:id="11"/>
      <w:bookmarkEnd w:id="12"/>
      <w:r w:rsidRPr="008F01DF">
        <w:t xml:space="preserve"> </w:t>
      </w:r>
    </w:p>
    <w:p w:rsidR="00B20F98" w:rsidRPr="00FD7B48" w:rsidRDefault="00B20F98" w:rsidP="00B20F98">
      <w:pPr>
        <w:tabs>
          <w:tab w:val="center" w:pos="4348"/>
        </w:tabs>
        <w:jc w:val="both"/>
        <w:rPr>
          <w:b/>
        </w:rPr>
      </w:pPr>
    </w:p>
    <w:tbl>
      <w:tblPr>
        <w:tblW w:w="4933" w:type="pct"/>
        <w:tblCellMar>
          <w:left w:w="70" w:type="dxa"/>
          <w:right w:w="70" w:type="dxa"/>
        </w:tblCellMar>
        <w:tblLook w:val="04A0" w:firstRow="1" w:lastRow="0" w:firstColumn="1" w:lastColumn="0" w:noHBand="0" w:noVBand="1"/>
      </w:tblPr>
      <w:tblGrid>
        <w:gridCol w:w="5176"/>
        <w:gridCol w:w="1841"/>
        <w:gridCol w:w="425"/>
        <w:gridCol w:w="1647"/>
      </w:tblGrid>
      <w:tr w:rsidR="008F01DF" w:rsidRPr="007A74C0" w:rsidTr="00524DD6">
        <w:trPr>
          <w:trHeight w:val="20"/>
        </w:trPr>
        <w:tc>
          <w:tcPr>
            <w:tcW w:w="2847" w:type="pct"/>
            <w:tcBorders>
              <w:top w:val="nil"/>
              <w:left w:val="nil"/>
              <w:bottom w:val="nil"/>
              <w:right w:val="nil"/>
            </w:tcBorders>
            <w:shd w:val="clear" w:color="000000" w:fill="FFFFFF"/>
            <w:vAlign w:val="center"/>
            <w:hideMark/>
          </w:tcPr>
          <w:p w:rsidR="008F01DF" w:rsidRPr="007A74C0" w:rsidRDefault="008F01DF" w:rsidP="008F01DF">
            <w:pPr>
              <w:rPr>
                <w:color w:val="000000"/>
              </w:rPr>
            </w:pPr>
            <w:r w:rsidRPr="007A74C0">
              <w:rPr>
                <w:color w:val="000000"/>
              </w:rPr>
              <w:t> </w:t>
            </w:r>
          </w:p>
        </w:tc>
        <w:tc>
          <w:tcPr>
            <w:tcW w:w="1013" w:type="pct"/>
            <w:tcBorders>
              <w:top w:val="nil"/>
              <w:left w:val="nil"/>
              <w:bottom w:val="single" w:sz="8" w:space="0" w:color="auto"/>
              <w:right w:val="nil"/>
            </w:tcBorders>
            <w:shd w:val="clear" w:color="000000" w:fill="FFFFFF"/>
            <w:vAlign w:val="center"/>
            <w:hideMark/>
          </w:tcPr>
          <w:p w:rsidR="008F01DF" w:rsidRPr="007A74C0" w:rsidRDefault="008F01DF" w:rsidP="008F01DF">
            <w:pPr>
              <w:jc w:val="right"/>
              <w:rPr>
                <w:b/>
                <w:bCs/>
                <w:color w:val="000000"/>
              </w:rPr>
            </w:pPr>
            <w:r w:rsidRPr="007A74C0">
              <w:rPr>
                <w:b/>
                <w:bCs/>
                <w:color w:val="000000"/>
              </w:rPr>
              <w:t>31/12/2017</w:t>
            </w:r>
          </w:p>
        </w:tc>
        <w:tc>
          <w:tcPr>
            <w:tcW w:w="234" w:type="pct"/>
            <w:tcBorders>
              <w:top w:val="nil"/>
              <w:left w:val="nil"/>
              <w:bottom w:val="nil"/>
              <w:right w:val="nil"/>
            </w:tcBorders>
            <w:shd w:val="clear" w:color="000000" w:fill="FFFFFF"/>
            <w:vAlign w:val="center"/>
            <w:hideMark/>
          </w:tcPr>
          <w:p w:rsidR="008F01DF" w:rsidRPr="007A74C0" w:rsidRDefault="008F01DF" w:rsidP="008F01DF">
            <w:pPr>
              <w:jc w:val="right"/>
              <w:rPr>
                <w:b/>
                <w:bCs/>
                <w:color w:val="000000"/>
              </w:rPr>
            </w:pPr>
            <w:r w:rsidRPr="007A74C0">
              <w:rPr>
                <w:b/>
                <w:bCs/>
                <w:color w:val="000000"/>
              </w:rPr>
              <w:t> </w:t>
            </w:r>
          </w:p>
        </w:tc>
        <w:tc>
          <w:tcPr>
            <w:tcW w:w="906" w:type="pct"/>
            <w:tcBorders>
              <w:top w:val="nil"/>
              <w:left w:val="nil"/>
              <w:bottom w:val="single" w:sz="8" w:space="0" w:color="auto"/>
              <w:right w:val="nil"/>
            </w:tcBorders>
            <w:shd w:val="clear" w:color="000000" w:fill="FFFFFF"/>
            <w:vAlign w:val="center"/>
            <w:hideMark/>
          </w:tcPr>
          <w:p w:rsidR="008F01DF" w:rsidRPr="007A74C0" w:rsidRDefault="008F01DF" w:rsidP="008F01DF">
            <w:pPr>
              <w:jc w:val="right"/>
              <w:rPr>
                <w:b/>
                <w:bCs/>
                <w:color w:val="000000"/>
              </w:rPr>
            </w:pPr>
            <w:r w:rsidRPr="007A74C0">
              <w:rPr>
                <w:b/>
                <w:bCs/>
                <w:color w:val="000000"/>
              </w:rPr>
              <w:t>31/12/2016</w:t>
            </w:r>
          </w:p>
        </w:tc>
      </w:tr>
      <w:tr w:rsidR="008F01DF" w:rsidRPr="007A74C0" w:rsidTr="00524DD6">
        <w:trPr>
          <w:trHeight w:val="20"/>
        </w:trPr>
        <w:tc>
          <w:tcPr>
            <w:tcW w:w="2847" w:type="pct"/>
            <w:tcBorders>
              <w:top w:val="nil"/>
              <w:left w:val="nil"/>
              <w:bottom w:val="nil"/>
              <w:right w:val="nil"/>
            </w:tcBorders>
            <w:shd w:val="clear" w:color="000000" w:fill="FFFFFF"/>
            <w:vAlign w:val="center"/>
            <w:hideMark/>
          </w:tcPr>
          <w:p w:rsidR="008F01DF" w:rsidRPr="007A74C0" w:rsidRDefault="008F01DF" w:rsidP="008F01DF">
            <w:pPr>
              <w:rPr>
                <w:color w:val="000000"/>
              </w:rPr>
            </w:pPr>
            <w:r w:rsidRPr="007A74C0">
              <w:rPr>
                <w:color w:val="000000"/>
              </w:rPr>
              <w:t>Sistema Único de Saúde (SUS)</w:t>
            </w:r>
          </w:p>
        </w:tc>
        <w:tc>
          <w:tcPr>
            <w:tcW w:w="1013" w:type="pct"/>
            <w:tcBorders>
              <w:top w:val="nil"/>
              <w:left w:val="nil"/>
              <w:bottom w:val="nil"/>
              <w:right w:val="nil"/>
            </w:tcBorders>
            <w:shd w:val="clear" w:color="000000" w:fill="FFFFFF"/>
            <w:vAlign w:val="center"/>
            <w:hideMark/>
          </w:tcPr>
          <w:p w:rsidR="008F01DF" w:rsidRPr="007A74C0" w:rsidRDefault="008F01DF" w:rsidP="008F01DF">
            <w:pPr>
              <w:jc w:val="right"/>
              <w:rPr>
                <w:color w:val="000000"/>
              </w:rPr>
            </w:pPr>
            <w:r w:rsidRPr="007A74C0">
              <w:rPr>
                <w:color w:val="000000"/>
              </w:rPr>
              <w:t>35.914</w:t>
            </w:r>
          </w:p>
        </w:tc>
        <w:tc>
          <w:tcPr>
            <w:tcW w:w="234" w:type="pct"/>
            <w:tcBorders>
              <w:top w:val="nil"/>
              <w:left w:val="nil"/>
              <w:bottom w:val="nil"/>
              <w:right w:val="nil"/>
            </w:tcBorders>
            <w:shd w:val="clear" w:color="000000" w:fill="FFFFFF"/>
            <w:vAlign w:val="center"/>
            <w:hideMark/>
          </w:tcPr>
          <w:p w:rsidR="008F01DF" w:rsidRPr="007A74C0" w:rsidRDefault="008F01DF" w:rsidP="008F01DF">
            <w:pPr>
              <w:jc w:val="right"/>
              <w:rPr>
                <w:color w:val="000000"/>
              </w:rPr>
            </w:pPr>
            <w:r w:rsidRPr="007A74C0">
              <w:rPr>
                <w:color w:val="000000"/>
              </w:rPr>
              <w:t> </w:t>
            </w:r>
          </w:p>
        </w:tc>
        <w:tc>
          <w:tcPr>
            <w:tcW w:w="906" w:type="pct"/>
            <w:tcBorders>
              <w:top w:val="nil"/>
              <w:left w:val="nil"/>
              <w:bottom w:val="nil"/>
              <w:right w:val="nil"/>
            </w:tcBorders>
            <w:shd w:val="clear" w:color="000000" w:fill="FFFFFF"/>
            <w:vAlign w:val="center"/>
            <w:hideMark/>
          </w:tcPr>
          <w:p w:rsidR="008F01DF" w:rsidRPr="007A74C0" w:rsidRDefault="008F01DF" w:rsidP="008F01DF">
            <w:pPr>
              <w:jc w:val="right"/>
              <w:rPr>
                <w:color w:val="000000"/>
              </w:rPr>
            </w:pPr>
            <w:r w:rsidRPr="007A74C0">
              <w:rPr>
                <w:color w:val="000000"/>
              </w:rPr>
              <w:t>45.392</w:t>
            </w:r>
          </w:p>
        </w:tc>
      </w:tr>
      <w:tr w:rsidR="008F01DF" w:rsidRPr="007A74C0" w:rsidTr="00524DD6">
        <w:trPr>
          <w:trHeight w:val="20"/>
        </w:trPr>
        <w:tc>
          <w:tcPr>
            <w:tcW w:w="2847" w:type="pct"/>
            <w:tcBorders>
              <w:top w:val="nil"/>
              <w:left w:val="nil"/>
              <w:bottom w:val="nil"/>
              <w:right w:val="nil"/>
            </w:tcBorders>
            <w:shd w:val="clear" w:color="000000" w:fill="FFFFFF"/>
            <w:vAlign w:val="center"/>
            <w:hideMark/>
          </w:tcPr>
          <w:p w:rsidR="008F01DF" w:rsidRPr="007A74C0" w:rsidRDefault="008F01DF" w:rsidP="008F01DF">
            <w:pPr>
              <w:rPr>
                <w:color w:val="000000"/>
              </w:rPr>
            </w:pPr>
            <w:r w:rsidRPr="007A74C0">
              <w:rPr>
                <w:color w:val="000000"/>
              </w:rPr>
              <w:t>Convênios Privados</w:t>
            </w:r>
          </w:p>
        </w:tc>
        <w:tc>
          <w:tcPr>
            <w:tcW w:w="1013" w:type="pct"/>
            <w:tcBorders>
              <w:top w:val="nil"/>
              <w:left w:val="nil"/>
              <w:bottom w:val="nil"/>
              <w:right w:val="nil"/>
            </w:tcBorders>
            <w:shd w:val="clear" w:color="000000" w:fill="FFFFFF"/>
            <w:vAlign w:val="center"/>
            <w:hideMark/>
          </w:tcPr>
          <w:p w:rsidR="008F01DF" w:rsidRPr="007A74C0" w:rsidRDefault="008F01DF" w:rsidP="008F01DF">
            <w:pPr>
              <w:jc w:val="right"/>
              <w:rPr>
                <w:color w:val="000000"/>
              </w:rPr>
            </w:pPr>
            <w:r w:rsidRPr="007A74C0">
              <w:rPr>
                <w:color w:val="000000"/>
              </w:rPr>
              <w:t>13.537</w:t>
            </w:r>
          </w:p>
        </w:tc>
        <w:tc>
          <w:tcPr>
            <w:tcW w:w="234" w:type="pct"/>
            <w:tcBorders>
              <w:top w:val="nil"/>
              <w:left w:val="nil"/>
              <w:bottom w:val="nil"/>
              <w:right w:val="nil"/>
            </w:tcBorders>
            <w:shd w:val="clear" w:color="000000" w:fill="FFFFFF"/>
            <w:vAlign w:val="center"/>
            <w:hideMark/>
          </w:tcPr>
          <w:p w:rsidR="008F01DF" w:rsidRPr="007A74C0" w:rsidRDefault="008F01DF" w:rsidP="008F01DF">
            <w:pPr>
              <w:jc w:val="right"/>
              <w:rPr>
                <w:color w:val="000000"/>
              </w:rPr>
            </w:pPr>
            <w:r w:rsidRPr="007A74C0">
              <w:rPr>
                <w:color w:val="000000"/>
              </w:rPr>
              <w:t> </w:t>
            </w:r>
          </w:p>
        </w:tc>
        <w:tc>
          <w:tcPr>
            <w:tcW w:w="906" w:type="pct"/>
            <w:tcBorders>
              <w:top w:val="nil"/>
              <w:left w:val="nil"/>
              <w:bottom w:val="nil"/>
              <w:right w:val="nil"/>
            </w:tcBorders>
            <w:shd w:val="clear" w:color="000000" w:fill="FFFFFF"/>
            <w:vAlign w:val="center"/>
            <w:hideMark/>
          </w:tcPr>
          <w:p w:rsidR="008F01DF" w:rsidRPr="007A74C0" w:rsidRDefault="008F01DF" w:rsidP="008F01DF">
            <w:pPr>
              <w:jc w:val="right"/>
              <w:rPr>
                <w:color w:val="000000"/>
              </w:rPr>
            </w:pPr>
            <w:r w:rsidRPr="007A74C0">
              <w:rPr>
                <w:color w:val="000000"/>
              </w:rPr>
              <w:t>14.198</w:t>
            </w:r>
          </w:p>
        </w:tc>
      </w:tr>
      <w:tr w:rsidR="008F01DF" w:rsidRPr="007A74C0" w:rsidTr="00B15BC7">
        <w:trPr>
          <w:trHeight w:val="20"/>
        </w:trPr>
        <w:tc>
          <w:tcPr>
            <w:tcW w:w="2847" w:type="pct"/>
            <w:tcBorders>
              <w:top w:val="nil"/>
              <w:left w:val="nil"/>
              <w:bottom w:val="nil"/>
              <w:right w:val="nil"/>
            </w:tcBorders>
            <w:shd w:val="clear" w:color="000000" w:fill="FFFFFF"/>
            <w:vAlign w:val="center"/>
            <w:hideMark/>
          </w:tcPr>
          <w:p w:rsidR="008F01DF" w:rsidRPr="007A74C0" w:rsidRDefault="008F01DF" w:rsidP="008F01DF">
            <w:pPr>
              <w:rPr>
                <w:color w:val="000000"/>
              </w:rPr>
            </w:pPr>
            <w:r w:rsidRPr="007A74C0">
              <w:rPr>
                <w:color w:val="000000"/>
              </w:rPr>
              <w:t>Clientes Particulares</w:t>
            </w:r>
          </w:p>
        </w:tc>
        <w:tc>
          <w:tcPr>
            <w:tcW w:w="1013" w:type="pct"/>
            <w:tcBorders>
              <w:top w:val="nil"/>
              <w:left w:val="nil"/>
              <w:right w:val="nil"/>
            </w:tcBorders>
            <w:shd w:val="clear" w:color="000000" w:fill="FFFFFF"/>
            <w:vAlign w:val="center"/>
            <w:hideMark/>
          </w:tcPr>
          <w:p w:rsidR="008F01DF" w:rsidRPr="007A74C0" w:rsidRDefault="008F01DF" w:rsidP="008F01DF">
            <w:pPr>
              <w:jc w:val="right"/>
              <w:rPr>
                <w:color w:val="000000"/>
              </w:rPr>
            </w:pPr>
            <w:r w:rsidRPr="007A74C0">
              <w:rPr>
                <w:color w:val="000000"/>
              </w:rPr>
              <w:t>2.696</w:t>
            </w:r>
          </w:p>
        </w:tc>
        <w:tc>
          <w:tcPr>
            <w:tcW w:w="234" w:type="pct"/>
            <w:tcBorders>
              <w:top w:val="nil"/>
              <w:left w:val="nil"/>
              <w:bottom w:val="nil"/>
              <w:right w:val="nil"/>
            </w:tcBorders>
            <w:shd w:val="clear" w:color="000000" w:fill="FFFFFF"/>
            <w:vAlign w:val="center"/>
            <w:hideMark/>
          </w:tcPr>
          <w:p w:rsidR="008F01DF" w:rsidRPr="007A74C0" w:rsidRDefault="008F01DF" w:rsidP="008F01DF">
            <w:pPr>
              <w:jc w:val="right"/>
              <w:rPr>
                <w:color w:val="000000"/>
              </w:rPr>
            </w:pPr>
            <w:r w:rsidRPr="007A74C0">
              <w:rPr>
                <w:color w:val="000000"/>
              </w:rPr>
              <w:t> </w:t>
            </w:r>
          </w:p>
        </w:tc>
        <w:tc>
          <w:tcPr>
            <w:tcW w:w="906" w:type="pct"/>
            <w:tcBorders>
              <w:top w:val="nil"/>
              <w:left w:val="nil"/>
              <w:right w:val="nil"/>
            </w:tcBorders>
            <w:shd w:val="clear" w:color="000000" w:fill="FFFFFF"/>
            <w:vAlign w:val="center"/>
            <w:hideMark/>
          </w:tcPr>
          <w:p w:rsidR="008F01DF" w:rsidRPr="007A74C0" w:rsidRDefault="008F01DF" w:rsidP="008F01DF">
            <w:pPr>
              <w:jc w:val="right"/>
              <w:rPr>
                <w:color w:val="000000"/>
              </w:rPr>
            </w:pPr>
            <w:r w:rsidRPr="007A74C0">
              <w:rPr>
                <w:color w:val="000000"/>
              </w:rPr>
              <w:t>223</w:t>
            </w:r>
          </w:p>
        </w:tc>
      </w:tr>
      <w:tr w:rsidR="008F01DF" w:rsidRPr="007A74C0" w:rsidTr="00B15BC7">
        <w:trPr>
          <w:trHeight w:val="20"/>
        </w:trPr>
        <w:tc>
          <w:tcPr>
            <w:tcW w:w="2847" w:type="pct"/>
            <w:tcBorders>
              <w:top w:val="nil"/>
              <w:left w:val="nil"/>
              <w:bottom w:val="nil"/>
              <w:right w:val="nil"/>
            </w:tcBorders>
            <w:shd w:val="clear" w:color="000000" w:fill="FFFFFF"/>
            <w:vAlign w:val="center"/>
            <w:hideMark/>
          </w:tcPr>
          <w:p w:rsidR="008F01DF" w:rsidRPr="007A74C0" w:rsidRDefault="008F01DF" w:rsidP="008F01DF">
            <w:pPr>
              <w:rPr>
                <w:color w:val="000000"/>
              </w:rPr>
            </w:pPr>
            <w:r w:rsidRPr="007A74C0">
              <w:rPr>
                <w:color w:val="000000"/>
              </w:rPr>
              <w:t>Créditos Diversos</w:t>
            </w:r>
          </w:p>
        </w:tc>
        <w:tc>
          <w:tcPr>
            <w:tcW w:w="1013" w:type="pct"/>
            <w:tcBorders>
              <w:top w:val="nil"/>
              <w:left w:val="nil"/>
              <w:bottom w:val="single" w:sz="2" w:space="0" w:color="auto"/>
              <w:right w:val="nil"/>
            </w:tcBorders>
            <w:shd w:val="clear" w:color="000000" w:fill="FFFFFF"/>
            <w:vAlign w:val="center"/>
            <w:hideMark/>
          </w:tcPr>
          <w:p w:rsidR="008F01DF" w:rsidRPr="007A74C0" w:rsidRDefault="008F01DF" w:rsidP="008F01DF">
            <w:pPr>
              <w:jc w:val="right"/>
              <w:rPr>
                <w:color w:val="000000"/>
              </w:rPr>
            </w:pPr>
            <w:r w:rsidRPr="007A74C0">
              <w:rPr>
                <w:color w:val="000000"/>
              </w:rPr>
              <w:t>419</w:t>
            </w:r>
          </w:p>
        </w:tc>
        <w:tc>
          <w:tcPr>
            <w:tcW w:w="234" w:type="pct"/>
            <w:tcBorders>
              <w:top w:val="nil"/>
              <w:left w:val="nil"/>
              <w:bottom w:val="nil"/>
              <w:right w:val="nil"/>
            </w:tcBorders>
            <w:shd w:val="clear" w:color="000000" w:fill="FFFFFF"/>
            <w:vAlign w:val="center"/>
            <w:hideMark/>
          </w:tcPr>
          <w:p w:rsidR="008F01DF" w:rsidRPr="007A74C0" w:rsidRDefault="008F01DF" w:rsidP="008F01DF">
            <w:pPr>
              <w:jc w:val="right"/>
              <w:rPr>
                <w:color w:val="000000"/>
              </w:rPr>
            </w:pPr>
            <w:r w:rsidRPr="007A74C0">
              <w:rPr>
                <w:color w:val="000000"/>
              </w:rPr>
              <w:t> </w:t>
            </w:r>
          </w:p>
        </w:tc>
        <w:tc>
          <w:tcPr>
            <w:tcW w:w="906" w:type="pct"/>
            <w:tcBorders>
              <w:top w:val="nil"/>
              <w:left w:val="nil"/>
              <w:bottom w:val="single" w:sz="2" w:space="0" w:color="auto"/>
              <w:right w:val="nil"/>
            </w:tcBorders>
            <w:shd w:val="clear" w:color="000000" w:fill="FFFFFF"/>
            <w:vAlign w:val="center"/>
            <w:hideMark/>
          </w:tcPr>
          <w:p w:rsidR="008F01DF" w:rsidRPr="007A74C0" w:rsidRDefault="008F01DF" w:rsidP="008F01DF">
            <w:pPr>
              <w:jc w:val="right"/>
              <w:rPr>
                <w:color w:val="000000"/>
              </w:rPr>
            </w:pPr>
            <w:r w:rsidRPr="007A74C0">
              <w:rPr>
                <w:color w:val="000000"/>
              </w:rPr>
              <w:t>119</w:t>
            </w:r>
          </w:p>
        </w:tc>
      </w:tr>
      <w:tr w:rsidR="008F01DF" w:rsidRPr="007A74C0" w:rsidTr="00B15BC7">
        <w:trPr>
          <w:trHeight w:val="20"/>
        </w:trPr>
        <w:tc>
          <w:tcPr>
            <w:tcW w:w="2847" w:type="pct"/>
            <w:tcBorders>
              <w:top w:val="nil"/>
              <w:left w:val="nil"/>
              <w:bottom w:val="nil"/>
              <w:right w:val="nil"/>
            </w:tcBorders>
            <w:shd w:val="clear" w:color="000000" w:fill="FFFFFF"/>
            <w:vAlign w:val="center"/>
            <w:hideMark/>
          </w:tcPr>
          <w:p w:rsidR="008F01DF" w:rsidRPr="007A74C0" w:rsidRDefault="008F01DF" w:rsidP="008F01DF">
            <w:pPr>
              <w:rPr>
                <w:color w:val="000000"/>
              </w:rPr>
            </w:pPr>
            <w:r w:rsidRPr="007A74C0">
              <w:rPr>
                <w:color w:val="000000"/>
              </w:rPr>
              <w:t>Subtotal</w:t>
            </w:r>
          </w:p>
        </w:tc>
        <w:tc>
          <w:tcPr>
            <w:tcW w:w="1013" w:type="pct"/>
            <w:tcBorders>
              <w:top w:val="single" w:sz="2" w:space="0" w:color="auto"/>
              <w:left w:val="nil"/>
              <w:bottom w:val="single" w:sz="8" w:space="0" w:color="auto"/>
              <w:right w:val="nil"/>
            </w:tcBorders>
            <w:shd w:val="clear" w:color="000000" w:fill="FFFFFF"/>
            <w:vAlign w:val="center"/>
            <w:hideMark/>
          </w:tcPr>
          <w:p w:rsidR="008F01DF" w:rsidRPr="007A74C0" w:rsidRDefault="008F01DF" w:rsidP="008F01DF">
            <w:pPr>
              <w:jc w:val="right"/>
              <w:rPr>
                <w:color w:val="000000"/>
              </w:rPr>
            </w:pPr>
            <w:r w:rsidRPr="007A74C0">
              <w:rPr>
                <w:color w:val="000000"/>
              </w:rPr>
              <w:t>52.566</w:t>
            </w:r>
          </w:p>
        </w:tc>
        <w:tc>
          <w:tcPr>
            <w:tcW w:w="234" w:type="pct"/>
            <w:tcBorders>
              <w:top w:val="nil"/>
              <w:left w:val="nil"/>
              <w:bottom w:val="nil"/>
              <w:right w:val="nil"/>
            </w:tcBorders>
            <w:shd w:val="clear" w:color="000000" w:fill="FFFFFF"/>
            <w:vAlign w:val="center"/>
            <w:hideMark/>
          </w:tcPr>
          <w:p w:rsidR="008F01DF" w:rsidRPr="007A74C0" w:rsidRDefault="008F01DF" w:rsidP="008F01DF">
            <w:pPr>
              <w:jc w:val="right"/>
              <w:rPr>
                <w:color w:val="000000"/>
              </w:rPr>
            </w:pPr>
            <w:r w:rsidRPr="007A74C0">
              <w:rPr>
                <w:color w:val="000000"/>
              </w:rPr>
              <w:t> </w:t>
            </w:r>
          </w:p>
        </w:tc>
        <w:tc>
          <w:tcPr>
            <w:tcW w:w="906" w:type="pct"/>
            <w:tcBorders>
              <w:top w:val="single" w:sz="2" w:space="0" w:color="auto"/>
              <w:left w:val="nil"/>
              <w:bottom w:val="single" w:sz="8" w:space="0" w:color="auto"/>
              <w:right w:val="nil"/>
            </w:tcBorders>
            <w:shd w:val="clear" w:color="000000" w:fill="FFFFFF"/>
            <w:vAlign w:val="center"/>
            <w:hideMark/>
          </w:tcPr>
          <w:p w:rsidR="008F01DF" w:rsidRPr="007A74C0" w:rsidRDefault="008F01DF" w:rsidP="008F01DF">
            <w:pPr>
              <w:jc w:val="right"/>
              <w:rPr>
                <w:color w:val="000000"/>
              </w:rPr>
            </w:pPr>
            <w:r w:rsidRPr="007A74C0">
              <w:rPr>
                <w:color w:val="000000"/>
              </w:rPr>
              <w:t>59.932</w:t>
            </w:r>
          </w:p>
        </w:tc>
      </w:tr>
      <w:tr w:rsidR="008F01DF" w:rsidRPr="007A74C0" w:rsidTr="00524DD6">
        <w:trPr>
          <w:trHeight w:val="20"/>
        </w:trPr>
        <w:tc>
          <w:tcPr>
            <w:tcW w:w="2847" w:type="pct"/>
            <w:tcBorders>
              <w:top w:val="nil"/>
              <w:left w:val="nil"/>
              <w:bottom w:val="nil"/>
              <w:right w:val="nil"/>
            </w:tcBorders>
            <w:shd w:val="clear" w:color="000000" w:fill="FFFFFF"/>
            <w:vAlign w:val="center"/>
            <w:hideMark/>
          </w:tcPr>
          <w:p w:rsidR="008F01DF" w:rsidRPr="007A74C0" w:rsidRDefault="008F01DF" w:rsidP="008F01DF">
            <w:pPr>
              <w:rPr>
                <w:color w:val="000000"/>
              </w:rPr>
            </w:pPr>
            <w:r w:rsidRPr="007A74C0">
              <w:rPr>
                <w:color w:val="000000"/>
              </w:rPr>
              <w:t xml:space="preserve">Apropriação por Competência </w:t>
            </w:r>
            <w:r w:rsidR="004B047E">
              <w:rPr>
                <w:color w:val="000000"/>
              </w:rPr>
              <w:t>–</w:t>
            </w:r>
            <w:r w:rsidRPr="007A74C0">
              <w:rPr>
                <w:color w:val="000000"/>
              </w:rPr>
              <w:t xml:space="preserve"> PCLD</w:t>
            </w:r>
          </w:p>
        </w:tc>
        <w:tc>
          <w:tcPr>
            <w:tcW w:w="1013" w:type="pct"/>
            <w:tcBorders>
              <w:top w:val="nil"/>
              <w:left w:val="nil"/>
              <w:bottom w:val="nil"/>
              <w:right w:val="nil"/>
            </w:tcBorders>
            <w:shd w:val="clear" w:color="000000" w:fill="FFFFFF"/>
            <w:vAlign w:val="center"/>
            <w:hideMark/>
          </w:tcPr>
          <w:p w:rsidR="008F01DF" w:rsidRPr="007A74C0" w:rsidRDefault="008F01DF" w:rsidP="008F01DF">
            <w:pPr>
              <w:jc w:val="right"/>
              <w:rPr>
                <w:color w:val="000000"/>
              </w:rPr>
            </w:pPr>
            <w:r>
              <w:rPr>
                <w:color w:val="000000"/>
              </w:rPr>
              <w:t>(</w:t>
            </w:r>
            <w:r w:rsidRPr="007A74C0">
              <w:rPr>
                <w:color w:val="000000"/>
              </w:rPr>
              <w:t>16.688</w:t>
            </w:r>
            <w:r>
              <w:rPr>
                <w:color w:val="000000"/>
              </w:rPr>
              <w:t>)</w:t>
            </w:r>
          </w:p>
        </w:tc>
        <w:tc>
          <w:tcPr>
            <w:tcW w:w="234" w:type="pct"/>
            <w:tcBorders>
              <w:top w:val="nil"/>
              <w:left w:val="nil"/>
              <w:bottom w:val="nil"/>
              <w:right w:val="nil"/>
            </w:tcBorders>
            <w:shd w:val="clear" w:color="000000" w:fill="FFFFFF"/>
            <w:vAlign w:val="center"/>
            <w:hideMark/>
          </w:tcPr>
          <w:p w:rsidR="008F01DF" w:rsidRPr="007A74C0" w:rsidRDefault="008F01DF" w:rsidP="008F01DF">
            <w:pPr>
              <w:jc w:val="right"/>
              <w:rPr>
                <w:color w:val="000000"/>
              </w:rPr>
            </w:pPr>
            <w:r w:rsidRPr="007A74C0">
              <w:rPr>
                <w:color w:val="000000"/>
              </w:rPr>
              <w:t> </w:t>
            </w:r>
          </w:p>
        </w:tc>
        <w:tc>
          <w:tcPr>
            <w:tcW w:w="906" w:type="pct"/>
            <w:tcBorders>
              <w:top w:val="nil"/>
              <w:left w:val="nil"/>
              <w:bottom w:val="nil"/>
              <w:right w:val="nil"/>
            </w:tcBorders>
            <w:shd w:val="clear" w:color="000000" w:fill="FFFFFF"/>
            <w:vAlign w:val="center"/>
            <w:hideMark/>
          </w:tcPr>
          <w:p w:rsidR="008F01DF" w:rsidRPr="007A74C0" w:rsidRDefault="008F01DF" w:rsidP="008F01DF">
            <w:pPr>
              <w:jc w:val="right"/>
              <w:rPr>
                <w:color w:val="000000"/>
              </w:rPr>
            </w:pPr>
            <w:r>
              <w:rPr>
                <w:color w:val="000000"/>
              </w:rPr>
              <w:t>(</w:t>
            </w:r>
            <w:r w:rsidRPr="007A74C0">
              <w:rPr>
                <w:color w:val="000000"/>
              </w:rPr>
              <w:t>18.729</w:t>
            </w:r>
            <w:r>
              <w:rPr>
                <w:color w:val="000000"/>
              </w:rPr>
              <w:t>)</w:t>
            </w:r>
          </w:p>
        </w:tc>
      </w:tr>
      <w:tr w:rsidR="008F01DF" w:rsidRPr="007A74C0" w:rsidTr="00524DD6">
        <w:trPr>
          <w:trHeight w:val="20"/>
        </w:trPr>
        <w:tc>
          <w:tcPr>
            <w:tcW w:w="2847" w:type="pct"/>
            <w:tcBorders>
              <w:top w:val="nil"/>
              <w:left w:val="nil"/>
              <w:bottom w:val="nil"/>
              <w:right w:val="nil"/>
            </w:tcBorders>
            <w:shd w:val="clear" w:color="000000" w:fill="FFFFFF"/>
            <w:vAlign w:val="center"/>
            <w:hideMark/>
          </w:tcPr>
          <w:p w:rsidR="008F01DF" w:rsidRPr="007A74C0" w:rsidRDefault="008F01DF" w:rsidP="008F01DF">
            <w:pPr>
              <w:rPr>
                <w:color w:val="000000"/>
              </w:rPr>
            </w:pPr>
            <w:r w:rsidRPr="007A74C0">
              <w:rPr>
                <w:color w:val="000000"/>
              </w:rPr>
              <w:t>Valor Líquido a Receber</w:t>
            </w:r>
          </w:p>
        </w:tc>
        <w:tc>
          <w:tcPr>
            <w:tcW w:w="1013" w:type="pct"/>
            <w:tcBorders>
              <w:top w:val="nil"/>
              <w:left w:val="nil"/>
              <w:bottom w:val="single" w:sz="8" w:space="0" w:color="auto"/>
              <w:right w:val="nil"/>
            </w:tcBorders>
            <w:shd w:val="clear" w:color="000000" w:fill="FFFFFF"/>
            <w:vAlign w:val="center"/>
            <w:hideMark/>
          </w:tcPr>
          <w:p w:rsidR="008F01DF" w:rsidRPr="007A74C0" w:rsidRDefault="008F01DF" w:rsidP="008F01DF">
            <w:pPr>
              <w:jc w:val="right"/>
              <w:rPr>
                <w:color w:val="000000"/>
              </w:rPr>
            </w:pPr>
            <w:r w:rsidRPr="007A74C0">
              <w:rPr>
                <w:color w:val="000000"/>
              </w:rPr>
              <w:t>35.878</w:t>
            </w:r>
          </w:p>
        </w:tc>
        <w:tc>
          <w:tcPr>
            <w:tcW w:w="234" w:type="pct"/>
            <w:tcBorders>
              <w:top w:val="nil"/>
              <w:left w:val="nil"/>
              <w:bottom w:val="nil"/>
              <w:right w:val="nil"/>
            </w:tcBorders>
            <w:shd w:val="clear" w:color="000000" w:fill="FFFFFF"/>
            <w:vAlign w:val="center"/>
            <w:hideMark/>
          </w:tcPr>
          <w:p w:rsidR="008F01DF" w:rsidRPr="007A74C0" w:rsidRDefault="008F01DF" w:rsidP="008F01DF">
            <w:pPr>
              <w:jc w:val="right"/>
              <w:rPr>
                <w:color w:val="000000"/>
              </w:rPr>
            </w:pPr>
            <w:r w:rsidRPr="007A74C0">
              <w:rPr>
                <w:color w:val="000000"/>
              </w:rPr>
              <w:t> </w:t>
            </w:r>
          </w:p>
        </w:tc>
        <w:tc>
          <w:tcPr>
            <w:tcW w:w="906" w:type="pct"/>
            <w:tcBorders>
              <w:top w:val="nil"/>
              <w:left w:val="nil"/>
              <w:bottom w:val="single" w:sz="8" w:space="0" w:color="auto"/>
              <w:right w:val="nil"/>
            </w:tcBorders>
            <w:shd w:val="clear" w:color="000000" w:fill="FFFFFF"/>
            <w:vAlign w:val="center"/>
            <w:hideMark/>
          </w:tcPr>
          <w:p w:rsidR="008F01DF" w:rsidRPr="007A74C0" w:rsidRDefault="008F01DF" w:rsidP="008F01DF">
            <w:pPr>
              <w:jc w:val="right"/>
              <w:rPr>
                <w:color w:val="000000"/>
              </w:rPr>
            </w:pPr>
            <w:r w:rsidRPr="007A74C0">
              <w:rPr>
                <w:color w:val="000000"/>
              </w:rPr>
              <w:t>41.203</w:t>
            </w:r>
          </w:p>
        </w:tc>
      </w:tr>
      <w:tr w:rsidR="008F01DF" w:rsidRPr="007A74C0" w:rsidTr="00524DD6">
        <w:trPr>
          <w:trHeight w:val="20"/>
        </w:trPr>
        <w:tc>
          <w:tcPr>
            <w:tcW w:w="2847" w:type="pct"/>
            <w:tcBorders>
              <w:top w:val="nil"/>
              <w:left w:val="nil"/>
              <w:bottom w:val="nil"/>
              <w:right w:val="nil"/>
            </w:tcBorders>
            <w:shd w:val="clear" w:color="000000" w:fill="FFFFFF"/>
            <w:vAlign w:val="center"/>
            <w:hideMark/>
          </w:tcPr>
          <w:p w:rsidR="008F01DF" w:rsidRPr="007A74C0" w:rsidRDefault="008F01DF" w:rsidP="008F01DF">
            <w:pPr>
              <w:rPr>
                <w:color w:val="000000"/>
              </w:rPr>
            </w:pPr>
            <w:r w:rsidRPr="007A74C0">
              <w:rPr>
                <w:color w:val="000000"/>
              </w:rPr>
              <w:t>Outras Faturas a Receber (FNS)</w:t>
            </w:r>
          </w:p>
        </w:tc>
        <w:tc>
          <w:tcPr>
            <w:tcW w:w="1013" w:type="pct"/>
            <w:tcBorders>
              <w:top w:val="nil"/>
              <w:left w:val="nil"/>
              <w:bottom w:val="single" w:sz="8" w:space="0" w:color="auto"/>
              <w:right w:val="nil"/>
            </w:tcBorders>
            <w:shd w:val="clear" w:color="000000" w:fill="FFFFFF"/>
            <w:vAlign w:val="center"/>
            <w:hideMark/>
          </w:tcPr>
          <w:p w:rsidR="008F01DF" w:rsidRPr="007A74C0" w:rsidRDefault="008F01DF" w:rsidP="008F01DF">
            <w:pPr>
              <w:jc w:val="right"/>
              <w:rPr>
                <w:color w:val="000000"/>
              </w:rPr>
            </w:pPr>
            <w:r w:rsidRPr="007A74C0">
              <w:rPr>
                <w:color w:val="000000"/>
              </w:rPr>
              <w:t>4.624</w:t>
            </w:r>
          </w:p>
        </w:tc>
        <w:tc>
          <w:tcPr>
            <w:tcW w:w="234" w:type="pct"/>
            <w:tcBorders>
              <w:top w:val="nil"/>
              <w:left w:val="nil"/>
              <w:bottom w:val="nil"/>
              <w:right w:val="nil"/>
            </w:tcBorders>
            <w:shd w:val="clear" w:color="000000" w:fill="FFFFFF"/>
            <w:vAlign w:val="center"/>
            <w:hideMark/>
          </w:tcPr>
          <w:p w:rsidR="008F01DF" w:rsidRPr="007A74C0" w:rsidRDefault="008F01DF" w:rsidP="008F01DF">
            <w:pPr>
              <w:jc w:val="right"/>
              <w:rPr>
                <w:color w:val="000000"/>
              </w:rPr>
            </w:pPr>
            <w:r w:rsidRPr="007A74C0">
              <w:rPr>
                <w:color w:val="000000"/>
              </w:rPr>
              <w:t> </w:t>
            </w:r>
          </w:p>
        </w:tc>
        <w:tc>
          <w:tcPr>
            <w:tcW w:w="906" w:type="pct"/>
            <w:tcBorders>
              <w:top w:val="nil"/>
              <w:left w:val="nil"/>
              <w:bottom w:val="single" w:sz="8" w:space="0" w:color="auto"/>
              <w:right w:val="nil"/>
            </w:tcBorders>
            <w:shd w:val="clear" w:color="000000" w:fill="FFFFFF"/>
            <w:vAlign w:val="center"/>
            <w:hideMark/>
          </w:tcPr>
          <w:p w:rsidR="008F01DF" w:rsidRPr="007A74C0" w:rsidRDefault="008F01DF" w:rsidP="008F01DF">
            <w:pPr>
              <w:jc w:val="right"/>
              <w:rPr>
                <w:color w:val="000000"/>
              </w:rPr>
            </w:pPr>
            <w:r w:rsidRPr="007A74C0">
              <w:rPr>
                <w:color w:val="000000"/>
              </w:rPr>
              <w:t>4.624</w:t>
            </w:r>
          </w:p>
        </w:tc>
      </w:tr>
      <w:tr w:rsidR="008F01DF" w:rsidRPr="007A74C0" w:rsidTr="00524DD6">
        <w:trPr>
          <w:trHeight w:val="20"/>
        </w:trPr>
        <w:tc>
          <w:tcPr>
            <w:tcW w:w="2847" w:type="pct"/>
            <w:tcBorders>
              <w:top w:val="nil"/>
              <w:left w:val="nil"/>
              <w:bottom w:val="nil"/>
              <w:right w:val="nil"/>
            </w:tcBorders>
            <w:shd w:val="clear" w:color="000000" w:fill="FFFFFF"/>
            <w:vAlign w:val="center"/>
            <w:hideMark/>
          </w:tcPr>
          <w:p w:rsidR="008F01DF" w:rsidRPr="007A74C0" w:rsidRDefault="008F01DF" w:rsidP="008F01DF">
            <w:pPr>
              <w:rPr>
                <w:b/>
                <w:bCs/>
                <w:color w:val="000000"/>
              </w:rPr>
            </w:pPr>
            <w:r w:rsidRPr="007A74C0">
              <w:rPr>
                <w:b/>
                <w:bCs/>
                <w:color w:val="000000"/>
              </w:rPr>
              <w:t>Saldo Contábil</w:t>
            </w:r>
          </w:p>
        </w:tc>
        <w:tc>
          <w:tcPr>
            <w:tcW w:w="1013" w:type="pct"/>
            <w:tcBorders>
              <w:top w:val="nil"/>
              <w:left w:val="nil"/>
              <w:bottom w:val="double" w:sz="6" w:space="0" w:color="auto"/>
              <w:right w:val="nil"/>
            </w:tcBorders>
            <w:shd w:val="clear" w:color="000000" w:fill="FFFFFF"/>
            <w:vAlign w:val="center"/>
            <w:hideMark/>
          </w:tcPr>
          <w:p w:rsidR="008F01DF" w:rsidRPr="007A74C0" w:rsidRDefault="008F01DF" w:rsidP="008F01DF">
            <w:pPr>
              <w:jc w:val="right"/>
              <w:rPr>
                <w:b/>
                <w:bCs/>
                <w:color w:val="000000"/>
              </w:rPr>
            </w:pPr>
            <w:r w:rsidRPr="007A74C0">
              <w:rPr>
                <w:b/>
                <w:bCs/>
                <w:color w:val="000000"/>
              </w:rPr>
              <w:t>40.502</w:t>
            </w:r>
          </w:p>
        </w:tc>
        <w:tc>
          <w:tcPr>
            <w:tcW w:w="234" w:type="pct"/>
            <w:tcBorders>
              <w:top w:val="nil"/>
              <w:left w:val="nil"/>
              <w:bottom w:val="nil"/>
              <w:right w:val="nil"/>
            </w:tcBorders>
            <w:shd w:val="clear" w:color="000000" w:fill="FFFFFF"/>
            <w:vAlign w:val="center"/>
            <w:hideMark/>
          </w:tcPr>
          <w:p w:rsidR="008F01DF" w:rsidRPr="007A74C0" w:rsidRDefault="008F01DF" w:rsidP="008F01DF">
            <w:pPr>
              <w:jc w:val="right"/>
              <w:rPr>
                <w:b/>
                <w:bCs/>
                <w:color w:val="000000"/>
              </w:rPr>
            </w:pPr>
            <w:r w:rsidRPr="007A74C0">
              <w:rPr>
                <w:b/>
                <w:bCs/>
                <w:color w:val="000000"/>
              </w:rPr>
              <w:t> </w:t>
            </w:r>
          </w:p>
        </w:tc>
        <w:tc>
          <w:tcPr>
            <w:tcW w:w="906" w:type="pct"/>
            <w:tcBorders>
              <w:top w:val="nil"/>
              <w:left w:val="nil"/>
              <w:bottom w:val="double" w:sz="6" w:space="0" w:color="auto"/>
              <w:right w:val="nil"/>
            </w:tcBorders>
            <w:shd w:val="clear" w:color="000000" w:fill="FFFFFF"/>
            <w:vAlign w:val="center"/>
            <w:hideMark/>
          </w:tcPr>
          <w:p w:rsidR="008F01DF" w:rsidRPr="007A74C0" w:rsidRDefault="008F01DF" w:rsidP="008F01DF">
            <w:pPr>
              <w:jc w:val="right"/>
              <w:rPr>
                <w:b/>
                <w:bCs/>
                <w:color w:val="000000"/>
              </w:rPr>
            </w:pPr>
            <w:r w:rsidRPr="007A74C0">
              <w:rPr>
                <w:b/>
                <w:bCs/>
                <w:color w:val="000000"/>
              </w:rPr>
              <w:t>45.827</w:t>
            </w:r>
          </w:p>
        </w:tc>
      </w:tr>
      <w:tr w:rsidR="008F01DF" w:rsidRPr="007A74C0" w:rsidTr="00524DD6">
        <w:trPr>
          <w:trHeight w:val="20"/>
        </w:trPr>
        <w:tc>
          <w:tcPr>
            <w:tcW w:w="2847" w:type="pct"/>
            <w:tcBorders>
              <w:top w:val="nil"/>
              <w:left w:val="nil"/>
              <w:bottom w:val="nil"/>
              <w:right w:val="nil"/>
            </w:tcBorders>
            <w:shd w:val="clear" w:color="000000" w:fill="FFFFFF"/>
            <w:noWrap/>
            <w:vAlign w:val="bottom"/>
            <w:hideMark/>
          </w:tcPr>
          <w:p w:rsidR="008F01DF" w:rsidRPr="007A74C0" w:rsidRDefault="008F01DF" w:rsidP="008F01DF">
            <w:pPr>
              <w:rPr>
                <w:rFonts w:ascii="Calibri" w:hAnsi="Calibri"/>
                <w:color w:val="000000"/>
                <w:sz w:val="16"/>
                <w:szCs w:val="16"/>
              </w:rPr>
            </w:pPr>
            <w:r w:rsidRPr="007A74C0">
              <w:rPr>
                <w:rFonts w:ascii="Calibri" w:hAnsi="Calibri"/>
                <w:color w:val="000000"/>
                <w:sz w:val="16"/>
                <w:szCs w:val="16"/>
              </w:rPr>
              <w:t> </w:t>
            </w:r>
          </w:p>
        </w:tc>
        <w:tc>
          <w:tcPr>
            <w:tcW w:w="1013" w:type="pct"/>
            <w:tcBorders>
              <w:top w:val="nil"/>
              <w:left w:val="nil"/>
              <w:bottom w:val="nil"/>
              <w:right w:val="nil"/>
            </w:tcBorders>
            <w:shd w:val="clear" w:color="000000" w:fill="FFFFFF"/>
            <w:noWrap/>
            <w:vAlign w:val="bottom"/>
            <w:hideMark/>
          </w:tcPr>
          <w:p w:rsidR="008F01DF" w:rsidRPr="007A74C0" w:rsidRDefault="008F01DF" w:rsidP="008F01DF">
            <w:pPr>
              <w:rPr>
                <w:rFonts w:ascii="Calibri" w:hAnsi="Calibri"/>
                <w:color w:val="000000"/>
                <w:sz w:val="16"/>
                <w:szCs w:val="16"/>
              </w:rPr>
            </w:pPr>
            <w:r w:rsidRPr="007A74C0">
              <w:rPr>
                <w:rFonts w:ascii="Calibri" w:hAnsi="Calibri"/>
                <w:color w:val="000000"/>
                <w:sz w:val="16"/>
                <w:szCs w:val="16"/>
              </w:rPr>
              <w:t> </w:t>
            </w:r>
          </w:p>
        </w:tc>
        <w:tc>
          <w:tcPr>
            <w:tcW w:w="234" w:type="pct"/>
            <w:tcBorders>
              <w:top w:val="nil"/>
              <w:left w:val="nil"/>
              <w:bottom w:val="nil"/>
              <w:right w:val="nil"/>
            </w:tcBorders>
            <w:shd w:val="clear" w:color="000000" w:fill="FFFFFF"/>
            <w:noWrap/>
            <w:vAlign w:val="bottom"/>
            <w:hideMark/>
          </w:tcPr>
          <w:p w:rsidR="008F01DF" w:rsidRPr="007A74C0" w:rsidRDefault="008F01DF" w:rsidP="008F01DF">
            <w:pPr>
              <w:rPr>
                <w:rFonts w:ascii="Calibri" w:hAnsi="Calibri"/>
                <w:color w:val="000000"/>
                <w:sz w:val="16"/>
                <w:szCs w:val="16"/>
              </w:rPr>
            </w:pPr>
            <w:r w:rsidRPr="007A74C0">
              <w:rPr>
                <w:rFonts w:ascii="Calibri" w:hAnsi="Calibri"/>
                <w:color w:val="000000"/>
                <w:sz w:val="16"/>
                <w:szCs w:val="16"/>
              </w:rPr>
              <w:t> </w:t>
            </w:r>
          </w:p>
        </w:tc>
        <w:tc>
          <w:tcPr>
            <w:tcW w:w="906" w:type="pct"/>
            <w:tcBorders>
              <w:top w:val="nil"/>
              <w:left w:val="nil"/>
              <w:bottom w:val="nil"/>
              <w:right w:val="nil"/>
            </w:tcBorders>
            <w:shd w:val="clear" w:color="000000" w:fill="FFFFFF"/>
            <w:noWrap/>
            <w:vAlign w:val="bottom"/>
            <w:hideMark/>
          </w:tcPr>
          <w:p w:rsidR="008F01DF" w:rsidRPr="007A74C0" w:rsidRDefault="008F01DF" w:rsidP="008F01DF">
            <w:pPr>
              <w:rPr>
                <w:rFonts w:ascii="Calibri" w:hAnsi="Calibri"/>
                <w:color w:val="000000"/>
                <w:sz w:val="16"/>
                <w:szCs w:val="16"/>
              </w:rPr>
            </w:pPr>
            <w:r w:rsidRPr="007A74C0">
              <w:rPr>
                <w:rFonts w:ascii="Calibri" w:hAnsi="Calibri"/>
                <w:color w:val="000000"/>
                <w:sz w:val="16"/>
                <w:szCs w:val="16"/>
              </w:rPr>
              <w:t> </w:t>
            </w:r>
          </w:p>
        </w:tc>
      </w:tr>
    </w:tbl>
    <w:p w:rsidR="00B20F98" w:rsidRPr="00FD7B48" w:rsidRDefault="00B20F98" w:rsidP="00392120">
      <w:pPr>
        <w:jc w:val="both"/>
      </w:pPr>
      <w:r w:rsidRPr="00FD7B48">
        <w:t>Os Créditos de Fornecimento de Serviços correspondem aos valores a receber de clientes pela prestação de serviços no curso normal das atividades da Instituição.</w:t>
      </w:r>
    </w:p>
    <w:p w:rsidR="00B20F98" w:rsidRPr="00FD7B48" w:rsidRDefault="00B20F98" w:rsidP="00392120">
      <w:pPr>
        <w:jc w:val="both"/>
      </w:pPr>
    </w:p>
    <w:p w:rsidR="00B20F98" w:rsidRPr="00FD7B48" w:rsidRDefault="00B20F98" w:rsidP="00392120">
      <w:pPr>
        <w:jc w:val="both"/>
      </w:pPr>
      <w:r w:rsidRPr="00FD7B48">
        <w:t>O valor de R$ 4.</w:t>
      </w:r>
      <w:r w:rsidR="00014195" w:rsidRPr="00FD7B48">
        <w:t>624</w:t>
      </w:r>
      <w:r w:rsidR="00963EC7" w:rsidRPr="00FD7B48">
        <w:t>,</w:t>
      </w:r>
      <w:r w:rsidRPr="00FD7B48">
        <w:t xml:space="preserve"> outras faturas a receber, corresponde ao valor devolvido ao FNS referente </w:t>
      </w:r>
      <w:r w:rsidR="00673379" w:rsidRPr="00FD7B48">
        <w:t>à</w:t>
      </w:r>
      <w:r w:rsidRPr="00FD7B48">
        <w:t xml:space="preserve"> ação</w:t>
      </w:r>
      <w:r w:rsidR="00DA56B1" w:rsidRPr="00FD7B48">
        <w:t xml:space="preserve"> nº</w:t>
      </w:r>
      <w:r w:rsidRPr="00FD7B48">
        <w:t xml:space="preserve"> 8585 devido o cancelamento de RAPNP (2012 a 2014) parcela esta pertencente ao contrato firmado com o Gestor de Saúde do Município de Porto Alegre pela prestação de serviços SUS</w:t>
      </w:r>
      <w:r w:rsidR="003F2D6C">
        <w:t>. A Instituição</w:t>
      </w:r>
      <w:r w:rsidR="00FB0119" w:rsidRPr="00FD7B48">
        <w:t xml:space="preserve"> </w:t>
      </w:r>
      <w:r w:rsidRPr="00FD7B48">
        <w:t>aguarda reposição do crédito orçamentário e financeiro, visto o cancelamento dos R</w:t>
      </w:r>
      <w:r w:rsidR="002010E3" w:rsidRPr="00FD7B48">
        <w:t>estos a Pagar Processados (</w:t>
      </w:r>
      <w:proofErr w:type="spellStart"/>
      <w:r w:rsidR="002010E3" w:rsidRPr="00FD7B48">
        <w:t>RAPs</w:t>
      </w:r>
      <w:proofErr w:type="spellEnd"/>
      <w:r w:rsidR="002010E3" w:rsidRPr="00FD7B48">
        <w:t>)</w:t>
      </w:r>
      <w:r w:rsidRPr="00FD7B48">
        <w:t xml:space="preserve"> ter sido motivado pelo rompimento de co</w:t>
      </w:r>
      <w:r w:rsidR="001330D1" w:rsidRPr="00FD7B48">
        <w:t>n</w:t>
      </w:r>
      <w:r w:rsidRPr="00FD7B48">
        <w:t>tratos com fornecedores. Não houve, em etapas posteriores, nova licitação para atender as demandas de custeio das atividades do HCPA inerentes aos contratos cancelados.</w:t>
      </w:r>
    </w:p>
    <w:p w:rsidR="002A4D93" w:rsidRPr="00FD7B48" w:rsidRDefault="002A4D93" w:rsidP="00B20F98">
      <w:pPr>
        <w:tabs>
          <w:tab w:val="left" w:pos="851"/>
        </w:tabs>
        <w:jc w:val="both"/>
      </w:pPr>
    </w:p>
    <w:p w:rsidR="005641A2" w:rsidRPr="00FD7B48" w:rsidRDefault="008B0DEB" w:rsidP="008B0DEB">
      <w:pPr>
        <w:jc w:val="both"/>
      </w:pPr>
      <w:r w:rsidRPr="00FD7B48">
        <w:t>As contas a receber de clientes são, inicialmente, reconhecidas pelo valor justo e, subsequentemente, mensuradas pelo custo menos a</w:t>
      </w:r>
      <w:r w:rsidR="00E56B52" w:rsidRPr="00FD7B48">
        <w:t>s</w:t>
      </w:r>
      <w:r w:rsidRPr="00FD7B48">
        <w:t xml:space="preserve"> </w:t>
      </w:r>
      <w:r w:rsidR="00B73948" w:rsidRPr="00FD7B48">
        <w:t xml:space="preserve">Perdas Estimadas para </w:t>
      </w:r>
      <w:r w:rsidRPr="00FD7B48">
        <w:t>Créditos de Liquidação Duvidosa (“P</w:t>
      </w:r>
      <w:r w:rsidR="00B73948" w:rsidRPr="00FD7B48">
        <w:t>E</w:t>
      </w:r>
      <w:r w:rsidRPr="00FD7B48">
        <w:t>CLD” ou “</w:t>
      </w:r>
      <w:proofErr w:type="spellStart"/>
      <w:r w:rsidRPr="00FD7B48">
        <w:rPr>
          <w:i/>
        </w:rPr>
        <w:t>Impairment</w:t>
      </w:r>
      <w:proofErr w:type="spellEnd"/>
      <w:r w:rsidRPr="00FD7B48">
        <w:t>”).</w:t>
      </w:r>
    </w:p>
    <w:p w:rsidR="00095C30" w:rsidRPr="00FD7B48" w:rsidRDefault="00095C30" w:rsidP="008B0DEB">
      <w:pPr>
        <w:jc w:val="both"/>
      </w:pPr>
    </w:p>
    <w:p w:rsidR="008B0DEB" w:rsidRPr="00FD7B48" w:rsidRDefault="008B0DEB" w:rsidP="008B0DEB">
      <w:pPr>
        <w:jc w:val="both"/>
      </w:pPr>
    </w:p>
    <w:p w:rsidR="00B20F98" w:rsidRPr="008F01DF" w:rsidRDefault="008D5A89" w:rsidP="00F27C83">
      <w:pPr>
        <w:pStyle w:val="Ttulo"/>
        <w:outlineLvl w:val="0"/>
      </w:pPr>
      <w:bookmarkStart w:id="13" w:name="_Ref457927920"/>
      <w:bookmarkStart w:id="14" w:name="_Toc512497270"/>
      <w:r w:rsidRPr="008F01DF">
        <w:t xml:space="preserve">Adiantamentos </w:t>
      </w:r>
      <w:r w:rsidR="005641A2" w:rsidRPr="008F01DF">
        <w:t>de</w:t>
      </w:r>
      <w:r w:rsidRPr="008F01DF">
        <w:t xml:space="preserve"> Pessoal</w:t>
      </w:r>
      <w:bookmarkEnd w:id="13"/>
      <w:bookmarkEnd w:id="14"/>
      <w:r w:rsidRPr="008F01DF">
        <w:t xml:space="preserve"> </w:t>
      </w:r>
    </w:p>
    <w:tbl>
      <w:tblPr>
        <w:tblW w:w="10227" w:type="dxa"/>
        <w:tblInd w:w="-1418" w:type="dxa"/>
        <w:tblLayout w:type="fixed"/>
        <w:tblCellMar>
          <w:left w:w="0" w:type="dxa"/>
          <w:right w:w="0" w:type="dxa"/>
        </w:tblCellMar>
        <w:tblLook w:val="0000" w:firstRow="0" w:lastRow="0" w:firstColumn="0" w:lastColumn="0" w:noHBand="0" w:noVBand="0"/>
      </w:tblPr>
      <w:tblGrid>
        <w:gridCol w:w="1388"/>
        <w:gridCol w:w="5133"/>
        <w:gridCol w:w="1843"/>
        <w:gridCol w:w="278"/>
        <w:gridCol w:w="1565"/>
        <w:gridCol w:w="20"/>
      </w:tblGrid>
      <w:tr w:rsidR="00FD7B48" w:rsidRPr="00FD7B48" w:rsidTr="001F4559">
        <w:trPr>
          <w:trHeight w:val="439"/>
        </w:trPr>
        <w:tc>
          <w:tcPr>
            <w:tcW w:w="1388" w:type="dxa"/>
            <w:noWrap/>
            <w:tcMar>
              <w:top w:w="0" w:type="dxa"/>
              <w:left w:w="0" w:type="dxa"/>
              <w:bottom w:w="0" w:type="dxa"/>
              <w:right w:w="0" w:type="dxa"/>
            </w:tcMar>
            <w:vAlign w:val="bottom"/>
          </w:tcPr>
          <w:p w:rsidR="008D5A89" w:rsidRPr="00FD7B48" w:rsidRDefault="008D5A89" w:rsidP="00E44829">
            <w:pPr>
              <w:pStyle w:val="NormalWeb"/>
              <w:widowControl w:val="0"/>
              <w:spacing w:before="0" w:after="0" w:line="230" w:lineRule="auto"/>
              <w:rPr>
                <w:sz w:val="20"/>
                <w:szCs w:val="20"/>
                <w:lang w:val="pt-BR"/>
              </w:rPr>
            </w:pPr>
          </w:p>
        </w:tc>
        <w:tc>
          <w:tcPr>
            <w:tcW w:w="5133" w:type="dxa"/>
            <w:noWrap/>
            <w:tcMar>
              <w:top w:w="0" w:type="dxa"/>
              <w:left w:w="0" w:type="dxa"/>
              <w:bottom w:w="0" w:type="dxa"/>
              <w:right w:w="0" w:type="dxa"/>
            </w:tcMar>
            <w:vAlign w:val="bottom"/>
          </w:tcPr>
          <w:p w:rsidR="008D5A89" w:rsidRPr="00FD7B48" w:rsidRDefault="008D5A89" w:rsidP="00E44829">
            <w:pPr>
              <w:widowControl w:val="0"/>
              <w:spacing w:line="230" w:lineRule="auto"/>
            </w:pPr>
            <w:r w:rsidRPr="00FD7B48">
              <w:t xml:space="preserve"> </w:t>
            </w:r>
          </w:p>
        </w:tc>
        <w:tc>
          <w:tcPr>
            <w:tcW w:w="1843" w:type="dxa"/>
            <w:tcBorders>
              <w:bottom w:val="single" w:sz="6" w:space="0" w:color="auto"/>
            </w:tcBorders>
            <w:vAlign w:val="bottom"/>
          </w:tcPr>
          <w:p w:rsidR="008D5A89" w:rsidRPr="00FD7B48" w:rsidRDefault="00B635B3" w:rsidP="00F70FBA">
            <w:pPr>
              <w:widowControl w:val="0"/>
              <w:suppressLineNumbers/>
              <w:suppressAutoHyphens/>
              <w:spacing w:line="230" w:lineRule="auto"/>
              <w:jc w:val="right"/>
              <w:rPr>
                <w:b/>
              </w:rPr>
            </w:pPr>
            <w:r w:rsidRPr="00FD7B48">
              <w:rPr>
                <w:b/>
              </w:rPr>
              <w:t>31/12/201</w:t>
            </w:r>
            <w:r w:rsidR="00F70FBA">
              <w:rPr>
                <w:b/>
              </w:rPr>
              <w:t>7</w:t>
            </w:r>
          </w:p>
        </w:tc>
        <w:tc>
          <w:tcPr>
            <w:tcW w:w="278" w:type="dxa"/>
            <w:vAlign w:val="bottom"/>
          </w:tcPr>
          <w:p w:rsidR="008D5A89" w:rsidRPr="00FD7B48" w:rsidRDefault="008D5A89" w:rsidP="00E44829">
            <w:pPr>
              <w:widowControl w:val="0"/>
              <w:suppressLineNumbers/>
              <w:suppressAutoHyphens/>
              <w:spacing w:line="230" w:lineRule="auto"/>
              <w:rPr>
                <w:b/>
              </w:rPr>
            </w:pPr>
          </w:p>
        </w:tc>
        <w:tc>
          <w:tcPr>
            <w:tcW w:w="1565" w:type="dxa"/>
            <w:tcBorders>
              <w:bottom w:val="single" w:sz="6" w:space="0" w:color="auto"/>
            </w:tcBorders>
            <w:noWrap/>
            <w:tcMar>
              <w:top w:w="0" w:type="dxa"/>
              <w:left w:w="0" w:type="dxa"/>
              <w:bottom w:w="0" w:type="dxa"/>
              <w:right w:w="0" w:type="dxa"/>
            </w:tcMar>
            <w:vAlign w:val="bottom"/>
          </w:tcPr>
          <w:p w:rsidR="008D5A89" w:rsidRPr="00FD7B48" w:rsidRDefault="00B635B3" w:rsidP="005155B8">
            <w:pPr>
              <w:widowControl w:val="0"/>
              <w:suppressLineNumbers/>
              <w:suppressAutoHyphens/>
              <w:spacing w:line="230" w:lineRule="auto"/>
              <w:jc w:val="right"/>
              <w:rPr>
                <w:b/>
              </w:rPr>
            </w:pPr>
            <w:r w:rsidRPr="00FD7B48">
              <w:rPr>
                <w:b/>
              </w:rPr>
              <w:t>31/12/201</w:t>
            </w:r>
            <w:r w:rsidR="005155B8">
              <w:rPr>
                <w:b/>
              </w:rPr>
              <w:t>6</w:t>
            </w:r>
          </w:p>
        </w:tc>
        <w:tc>
          <w:tcPr>
            <w:tcW w:w="20" w:type="dxa"/>
            <w:vAlign w:val="bottom"/>
          </w:tcPr>
          <w:p w:rsidR="008D5A89" w:rsidRPr="00FD7B48" w:rsidRDefault="008D5A89" w:rsidP="00E44829">
            <w:pPr>
              <w:widowControl w:val="0"/>
              <w:suppressLineNumbers/>
              <w:suppressAutoHyphens/>
              <w:spacing w:line="230" w:lineRule="auto"/>
              <w:rPr>
                <w:b/>
              </w:rPr>
            </w:pPr>
          </w:p>
        </w:tc>
      </w:tr>
      <w:tr w:rsidR="00FD7B48" w:rsidRPr="00FD7B48" w:rsidTr="001F4559">
        <w:trPr>
          <w:trHeight w:val="227"/>
        </w:trPr>
        <w:tc>
          <w:tcPr>
            <w:tcW w:w="1388" w:type="dxa"/>
            <w:noWrap/>
            <w:tcMar>
              <w:top w:w="0" w:type="dxa"/>
              <w:left w:w="0" w:type="dxa"/>
              <w:bottom w:w="0" w:type="dxa"/>
              <w:right w:w="0" w:type="dxa"/>
            </w:tcMar>
            <w:vAlign w:val="bottom"/>
          </w:tcPr>
          <w:p w:rsidR="00650174" w:rsidRPr="00FD7B48" w:rsidRDefault="00650174" w:rsidP="00E44829">
            <w:pPr>
              <w:widowControl w:val="0"/>
              <w:spacing w:line="230" w:lineRule="auto"/>
            </w:pPr>
          </w:p>
        </w:tc>
        <w:tc>
          <w:tcPr>
            <w:tcW w:w="5133" w:type="dxa"/>
            <w:noWrap/>
            <w:tcMar>
              <w:top w:w="0" w:type="dxa"/>
              <w:left w:w="0" w:type="dxa"/>
              <w:bottom w:w="0" w:type="dxa"/>
              <w:right w:w="0" w:type="dxa"/>
            </w:tcMar>
            <w:vAlign w:val="bottom"/>
          </w:tcPr>
          <w:p w:rsidR="00650174" w:rsidRPr="00FD7B48" w:rsidRDefault="00650174" w:rsidP="008D5A89">
            <w:pPr>
              <w:pStyle w:val="NormalWeb"/>
              <w:widowControl w:val="0"/>
              <w:spacing w:before="0" w:after="0" w:line="230" w:lineRule="auto"/>
              <w:rPr>
                <w:sz w:val="20"/>
                <w:szCs w:val="20"/>
                <w:lang w:val="pt-BR"/>
              </w:rPr>
            </w:pPr>
            <w:r w:rsidRPr="00FD7B48">
              <w:rPr>
                <w:sz w:val="20"/>
                <w:szCs w:val="20"/>
                <w:lang w:val="pt-BR"/>
              </w:rPr>
              <w:t>Décimo Terceiro Salário</w:t>
            </w:r>
          </w:p>
        </w:tc>
        <w:tc>
          <w:tcPr>
            <w:tcW w:w="1843" w:type="dxa"/>
            <w:vAlign w:val="center"/>
          </w:tcPr>
          <w:p w:rsidR="00650174" w:rsidRPr="00FD7B48" w:rsidRDefault="00F70FBA">
            <w:pPr>
              <w:jc w:val="right"/>
            </w:pPr>
            <w:r>
              <w:t>7.322</w:t>
            </w:r>
          </w:p>
        </w:tc>
        <w:tc>
          <w:tcPr>
            <w:tcW w:w="278" w:type="dxa"/>
            <w:vAlign w:val="bottom"/>
          </w:tcPr>
          <w:p w:rsidR="00650174" w:rsidRPr="00FD7B48" w:rsidRDefault="00650174" w:rsidP="00E44829">
            <w:pPr>
              <w:pStyle w:val="NormalWeb"/>
              <w:widowControl w:val="0"/>
              <w:spacing w:before="0" w:after="0" w:line="230" w:lineRule="auto"/>
              <w:rPr>
                <w:sz w:val="20"/>
                <w:szCs w:val="20"/>
                <w:lang w:val="pt-BR"/>
              </w:rPr>
            </w:pPr>
          </w:p>
        </w:tc>
        <w:tc>
          <w:tcPr>
            <w:tcW w:w="1565" w:type="dxa"/>
            <w:noWrap/>
            <w:tcMar>
              <w:top w:w="0" w:type="dxa"/>
              <w:left w:w="0" w:type="dxa"/>
              <w:bottom w:w="0" w:type="dxa"/>
              <w:right w:w="0" w:type="dxa"/>
            </w:tcMar>
            <w:vAlign w:val="center"/>
          </w:tcPr>
          <w:p w:rsidR="00650174" w:rsidRPr="00FD7B48" w:rsidRDefault="005155B8">
            <w:pPr>
              <w:jc w:val="right"/>
            </w:pPr>
            <w:r>
              <w:t>5.790</w:t>
            </w:r>
          </w:p>
        </w:tc>
        <w:tc>
          <w:tcPr>
            <w:tcW w:w="20" w:type="dxa"/>
            <w:vAlign w:val="bottom"/>
          </w:tcPr>
          <w:p w:rsidR="00650174" w:rsidRPr="00FD7B48" w:rsidRDefault="00650174" w:rsidP="00E44829">
            <w:pPr>
              <w:pStyle w:val="NormalWeb"/>
              <w:widowControl w:val="0"/>
              <w:spacing w:before="0" w:after="0" w:line="230" w:lineRule="auto"/>
              <w:rPr>
                <w:sz w:val="20"/>
                <w:szCs w:val="20"/>
                <w:lang w:val="pt-BR"/>
              </w:rPr>
            </w:pPr>
          </w:p>
        </w:tc>
      </w:tr>
      <w:tr w:rsidR="00FD7B48" w:rsidRPr="00FD7B48" w:rsidTr="001F4559">
        <w:trPr>
          <w:trHeight w:val="227"/>
        </w:trPr>
        <w:tc>
          <w:tcPr>
            <w:tcW w:w="1388" w:type="dxa"/>
            <w:noWrap/>
            <w:tcMar>
              <w:top w:w="0" w:type="dxa"/>
              <w:left w:w="0" w:type="dxa"/>
              <w:bottom w:w="0" w:type="dxa"/>
              <w:right w:w="0" w:type="dxa"/>
            </w:tcMar>
            <w:vAlign w:val="bottom"/>
          </w:tcPr>
          <w:p w:rsidR="00650174" w:rsidRPr="00FD7B48" w:rsidRDefault="00650174" w:rsidP="00E44829">
            <w:pPr>
              <w:widowControl w:val="0"/>
              <w:spacing w:line="230" w:lineRule="auto"/>
            </w:pPr>
          </w:p>
        </w:tc>
        <w:tc>
          <w:tcPr>
            <w:tcW w:w="5133" w:type="dxa"/>
            <w:noWrap/>
            <w:tcMar>
              <w:top w:w="0" w:type="dxa"/>
              <w:left w:w="0" w:type="dxa"/>
              <w:bottom w:w="0" w:type="dxa"/>
              <w:right w:w="0" w:type="dxa"/>
            </w:tcMar>
            <w:vAlign w:val="bottom"/>
          </w:tcPr>
          <w:p w:rsidR="00650174" w:rsidRPr="00FD7B48" w:rsidRDefault="00650174" w:rsidP="00E44829">
            <w:pPr>
              <w:pStyle w:val="NormalWeb"/>
              <w:widowControl w:val="0"/>
              <w:spacing w:before="0" w:after="0" w:line="230" w:lineRule="auto"/>
              <w:rPr>
                <w:sz w:val="20"/>
                <w:szCs w:val="20"/>
                <w:lang w:val="pt-BR"/>
              </w:rPr>
            </w:pPr>
            <w:r w:rsidRPr="00FD7B48">
              <w:rPr>
                <w:sz w:val="20"/>
                <w:szCs w:val="20"/>
                <w:lang w:val="pt-BR"/>
              </w:rPr>
              <w:t>Férias</w:t>
            </w:r>
          </w:p>
        </w:tc>
        <w:tc>
          <w:tcPr>
            <w:tcW w:w="1843" w:type="dxa"/>
            <w:vAlign w:val="center"/>
          </w:tcPr>
          <w:p w:rsidR="00650174" w:rsidRPr="00FD7B48" w:rsidRDefault="00F70FBA">
            <w:pPr>
              <w:jc w:val="right"/>
            </w:pPr>
            <w:r>
              <w:t>4.778</w:t>
            </w:r>
          </w:p>
        </w:tc>
        <w:tc>
          <w:tcPr>
            <w:tcW w:w="278" w:type="dxa"/>
            <w:vAlign w:val="bottom"/>
          </w:tcPr>
          <w:p w:rsidR="00650174" w:rsidRPr="00FD7B48" w:rsidRDefault="00650174" w:rsidP="00E44829">
            <w:pPr>
              <w:pStyle w:val="NormalWeb"/>
              <w:widowControl w:val="0"/>
              <w:spacing w:before="0" w:after="0" w:line="230" w:lineRule="auto"/>
              <w:rPr>
                <w:sz w:val="20"/>
                <w:szCs w:val="20"/>
                <w:lang w:val="pt-BR"/>
              </w:rPr>
            </w:pPr>
          </w:p>
        </w:tc>
        <w:tc>
          <w:tcPr>
            <w:tcW w:w="1565" w:type="dxa"/>
            <w:noWrap/>
            <w:tcMar>
              <w:top w:w="0" w:type="dxa"/>
              <w:left w:w="0" w:type="dxa"/>
              <w:bottom w:w="0" w:type="dxa"/>
              <w:right w:w="0" w:type="dxa"/>
            </w:tcMar>
            <w:vAlign w:val="center"/>
          </w:tcPr>
          <w:p w:rsidR="00650174" w:rsidRPr="00FD7B48" w:rsidRDefault="00650174" w:rsidP="005155B8">
            <w:pPr>
              <w:jc w:val="right"/>
            </w:pPr>
            <w:r w:rsidRPr="00FD7B48">
              <w:t>3.</w:t>
            </w:r>
            <w:r w:rsidR="005155B8">
              <w:t>868</w:t>
            </w:r>
          </w:p>
        </w:tc>
        <w:tc>
          <w:tcPr>
            <w:tcW w:w="20" w:type="dxa"/>
            <w:vAlign w:val="bottom"/>
          </w:tcPr>
          <w:p w:rsidR="00650174" w:rsidRPr="00FD7B48" w:rsidRDefault="00650174" w:rsidP="00E44829">
            <w:pPr>
              <w:pStyle w:val="NormalWeb"/>
              <w:widowControl w:val="0"/>
              <w:spacing w:before="0" w:after="0" w:line="230" w:lineRule="auto"/>
              <w:rPr>
                <w:sz w:val="20"/>
                <w:szCs w:val="20"/>
                <w:lang w:val="pt-BR"/>
              </w:rPr>
            </w:pPr>
          </w:p>
        </w:tc>
      </w:tr>
      <w:tr w:rsidR="00FD7B48" w:rsidRPr="00FD7B48" w:rsidTr="001F4559">
        <w:trPr>
          <w:trHeight w:val="227"/>
        </w:trPr>
        <w:tc>
          <w:tcPr>
            <w:tcW w:w="1388" w:type="dxa"/>
            <w:noWrap/>
            <w:tcMar>
              <w:top w:w="0" w:type="dxa"/>
              <w:left w:w="0" w:type="dxa"/>
              <w:bottom w:w="0" w:type="dxa"/>
              <w:right w:w="0" w:type="dxa"/>
            </w:tcMar>
            <w:vAlign w:val="bottom"/>
          </w:tcPr>
          <w:p w:rsidR="00650174" w:rsidRPr="00FD7B48" w:rsidRDefault="00650174" w:rsidP="00E44829">
            <w:pPr>
              <w:widowControl w:val="0"/>
              <w:spacing w:line="230" w:lineRule="auto"/>
            </w:pPr>
          </w:p>
        </w:tc>
        <w:tc>
          <w:tcPr>
            <w:tcW w:w="5133" w:type="dxa"/>
            <w:noWrap/>
            <w:tcMar>
              <w:top w:w="0" w:type="dxa"/>
              <w:left w:w="0" w:type="dxa"/>
              <w:bottom w:w="0" w:type="dxa"/>
              <w:right w:w="0" w:type="dxa"/>
            </w:tcMar>
            <w:vAlign w:val="bottom"/>
          </w:tcPr>
          <w:p w:rsidR="00650174" w:rsidRPr="00FD7B48" w:rsidRDefault="00650174" w:rsidP="008D5A89">
            <w:pPr>
              <w:pStyle w:val="NormalWeb"/>
              <w:widowControl w:val="0"/>
              <w:spacing w:before="0" w:after="0" w:line="230" w:lineRule="auto"/>
              <w:rPr>
                <w:sz w:val="20"/>
                <w:szCs w:val="20"/>
                <w:lang w:val="pt-BR"/>
              </w:rPr>
            </w:pPr>
            <w:r w:rsidRPr="00FD7B48">
              <w:rPr>
                <w:sz w:val="20"/>
                <w:szCs w:val="20"/>
                <w:lang w:val="pt-BR"/>
              </w:rPr>
              <w:t>Abono sobre Férias</w:t>
            </w:r>
          </w:p>
        </w:tc>
        <w:tc>
          <w:tcPr>
            <w:tcW w:w="1843" w:type="dxa"/>
            <w:vAlign w:val="center"/>
          </w:tcPr>
          <w:p w:rsidR="00650174" w:rsidRPr="00FD7B48" w:rsidRDefault="00F70FBA">
            <w:pPr>
              <w:jc w:val="right"/>
            </w:pPr>
            <w:r>
              <w:t>2.389</w:t>
            </w:r>
          </w:p>
        </w:tc>
        <w:tc>
          <w:tcPr>
            <w:tcW w:w="278" w:type="dxa"/>
            <w:vAlign w:val="bottom"/>
          </w:tcPr>
          <w:p w:rsidR="00650174" w:rsidRPr="00FD7B48" w:rsidRDefault="00650174" w:rsidP="00E44829">
            <w:pPr>
              <w:pStyle w:val="NormalWeb"/>
              <w:widowControl w:val="0"/>
              <w:spacing w:before="0" w:after="0" w:line="230" w:lineRule="auto"/>
              <w:rPr>
                <w:sz w:val="20"/>
                <w:szCs w:val="20"/>
                <w:lang w:val="pt-BR"/>
              </w:rPr>
            </w:pPr>
          </w:p>
        </w:tc>
        <w:tc>
          <w:tcPr>
            <w:tcW w:w="1565" w:type="dxa"/>
            <w:noWrap/>
            <w:tcMar>
              <w:top w:w="0" w:type="dxa"/>
              <w:left w:w="0" w:type="dxa"/>
              <w:bottom w:w="0" w:type="dxa"/>
              <w:right w:w="0" w:type="dxa"/>
            </w:tcMar>
            <w:vAlign w:val="center"/>
          </w:tcPr>
          <w:p w:rsidR="00650174" w:rsidRPr="00FD7B48" w:rsidRDefault="00650174" w:rsidP="005155B8">
            <w:pPr>
              <w:jc w:val="right"/>
            </w:pPr>
            <w:r w:rsidRPr="00FD7B48">
              <w:t>1.</w:t>
            </w:r>
            <w:r w:rsidR="005155B8">
              <w:t>9</w:t>
            </w:r>
            <w:r w:rsidRPr="00FD7B48">
              <w:t>00</w:t>
            </w:r>
          </w:p>
        </w:tc>
        <w:tc>
          <w:tcPr>
            <w:tcW w:w="20" w:type="dxa"/>
            <w:vAlign w:val="bottom"/>
          </w:tcPr>
          <w:p w:rsidR="00650174" w:rsidRPr="00FD7B48" w:rsidRDefault="00650174" w:rsidP="00E44829">
            <w:pPr>
              <w:pStyle w:val="NormalWeb"/>
              <w:widowControl w:val="0"/>
              <w:spacing w:before="0" w:after="0" w:line="230" w:lineRule="auto"/>
              <w:rPr>
                <w:sz w:val="20"/>
                <w:szCs w:val="20"/>
                <w:lang w:val="pt-BR"/>
              </w:rPr>
            </w:pPr>
          </w:p>
        </w:tc>
      </w:tr>
      <w:tr w:rsidR="00FD7B48" w:rsidRPr="00FD7B48" w:rsidTr="001F4559">
        <w:trPr>
          <w:trHeight w:val="227"/>
        </w:trPr>
        <w:tc>
          <w:tcPr>
            <w:tcW w:w="1388" w:type="dxa"/>
            <w:noWrap/>
            <w:tcMar>
              <w:top w:w="0" w:type="dxa"/>
              <w:left w:w="0" w:type="dxa"/>
              <w:bottom w:w="0" w:type="dxa"/>
              <w:right w:w="0" w:type="dxa"/>
            </w:tcMar>
            <w:vAlign w:val="bottom"/>
          </w:tcPr>
          <w:p w:rsidR="00650174" w:rsidRPr="00FD7B48" w:rsidRDefault="00650174" w:rsidP="00E44829">
            <w:pPr>
              <w:widowControl w:val="0"/>
              <w:spacing w:line="230" w:lineRule="auto"/>
            </w:pPr>
          </w:p>
        </w:tc>
        <w:tc>
          <w:tcPr>
            <w:tcW w:w="5133" w:type="dxa"/>
            <w:noWrap/>
            <w:tcMar>
              <w:top w:w="0" w:type="dxa"/>
              <w:left w:w="0" w:type="dxa"/>
              <w:bottom w:w="0" w:type="dxa"/>
              <w:right w:w="0" w:type="dxa"/>
            </w:tcMar>
            <w:vAlign w:val="bottom"/>
          </w:tcPr>
          <w:p w:rsidR="00650174" w:rsidRPr="00FD7B48" w:rsidRDefault="00650174" w:rsidP="00E44829">
            <w:pPr>
              <w:pStyle w:val="NormalWeb"/>
              <w:widowControl w:val="0"/>
              <w:spacing w:before="0" w:after="0" w:line="230" w:lineRule="auto"/>
              <w:rPr>
                <w:sz w:val="20"/>
                <w:szCs w:val="20"/>
                <w:lang w:val="pt-BR"/>
              </w:rPr>
            </w:pPr>
            <w:r w:rsidRPr="00FD7B48">
              <w:rPr>
                <w:sz w:val="20"/>
                <w:szCs w:val="20"/>
                <w:lang w:val="pt-BR"/>
              </w:rPr>
              <w:t>Outros Adiantamentos Concedidos a Pessoal</w:t>
            </w:r>
          </w:p>
        </w:tc>
        <w:tc>
          <w:tcPr>
            <w:tcW w:w="1843" w:type="dxa"/>
            <w:tcBorders>
              <w:bottom w:val="single" w:sz="6" w:space="0" w:color="auto"/>
            </w:tcBorders>
            <w:vAlign w:val="center"/>
          </w:tcPr>
          <w:p w:rsidR="00650174" w:rsidRPr="00FD7B48" w:rsidRDefault="00F70FBA" w:rsidP="003B1EFC">
            <w:pPr>
              <w:jc w:val="right"/>
            </w:pPr>
            <w:r>
              <w:t>13</w:t>
            </w:r>
          </w:p>
        </w:tc>
        <w:tc>
          <w:tcPr>
            <w:tcW w:w="278" w:type="dxa"/>
            <w:vAlign w:val="bottom"/>
          </w:tcPr>
          <w:p w:rsidR="00650174" w:rsidRPr="00FD7B48" w:rsidRDefault="00650174" w:rsidP="00E44829">
            <w:pPr>
              <w:pStyle w:val="NormalWeb"/>
              <w:widowControl w:val="0"/>
              <w:spacing w:before="0" w:after="0" w:line="230" w:lineRule="auto"/>
              <w:rPr>
                <w:sz w:val="20"/>
                <w:szCs w:val="20"/>
                <w:lang w:val="pt-BR"/>
              </w:rPr>
            </w:pPr>
          </w:p>
        </w:tc>
        <w:tc>
          <w:tcPr>
            <w:tcW w:w="1565" w:type="dxa"/>
            <w:tcBorders>
              <w:bottom w:val="single" w:sz="6" w:space="0" w:color="auto"/>
            </w:tcBorders>
            <w:noWrap/>
            <w:tcMar>
              <w:top w:w="0" w:type="dxa"/>
              <w:left w:w="0" w:type="dxa"/>
              <w:bottom w:w="0" w:type="dxa"/>
              <w:right w:w="0" w:type="dxa"/>
            </w:tcMar>
            <w:vAlign w:val="center"/>
          </w:tcPr>
          <w:p w:rsidR="00650174" w:rsidRPr="00FD7B48" w:rsidRDefault="00650174" w:rsidP="005155B8">
            <w:pPr>
              <w:jc w:val="right"/>
            </w:pPr>
            <w:r w:rsidRPr="00FD7B48">
              <w:t>1</w:t>
            </w:r>
            <w:r w:rsidR="005155B8">
              <w:t>4</w:t>
            </w:r>
          </w:p>
        </w:tc>
        <w:tc>
          <w:tcPr>
            <w:tcW w:w="20" w:type="dxa"/>
            <w:vAlign w:val="bottom"/>
          </w:tcPr>
          <w:p w:rsidR="00650174" w:rsidRPr="00FD7B48" w:rsidRDefault="00650174" w:rsidP="00E44829">
            <w:pPr>
              <w:pStyle w:val="NormalWeb"/>
              <w:widowControl w:val="0"/>
              <w:spacing w:before="0" w:after="0" w:line="230" w:lineRule="auto"/>
              <w:rPr>
                <w:sz w:val="20"/>
                <w:szCs w:val="20"/>
                <w:lang w:val="pt-BR"/>
              </w:rPr>
            </w:pPr>
          </w:p>
        </w:tc>
      </w:tr>
      <w:tr w:rsidR="00FD7B48" w:rsidRPr="00FD7B48" w:rsidTr="001F4559">
        <w:trPr>
          <w:trHeight w:val="227"/>
        </w:trPr>
        <w:tc>
          <w:tcPr>
            <w:tcW w:w="1388" w:type="dxa"/>
            <w:noWrap/>
            <w:tcMar>
              <w:top w:w="0" w:type="dxa"/>
              <w:left w:w="0" w:type="dxa"/>
              <w:bottom w:w="0" w:type="dxa"/>
              <w:right w:w="0" w:type="dxa"/>
            </w:tcMar>
            <w:vAlign w:val="bottom"/>
          </w:tcPr>
          <w:p w:rsidR="008D5A89" w:rsidRPr="00FD7B48" w:rsidRDefault="008D5A89" w:rsidP="00E44829">
            <w:pPr>
              <w:widowControl w:val="0"/>
              <w:spacing w:line="230" w:lineRule="auto"/>
            </w:pPr>
          </w:p>
        </w:tc>
        <w:tc>
          <w:tcPr>
            <w:tcW w:w="5133" w:type="dxa"/>
            <w:noWrap/>
            <w:tcMar>
              <w:top w:w="0" w:type="dxa"/>
              <w:left w:w="0" w:type="dxa"/>
              <w:bottom w:w="0" w:type="dxa"/>
              <w:right w:w="0" w:type="dxa"/>
            </w:tcMar>
            <w:vAlign w:val="bottom"/>
          </w:tcPr>
          <w:p w:rsidR="008D5A89" w:rsidRPr="00FD7B48" w:rsidRDefault="008D5A89" w:rsidP="005641A2">
            <w:pPr>
              <w:pStyle w:val="NormalWeb"/>
              <w:widowControl w:val="0"/>
              <w:spacing w:before="0" w:after="0" w:line="230" w:lineRule="auto"/>
              <w:rPr>
                <w:b/>
                <w:sz w:val="20"/>
                <w:szCs w:val="20"/>
                <w:lang w:val="pt-BR"/>
              </w:rPr>
            </w:pPr>
            <w:r w:rsidRPr="00FD7B48">
              <w:rPr>
                <w:sz w:val="20"/>
                <w:szCs w:val="20"/>
                <w:lang w:val="pt-BR"/>
              </w:rPr>
              <w:t xml:space="preserve"> </w:t>
            </w:r>
            <w:r w:rsidR="005641A2" w:rsidRPr="00FD7B48">
              <w:rPr>
                <w:b/>
                <w:sz w:val="20"/>
                <w:szCs w:val="20"/>
                <w:lang w:val="pt-BR"/>
              </w:rPr>
              <w:t>Saldo Contábil</w:t>
            </w:r>
          </w:p>
        </w:tc>
        <w:tc>
          <w:tcPr>
            <w:tcW w:w="1843" w:type="dxa"/>
            <w:tcBorders>
              <w:bottom w:val="double" w:sz="6" w:space="0" w:color="auto"/>
            </w:tcBorders>
            <w:vAlign w:val="bottom"/>
          </w:tcPr>
          <w:p w:rsidR="008D5A89" w:rsidRPr="00FD7B48" w:rsidRDefault="00F70FBA" w:rsidP="0079132D">
            <w:pPr>
              <w:jc w:val="right"/>
              <w:rPr>
                <w:b/>
              </w:rPr>
            </w:pPr>
            <w:r>
              <w:rPr>
                <w:b/>
                <w:bCs/>
              </w:rPr>
              <w:t>14.502</w:t>
            </w:r>
          </w:p>
        </w:tc>
        <w:tc>
          <w:tcPr>
            <w:tcW w:w="278" w:type="dxa"/>
            <w:vAlign w:val="bottom"/>
          </w:tcPr>
          <w:p w:rsidR="008D5A89" w:rsidRPr="00FD7B48" w:rsidRDefault="008D5A89" w:rsidP="00E44829">
            <w:pPr>
              <w:pStyle w:val="NormalWeb"/>
              <w:widowControl w:val="0"/>
              <w:spacing w:before="0" w:after="0" w:line="230" w:lineRule="auto"/>
              <w:rPr>
                <w:b/>
                <w:sz w:val="20"/>
                <w:szCs w:val="20"/>
                <w:lang w:val="pt-BR"/>
              </w:rPr>
            </w:pPr>
          </w:p>
        </w:tc>
        <w:tc>
          <w:tcPr>
            <w:tcW w:w="1565" w:type="dxa"/>
            <w:tcBorders>
              <w:bottom w:val="double" w:sz="6" w:space="0" w:color="auto"/>
            </w:tcBorders>
            <w:noWrap/>
            <w:tcMar>
              <w:top w:w="0" w:type="dxa"/>
              <w:left w:w="0" w:type="dxa"/>
              <w:bottom w:w="0" w:type="dxa"/>
              <w:right w:w="0" w:type="dxa"/>
            </w:tcMar>
            <w:vAlign w:val="bottom"/>
          </w:tcPr>
          <w:p w:rsidR="008D5A89" w:rsidRPr="00FD7B48" w:rsidRDefault="0079132D" w:rsidP="005155B8">
            <w:pPr>
              <w:jc w:val="right"/>
              <w:rPr>
                <w:b/>
              </w:rPr>
            </w:pPr>
            <w:r w:rsidRPr="00FD7B48">
              <w:rPr>
                <w:b/>
                <w:bCs/>
              </w:rPr>
              <w:t>11.</w:t>
            </w:r>
            <w:r w:rsidR="005155B8">
              <w:rPr>
                <w:b/>
                <w:bCs/>
              </w:rPr>
              <w:t>572</w:t>
            </w:r>
          </w:p>
        </w:tc>
        <w:tc>
          <w:tcPr>
            <w:tcW w:w="20" w:type="dxa"/>
            <w:vAlign w:val="bottom"/>
          </w:tcPr>
          <w:p w:rsidR="008D5A89" w:rsidRPr="00FD7B48" w:rsidRDefault="008D5A89" w:rsidP="00E44829">
            <w:pPr>
              <w:pStyle w:val="NormalWeb"/>
              <w:widowControl w:val="0"/>
              <w:spacing w:before="0" w:after="0" w:line="230" w:lineRule="auto"/>
              <w:rPr>
                <w:sz w:val="20"/>
                <w:szCs w:val="20"/>
                <w:lang w:val="pt-BR"/>
              </w:rPr>
            </w:pPr>
          </w:p>
        </w:tc>
      </w:tr>
    </w:tbl>
    <w:p w:rsidR="00E96EF1" w:rsidRPr="00FD7B48" w:rsidRDefault="00E96EF1" w:rsidP="00B20F98">
      <w:pPr>
        <w:tabs>
          <w:tab w:val="left" w:pos="993"/>
        </w:tabs>
        <w:jc w:val="both"/>
      </w:pPr>
    </w:p>
    <w:p w:rsidR="00B20F98" w:rsidRPr="00FD7B48" w:rsidRDefault="00B20F98" w:rsidP="00B20F98">
      <w:pPr>
        <w:tabs>
          <w:tab w:val="left" w:pos="993"/>
        </w:tabs>
        <w:jc w:val="both"/>
        <w:rPr>
          <w:b/>
        </w:rPr>
      </w:pPr>
      <w:r w:rsidRPr="00FD7B48">
        <w:t>Por ocasião do pagamento das férias de pessoal</w:t>
      </w:r>
      <w:r w:rsidR="00250EE3">
        <w:t xml:space="preserve">, é norma da Instituição </w:t>
      </w:r>
      <w:r w:rsidRPr="00FD7B48">
        <w:t xml:space="preserve">adiantar 50% do </w:t>
      </w:r>
      <w:r w:rsidR="00886BBB" w:rsidRPr="00FD7B48">
        <w:t xml:space="preserve">décimo terceiro salário </w:t>
      </w:r>
      <w:r w:rsidRPr="00FD7B48">
        <w:t xml:space="preserve">do exercício de competência. O </w:t>
      </w:r>
      <w:r w:rsidR="00886BBB" w:rsidRPr="00FD7B48">
        <w:t>saldo</w:t>
      </w:r>
      <w:r w:rsidRPr="00FD7B48">
        <w:t xml:space="preserve"> do adiantamento de </w:t>
      </w:r>
      <w:r w:rsidR="00886BBB" w:rsidRPr="00FD7B48">
        <w:t>décimo terceiro</w:t>
      </w:r>
      <w:r w:rsidRPr="00FD7B48">
        <w:t xml:space="preserve"> salário refere-se </w:t>
      </w:r>
      <w:r w:rsidR="00886BBB" w:rsidRPr="00FD7B48">
        <w:t>ao exercício de 201</w:t>
      </w:r>
      <w:r w:rsidR="008602D8">
        <w:t>7</w:t>
      </w:r>
      <w:r w:rsidR="00886BBB" w:rsidRPr="00FD7B48">
        <w:t xml:space="preserve"> enquanto que o saldo de férias refere-se ao pagamento em </w:t>
      </w:r>
      <w:r w:rsidR="003612EF" w:rsidRPr="00FD7B48">
        <w:t>dezembro</w:t>
      </w:r>
      <w:r w:rsidR="00AF2D0D" w:rsidRPr="00FD7B48">
        <w:t xml:space="preserve"> relativo à competência</w:t>
      </w:r>
      <w:r w:rsidR="00CB5C00" w:rsidRPr="00FD7B48">
        <w:t xml:space="preserve"> </w:t>
      </w:r>
      <w:r w:rsidR="003612EF" w:rsidRPr="00FD7B48">
        <w:t xml:space="preserve">janeiro </w:t>
      </w:r>
      <w:r w:rsidRPr="00FD7B48">
        <w:t>de 201</w:t>
      </w:r>
      <w:r w:rsidR="008602D8">
        <w:t>8</w:t>
      </w:r>
      <w:r w:rsidRPr="00FD7B48">
        <w:t>.</w:t>
      </w:r>
    </w:p>
    <w:p w:rsidR="00B20F98" w:rsidRDefault="00B20F98" w:rsidP="00B20F98">
      <w:pPr>
        <w:tabs>
          <w:tab w:val="left" w:pos="993"/>
        </w:tabs>
        <w:jc w:val="both"/>
        <w:rPr>
          <w:b/>
        </w:rPr>
      </w:pPr>
    </w:p>
    <w:p w:rsidR="00D82176" w:rsidRPr="00FD7B48" w:rsidRDefault="00D82176" w:rsidP="00B20F98">
      <w:pPr>
        <w:tabs>
          <w:tab w:val="left" w:pos="993"/>
        </w:tabs>
        <w:jc w:val="both"/>
        <w:rPr>
          <w:b/>
        </w:rPr>
      </w:pPr>
    </w:p>
    <w:p w:rsidR="00E96EF1" w:rsidRPr="008F01DF" w:rsidRDefault="00E96EF1" w:rsidP="00F27C83">
      <w:pPr>
        <w:pStyle w:val="Ttulo"/>
        <w:outlineLvl w:val="0"/>
      </w:pPr>
      <w:bookmarkStart w:id="15" w:name="_Ref457927938"/>
      <w:bookmarkStart w:id="16" w:name="_Toc512497271"/>
      <w:r w:rsidRPr="008F01DF">
        <w:t xml:space="preserve">Estoques </w:t>
      </w:r>
      <w:r w:rsidR="002010E3" w:rsidRPr="008F01DF">
        <w:t>de Materiais</w:t>
      </w:r>
      <w:r w:rsidRPr="008F01DF">
        <w:t xml:space="preserve"> de Consumo</w:t>
      </w:r>
      <w:bookmarkEnd w:id="15"/>
      <w:bookmarkEnd w:id="16"/>
      <w:r w:rsidRPr="008F01DF">
        <w:t xml:space="preserve">                     </w:t>
      </w:r>
    </w:p>
    <w:tbl>
      <w:tblPr>
        <w:tblW w:w="4808" w:type="pct"/>
        <w:tblCellMar>
          <w:left w:w="70" w:type="dxa"/>
          <w:right w:w="70" w:type="dxa"/>
        </w:tblCellMar>
        <w:tblLook w:val="04A0" w:firstRow="1" w:lastRow="0" w:firstColumn="1" w:lastColumn="0" w:noHBand="0" w:noVBand="1"/>
      </w:tblPr>
      <w:tblGrid>
        <w:gridCol w:w="5175"/>
        <w:gridCol w:w="1844"/>
        <w:gridCol w:w="269"/>
        <w:gridCol w:w="1570"/>
      </w:tblGrid>
      <w:tr w:rsidR="008F01DF" w:rsidRPr="008F01DF" w:rsidTr="00DF5430">
        <w:trPr>
          <w:trHeight w:val="20"/>
        </w:trPr>
        <w:tc>
          <w:tcPr>
            <w:tcW w:w="2921" w:type="pct"/>
            <w:tcBorders>
              <w:top w:val="nil"/>
              <w:left w:val="nil"/>
              <w:bottom w:val="nil"/>
              <w:right w:val="nil"/>
            </w:tcBorders>
            <w:shd w:val="clear" w:color="000000" w:fill="FFFFFF"/>
            <w:noWrap/>
            <w:vAlign w:val="center"/>
            <w:hideMark/>
          </w:tcPr>
          <w:p w:rsidR="008F01DF" w:rsidRPr="008F01DF" w:rsidRDefault="008F01DF" w:rsidP="008F01DF">
            <w:pPr>
              <w:rPr>
                <w:color w:val="000000"/>
              </w:rPr>
            </w:pPr>
          </w:p>
        </w:tc>
        <w:tc>
          <w:tcPr>
            <w:tcW w:w="1041" w:type="pct"/>
            <w:tcBorders>
              <w:top w:val="nil"/>
              <w:left w:val="nil"/>
              <w:bottom w:val="single" w:sz="8" w:space="0" w:color="auto"/>
              <w:right w:val="nil"/>
            </w:tcBorders>
            <w:shd w:val="clear" w:color="000000" w:fill="FFFFFF"/>
            <w:vAlign w:val="center"/>
            <w:hideMark/>
          </w:tcPr>
          <w:p w:rsidR="008F01DF" w:rsidRPr="008F01DF" w:rsidRDefault="008F01DF" w:rsidP="008F01DF">
            <w:pPr>
              <w:jc w:val="right"/>
              <w:rPr>
                <w:b/>
                <w:bCs/>
                <w:color w:val="000000"/>
              </w:rPr>
            </w:pPr>
            <w:r w:rsidRPr="008F01DF">
              <w:rPr>
                <w:b/>
                <w:bCs/>
                <w:color w:val="000000"/>
              </w:rPr>
              <w:t>31/12/2017</w:t>
            </w:r>
          </w:p>
        </w:tc>
        <w:tc>
          <w:tcPr>
            <w:tcW w:w="152" w:type="pct"/>
            <w:tcBorders>
              <w:top w:val="nil"/>
              <w:left w:val="nil"/>
              <w:bottom w:val="nil"/>
              <w:right w:val="nil"/>
            </w:tcBorders>
            <w:shd w:val="clear" w:color="000000" w:fill="FFFFFF"/>
            <w:vAlign w:val="center"/>
            <w:hideMark/>
          </w:tcPr>
          <w:p w:rsidR="008F01DF" w:rsidRPr="008F01DF" w:rsidRDefault="008F01DF" w:rsidP="008F01DF">
            <w:pPr>
              <w:jc w:val="right"/>
              <w:rPr>
                <w:b/>
                <w:bCs/>
                <w:color w:val="000000"/>
              </w:rPr>
            </w:pPr>
            <w:r w:rsidRPr="008F01DF">
              <w:rPr>
                <w:b/>
                <w:bCs/>
                <w:color w:val="000000"/>
              </w:rPr>
              <w:t> </w:t>
            </w:r>
          </w:p>
        </w:tc>
        <w:tc>
          <w:tcPr>
            <w:tcW w:w="886" w:type="pct"/>
            <w:tcBorders>
              <w:top w:val="nil"/>
              <w:left w:val="nil"/>
              <w:bottom w:val="single" w:sz="8" w:space="0" w:color="auto"/>
              <w:right w:val="nil"/>
            </w:tcBorders>
            <w:shd w:val="clear" w:color="000000" w:fill="FFFFFF"/>
            <w:vAlign w:val="center"/>
            <w:hideMark/>
          </w:tcPr>
          <w:p w:rsidR="008F01DF" w:rsidRPr="008F01DF" w:rsidRDefault="008F01DF" w:rsidP="008F01DF">
            <w:pPr>
              <w:jc w:val="right"/>
              <w:rPr>
                <w:b/>
                <w:bCs/>
                <w:color w:val="000000"/>
              </w:rPr>
            </w:pPr>
            <w:r w:rsidRPr="008F01DF">
              <w:rPr>
                <w:b/>
                <w:bCs/>
                <w:color w:val="000000"/>
              </w:rPr>
              <w:t>31/12/2016</w:t>
            </w:r>
          </w:p>
        </w:tc>
      </w:tr>
      <w:tr w:rsidR="008F01DF" w:rsidRPr="008F01DF" w:rsidTr="00DF5430">
        <w:trPr>
          <w:trHeight w:val="20"/>
        </w:trPr>
        <w:tc>
          <w:tcPr>
            <w:tcW w:w="2921" w:type="pct"/>
            <w:tcBorders>
              <w:top w:val="nil"/>
              <w:left w:val="nil"/>
              <w:bottom w:val="nil"/>
              <w:right w:val="nil"/>
            </w:tcBorders>
            <w:shd w:val="clear" w:color="000000" w:fill="FFFFFF"/>
            <w:noWrap/>
            <w:vAlign w:val="center"/>
            <w:hideMark/>
          </w:tcPr>
          <w:p w:rsidR="008F01DF" w:rsidRPr="008F01DF" w:rsidRDefault="008F01DF" w:rsidP="008F01DF">
            <w:pPr>
              <w:rPr>
                <w:color w:val="000000"/>
              </w:rPr>
            </w:pPr>
            <w:r w:rsidRPr="008F01DF">
              <w:rPr>
                <w:color w:val="000000"/>
              </w:rPr>
              <w:t>Medicamentos</w:t>
            </w:r>
          </w:p>
        </w:tc>
        <w:tc>
          <w:tcPr>
            <w:tcW w:w="1041" w:type="pct"/>
            <w:tcBorders>
              <w:top w:val="nil"/>
              <w:left w:val="nil"/>
              <w:bottom w:val="nil"/>
              <w:right w:val="nil"/>
            </w:tcBorders>
            <w:shd w:val="clear" w:color="000000" w:fill="FFFFFF"/>
            <w:vAlign w:val="center"/>
            <w:hideMark/>
          </w:tcPr>
          <w:p w:rsidR="008F01DF" w:rsidRPr="008F01DF" w:rsidRDefault="008F01DF" w:rsidP="001F4559">
            <w:pPr>
              <w:jc w:val="right"/>
              <w:rPr>
                <w:color w:val="000000"/>
              </w:rPr>
            </w:pPr>
            <w:r w:rsidRPr="008F01DF">
              <w:rPr>
                <w:color w:val="000000"/>
              </w:rPr>
              <w:t>6.95</w:t>
            </w:r>
            <w:r w:rsidR="001F4559">
              <w:rPr>
                <w:color w:val="000000"/>
              </w:rPr>
              <w:t>1</w:t>
            </w:r>
          </w:p>
        </w:tc>
        <w:tc>
          <w:tcPr>
            <w:tcW w:w="152"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 </w:t>
            </w:r>
          </w:p>
        </w:tc>
        <w:tc>
          <w:tcPr>
            <w:tcW w:w="886"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6.367</w:t>
            </w:r>
          </w:p>
        </w:tc>
      </w:tr>
      <w:tr w:rsidR="008F01DF" w:rsidRPr="008F01DF" w:rsidTr="00DF5430">
        <w:trPr>
          <w:trHeight w:val="20"/>
        </w:trPr>
        <w:tc>
          <w:tcPr>
            <w:tcW w:w="2921" w:type="pct"/>
            <w:tcBorders>
              <w:top w:val="nil"/>
              <w:left w:val="nil"/>
              <w:bottom w:val="nil"/>
              <w:right w:val="nil"/>
            </w:tcBorders>
            <w:shd w:val="clear" w:color="000000" w:fill="FFFFFF"/>
            <w:noWrap/>
            <w:vAlign w:val="center"/>
            <w:hideMark/>
          </w:tcPr>
          <w:p w:rsidR="008F01DF" w:rsidRPr="008F01DF" w:rsidRDefault="008F01DF" w:rsidP="008F01DF">
            <w:pPr>
              <w:rPr>
                <w:color w:val="000000"/>
              </w:rPr>
            </w:pPr>
            <w:r w:rsidRPr="008F01DF">
              <w:rPr>
                <w:color w:val="000000"/>
              </w:rPr>
              <w:t>Material Médico, Hospitalar e Laboratorial</w:t>
            </w:r>
          </w:p>
        </w:tc>
        <w:tc>
          <w:tcPr>
            <w:tcW w:w="1041" w:type="pct"/>
            <w:tcBorders>
              <w:top w:val="nil"/>
              <w:left w:val="nil"/>
              <w:bottom w:val="nil"/>
              <w:right w:val="nil"/>
            </w:tcBorders>
            <w:shd w:val="clear" w:color="000000" w:fill="FFFFFF"/>
            <w:vAlign w:val="center"/>
            <w:hideMark/>
          </w:tcPr>
          <w:p w:rsidR="008F01DF" w:rsidRPr="008F01DF" w:rsidRDefault="008F01DF" w:rsidP="001F4559">
            <w:pPr>
              <w:jc w:val="right"/>
              <w:rPr>
                <w:color w:val="000000"/>
              </w:rPr>
            </w:pPr>
            <w:r w:rsidRPr="008F01DF">
              <w:rPr>
                <w:color w:val="000000"/>
              </w:rPr>
              <w:t>7.47</w:t>
            </w:r>
            <w:r w:rsidR="001F4559">
              <w:rPr>
                <w:color w:val="000000"/>
              </w:rPr>
              <w:t>2</w:t>
            </w:r>
          </w:p>
        </w:tc>
        <w:tc>
          <w:tcPr>
            <w:tcW w:w="152"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 </w:t>
            </w:r>
          </w:p>
        </w:tc>
        <w:tc>
          <w:tcPr>
            <w:tcW w:w="886"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9.722</w:t>
            </w:r>
          </w:p>
        </w:tc>
      </w:tr>
      <w:tr w:rsidR="008F01DF" w:rsidRPr="008F01DF" w:rsidTr="00DF5430">
        <w:trPr>
          <w:trHeight w:val="20"/>
        </w:trPr>
        <w:tc>
          <w:tcPr>
            <w:tcW w:w="2921" w:type="pct"/>
            <w:tcBorders>
              <w:top w:val="nil"/>
              <w:left w:val="nil"/>
              <w:bottom w:val="nil"/>
              <w:right w:val="nil"/>
            </w:tcBorders>
            <w:shd w:val="clear" w:color="000000" w:fill="FFFFFF"/>
            <w:noWrap/>
            <w:vAlign w:val="center"/>
            <w:hideMark/>
          </w:tcPr>
          <w:p w:rsidR="008F01DF" w:rsidRPr="008F01DF" w:rsidRDefault="008F01DF" w:rsidP="008F01DF">
            <w:pPr>
              <w:rPr>
                <w:color w:val="000000"/>
              </w:rPr>
            </w:pPr>
            <w:r w:rsidRPr="008F01DF">
              <w:rPr>
                <w:color w:val="000000"/>
              </w:rPr>
              <w:t>Material de Órtese e Prótese</w:t>
            </w:r>
          </w:p>
        </w:tc>
        <w:tc>
          <w:tcPr>
            <w:tcW w:w="1041"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1.275</w:t>
            </w:r>
          </w:p>
        </w:tc>
        <w:tc>
          <w:tcPr>
            <w:tcW w:w="152"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 </w:t>
            </w:r>
          </w:p>
        </w:tc>
        <w:tc>
          <w:tcPr>
            <w:tcW w:w="886"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1.170</w:t>
            </w:r>
          </w:p>
        </w:tc>
      </w:tr>
      <w:tr w:rsidR="008F01DF" w:rsidRPr="008F01DF" w:rsidTr="00DF5430">
        <w:trPr>
          <w:trHeight w:val="20"/>
        </w:trPr>
        <w:tc>
          <w:tcPr>
            <w:tcW w:w="2921" w:type="pct"/>
            <w:tcBorders>
              <w:top w:val="nil"/>
              <w:left w:val="nil"/>
              <w:bottom w:val="nil"/>
              <w:right w:val="nil"/>
            </w:tcBorders>
            <w:shd w:val="clear" w:color="000000" w:fill="FFFFFF"/>
            <w:noWrap/>
            <w:vAlign w:val="center"/>
            <w:hideMark/>
          </w:tcPr>
          <w:p w:rsidR="008F01DF" w:rsidRPr="008F01DF" w:rsidRDefault="008F01DF" w:rsidP="008F01DF">
            <w:pPr>
              <w:rPr>
                <w:color w:val="000000"/>
              </w:rPr>
            </w:pPr>
            <w:r w:rsidRPr="008F01DF">
              <w:rPr>
                <w:color w:val="000000"/>
              </w:rPr>
              <w:t>Materiais e Utensílios</w:t>
            </w:r>
          </w:p>
        </w:tc>
        <w:tc>
          <w:tcPr>
            <w:tcW w:w="1041"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454</w:t>
            </w:r>
          </w:p>
        </w:tc>
        <w:tc>
          <w:tcPr>
            <w:tcW w:w="152"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 </w:t>
            </w:r>
          </w:p>
        </w:tc>
        <w:tc>
          <w:tcPr>
            <w:tcW w:w="886"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397</w:t>
            </w:r>
          </w:p>
        </w:tc>
      </w:tr>
      <w:tr w:rsidR="008F01DF" w:rsidRPr="008F01DF" w:rsidTr="00DF5430">
        <w:trPr>
          <w:trHeight w:val="20"/>
        </w:trPr>
        <w:tc>
          <w:tcPr>
            <w:tcW w:w="2921" w:type="pct"/>
            <w:tcBorders>
              <w:top w:val="nil"/>
              <w:left w:val="nil"/>
              <w:bottom w:val="nil"/>
              <w:right w:val="nil"/>
            </w:tcBorders>
            <w:shd w:val="clear" w:color="000000" w:fill="FFFFFF"/>
            <w:noWrap/>
            <w:vAlign w:val="center"/>
            <w:hideMark/>
          </w:tcPr>
          <w:p w:rsidR="008F01DF" w:rsidRPr="008F01DF" w:rsidRDefault="008F01DF" w:rsidP="008F01DF">
            <w:pPr>
              <w:rPr>
                <w:color w:val="000000"/>
              </w:rPr>
            </w:pPr>
            <w:r w:rsidRPr="008F01DF">
              <w:rPr>
                <w:color w:val="000000"/>
              </w:rPr>
              <w:t>Rouparia (uniformes)</w:t>
            </w:r>
          </w:p>
        </w:tc>
        <w:tc>
          <w:tcPr>
            <w:tcW w:w="1041"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1.217</w:t>
            </w:r>
          </w:p>
        </w:tc>
        <w:tc>
          <w:tcPr>
            <w:tcW w:w="152"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 </w:t>
            </w:r>
          </w:p>
        </w:tc>
        <w:tc>
          <w:tcPr>
            <w:tcW w:w="886"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1.110</w:t>
            </w:r>
          </w:p>
        </w:tc>
      </w:tr>
      <w:tr w:rsidR="008F01DF" w:rsidRPr="008F01DF" w:rsidTr="00DF5430">
        <w:trPr>
          <w:trHeight w:val="20"/>
        </w:trPr>
        <w:tc>
          <w:tcPr>
            <w:tcW w:w="2921" w:type="pct"/>
            <w:tcBorders>
              <w:top w:val="nil"/>
              <w:left w:val="nil"/>
              <w:bottom w:val="nil"/>
              <w:right w:val="nil"/>
            </w:tcBorders>
            <w:shd w:val="clear" w:color="000000" w:fill="FFFFFF"/>
            <w:noWrap/>
            <w:vAlign w:val="center"/>
            <w:hideMark/>
          </w:tcPr>
          <w:p w:rsidR="008F01DF" w:rsidRPr="008F01DF" w:rsidRDefault="008F01DF" w:rsidP="008F01DF">
            <w:pPr>
              <w:rPr>
                <w:color w:val="000000"/>
              </w:rPr>
            </w:pPr>
            <w:r w:rsidRPr="008F01DF">
              <w:rPr>
                <w:color w:val="000000"/>
              </w:rPr>
              <w:t>Higiene, Limpeza, Segurança, Proteção</w:t>
            </w:r>
          </w:p>
        </w:tc>
        <w:tc>
          <w:tcPr>
            <w:tcW w:w="1041"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336</w:t>
            </w:r>
          </w:p>
        </w:tc>
        <w:tc>
          <w:tcPr>
            <w:tcW w:w="152"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 </w:t>
            </w:r>
          </w:p>
        </w:tc>
        <w:tc>
          <w:tcPr>
            <w:tcW w:w="886"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408</w:t>
            </w:r>
          </w:p>
        </w:tc>
      </w:tr>
      <w:tr w:rsidR="008F01DF" w:rsidRPr="008F01DF" w:rsidTr="00DF5430">
        <w:trPr>
          <w:trHeight w:val="20"/>
        </w:trPr>
        <w:tc>
          <w:tcPr>
            <w:tcW w:w="2921" w:type="pct"/>
            <w:tcBorders>
              <w:top w:val="nil"/>
              <w:left w:val="nil"/>
              <w:bottom w:val="nil"/>
              <w:right w:val="nil"/>
            </w:tcBorders>
            <w:shd w:val="clear" w:color="000000" w:fill="FFFFFF"/>
            <w:noWrap/>
            <w:vAlign w:val="center"/>
            <w:hideMark/>
          </w:tcPr>
          <w:p w:rsidR="008F01DF" w:rsidRPr="008F01DF" w:rsidRDefault="008F01DF" w:rsidP="008F01DF">
            <w:pPr>
              <w:rPr>
                <w:color w:val="000000"/>
              </w:rPr>
            </w:pPr>
            <w:r w:rsidRPr="008F01DF">
              <w:rPr>
                <w:color w:val="000000"/>
              </w:rPr>
              <w:t>Material Expediente/Informática/Gráfica</w:t>
            </w:r>
          </w:p>
        </w:tc>
        <w:tc>
          <w:tcPr>
            <w:tcW w:w="1041"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404</w:t>
            </w:r>
          </w:p>
        </w:tc>
        <w:tc>
          <w:tcPr>
            <w:tcW w:w="152"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 </w:t>
            </w:r>
          </w:p>
        </w:tc>
        <w:tc>
          <w:tcPr>
            <w:tcW w:w="886"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511</w:t>
            </w:r>
          </w:p>
        </w:tc>
      </w:tr>
      <w:tr w:rsidR="008F01DF" w:rsidRPr="008F01DF" w:rsidTr="00DF5430">
        <w:trPr>
          <w:trHeight w:val="20"/>
        </w:trPr>
        <w:tc>
          <w:tcPr>
            <w:tcW w:w="2921" w:type="pct"/>
            <w:tcBorders>
              <w:top w:val="nil"/>
              <w:left w:val="nil"/>
              <w:bottom w:val="nil"/>
              <w:right w:val="nil"/>
            </w:tcBorders>
            <w:shd w:val="clear" w:color="000000" w:fill="FFFFFF"/>
            <w:noWrap/>
            <w:vAlign w:val="center"/>
            <w:hideMark/>
          </w:tcPr>
          <w:p w:rsidR="008F01DF" w:rsidRPr="008F01DF" w:rsidRDefault="008F01DF" w:rsidP="008F01DF">
            <w:pPr>
              <w:rPr>
                <w:color w:val="000000"/>
              </w:rPr>
            </w:pPr>
            <w:r w:rsidRPr="008F01DF">
              <w:rPr>
                <w:color w:val="000000"/>
              </w:rPr>
              <w:t>Combustíveis, Lubrificantes, Gases</w:t>
            </w:r>
          </w:p>
        </w:tc>
        <w:tc>
          <w:tcPr>
            <w:tcW w:w="1041"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71</w:t>
            </w:r>
          </w:p>
        </w:tc>
        <w:tc>
          <w:tcPr>
            <w:tcW w:w="152"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 </w:t>
            </w:r>
          </w:p>
        </w:tc>
        <w:tc>
          <w:tcPr>
            <w:tcW w:w="886" w:type="pct"/>
            <w:tcBorders>
              <w:top w:val="nil"/>
              <w:left w:val="nil"/>
              <w:bottom w:val="nil"/>
              <w:right w:val="nil"/>
            </w:tcBorders>
            <w:shd w:val="clear" w:color="000000" w:fill="FFFFFF"/>
            <w:vAlign w:val="center"/>
            <w:hideMark/>
          </w:tcPr>
          <w:p w:rsidR="008F01DF" w:rsidRPr="008F01DF" w:rsidRDefault="008F01DF" w:rsidP="008F01DF">
            <w:pPr>
              <w:jc w:val="right"/>
              <w:rPr>
                <w:color w:val="000000"/>
              </w:rPr>
            </w:pPr>
            <w:r w:rsidRPr="008F01DF">
              <w:rPr>
                <w:color w:val="000000"/>
              </w:rPr>
              <w:t>74</w:t>
            </w:r>
          </w:p>
        </w:tc>
      </w:tr>
      <w:tr w:rsidR="008F01DF" w:rsidRPr="008F01DF" w:rsidTr="00DF5430">
        <w:trPr>
          <w:trHeight w:val="20"/>
        </w:trPr>
        <w:tc>
          <w:tcPr>
            <w:tcW w:w="2921" w:type="pct"/>
            <w:tcBorders>
              <w:top w:val="nil"/>
              <w:left w:val="nil"/>
              <w:bottom w:val="nil"/>
              <w:right w:val="nil"/>
            </w:tcBorders>
            <w:shd w:val="clear" w:color="000000" w:fill="FFFFFF"/>
            <w:noWrap/>
            <w:vAlign w:val="center"/>
            <w:hideMark/>
          </w:tcPr>
          <w:p w:rsidR="008F01DF" w:rsidRPr="008F01DF" w:rsidRDefault="008F01DF" w:rsidP="008F01DF">
            <w:pPr>
              <w:rPr>
                <w:color w:val="000000"/>
              </w:rPr>
            </w:pPr>
            <w:r w:rsidRPr="008F01DF">
              <w:rPr>
                <w:color w:val="000000"/>
              </w:rPr>
              <w:t>Materiais Engenharia/Ferramentas/Elétrico/Predial</w:t>
            </w:r>
          </w:p>
        </w:tc>
        <w:tc>
          <w:tcPr>
            <w:tcW w:w="1041" w:type="pct"/>
            <w:tcBorders>
              <w:top w:val="nil"/>
              <w:left w:val="nil"/>
              <w:bottom w:val="single" w:sz="8" w:space="0" w:color="auto"/>
              <w:right w:val="nil"/>
            </w:tcBorders>
            <w:shd w:val="clear" w:color="000000" w:fill="FFFFFF"/>
            <w:noWrap/>
            <w:vAlign w:val="center"/>
            <w:hideMark/>
          </w:tcPr>
          <w:p w:rsidR="008F01DF" w:rsidRPr="008F01DF" w:rsidRDefault="008F01DF" w:rsidP="008F01DF">
            <w:pPr>
              <w:jc w:val="right"/>
              <w:rPr>
                <w:color w:val="000000"/>
              </w:rPr>
            </w:pPr>
            <w:r w:rsidRPr="008F01DF">
              <w:rPr>
                <w:color w:val="000000"/>
              </w:rPr>
              <w:t>2.144</w:t>
            </w:r>
          </w:p>
        </w:tc>
        <w:tc>
          <w:tcPr>
            <w:tcW w:w="152" w:type="pct"/>
            <w:tcBorders>
              <w:top w:val="nil"/>
              <w:left w:val="nil"/>
              <w:bottom w:val="nil"/>
              <w:right w:val="nil"/>
            </w:tcBorders>
            <w:shd w:val="clear" w:color="000000" w:fill="FFFFFF"/>
            <w:noWrap/>
            <w:vAlign w:val="center"/>
            <w:hideMark/>
          </w:tcPr>
          <w:p w:rsidR="008F01DF" w:rsidRPr="008F01DF" w:rsidRDefault="008F01DF" w:rsidP="008F01DF">
            <w:pPr>
              <w:jc w:val="right"/>
              <w:rPr>
                <w:color w:val="000000"/>
              </w:rPr>
            </w:pPr>
            <w:r w:rsidRPr="008F01DF">
              <w:rPr>
                <w:color w:val="000000"/>
              </w:rPr>
              <w:t> </w:t>
            </w:r>
          </w:p>
        </w:tc>
        <w:tc>
          <w:tcPr>
            <w:tcW w:w="886" w:type="pct"/>
            <w:tcBorders>
              <w:top w:val="nil"/>
              <w:left w:val="nil"/>
              <w:bottom w:val="single" w:sz="8" w:space="0" w:color="auto"/>
              <w:right w:val="nil"/>
            </w:tcBorders>
            <w:shd w:val="clear" w:color="000000" w:fill="FFFFFF"/>
            <w:noWrap/>
            <w:vAlign w:val="center"/>
            <w:hideMark/>
          </w:tcPr>
          <w:p w:rsidR="008F01DF" w:rsidRPr="008F01DF" w:rsidRDefault="008F01DF" w:rsidP="008F01DF">
            <w:pPr>
              <w:jc w:val="right"/>
              <w:rPr>
                <w:color w:val="000000"/>
              </w:rPr>
            </w:pPr>
            <w:r w:rsidRPr="008F01DF">
              <w:rPr>
                <w:color w:val="000000"/>
              </w:rPr>
              <w:t>2.074</w:t>
            </w:r>
          </w:p>
        </w:tc>
      </w:tr>
      <w:tr w:rsidR="008F01DF" w:rsidRPr="008F01DF" w:rsidTr="00DF5430">
        <w:trPr>
          <w:trHeight w:val="20"/>
        </w:trPr>
        <w:tc>
          <w:tcPr>
            <w:tcW w:w="2921" w:type="pct"/>
            <w:tcBorders>
              <w:top w:val="nil"/>
              <w:left w:val="nil"/>
              <w:bottom w:val="nil"/>
              <w:right w:val="nil"/>
            </w:tcBorders>
            <w:shd w:val="clear" w:color="000000" w:fill="FFFFFF"/>
            <w:noWrap/>
            <w:vAlign w:val="center"/>
            <w:hideMark/>
          </w:tcPr>
          <w:p w:rsidR="008F01DF" w:rsidRPr="008F01DF" w:rsidRDefault="008F01DF" w:rsidP="008F01DF">
            <w:pPr>
              <w:rPr>
                <w:b/>
                <w:bCs/>
                <w:color w:val="000000"/>
              </w:rPr>
            </w:pPr>
            <w:r w:rsidRPr="008F01DF">
              <w:rPr>
                <w:b/>
                <w:bCs/>
                <w:color w:val="000000"/>
              </w:rPr>
              <w:t>Saldo Contábil</w:t>
            </w:r>
          </w:p>
        </w:tc>
        <w:tc>
          <w:tcPr>
            <w:tcW w:w="1041" w:type="pct"/>
            <w:tcBorders>
              <w:top w:val="nil"/>
              <w:left w:val="nil"/>
              <w:bottom w:val="double" w:sz="6" w:space="0" w:color="auto"/>
              <w:right w:val="nil"/>
            </w:tcBorders>
            <w:shd w:val="clear" w:color="000000" w:fill="FFFFFF"/>
            <w:noWrap/>
            <w:vAlign w:val="center"/>
            <w:hideMark/>
          </w:tcPr>
          <w:p w:rsidR="008F01DF" w:rsidRPr="008F01DF" w:rsidRDefault="008F01DF" w:rsidP="008F01DF">
            <w:pPr>
              <w:jc w:val="right"/>
              <w:rPr>
                <w:b/>
                <w:bCs/>
                <w:color w:val="000000"/>
              </w:rPr>
            </w:pPr>
            <w:r w:rsidRPr="008F01DF">
              <w:rPr>
                <w:b/>
                <w:bCs/>
                <w:color w:val="000000"/>
              </w:rPr>
              <w:t>20.324</w:t>
            </w:r>
          </w:p>
        </w:tc>
        <w:tc>
          <w:tcPr>
            <w:tcW w:w="152" w:type="pct"/>
            <w:tcBorders>
              <w:top w:val="nil"/>
              <w:left w:val="nil"/>
              <w:bottom w:val="nil"/>
              <w:right w:val="nil"/>
            </w:tcBorders>
            <w:shd w:val="clear" w:color="000000" w:fill="FFFFFF"/>
            <w:noWrap/>
            <w:vAlign w:val="center"/>
            <w:hideMark/>
          </w:tcPr>
          <w:p w:rsidR="008F01DF" w:rsidRPr="008F01DF" w:rsidRDefault="008F01DF" w:rsidP="008F01DF">
            <w:pPr>
              <w:jc w:val="right"/>
              <w:rPr>
                <w:b/>
                <w:bCs/>
                <w:color w:val="000000"/>
              </w:rPr>
            </w:pPr>
            <w:r w:rsidRPr="008F01DF">
              <w:rPr>
                <w:b/>
                <w:bCs/>
                <w:color w:val="000000"/>
              </w:rPr>
              <w:t> </w:t>
            </w:r>
          </w:p>
        </w:tc>
        <w:tc>
          <w:tcPr>
            <w:tcW w:w="886" w:type="pct"/>
            <w:tcBorders>
              <w:top w:val="nil"/>
              <w:left w:val="nil"/>
              <w:bottom w:val="double" w:sz="6" w:space="0" w:color="auto"/>
              <w:right w:val="nil"/>
            </w:tcBorders>
            <w:shd w:val="clear" w:color="000000" w:fill="FFFFFF"/>
            <w:noWrap/>
            <w:vAlign w:val="center"/>
            <w:hideMark/>
          </w:tcPr>
          <w:p w:rsidR="008F01DF" w:rsidRPr="008F01DF" w:rsidRDefault="008F01DF" w:rsidP="008F01DF">
            <w:pPr>
              <w:jc w:val="right"/>
              <w:rPr>
                <w:b/>
                <w:bCs/>
                <w:color w:val="000000"/>
              </w:rPr>
            </w:pPr>
            <w:r w:rsidRPr="008F01DF">
              <w:rPr>
                <w:b/>
                <w:bCs/>
                <w:color w:val="000000"/>
              </w:rPr>
              <w:t>21.833</w:t>
            </w:r>
          </w:p>
        </w:tc>
      </w:tr>
    </w:tbl>
    <w:p w:rsidR="00093A03" w:rsidRDefault="00093A03" w:rsidP="008602D8">
      <w:pPr>
        <w:tabs>
          <w:tab w:val="left" w:pos="993"/>
        </w:tabs>
        <w:jc w:val="both"/>
      </w:pPr>
    </w:p>
    <w:p w:rsidR="008602D8" w:rsidRDefault="008602D8" w:rsidP="008602D8">
      <w:pPr>
        <w:tabs>
          <w:tab w:val="left" w:pos="993"/>
        </w:tabs>
        <w:jc w:val="both"/>
      </w:pPr>
      <w:r w:rsidRPr="00397F82">
        <w:lastRenderedPageBreak/>
        <w:t xml:space="preserve">Os estoques representam os materiais em almoxarifado a serem consumidos na prestação de serviços e no curso normal das atividades da Instituição. São avaliados pelo custo médio ponderado de aquisição e não excedem o </w:t>
      </w:r>
      <w:r w:rsidRPr="00503290">
        <w:t xml:space="preserve">valor de mercado. </w:t>
      </w:r>
    </w:p>
    <w:p w:rsidR="008602D8" w:rsidRDefault="008602D8">
      <w:bookmarkStart w:id="17" w:name="_Ref466465931"/>
      <w:bookmarkStart w:id="18" w:name="_Ref466472128"/>
    </w:p>
    <w:p w:rsidR="007A5571" w:rsidRDefault="007A5571"/>
    <w:p w:rsidR="00D92A4D" w:rsidRPr="00C26B67" w:rsidRDefault="00D92A4D" w:rsidP="00F27C83">
      <w:pPr>
        <w:pStyle w:val="Ttulo"/>
        <w:outlineLvl w:val="0"/>
      </w:pPr>
      <w:bookmarkStart w:id="19" w:name="_Ref476905400"/>
      <w:bookmarkStart w:id="20" w:name="_Toc512497272"/>
      <w:r w:rsidRPr="00C26B67">
        <w:t>Imobilizado</w:t>
      </w:r>
      <w:bookmarkEnd w:id="17"/>
      <w:bookmarkEnd w:id="18"/>
      <w:bookmarkEnd w:id="19"/>
      <w:bookmarkEnd w:id="20"/>
      <w:r w:rsidRPr="00C26B67">
        <w:t xml:space="preserve"> </w:t>
      </w:r>
    </w:p>
    <w:tbl>
      <w:tblPr>
        <w:tblW w:w="8888" w:type="dxa"/>
        <w:tblCellMar>
          <w:left w:w="70" w:type="dxa"/>
          <w:right w:w="70" w:type="dxa"/>
        </w:tblCellMar>
        <w:tblLook w:val="04A0" w:firstRow="1" w:lastRow="0" w:firstColumn="1" w:lastColumn="0" w:noHBand="0" w:noVBand="1"/>
      </w:tblPr>
      <w:tblGrid>
        <w:gridCol w:w="2160"/>
        <w:gridCol w:w="185"/>
        <w:gridCol w:w="760"/>
        <w:gridCol w:w="185"/>
        <w:gridCol w:w="725"/>
        <w:gridCol w:w="185"/>
        <w:gridCol w:w="1090"/>
        <w:gridCol w:w="185"/>
        <w:gridCol w:w="1050"/>
        <w:gridCol w:w="185"/>
        <w:gridCol w:w="961"/>
        <w:gridCol w:w="256"/>
        <w:gridCol w:w="961"/>
      </w:tblGrid>
      <w:tr w:rsidR="001F4559" w:rsidRPr="00D82176" w:rsidTr="00B85AF2">
        <w:trPr>
          <w:trHeight w:val="20"/>
        </w:trPr>
        <w:tc>
          <w:tcPr>
            <w:tcW w:w="2160" w:type="dxa"/>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760" w:type="dxa"/>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1090" w:type="dxa"/>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1050" w:type="dxa"/>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b/>
                <w:bCs/>
                <w:color w:val="000000"/>
                <w:sz w:val="18"/>
                <w:szCs w:val="18"/>
              </w:rPr>
            </w:pPr>
            <w:r w:rsidRPr="00D82176">
              <w:rPr>
                <w:b/>
                <w:bCs/>
                <w:color w:val="000000"/>
                <w:sz w:val="18"/>
                <w:szCs w:val="18"/>
              </w:rPr>
              <w:t> </w:t>
            </w:r>
          </w:p>
        </w:tc>
        <w:tc>
          <w:tcPr>
            <w:tcW w:w="256" w:type="dxa"/>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auto" w:fill="auto"/>
            <w:noWrap/>
            <w:vAlign w:val="bottom"/>
            <w:hideMark/>
          </w:tcPr>
          <w:p w:rsidR="00575303" w:rsidRPr="00D82176" w:rsidRDefault="00575303" w:rsidP="00575303">
            <w:pPr>
              <w:rPr>
                <w:b/>
                <w:bCs/>
                <w:color w:val="000000"/>
                <w:sz w:val="18"/>
                <w:szCs w:val="18"/>
              </w:rPr>
            </w:pPr>
          </w:p>
        </w:tc>
      </w:tr>
      <w:tr w:rsidR="001F4559" w:rsidRPr="00D82176" w:rsidTr="00B85AF2">
        <w:trPr>
          <w:trHeight w:val="20"/>
        </w:trPr>
        <w:tc>
          <w:tcPr>
            <w:tcW w:w="2160" w:type="dxa"/>
            <w:tcBorders>
              <w:top w:val="nil"/>
              <w:left w:val="nil"/>
              <w:bottom w:val="nil"/>
              <w:right w:val="nil"/>
            </w:tcBorders>
            <w:shd w:val="clear" w:color="000000" w:fill="FFFFFF"/>
            <w:vAlign w:val="center"/>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760" w:type="dxa"/>
            <w:tcBorders>
              <w:top w:val="nil"/>
              <w:left w:val="nil"/>
              <w:bottom w:val="single" w:sz="8" w:space="0" w:color="auto"/>
              <w:right w:val="nil"/>
            </w:tcBorders>
            <w:shd w:val="clear" w:color="000000" w:fill="FFFFFF"/>
            <w:vAlign w:val="center"/>
            <w:hideMark/>
          </w:tcPr>
          <w:p w:rsidR="00575303" w:rsidRPr="00D82176" w:rsidRDefault="00575303" w:rsidP="00575303">
            <w:pPr>
              <w:rPr>
                <w:b/>
                <w:bCs/>
                <w:color w:val="000000"/>
                <w:sz w:val="18"/>
                <w:szCs w:val="18"/>
              </w:rPr>
            </w:pPr>
            <w:r w:rsidRPr="00D82176">
              <w:rPr>
                <w:b/>
                <w:bCs/>
                <w:color w:val="000000"/>
                <w:sz w:val="18"/>
                <w:szCs w:val="18"/>
              </w:rPr>
              <w:t xml:space="preserve">   </w:t>
            </w:r>
            <w:proofErr w:type="spellStart"/>
            <w:r w:rsidRPr="00D82176">
              <w:rPr>
                <w:b/>
                <w:bCs/>
                <w:color w:val="000000"/>
                <w:sz w:val="18"/>
                <w:szCs w:val="18"/>
              </w:rPr>
              <w:t>Tx</w:t>
            </w:r>
            <w:proofErr w:type="spellEnd"/>
            <w:r w:rsidRPr="00D82176">
              <w:rPr>
                <w:b/>
                <w:bCs/>
                <w:color w:val="000000"/>
                <w:sz w:val="18"/>
                <w:szCs w:val="18"/>
              </w:rPr>
              <w:t>.%</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b/>
                <w:bCs/>
                <w:color w:val="000000"/>
                <w:sz w:val="18"/>
                <w:szCs w:val="18"/>
              </w:rPr>
            </w:pPr>
            <w:r w:rsidRPr="00D82176">
              <w:rPr>
                <w:b/>
                <w:bCs/>
                <w:color w:val="000000"/>
                <w:sz w:val="18"/>
                <w:szCs w:val="18"/>
              </w:rPr>
              <w:t> </w:t>
            </w:r>
          </w:p>
        </w:tc>
        <w:tc>
          <w:tcPr>
            <w:tcW w:w="0" w:type="auto"/>
            <w:tcBorders>
              <w:top w:val="nil"/>
              <w:left w:val="nil"/>
              <w:bottom w:val="single" w:sz="8" w:space="0" w:color="auto"/>
              <w:right w:val="nil"/>
            </w:tcBorders>
            <w:shd w:val="clear" w:color="000000" w:fill="FFFFFF"/>
            <w:vAlign w:val="center"/>
            <w:hideMark/>
          </w:tcPr>
          <w:p w:rsidR="00575303" w:rsidRPr="00D82176" w:rsidRDefault="00575303" w:rsidP="00575303">
            <w:pPr>
              <w:jc w:val="right"/>
              <w:rPr>
                <w:b/>
                <w:bCs/>
                <w:color w:val="000000"/>
                <w:sz w:val="18"/>
                <w:szCs w:val="18"/>
              </w:rPr>
            </w:pPr>
            <w:r w:rsidRPr="00D82176">
              <w:rPr>
                <w:b/>
                <w:bCs/>
                <w:color w:val="000000"/>
                <w:sz w:val="18"/>
                <w:szCs w:val="18"/>
              </w:rPr>
              <w:t>Custo</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b/>
                <w:bCs/>
                <w:color w:val="000000"/>
                <w:sz w:val="18"/>
                <w:szCs w:val="18"/>
              </w:rPr>
            </w:pPr>
            <w:r w:rsidRPr="00D82176">
              <w:rPr>
                <w:b/>
                <w:bCs/>
                <w:color w:val="000000"/>
                <w:sz w:val="18"/>
                <w:szCs w:val="18"/>
              </w:rPr>
              <w:t> </w:t>
            </w:r>
          </w:p>
        </w:tc>
        <w:tc>
          <w:tcPr>
            <w:tcW w:w="1090" w:type="dxa"/>
            <w:tcBorders>
              <w:top w:val="nil"/>
              <w:left w:val="nil"/>
              <w:bottom w:val="single" w:sz="8" w:space="0" w:color="auto"/>
              <w:right w:val="nil"/>
            </w:tcBorders>
            <w:shd w:val="clear" w:color="000000" w:fill="FFFFFF"/>
            <w:vAlign w:val="center"/>
            <w:hideMark/>
          </w:tcPr>
          <w:p w:rsidR="00575303" w:rsidRPr="00D82176" w:rsidRDefault="00575303" w:rsidP="00575303">
            <w:pPr>
              <w:jc w:val="right"/>
              <w:rPr>
                <w:b/>
                <w:bCs/>
                <w:color w:val="000000"/>
                <w:sz w:val="18"/>
                <w:szCs w:val="18"/>
              </w:rPr>
            </w:pPr>
            <w:r w:rsidRPr="00D82176">
              <w:rPr>
                <w:b/>
                <w:bCs/>
                <w:color w:val="000000"/>
                <w:sz w:val="18"/>
                <w:szCs w:val="18"/>
              </w:rPr>
              <w:t>Depreciação</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b/>
                <w:bCs/>
                <w:color w:val="000000"/>
                <w:sz w:val="18"/>
                <w:szCs w:val="18"/>
              </w:rPr>
            </w:pPr>
            <w:r w:rsidRPr="00D82176">
              <w:rPr>
                <w:b/>
                <w:bCs/>
                <w:color w:val="000000"/>
                <w:sz w:val="18"/>
                <w:szCs w:val="18"/>
              </w:rPr>
              <w:t> </w:t>
            </w:r>
          </w:p>
        </w:tc>
        <w:tc>
          <w:tcPr>
            <w:tcW w:w="1050" w:type="dxa"/>
            <w:tcBorders>
              <w:top w:val="nil"/>
              <w:left w:val="nil"/>
              <w:bottom w:val="single" w:sz="8" w:space="0" w:color="auto"/>
              <w:right w:val="nil"/>
            </w:tcBorders>
            <w:shd w:val="clear" w:color="000000" w:fill="FFFFFF"/>
            <w:vAlign w:val="center"/>
            <w:hideMark/>
          </w:tcPr>
          <w:p w:rsidR="00575303" w:rsidRPr="00D82176" w:rsidRDefault="00575303" w:rsidP="00575303">
            <w:pPr>
              <w:jc w:val="right"/>
              <w:rPr>
                <w:b/>
                <w:bCs/>
                <w:color w:val="000000"/>
                <w:sz w:val="18"/>
                <w:szCs w:val="18"/>
              </w:rPr>
            </w:pPr>
            <w:r w:rsidRPr="00D82176">
              <w:rPr>
                <w:b/>
                <w:bCs/>
                <w:color w:val="000000"/>
                <w:sz w:val="18"/>
                <w:szCs w:val="18"/>
              </w:rPr>
              <w:t>Redução a valor recuperável</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b/>
                <w:bCs/>
                <w:color w:val="000000"/>
                <w:sz w:val="18"/>
                <w:szCs w:val="18"/>
              </w:rPr>
            </w:pPr>
            <w:r w:rsidRPr="00D82176">
              <w:rPr>
                <w:b/>
                <w:bCs/>
                <w:color w:val="000000"/>
                <w:sz w:val="18"/>
                <w:szCs w:val="18"/>
              </w:rPr>
              <w:t> </w:t>
            </w:r>
          </w:p>
        </w:tc>
        <w:tc>
          <w:tcPr>
            <w:tcW w:w="0" w:type="auto"/>
            <w:tcBorders>
              <w:top w:val="nil"/>
              <w:left w:val="nil"/>
              <w:bottom w:val="single" w:sz="8" w:space="0" w:color="auto"/>
              <w:right w:val="nil"/>
            </w:tcBorders>
            <w:shd w:val="clear" w:color="000000" w:fill="FFFFFF"/>
            <w:vAlign w:val="center"/>
            <w:hideMark/>
          </w:tcPr>
          <w:p w:rsidR="00575303" w:rsidRPr="00D82176" w:rsidRDefault="001F4559" w:rsidP="00575303">
            <w:pPr>
              <w:jc w:val="right"/>
              <w:rPr>
                <w:b/>
                <w:bCs/>
                <w:color w:val="000000"/>
                <w:sz w:val="18"/>
                <w:szCs w:val="18"/>
              </w:rPr>
            </w:pPr>
            <w:r w:rsidRPr="00D82176">
              <w:rPr>
                <w:b/>
                <w:bCs/>
                <w:color w:val="000000"/>
                <w:sz w:val="18"/>
                <w:szCs w:val="18"/>
              </w:rPr>
              <w:t>31/12/2017</w:t>
            </w:r>
            <w:r w:rsidR="00575303" w:rsidRPr="00D82176">
              <w:rPr>
                <w:b/>
                <w:bCs/>
                <w:color w:val="000000"/>
                <w:sz w:val="18"/>
                <w:szCs w:val="18"/>
              </w:rPr>
              <w:t xml:space="preserve">    Saldo</w:t>
            </w:r>
          </w:p>
        </w:tc>
        <w:tc>
          <w:tcPr>
            <w:tcW w:w="256" w:type="dxa"/>
            <w:tcBorders>
              <w:top w:val="nil"/>
              <w:left w:val="nil"/>
              <w:bottom w:val="nil"/>
              <w:right w:val="nil"/>
            </w:tcBorders>
            <w:shd w:val="clear" w:color="000000" w:fill="FFFFFF"/>
            <w:vAlign w:val="center"/>
            <w:hideMark/>
          </w:tcPr>
          <w:p w:rsidR="00575303" w:rsidRPr="00D82176" w:rsidRDefault="00575303" w:rsidP="00575303">
            <w:pPr>
              <w:jc w:val="right"/>
              <w:rPr>
                <w:b/>
                <w:bCs/>
                <w:color w:val="000000"/>
                <w:sz w:val="18"/>
                <w:szCs w:val="18"/>
              </w:rPr>
            </w:pPr>
            <w:r w:rsidRPr="00D82176">
              <w:rPr>
                <w:b/>
                <w:bCs/>
                <w:color w:val="000000"/>
                <w:sz w:val="18"/>
                <w:szCs w:val="18"/>
              </w:rPr>
              <w:t> </w:t>
            </w:r>
          </w:p>
        </w:tc>
        <w:tc>
          <w:tcPr>
            <w:tcW w:w="0" w:type="auto"/>
            <w:tcBorders>
              <w:top w:val="nil"/>
              <w:left w:val="nil"/>
              <w:bottom w:val="single" w:sz="8" w:space="0" w:color="auto"/>
              <w:right w:val="nil"/>
            </w:tcBorders>
            <w:shd w:val="clear" w:color="000000" w:fill="FFFFFF"/>
            <w:vAlign w:val="center"/>
            <w:hideMark/>
          </w:tcPr>
          <w:p w:rsidR="001F4559" w:rsidRPr="00D82176" w:rsidRDefault="001F4559" w:rsidP="00575303">
            <w:pPr>
              <w:jc w:val="right"/>
              <w:rPr>
                <w:b/>
                <w:bCs/>
                <w:color w:val="000000"/>
                <w:sz w:val="18"/>
                <w:szCs w:val="18"/>
              </w:rPr>
            </w:pPr>
            <w:r w:rsidRPr="00D82176">
              <w:rPr>
                <w:b/>
                <w:bCs/>
                <w:color w:val="000000"/>
                <w:sz w:val="18"/>
                <w:szCs w:val="18"/>
              </w:rPr>
              <w:t>31/12/2016</w:t>
            </w:r>
          </w:p>
          <w:p w:rsidR="00575303" w:rsidRPr="00D82176" w:rsidRDefault="00575303" w:rsidP="00575303">
            <w:pPr>
              <w:jc w:val="right"/>
              <w:rPr>
                <w:b/>
                <w:bCs/>
                <w:color w:val="000000"/>
                <w:sz w:val="18"/>
                <w:szCs w:val="18"/>
              </w:rPr>
            </w:pPr>
            <w:r w:rsidRPr="00D82176">
              <w:rPr>
                <w:b/>
                <w:bCs/>
                <w:color w:val="000000"/>
                <w:sz w:val="18"/>
                <w:szCs w:val="18"/>
              </w:rPr>
              <w:t>Saldo</w:t>
            </w:r>
          </w:p>
        </w:tc>
      </w:tr>
      <w:tr w:rsidR="001F4559" w:rsidRPr="00D82176" w:rsidTr="00B85AF2">
        <w:trPr>
          <w:trHeight w:val="20"/>
        </w:trPr>
        <w:tc>
          <w:tcPr>
            <w:tcW w:w="2160" w:type="dxa"/>
            <w:tcBorders>
              <w:top w:val="nil"/>
              <w:left w:val="nil"/>
              <w:bottom w:val="nil"/>
              <w:right w:val="nil"/>
            </w:tcBorders>
            <w:shd w:val="clear" w:color="000000" w:fill="FFFFFF"/>
            <w:vAlign w:val="center"/>
            <w:hideMark/>
          </w:tcPr>
          <w:p w:rsidR="00575303" w:rsidRPr="00D82176" w:rsidRDefault="00575303" w:rsidP="00575303">
            <w:pPr>
              <w:rPr>
                <w:color w:val="000000"/>
                <w:sz w:val="18"/>
                <w:szCs w:val="18"/>
              </w:rPr>
            </w:pPr>
            <w:r w:rsidRPr="00D82176">
              <w:rPr>
                <w:color w:val="000000"/>
                <w:sz w:val="18"/>
                <w:szCs w:val="18"/>
              </w:rPr>
              <w:t>Edifícios</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760" w:type="dxa"/>
            <w:tcBorders>
              <w:top w:val="nil"/>
              <w:left w:val="nil"/>
              <w:bottom w:val="nil"/>
              <w:right w:val="nil"/>
            </w:tcBorders>
            <w:shd w:val="clear" w:color="000000" w:fill="FFFFFF"/>
            <w:vAlign w:val="center"/>
            <w:hideMark/>
          </w:tcPr>
          <w:p w:rsidR="00575303" w:rsidRPr="00D82176" w:rsidRDefault="00575303" w:rsidP="00575303">
            <w:pPr>
              <w:jc w:val="center"/>
              <w:rPr>
                <w:color w:val="000000"/>
                <w:sz w:val="18"/>
                <w:szCs w:val="18"/>
              </w:rPr>
            </w:pPr>
            <w:r w:rsidRPr="00D82176">
              <w:rPr>
                <w:color w:val="000000"/>
                <w:sz w:val="18"/>
                <w:szCs w:val="18"/>
              </w:rPr>
              <w:t>1</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B85AF2" w:rsidP="00B85AF2">
            <w:pPr>
              <w:jc w:val="right"/>
              <w:rPr>
                <w:color w:val="000000"/>
                <w:sz w:val="18"/>
                <w:szCs w:val="18"/>
              </w:rPr>
            </w:pPr>
            <w:r>
              <w:rPr>
                <w:color w:val="000000"/>
                <w:sz w:val="18"/>
                <w:szCs w:val="18"/>
              </w:rPr>
              <w:t>21</w:t>
            </w:r>
            <w:r w:rsidR="00575303" w:rsidRPr="00D82176">
              <w:rPr>
                <w:color w:val="000000"/>
                <w:sz w:val="18"/>
                <w:szCs w:val="18"/>
              </w:rPr>
              <w:t xml:space="preserve">0.541 </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1090" w:type="dxa"/>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w:t>
            </w:r>
            <w:r w:rsidR="001F4559" w:rsidRPr="00D82176">
              <w:rPr>
                <w:color w:val="000000"/>
                <w:sz w:val="18"/>
                <w:szCs w:val="18"/>
              </w:rPr>
              <w:t>(</w:t>
            </w:r>
            <w:r w:rsidRPr="00D82176">
              <w:rPr>
                <w:color w:val="000000"/>
                <w:sz w:val="18"/>
                <w:szCs w:val="18"/>
              </w:rPr>
              <w:t>52.178</w:t>
            </w:r>
            <w:r w:rsidR="001F4559" w:rsidRPr="00D82176">
              <w:rPr>
                <w:color w:val="000000"/>
                <w:sz w:val="18"/>
                <w:szCs w:val="18"/>
              </w:rPr>
              <w:t>)</w:t>
            </w:r>
            <w:r w:rsidRPr="00D82176">
              <w:rPr>
                <w:color w:val="000000"/>
                <w:sz w:val="18"/>
                <w:szCs w:val="18"/>
              </w:rPr>
              <w:t xml:space="preserve"> </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1050" w:type="dxa"/>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   </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158.363 </w:t>
            </w:r>
          </w:p>
        </w:tc>
        <w:tc>
          <w:tcPr>
            <w:tcW w:w="256" w:type="dxa"/>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162.495 </w:t>
            </w:r>
          </w:p>
        </w:tc>
      </w:tr>
      <w:tr w:rsidR="001F4559" w:rsidRPr="00124DF6" w:rsidTr="00B85AF2">
        <w:trPr>
          <w:trHeight w:val="20"/>
        </w:trPr>
        <w:tc>
          <w:tcPr>
            <w:tcW w:w="2160" w:type="dxa"/>
            <w:tcBorders>
              <w:top w:val="nil"/>
              <w:left w:val="nil"/>
              <w:bottom w:val="nil"/>
              <w:right w:val="nil"/>
            </w:tcBorders>
            <w:shd w:val="clear" w:color="000000" w:fill="FFFFFF"/>
            <w:vAlign w:val="center"/>
            <w:hideMark/>
          </w:tcPr>
          <w:p w:rsidR="00575303" w:rsidRPr="00124DF6" w:rsidRDefault="00575303" w:rsidP="00575303">
            <w:pPr>
              <w:rPr>
                <w:color w:val="000000"/>
                <w:sz w:val="18"/>
                <w:szCs w:val="18"/>
              </w:rPr>
            </w:pPr>
            <w:r w:rsidRPr="00124DF6">
              <w:rPr>
                <w:color w:val="000000"/>
                <w:sz w:val="18"/>
                <w:szCs w:val="18"/>
              </w:rPr>
              <w:t>Terrenos</w:t>
            </w:r>
          </w:p>
        </w:tc>
        <w:tc>
          <w:tcPr>
            <w:tcW w:w="0" w:type="auto"/>
            <w:tcBorders>
              <w:top w:val="nil"/>
              <w:left w:val="nil"/>
              <w:bottom w:val="nil"/>
              <w:right w:val="nil"/>
            </w:tcBorders>
            <w:shd w:val="clear" w:color="000000" w:fill="FFFFFF"/>
            <w:vAlign w:val="center"/>
            <w:hideMark/>
          </w:tcPr>
          <w:p w:rsidR="00575303" w:rsidRPr="00124DF6" w:rsidRDefault="00575303" w:rsidP="00575303">
            <w:pPr>
              <w:jc w:val="right"/>
              <w:rPr>
                <w:color w:val="000000"/>
                <w:sz w:val="18"/>
                <w:szCs w:val="18"/>
              </w:rPr>
            </w:pPr>
            <w:r w:rsidRPr="00124DF6">
              <w:rPr>
                <w:color w:val="000000"/>
                <w:sz w:val="18"/>
                <w:szCs w:val="18"/>
              </w:rPr>
              <w:t> </w:t>
            </w:r>
          </w:p>
        </w:tc>
        <w:tc>
          <w:tcPr>
            <w:tcW w:w="760" w:type="dxa"/>
            <w:tcBorders>
              <w:top w:val="nil"/>
              <w:left w:val="nil"/>
              <w:bottom w:val="nil"/>
              <w:right w:val="nil"/>
            </w:tcBorders>
            <w:shd w:val="clear" w:color="000000" w:fill="FFFFFF"/>
            <w:vAlign w:val="center"/>
            <w:hideMark/>
          </w:tcPr>
          <w:p w:rsidR="00575303" w:rsidRPr="00124DF6" w:rsidRDefault="00575303" w:rsidP="00575303">
            <w:pPr>
              <w:jc w:val="center"/>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124DF6" w:rsidRDefault="00575303" w:rsidP="00575303">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68.414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1090" w:type="dxa"/>
            <w:tcBorders>
              <w:top w:val="nil"/>
              <w:left w:val="nil"/>
              <w:bottom w:val="nil"/>
              <w:right w:val="nil"/>
            </w:tcBorders>
            <w:shd w:val="clear" w:color="000000" w:fill="FFFFFF"/>
            <w:vAlign w:val="center"/>
            <w:hideMark/>
          </w:tcPr>
          <w:p w:rsidR="00575303" w:rsidRPr="00124DF6" w:rsidRDefault="00B85AF2" w:rsidP="00B85AF2">
            <w:pPr>
              <w:jc w:val="right"/>
              <w:rPr>
                <w:color w:val="000000"/>
                <w:sz w:val="18"/>
                <w:szCs w:val="18"/>
              </w:rPr>
            </w:pPr>
            <w:r w:rsidRPr="00124DF6">
              <w:rPr>
                <w:color w:val="000000"/>
                <w:sz w:val="18"/>
                <w:szCs w:val="18"/>
              </w:rPr>
              <w:t>-</w:t>
            </w:r>
            <w:r w:rsidR="00575303"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1050" w:type="dxa"/>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68.414 </w:t>
            </w:r>
          </w:p>
        </w:tc>
        <w:tc>
          <w:tcPr>
            <w:tcW w:w="256" w:type="dxa"/>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68.786 </w:t>
            </w:r>
          </w:p>
        </w:tc>
      </w:tr>
      <w:tr w:rsidR="001F4559" w:rsidRPr="00124DF6" w:rsidTr="00B85AF2">
        <w:trPr>
          <w:trHeight w:val="20"/>
        </w:trPr>
        <w:tc>
          <w:tcPr>
            <w:tcW w:w="2160" w:type="dxa"/>
            <w:tcBorders>
              <w:top w:val="nil"/>
              <w:left w:val="nil"/>
              <w:bottom w:val="nil"/>
              <w:right w:val="nil"/>
            </w:tcBorders>
            <w:shd w:val="clear" w:color="000000" w:fill="FFFFFF"/>
            <w:noWrap/>
            <w:vAlign w:val="bottom"/>
            <w:hideMark/>
          </w:tcPr>
          <w:p w:rsidR="00575303" w:rsidRPr="00124DF6" w:rsidRDefault="00575303" w:rsidP="00575303">
            <w:pPr>
              <w:rPr>
                <w:color w:val="000000"/>
                <w:sz w:val="18"/>
                <w:szCs w:val="18"/>
              </w:rPr>
            </w:pPr>
            <w:r w:rsidRPr="00124DF6">
              <w:rPr>
                <w:color w:val="000000"/>
                <w:sz w:val="18"/>
                <w:szCs w:val="18"/>
              </w:rPr>
              <w:t xml:space="preserve">Obras em </w:t>
            </w:r>
            <w:r w:rsidR="00D82176" w:rsidRPr="00124DF6">
              <w:rPr>
                <w:color w:val="000000"/>
                <w:sz w:val="18"/>
                <w:szCs w:val="18"/>
              </w:rPr>
              <w:t>Andamento [</w:t>
            </w:r>
            <w:r w:rsidRPr="00124DF6">
              <w:rPr>
                <w:color w:val="000000"/>
                <w:sz w:val="18"/>
                <w:szCs w:val="18"/>
              </w:rPr>
              <w:t>1]</w:t>
            </w:r>
          </w:p>
        </w:tc>
        <w:tc>
          <w:tcPr>
            <w:tcW w:w="0" w:type="auto"/>
            <w:tcBorders>
              <w:top w:val="nil"/>
              <w:left w:val="nil"/>
              <w:bottom w:val="nil"/>
              <w:right w:val="nil"/>
            </w:tcBorders>
            <w:shd w:val="clear" w:color="000000" w:fill="FFFFFF"/>
            <w:vAlign w:val="center"/>
            <w:hideMark/>
          </w:tcPr>
          <w:p w:rsidR="00575303" w:rsidRPr="00124DF6" w:rsidRDefault="00575303" w:rsidP="00575303">
            <w:pPr>
              <w:jc w:val="right"/>
              <w:rPr>
                <w:color w:val="000000"/>
                <w:sz w:val="18"/>
                <w:szCs w:val="18"/>
              </w:rPr>
            </w:pPr>
            <w:r w:rsidRPr="00124DF6">
              <w:rPr>
                <w:color w:val="000000"/>
                <w:sz w:val="18"/>
                <w:szCs w:val="18"/>
              </w:rPr>
              <w:t> </w:t>
            </w:r>
          </w:p>
        </w:tc>
        <w:tc>
          <w:tcPr>
            <w:tcW w:w="760" w:type="dxa"/>
            <w:tcBorders>
              <w:top w:val="nil"/>
              <w:left w:val="nil"/>
              <w:bottom w:val="nil"/>
              <w:right w:val="nil"/>
            </w:tcBorders>
            <w:shd w:val="clear" w:color="000000" w:fill="FFFFFF"/>
            <w:vAlign w:val="center"/>
            <w:hideMark/>
          </w:tcPr>
          <w:p w:rsidR="00575303" w:rsidRPr="00124DF6" w:rsidRDefault="00575303" w:rsidP="00575303">
            <w:pPr>
              <w:jc w:val="center"/>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124DF6" w:rsidRDefault="00575303" w:rsidP="00575303">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458.192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1090" w:type="dxa"/>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w:t>
            </w:r>
            <w:r w:rsidR="001F4559" w:rsidRPr="00124DF6">
              <w:rPr>
                <w:color w:val="000000"/>
                <w:sz w:val="18"/>
                <w:szCs w:val="18"/>
              </w:rPr>
              <w:t>(</w:t>
            </w:r>
            <w:r w:rsidRPr="00124DF6">
              <w:rPr>
                <w:color w:val="000000"/>
                <w:sz w:val="18"/>
                <w:szCs w:val="18"/>
              </w:rPr>
              <w:t>262</w:t>
            </w:r>
            <w:r w:rsidR="001F4559" w:rsidRPr="00124DF6">
              <w:rPr>
                <w:color w:val="000000"/>
                <w:sz w:val="18"/>
                <w:szCs w:val="18"/>
              </w:rPr>
              <w:t>)</w:t>
            </w:r>
            <w:r w:rsidRPr="00124DF6">
              <w:rPr>
                <w:color w:val="000000"/>
                <w:sz w:val="18"/>
                <w:szCs w:val="18"/>
              </w:rPr>
              <w:t xml:space="preserve">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1050" w:type="dxa"/>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457.930 </w:t>
            </w:r>
          </w:p>
        </w:tc>
        <w:tc>
          <w:tcPr>
            <w:tcW w:w="256" w:type="dxa"/>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290.432 </w:t>
            </w:r>
          </w:p>
        </w:tc>
      </w:tr>
      <w:tr w:rsidR="001F4559" w:rsidRPr="00124DF6" w:rsidTr="00B85AF2">
        <w:trPr>
          <w:trHeight w:val="20"/>
        </w:trPr>
        <w:tc>
          <w:tcPr>
            <w:tcW w:w="2160" w:type="dxa"/>
            <w:tcBorders>
              <w:top w:val="nil"/>
              <w:left w:val="nil"/>
              <w:bottom w:val="nil"/>
              <w:right w:val="nil"/>
            </w:tcBorders>
            <w:shd w:val="clear" w:color="000000" w:fill="FFFFFF"/>
            <w:vAlign w:val="center"/>
            <w:hideMark/>
          </w:tcPr>
          <w:p w:rsidR="00575303" w:rsidRPr="00124DF6" w:rsidRDefault="00575303" w:rsidP="00575303">
            <w:pPr>
              <w:rPr>
                <w:color w:val="000000"/>
                <w:sz w:val="18"/>
                <w:szCs w:val="18"/>
              </w:rPr>
            </w:pPr>
            <w:r w:rsidRPr="00124DF6">
              <w:rPr>
                <w:color w:val="000000"/>
                <w:sz w:val="18"/>
                <w:szCs w:val="18"/>
              </w:rPr>
              <w:t>Bens Móveis e Imóveis</w:t>
            </w:r>
          </w:p>
        </w:tc>
        <w:tc>
          <w:tcPr>
            <w:tcW w:w="0" w:type="auto"/>
            <w:tcBorders>
              <w:top w:val="nil"/>
              <w:left w:val="nil"/>
              <w:bottom w:val="nil"/>
              <w:right w:val="nil"/>
            </w:tcBorders>
            <w:shd w:val="clear" w:color="000000" w:fill="FFFFFF"/>
            <w:vAlign w:val="center"/>
            <w:hideMark/>
          </w:tcPr>
          <w:p w:rsidR="00575303" w:rsidRPr="00124DF6" w:rsidRDefault="00575303" w:rsidP="00575303">
            <w:pPr>
              <w:jc w:val="right"/>
              <w:rPr>
                <w:color w:val="000000"/>
                <w:sz w:val="18"/>
                <w:szCs w:val="18"/>
              </w:rPr>
            </w:pPr>
            <w:r w:rsidRPr="00124DF6">
              <w:rPr>
                <w:color w:val="000000"/>
                <w:sz w:val="18"/>
                <w:szCs w:val="18"/>
              </w:rPr>
              <w:t> </w:t>
            </w:r>
          </w:p>
        </w:tc>
        <w:tc>
          <w:tcPr>
            <w:tcW w:w="760" w:type="dxa"/>
            <w:tcBorders>
              <w:top w:val="nil"/>
              <w:left w:val="nil"/>
              <w:bottom w:val="nil"/>
              <w:right w:val="nil"/>
            </w:tcBorders>
            <w:shd w:val="clear" w:color="000000" w:fill="FFFFFF"/>
            <w:vAlign w:val="center"/>
            <w:hideMark/>
          </w:tcPr>
          <w:p w:rsidR="00575303" w:rsidRPr="00124DF6" w:rsidRDefault="00575303" w:rsidP="00575303">
            <w:pPr>
              <w:jc w:val="center"/>
              <w:rPr>
                <w:color w:val="000000"/>
                <w:sz w:val="18"/>
                <w:szCs w:val="18"/>
              </w:rPr>
            </w:pPr>
            <w:r w:rsidRPr="00124DF6">
              <w:rPr>
                <w:color w:val="000000"/>
                <w:sz w:val="18"/>
                <w:szCs w:val="18"/>
              </w:rPr>
              <w:t>10 a 20</w:t>
            </w:r>
          </w:p>
        </w:tc>
        <w:tc>
          <w:tcPr>
            <w:tcW w:w="0" w:type="auto"/>
            <w:tcBorders>
              <w:top w:val="nil"/>
              <w:left w:val="nil"/>
              <w:bottom w:val="nil"/>
              <w:right w:val="nil"/>
            </w:tcBorders>
            <w:shd w:val="clear" w:color="000000" w:fill="FFFFFF"/>
            <w:vAlign w:val="center"/>
            <w:hideMark/>
          </w:tcPr>
          <w:p w:rsidR="00575303" w:rsidRPr="00124DF6" w:rsidRDefault="00575303" w:rsidP="00575303">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210.312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1090" w:type="dxa"/>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w:t>
            </w:r>
            <w:r w:rsidR="001F4559" w:rsidRPr="00124DF6">
              <w:rPr>
                <w:color w:val="000000"/>
                <w:sz w:val="18"/>
                <w:szCs w:val="18"/>
              </w:rPr>
              <w:t>(</w:t>
            </w:r>
            <w:r w:rsidRPr="00124DF6">
              <w:rPr>
                <w:color w:val="000000"/>
                <w:sz w:val="18"/>
                <w:szCs w:val="18"/>
              </w:rPr>
              <w:t>121.143</w:t>
            </w:r>
            <w:r w:rsidR="001F4559" w:rsidRPr="00124DF6">
              <w:rPr>
                <w:color w:val="000000"/>
                <w:sz w:val="18"/>
                <w:szCs w:val="18"/>
              </w:rPr>
              <w:t>)</w:t>
            </w:r>
            <w:r w:rsidRPr="00124DF6">
              <w:rPr>
                <w:color w:val="000000"/>
                <w:sz w:val="18"/>
                <w:szCs w:val="18"/>
              </w:rPr>
              <w:t xml:space="preserve">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1050" w:type="dxa"/>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(124)</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89.045 </w:t>
            </w:r>
          </w:p>
        </w:tc>
        <w:tc>
          <w:tcPr>
            <w:tcW w:w="256" w:type="dxa"/>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96.103 </w:t>
            </w:r>
          </w:p>
        </w:tc>
      </w:tr>
      <w:tr w:rsidR="001F4559" w:rsidRPr="00D82176" w:rsidTr="00B85AF2">
        <w:trPr>
          <w:trHeight w:val="20"/>
        </w:trPr>
        <w:tc>
          <w:tcPr>
            <w:tcW w:w="2160" w:type="dxa"/>
            <w:tcBorders>
              <w:top w:val="nil"/>
              <w:left w:val="nil"/>
              <w:bottom w:val="nil"/>
              <w:right w:val="nil"/>
            </w:tcBorders>
            <w:shd w:val="clear" w:color="000000" w:fill="FFFFFF"/>
            <w:vAlign w:val="center"/>
            <w:hideMark/>
          </w:tcPr>
          <w:p w:rsidR="00575303" w:rsidRPr="00124DF6" w:rsidRDefault="00575303" w:rsidP="00575303">
            <w:pPr>
              <w:rPr>
                <w:color w:val="000000"/>
                <w:sz w:val="18"/>
                <w:szCs w:val="18"/>
              </w:rPr>
            </w:pPr>
            <w:r w:rsidRPr="00124DF6">
              <w:rPr>
                <w:color w:val="000000"/>
                <w:sz w:val="18"/>
                <w:szCs w:val="18"/>
              </w:rPr>
              <w:t>Informática</w:t>
            </w:r>
          </w:p>
        </w:tc>
        <w:tc>
          <w:tcPr>
            <w:tcW w:w="0" w:type="auto"/>
            <w:tcBorders>
              <w:top w:val="nil"/>
              <w:left w:val="nil"/>
              <w:bottom w:val="nil"/>
              <w:right w:val="nil"/>
            </w:tcBorders>
            <w:shd w:val="clear" w:color="000000" w:fill="FFFFFF"/>
            <w:vAlign w:val="center"/>
            <w:hideMark/>
          </w:tcPr>
          <w:p w:rsidR="00575303" w:rsidRPr="00124DF6" w:rsidRDefault="00575303" w:rsidP="00575303">
            <w:pPr>
              <w:jc w:val="right"/>
              <w:rPr>
                <w:color w:val="000000"/>
                <w:sz w:val="18"/>
                <w:szCs w:val="18"/>
              </w:rPr>
            </w:pPr>
            <w:r w:rsidRPr="00124DF6">
              <w:rPr>
                <w:color w:val="000000"/>
                <w:sz w:val="18"/>
                <w:szCs w:val="18"/>
              </w:rPr>
              <w:t> </w:t>
            </w:r>
          </w:p>
        </w:tc>
        <w:tc>
          <w:tcPr>
            <w:tcW w:w="760" w:type="dxa"/>
            <w:tcBorders>
              <w:top w:val="nil"/>
              <w:left w:val="nil"/>
              <w:bottom w:val="nil"/>
              <w:right w:val="nil"/>
            </w:tcBorders>
            <w:shd w:val="clear" w:color="000000" w:fill="FFFFFF"/>
            <w:vAlign w:val="center"/>
            <w:hideMark/>
          </w:tcPr>
          <w:p w:rsidR="00575303" w:rsidRPr="00124DF6" w:rsidRDefault="00575303" w:rsidP="00575303">
            <w:pPr>
              <w:jc w:val="center"/>
              <w:rPr>
                <w:color w:val="000000"/>
                <w:sz w:val="18"/>
                <w:szCs w:val="18"/>
              </w:rPr>
            </w:pPr>
            <w:r w:rsidRPr="00124DF6">
              <w:rPr>
                <w:color w:val="000000"/>
                <w:sz w:val="18"/>
                <w:szCs w:val="18"/>
              </w:rPr>
              <w:t>20 a 50</w:t>
            </w:r>
          </w:p>
        </w:tc>
        <w:tc>
          <w:tcPr>
            <w:tcW w:w="0" w:type="auto"/>
            <w:tcBorders>
              <w:top w:val="nil"/>
              <w:left w:val="nil"/>
              <w:bottom w:val="nil"/>
              <w:right w:val="nil"/>
            </w:tcBorders>
            <w:shd w:val="clear" w:color="000000" w:fill="FFFFFF"/>
            <w:vAlign w:val="center"/>
            <w:hideMark/>
          </w:tcPr>
          <w:p w:rsidR="00575303" w:rsidRPr="00124DF6" w:rsidRDefault="00575303" w:rsidP="00575303">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23.060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1090" w:type="dxa"/>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w:t>
            </w:r>
            <w:r w:rsidR="001F4559" w:rsidRPr="00124DF6">
              <w:rPr>
                <w:color w:val="000000"/>
                <w:sz w:val="18"/>
                <w:szCs w:val="18"/>
              </w:rPr>
              <w:t>(</w:t>
            </w:r>
            <w:r w:rsidRPr="00124DF6">
              <w:rPr>
                <w:color w:val="000000"/>
                <w:sz w:val="18"/>
                <w:szCs w:val="18"/>
              </w:rPr>
              <w:t>14.936</w:t>
            </w:r>
            <w:r w:rsidR="001F4559" w:rsidRPr="00124DF6">
              <w:rPr>
                <w:color w:val="000000"/>
                <w:sz w:val="18"/>
                <w:szCs w:val="18"/>
              </w:rPr>
              <w:t>)</w:t>
            </w:r>
            <w:r w:rsidRPr="00124DF6">
              <w:rPr>
                <w:color w:val="000000"/>
                <w:sz w:val="18"/>
                <w:szCs w:val="18"/>
              </w:rPr>
              <w:t xml:space="preserve">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1050" w:type="dxa"/>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xml:space="preserve">         8.124 </w:t>
            </w:r>
          </w:p>
        </w:tc>
        <w:tc>
          <w:tcPr>
            <w:tcW w:w="256" w:type="dxa"/>
            <w:tcBorders>
              <w:top w:val="nil"/>
              <w:left w:val="nil"/>
              <w:bottom w:val="nil"/>
              <w:right w:val="nil"/>
            </w:tcBorders>
            <w:shd w:val="clear" w:color="000000" w:fill="FFFFFF"/>
            <w:vAlign w:val="center"/>
            <w:hideMark/>
          </w:tcPr>
          <w:p w:rsidR="00575303" w:rsidRPr="00124DF6" w:rsidRDefault="00575303" w:rsidP="00B85AF2">
            <w:pPr>
              <w:jc w:val="right"/>
              <w:rPr>
                <w:color w:val="000000"/>
                <w:sz w:val="18"/>
                <w:szCs w:val="18"/>
              </w:rPr>
            </w:pPr>
            <w:r w:rsidRPr="00124DF6">
              <w:rPr>
                <w:color w:val="000000"/>
                <w:sz w:val="18"/>
                <w:szCs w:val="18"/>
              </w:rPr>
              <w:t> </w:t>
            </w:r>
          </w:p>
        </w:tc>
        <w:tc>
          <w:tcPr>
            <w:tcW w:w="0" w:type="auto"/>
            <w:tcBorders>
              <w:top w:val="nil"/>
              <w:left w:val="nil"/>
              <w:right w:val="nil"/>
            </w:tcBorders>
            <w:shd w:val="clear" w:color="000000" w:fill="FFFFFF"/>
            <w:vAlign w:val="center"/>
            <w:hideMark/>
          </w:tcPr>
          <w:p w:rsidR="00575303" w:rsidRPr="00D82176" w:rsidRDefault="00575303" w:rsidP="00B85AF2">
            <w:pPr>
              <w:jc w:val="right"/>
              <w:rPr>
                <w:color w:val="000000"/>
                <w:sz w:val="18"/>
                <w:szCs w:val="18"/>
              </w:rPr>
            </w:pPr>
            <w:r w:rsidRPr="00124DF6">
              <w:rPr>
                <w:color w:val="000000"/>
                <w:sz w:val="18"/>
                <w:szCs w:val="18"/>
              </w:rPr>
              <w:t xml:space="preserve">         6.991</w:t>
            </w:r>
            <w:r w:rsidRPr="00D82176">
              <w:rPr>
                <w:color w:val="000000"/>
                <w:sz w:val="18"/>
                <w:szCs w:val="18"/>
              </w:rPr>
              <w:t xml:space="preserve"> </w:t>
            </w:r>
          </w:p>
        </w:tc>
      </w:tr>
      <w:tr w:rsidR="001F4559" w:rsidRPr="00D82176" w:rsidTr="00B85AF2">
        <w:trPr>
          <w:trHeight w:val="20"/>
        </w:trPr>
        <w:tc>
          <w:tcPr>
            <w:tcW w:w="2160" w:type="dxa"/>
            <w:tcBorders>
              <w:top w:val="nil"/>
              <w:left w:val="nil"/>
              <w:bottom w:val="nil"/>
              <w:right w:val="nil"/>
            </w:tcBorders>
            <w:shd w:val="clear" w:color="000000" w:fill="FFFFFF"/>
            <w:vAlign w:val="center"/>
            <w:hideMark/>
          </w:tcPr>
          <w:p w:rsidR="00575303" w:rsidRPr="00D82176" w:rsidRDefault="00575303" w:rsidP="00575303">
            <w:pPr>
              <w:rPr>
                <w:color w:val="000000"/>
                <w:sz w:val="18"/>
                <w:szCs w:val="18"/>
              </w:rPr>
            </w:pPr>
            <w:r w:rsidRPr="00D82176">
              <w:rPr>
                <w:color w:val="000000"/>
                <w:sz w:val="18"/>
                <w:szCs w:val="18"/>
              </w:rPr>
              <w:t>Veículos Diversos</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760" w:type="dxa"/>
            <w:tcBorders>
              <w:top w:val="nil"/>
              <w:left w:val="nil"/>
              <w:bottom w:val="nil"/>
              <w:right w:val="nil"/>
            </w:tcBorders>
            <w:shd w:val="clear" w:color="000000" w:fill="FFFFFF"/>
            <w:vAlign w:val="center"/>
            <w:hideMark/>
          </w:tcPr>
          <w:p w:rsidR="00575303" w:rsidRPr="00D82176" w:rsidRDefault="00575303" w:rsidP="00575303">
            <w:pPr>
              <w:jc w:val="center"/>
              <w:rPr>
                <w:color w:val="000000"/>
                <w:sz w:val="18"/>
                <w:szCs w:val="18"/>
              </w:rPr>
            </w:pPr>
            <w:r w:rsidRPr="00D82176">
              <w:rPr>
                <w:color w:val="000000"/>
                <w:sz w:val="18"/>
                <w:szCs w:val="18"/>
              </w:rPr>
              <w:t>10 a 20</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0" w:type="auto"/>
            <w:tcBorders>
              <w:top w:val="nil"/>
              <w:left w:val="nil"/>
              <w:bottom w:val="single" w:sz="8" w:space="0" w:color="auto"/>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1.016 </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1090" w:type="dxa"/>
            <w:tcBorders>
              <w:top w:val="nil"/>
              <w:left w:val="nil"/>
              <w:bottom w:val="single" w:sz="8" w:space="0" w:color="auto"/>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w:t>
            </w:r>
            <w:r w:rsidR="001F4559" w:rsidRPr="00D82176">
              <w:rPr>
                <w:color w:val="000000"/>
                <w:sz w:val="18"/>
                <w:szCs w:val="18"/>
              </w:rPr>
              <w:t>(</w:t>
            </w:r>
            <w:r w:rsidRPr="00D82176">
              <w:rPr>
                <w:color w:val="000000"/>
                <w:sz w:val="18"/>
                <w:szCs w:val="18"/>
              </w:rPr>
              <w:t>714</w:t>
            </w:r>
            <w:r w:rsidR="001F4559" w:rsidRPr="00D82176">
              <w:rPr>
                <w:color w:val="000000"/>
                <w:sz w:val="18"/>
                <w:szCs w:val="18"/>
              </w:rPr>
              <w:t>)</w:t>
            </w:r>
            <w:r w:rsidRPr="00D82176">
              <w:rPr>
                <w:color w:val="000000"/>
                <w:sz w:val="18"/>
                <w:szCs w:val="18"/>
              </w:rPr>
              <w:t xml:space="preserve"> </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1050" w:type="dxa"/>
            <w:tcBorders>
              <w:top w:val="nil"/>
              <w:left w:val="nil"/>
              <w:bottom w:val="single" w:sz="8" w:space="0" w:color="auto"/>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(4</w:t>
            </w:r>
            <w:r w:rsidR="001F4559" w:rsidRPr="00D82176">
              <w:rPr>
                <w:color w:val="000000"/>
                <w:sz w:val="18"/>
                <w:szCs w:val="18"/>
              </w:rPr>
              <w:t>3</w:t>
            </w:r>
            <w:r w:rsidRPr="00D82176">
              <w:rPr>
                <w:color w:val="000000"/>
                <w:sz w:val="18"/>
                <w:szCs w:val="18"/>
              </w:rPr>
              <w:t>)</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0" w:type="auto"/>
            <w:tcBorders>
              <w:top w:val="nil"/>
              <w:left w:val="nil"/>
              <w:bottom w:val="single" w:sz="8" w:space="0" w:color="auto"/>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259 </w:t>
            </w:r>
          </w:p>
        </w:tc>
        <w:tc>
          <w:tcPr>
            <w:tcW w:w="256" w:type="dxa"/>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0" w:type="auto"/>
            <w:tcBorders>
              <w:top w:val="nil"/>
              <w:left w:val="nil"/>
              <w:bottom w:val="single" w:sz="4" w:space="0" w:color="auto"/>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350 </w:t>
            </w:r>
          </w:p>
        </w:tc>
      </w:tr>
      <w:tr w:rsidR="001F4559" w:rsidRPr="00D82176" w:rsidTr="00B85AF2">
        <w:trPr>
          <w:trHeight w:val="20"/>
        </w:trPr>
        <w:tc>
          <w:tcPr>
            <w:tcW w:w="2160" w:type="dxa"/>
            <w:tcBorders>
              <w:top w:val="nil"/>
              <w:left w:val="nil"/>
              <w:bottom w:val="nil"/>
              <w:right w:val="nil"/>
            </w:tcBorders>
            <w:shd w:val="clear" w:color="000000" w:fill="FFFFFF"/>
            <w:vAlign w:val="center"/>
            <w:hideMark/>
          </w:tcPr>
          <w:p w:rsidR="00575303" w:rsidRPr="00D82176" w:rsidRDefault="00575303" w:rsidP="00575303">
            <w:pPr>
              <w:rPr>
                <w:color w:val="000000"/>
                <w:sz w:val="18"/>
                <w:szCs w:val="18"/>
              </w:rPr>
            </w:pPr>
            <w:r w:rsidRPr="00D82176">
              <w:rPr>
                <w:color w:val="000000"/>
                <w:sz w:val="18"/>
                <w:szCs w:val="18"/>
              </w:rPr>
              <w:t>Subtotal Imobilizado</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760" w:type="dxa"/>
            <w:tcBorders>
              <w:top w:val="nil"/>
              <w:left w:val="nil"/>
              <w:bottom w:val="nil"/>
              <w:right w:val="nil"/>
            </w:tcBorders>
            <w:shd w:val="clear" w:color="000000" w:fill="FFFFFF"/>
            <w:vAlign w:val="center"/>
            <w:hideMark/>
          </w:tcPr>
          <w:p w:rsidR="00575303" w:rsidRPr="00D82176" w:rsidRDefault="00575303" w:rsidP="00575303">
            <w:pPr>
              <w:jc w:val="cente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0" w:type="auto"/>
            <w:tcBorders>
              <w:top w:val="nil"/>
              <w:left w:val="nil"/>
              <w:bottom w:val="single" w:sz="8" w:space="0" w:color="auto"/>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971.53</w:t>
            </w:r>
            <w:r w:rsidR="001F4559" w:rsidRPr="00D82176">
              <w:rPr>
                <w:color w:val="000000"/>
                <w:sz w:val="18"/>
                <w:szCs w:val="18"/>
              </w:rPr>
              <w:t>5</w:t>
            </w:r>
            <w:r w:rsidRPr="00D82176">
              <w:rPr>
                <w:color w:val="000000"/>
                <w:sz w:val="18"/>
                <w:szCs w:val="18"/>
              </w:rPr>
              <w:t xml:space="preserve"> </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1090" w:type="dxa"/>
            <w:tcBorders>
              <w:top w:val="nil"/>
              <w:left w:val="nil"/>
              <w:bottom w:val="single" w:sz="8" w:space="0" w:color="auto"/>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w:t>
            </w:r>
            <w:r w:rsidR="001F4559" w:rsidRPr="00D82176">
              <w:rPr>
                <w:color w:val="000000"/>
                <w:sz w:val="18"/>
                <w:szCs w:val="18"/>
              </w:rPr>
              <w:t>(</w:t>
            </w:r>
            <w:r w:rsidRPr="00D82176">
              <w:rPr>
                <w:color w:val="000000"/>
                <w:sz w:val="18"/>
                <w:szCs w:val="18"/>
              </w:rPr>
              <w:t>189.23</w:t>
            </w:r>
            <w:r w:rsidR="001F4559" w:rsidRPr="00D82176">
              <w:rPr>
                <w:color w:val="000000"/>
                <w:sz w:val="18"/>
                <w:szCs w:val="18"/>
              </w:rPr>
              <w:t>3)</w:t>
            </w:r>
            <w:r w:rsidRPr="00D82176">
              <w:rPr>
                <w:color w:val="000000"/>
                <w:sz w:val="18"/>
                <w:szCs w:val="18"/>
              </w:rPr>
              <w:t xml:space="preserve"> </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1050" w:type="dxa"/>
            <w:tcBorders>
              <w:top w:val="nil"/>
              <w:left w:val="nil"/>
              <w:bottom w:val="single" w:sz="8" w:space="0" w:color="auto"/>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(167)</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0" w:type="auto"/>
            <w:tcBorders>
              <w:top w:val="nil"/>
              <w:left w:val="nil"/>
              <w:bottom w:val="single" w:sz="8" w:space="0" w:color="auto"/>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782.135 </w:t>
            </w:r>
          </w:p>
        </w:tc>
        <w:tc>
          <w:tcPr>
            <w:tcW w:w="256" w:type="dxa"/>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0" w:type="auto"/>
            <w:tcBorders>
              <w:top w:val="nil"/>
              <w:left w:val="nil"/>
              <w:bottom w:val="single" w:sz="8" w:space="0" w:color="auto"/>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625.157 </w:t>
            </w:r>
          </w:p>
        </w:tc>
      </w:tr>
      <w:tr w:rsidR="001F4559" w:rsidRPr="00D82176" w:rsidTr="00B85AF2">
        <w:trPr>
          <w:trHeight w:val="20"/>
        </w:trPr>
        <w:tc>
          <w:tcPr>
            <w:tcW w:w="2160" w:type="dxa"/>
            <w:tcBorders>
              <w:top w:val="nil"/>
              <w:left w:val="nil"/>
              <w:bottom w:val="nil"/>
              <w:right w:val="nil"/>
            </w:tcBorders>
            <w:shd w:val="clear" w:color="000000" w:fill="FFFFFF"/>
            <w:vAlign w:val="center"/>
            <w:hideMark/>
          </w:tcPr>
          <w:p w:rsidR="00575303" w:rsidRPr="00D82176" w:rsidRDefault="00575303" w:rsidP="00575303">
            <w:pPr>
              <w:rPr>
                <w:color w:val="000000"/>
                <w:sz w:val="18"/>
                <w:szCs w:val="18"/>
              </w:rPr>
            </w:pPr>
            <w:r w:rsidRPr="00D82176">
              <w:rPr>
                <w:color w:val="000000"/>
                <w:sz w:val="18"/>
                <w:szCs w:val="18"/>
              </w:rPr>
              <w:t>Importação em Andamento</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760" w:type="dxa"/>
            <w:tcBorders>
              <w:top w:val="nil"/>
              <w:left w:val="nil"/>
              <w:bottom w:val="nil"/>
              <w:right w:val="nil"/>
            </w:tcBorders>
            <w:shd w:val="clear" w:color="000000" w:fill="FFFFFF"/>
            <w:vAlign w:val="center"/>
            <w:hideMark/>
          </w:tcPr>
          <w:p w:rsidR="00575303" w:rsidRPr="00D82176" w:rsidRDefault="00575303" w:rsidP="00575303">
            <w:pPr>
              <w:jc w:val="cente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0" w:type="auto"/>
            <w:tcBorders>
              <w:top w:val="nil"/>
              <w:left w:val="nil"/>
              <w:bottom w:val="single" w:sz="8" w:space="0" w:color="auto"/>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16 </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1090" w:type="dxa"/>
            <w:tcBorders>
              <w:top w:val="nil"/>
              <w:left w:val="nil"/>
              <w:bottom w:val="single" w:sz="8" w:space="0" w:color="auto"/>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1050" w:type="dxa"/>
            <w:tcBorders>
              <w:top w:val="nil"/>
              <w:left w:val="nil"/>
              <w:bottom w:val="single" w:sz="8" w:space="0" w:color="auto"/>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   </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0" w:type="auto"/>
            <w:tcBorders>
              <w:top w:val="nil"/>
              <w:left w:val="nil"/>
              <w:bottom w:val="single" w:sz="8" w:space="0" w:color="auto"/>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16 </w:t>
            </w:r>
          </w:p>
        </w:tc>
        <w:tc>
          <w:tcPr>
            <w:tcW w:w="256" w:type="dxa"/>
            <w:tcBorders>
              <w:top w:val="nil"/>
              <w:left w:val="nil"/>
              <w:bottom w:val="nil"/>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w:t>
            </w:r>
          </w:p>
        </w:tc>
        <w:tc>
          <w:tcPr>
            <w:tcW w:w="0" w:type="auto"/>
            <w:tcBorders>
              <w:top w:val="nil"/>
              <w:left w:val="nil"/>
              <w:bottom w:val="single" w:sz="8" w:space="0" w:color="auto"/>
              <w:right w:val="nil"/>
            </w:tcBorders>
            <w:shd w:val="clear" w:color="000000" w:fill="FFFFFF"/>
            <w:vAlign w:val="center"/>
            <w:hideMark/>
          </w:tcPr>
          <w:p w:rsidR="00575303" w:rsidRPr="00D82176" w:rsidRDefault="00575303" w:rsidP="00B85AF2">
            <w:pPr>
              <w:jc w:val="right"/>
              <w:rPr>
                <w:color w:val="000000"/>
                <w:sz w:val="18"/>
                <w:szCs w:val="18"/>
              </w:rPr>
            </w:pPr>
            <w:r w:rsidRPr="00D82176">
              <w:rPr>
                <w:color w:val="000000"/>
                <w:sz w:val="18"/>
                <w:szCs w:val="18"/>
              </w:rPr>
              <w:t xml:space="preserve">                -   </w:t>
            </w:r>
          </w:p>
        </w:tc>
      </w:tr>
      <w:tr w:rsidR="001F4559" w:rsidRPr="00D82176" w:rsidTr="00B85AF2">
        <w:trPr>
          <w:trHeight w:val="20"/>
        </w:trPr>
        <w:tc>
          <w:tcPr>
            <w:tcW w:w="2160" w:type="dxa"/>
            <w:tcBorders>
              <w:top w:val="nil"/>
              <w:left w:val="nil"/>
              <w:bottom w:val="nil"/>
              <w:right w:val="nil"/>
            </w:tcBorders>
            <w:shd w:val="clear" w:color="000000" w:fill="FFFFFF"/>
            <w:vAlign w:val="center"/>
            <w:hideMark/>
          </w:tcPr>
          <w:p w:rsidR="00575303" w:rsidRPr="00D82176" w:rsidRDefault="00575303" w:rsidP="00575303">
            <w:pPr>
              <w:rPr>
                <w:b/>
                <w:bCs/>
                <w:color w:val="000000"/>
                <w:sz w:val="18"/>
                <w:szCs w:val="18"/>
              </w:rPr>
            </w:pPr>
            <w:r w:rsidRPr="00D82176">
              <w:rPr>
                <w:b/>
                <w:bCs/>
                <w:color w:val="000000"/>
                <w:sz w:val="18"/>
                <w:szCs w:val="18"/>
              </w:rPr>
              <w:t>Saldo Contábil</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b/>
                <w:bCs/>
                <w:color w:val="000000"/>
                <w:sz w:val="18"/>
                <w:szCs w:val="18"/>
              </w:rPr>
            </w:pPr>
            <w:r w:rsidRPr="00D82176">
              <w:rPr>
                <w:b/>
                <w:bCs/>
                <w:color w:val="000000"/>
                <w:sz w:val="18"/>
                <w:szCs w:val="18"/>
              </w:rPr>
              <w:t> </w:t>
            </w:r>
          </w:p>
        </w:tc>
        <w:tc>
          <w:tcPr>
            <w:tcW w:w="760" w:type="dxa"/>
            <w:tcBorders>
              <w:top w:val="nil"/>
              <w:left w:val="nil"/>
              <w:bottom w:val="nil"/>
              <w:right w:val="nil"/>
            </w:tcBorders>
            <w:shd w:val="clear" w:color="000000" w:fill="FFFFFF"/>
            <w:vAlign w:val="center"/>
            <w:hideMark/>
          </w:tcPr>
          <w:p w:rsidR="00575303" w:rsidRPr="00D82176" w:rsidRDefault="00575303" w:rsidP="00575303">
            <w:pPr>
              <w:jc w:val="center"/>
              <w:rPr>
                <w:b/>
                <w:bCs/>
                <w:color w:val="000000"/>
                <w:sz w:val="18"/>
                <w:szCs w:val="18"/>
              </w:rPr>
            </w:pPr>
            <w:r w:rsidRPr="00D82176">
              <w:rPr>
                <w:b/>
                <w:bCs/>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b/>
                <w:bCs/>
                <w:color w:val="000000"/>
                <w:sz w:val="18"/>
                <w:szCs w:val="18"/>
              </w:rPr>
            </w:pPr>
            <w:r w:rsidRPr="00D82176">
              <w:rPr>
                <w:b/>
                <w:bCs/>
                <w:color w:val="000000"/>
                <w:sz w:val="18"/>
                <w:szCs w:val="18"/>
              </w:rPr>
              <w:t> </w:t>
            </w:r>
          </w:p>
        </w:tc>
        <w:tc>
          <w:tcPr>
            <w:tcW w:w="0" w:type="auto"/>
            <w:tcBorders>
              <w:top w:val="nil"/>
              <w:left w:val="nil"/>
              <w:bottom w:val="double" w:sz="6" w:space="0" w:color="auto"/>
              <w:right w:val="nil"/>
            </w:tcBorders>
            <w:shd w:val="clear" w:color="000000" w:fill="FFFFFF"/>
            <w:vAlign w:val="center"/>
            <w:hideMark/>
          </w:tcPr>
          <w:p w:rsidR="00575303" w:rsidRPr="00D82176" w:rsidRDefault="00B85AF2" w:rsidP="00B85AF2">
            <w:pPr>
              <w:jc w:val="right"/>
              <w:rPr>
                <w:b/>
                <w:bCs/>
                <w:color w:val="000000"/>
                <w:sz w:val="18"/>
                <w:szCs w:val="18"/>
              </w:rPr>
            </w:pPr>
            <w:r>
              <w:rPr>
                <w:b/>
                <w:bCs/>
                <w:color w:val="000000"/>
                <w:sz w:val="18"/>
                <w:szCs w:val="18"/>
              </w:rPr>
              <w:t>9</w:t>
            </w:r>
            <w:r w:rsidR="00575303" w:rsidRPr="00D82176">
              <w:rPr>
                <w:b/>
                <w:bCs/>
                <w:color w:val="000000"/>
                <w:sz w:val="18"/>
                <w:szCs w:val="18"/>
              </w:rPr>
              <w:t>71.55</w:t>
            </w:r>
            <w:r w:rsidR="003F6C61" w:rsidRPr="00D82176">
              <w:rPr>
                <w:b/>
                <w:bCs/>
                <w:color w:val="000000"/>
                <w:sz w:val="18"/>
                <w:szCs w:val="18"/>
              </w:rPr>
              <w:t>1</w:t>
            </w:r>
            <w:r w:rsidR="00575303" w:rsidRPr="00D82176">
              <w:rPr>
                <w:b/>
                <w:bCs/>
                <w:color w:val="000000"/>
                <w:sz w:val="18"/>
                <w:szCs w:val="18"/>
              </w:rPr>
              <w:t xml:space="preserve"> </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b/>
                <w:bCs/>
                <w:color w:val="000000"/>
                <w:sz w:val="18"/>
                <w:szCs w:val="18"/>
              </w:rPr>
            </w:pPr>
            <w:r w:rsidRPr="00D82176">
              <w:rPr>
                <w:b/>
                <w:bCs/>
                <w:color w:val="000000"/>
                <w:sz w:val="18"/>
                <w:szCs w:val="18"/>
              </w:rPr>
              <w:t> </w:t>
            </w:r>
          </w:p>
        </w:tc>
        <w:tc>
          <w:tcPr>
            <w:tcW w:w="1090" w:type="dxa"/>
            <w:tcBorders>
              <w:top w:val="nil"/>
              <w:left w:val="nil"/>
              <w:bottom w:val="double" w:sz="6" w:space="0" w:color="auto"/>
              <w:right w:val="nil"/>
            </w:tcBorders>
            <w:shd w:val="clear" w:color="000000" w:fill="FFFFFF"/>
            <w:vAlign w:val="center"/>
            <w:hideMark/>
          </w:tcPr>
          <w:p w:rsidR="00575303" w:rsidRPr="00D82176" w:rsidRDefault="00575303" w:rsidP="00B85AF2">
            <w:pPr>
              <w:jc w:val="right"/>
              <w:rPr>
                <w:b/>
                <w:bCs/>
                <w:color w:val="000000"/>
                <w:sz w:val="18"/>
                <w:szCs w:val="18"/>
              </w:rPr>
            </w:pPr>
            <w:r w:rsidRPr="00D82176">
              <w:rPr>
                <w:b/>
                <w:bCs/>
                <w:color w:val="000000"/>
                <w:sz w:val="18"/>
                <w:szCs w:val="18"/>
              </w:rPr>
              <w:t xml:space="preserve">     </w:t>
            </w:r>
            <w:r w:rsidR="003F6C61" w:rsidRPr="00D82176">
              <w:rPr>
                <w:b/>
                <w:bCs/>
                <w:color w:val="000000"/>
                <w:sz w:val="18"/>
                <w:szCs w:val="18"/>
              </w:rPr>
              <w:t>(</w:t>
            </w:r>
            <w:r w:rsidRPr="00D82176">
              <w:rPr>
                <w:b/>
                <w:bCs/>
                <w:color w:val="000000"/>
                <w:sz w:val="18"/>
                <w:szCs w:val="18"/>
              </w:rPr>
              <w:t>189.23</w:t>
            </w:r>
            <w:r w:rsidR="003F6C61" w:rsidRPr="00D82176">
              <w:rPr>
                <w:b/>
                <w:bCs/>
                <w:color w:val="000000"/>
                <w:sz w:val="18"/>
                <w:szCs w:val="18"/>
              </w:rPr>
              <w:t>3)</w:t>
            </w:r>
            <w:r w:rsidRPr="00D82176">
              <w:rPr>
                <w:b/>
                <w:bCs/>
                <w:color w:val="000000"/>
                <w:sz w:val="18"/>
                <w:szCs w:val="18"/>
              </w:rPr>
              <w:t xml:space="preserve"> </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b/>
                <w:bCs/>
                <w:color w:val="000000"/>
                <w:sz w:val="18"/>
                <w:szCs w:val="18"/>
              </w:rPr>
            </w:pPr>
            <w:r w:rsidRPr="00D82176">
              <w:rPr>
                <w:b/>
                <w:bCs/>
                <w:color w:val="000000"/>
                <w:sz w:val="18"/>
                <w:szCs w:val="18"/>
              </w:rPr>
              <w:t> </w:t>
            </w:r>
          </w:p>
        </w:tc>
        <w:tc>
          <w:tcPr>
            <w:tcW w:w="1050" w:type="dxa"/>
            <w:tcBorders>
              <w:top w:val="nil"/>
              <w:left w:val="nil"/>
              <w:bottom w:val="double" w:sz="6" w:space="0" w:color="auto"/>
              <w:right w:val="nil"/>
            </w:tcBorders>
            <w:shd w:val="clear" w:color="000000" w:fill="FFFFFF"/>
            <w:vAlign w:val="center"/>
            <w:hideMark/>
          </w:tcPr>
          <w:p w:rsidR="00575303" w:rsidRPr="00D82176" w:rsidRDefault="00575303" w:rsidP="00B85AF2">
            <w:pPr>
              <w:jc w:val="right"/>
              <w:rPr>
                <w:b/>
                <w:bCs/>
                <w:color w:val="000000"/>
                <w:sz w:val="18"/>
                <w:szCs w:val="18"/>
              </w:rPr>
            </w:pPr>
            <w:r w:rsidRPr="00D82176">
              <w:rPr>
                <w:b/>
                <w:bCs/>
                <w:color w:val="000000"/>
                <w:sz w:val="18"/>
                <w:szCs w:val="18"/>
              </w:rPr>
              <w:t xml:space="preserve">          (167)</w:t>
            </w:r>
          </w:p>
        </w:tc>
        <w:tc>
          <w:tcPr>
            <w:tcW w:w="0" w:type="auto"/>
            <w:tcBorders>
              <w:top w:val="nil"/>
              <w:left w:val="nil"/>
              <w:bottom w:val="nil"/>
              <w:right w:val="nil"/>
            </w:tcBorders>
            <w:shd w:val="clear" w:color="000000" w:fill="FFFFFF"/>
            <w:vAlign w:val="center"/>
            <w:hideMark/>
          </w:tcPr>
          <w:p w:rsidR="00575303" w:rsidRPr="00D82176" w:rsidRDefault="00575303" w:rsidP="00B85AF2">
            <w:pPr>
              <w:jc w:val="right"/>
              <w:rPr>
                <w:b/>
                <w:bCs/>
                <w:color w:val="000000"/>
                <w:sz w:val="18"/>
                <w:szCs w:val="18"/>
              </w:rPr>
            </w:pPr>
            <w:r w:rsidRPr="00D82176">
              <w:rPr>
                <w:b/>
                <w:bCs/>
                <w:color w:val="000000"/>
                <w:sz w:val="18"/>
                <w:szCs w:val="18"/>
              </w:rPr>
              <w:t> </w:t>
            </w:r>
          </w:p>
        </w:tc>
        <w:tc>
          <w:tcPr>
            <w:tcW w:w="0" w:type="auto"/>
            <w:tcBorders>
              <w:top w:val="nil"/>
              <w:left w:val="nil"/>
              <w:bottom w:val="double" w:sz="6" w:space="0" w:color="auto"/>
              <w:right w:val="nil"/>
            </w:tcBorders>
            <w:shd w:val="clear" w:color="000000" w:fill="FFFFFF"/>
            <w:vAlign w:val="center"/>
            <w:hideMark/>
          </w:tcPr>
          <w:p w:rsidR="00575303" w:rsidRPr="00D82176" w:rsidRDefault="00575303" w:rsidP="00B85AF2">
            <w:pPr>
              <w:jc w:val="right"/>
              <w:rPr>
                <w:b/>
                <w:bCs/>
                <w:color w:val="000000"/>
                <w:sz w:val="18"/>
                <w:szCs w:val="18"/>
              </w:rPr>
            </w:pPr>
            <w:r w:rsidRPr="00D82176">
              <w:rPr>
                <w:b/>
                <w:bCs/>
                <w:color w:val="000000"/>
                <w:sz w:val="18"/>
                <w:szCs w:val="18"/>
              </w:rPr>
              <w:t xml:space="preserve">    782.151 </w:t>
            </w:r>
          </w:p>
        </w:tc>
        <w:tc>
          <w:tcPr>
            <w:tcW w:w="256" w:type="dxa"/>
            <w:tcBorders>
              <w:top w:val="nil"/>
              <w:left w:val="nil"/>
              <w:bottom w:val="nil"/>
              <w:right w:val="nil"/>
            </w:tcBorders>
            <w:shd w:val="clear" w:color="000000" w:fill="FFFFFF"/>
            <w:vAlign w:val="center"/>
            <w:hideMark/>
          </w:tcPr>
          <w:p w:rsidR="00575303" w:rsidRPr="00D82176" w:rsidRDefault="00575303" w:rsidP="00B85AF2">
            <w:pPr>
              <w:jc w:val="right"/>
              <w:rPr>
                <w:b/>
                <w:bCs/>
                <w:color w:val="000000"/>
                <w:sz w:val="18"/>
                <w:szCs w:val="18"/>
              </w:rPr>
            </w:pPr>
            <w:r w:rsidRPr="00D82176">
              <w:rPr>
                <w:b/>
                <w:bCs/>
                <w:color w:val="000000"/>
                <w:sz w:val="18"/>
                <w:szCs w:val="18"/>
              </w:rPr>
              <w:t> </w:t>
            </w:r>
          </w:p>
        </w:tc>
        <w:tc>
          <w:tcPr>
            <w:tcW w:w="0" w:type="auto"/>
            <w:tcBorders>
              <w:top w:val="nil"/>
              <w:left w:val="nil"/>
              <w:bottom w:val="double" w:sz="6" w:space="0" w:color="auto"/>
              <w:right w:val="nil"/>
            </w:tcBorders>
            <w:shd w:val="clear" w:color="000000" w:fill="FFFFFF"/>
            <w:vAlign w:val="center"/>
            <w:hideMark/>
          </w:tcPr>
          <w:p w:rsidR="00575303" w:rsidRPr="00D82176" w:rsidRDefault="00575303" w:rsidP="00B85AF2">
            <w:pPr>
              <w:jc w:val="right"/>
              <w:rPr>
                <w:b/>
                <w:bCs/>
                <w:color w:val="000000"/>
                <w:sz w:val="18"/>
                <w:szCs w:val="18"/>
              </w:rPr>
            </w:pPr>
            <w:r w:rsidRPr="00D82176">
              <w:rPr>
                <w:b/>
                <w:bCs/>
                <w:color w:val="000000"/>
                <w:sz w:val="18"/>
                <w:szCs w:val="18"/>
              </w:rPr>
              <w:t xml:space="preserve">    625.157 </w:t>
            </w:r>
          </w:p>
        </w:tc>
      </w:tr>
      <w:tr w:rsidR="001F4559" w:rsidRPr="00D82176" w:rsidTr="00B85AF2">
        <w:trPr>
          <w:trHeight w:val="20"/>
        </w:trPr>
        <w:tc>
          <w:tcPr>
            <w:tcW w:w="2160" w:type="dxa"/>
            <w:tcBorders>
              <w:top w:val="nil"/>
              <w:left w:val="nil"/>
              <w:bottom w:val="nil"/>
              <w:right w:val="nil"/>
            </w:tcBorders>
            <w:shd w:val="clear" w:color="000000" w:fill="FFFFFF"/>
            <w:vAlign w:val="center"/>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760" w:type="dxa"/>
            <w:tcBorders>
              <w:top w:val="nil"/>
              <w:left w:val="nil"/>
              <w:bottom w:val="nil"/>
              <w:right w:val="nil"/>
            </w:tcBorders>
            <w:shd w:val="clear" w:color="000000" w:fill="FFFFFF"/>
            <w:vAlign w:val="center"/>
            <w:hideMark/>
          </w:tcPr>
          <w:p w:rsidR="00575303" w:rsidRPr="00D82176" w:rsidRDefault="00575303" w:rsidP="00575303">
            <w:pPr>
              <w:jc w:val="cente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1090" w:type="dxa"/>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1050" w:type="dxa"/>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256" w:type="dxa"/>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vAlign w:val="center"/>
            <w:hideMark/>
          </w:tcPr>
          <w:p w:rsidR="00575303" w:rsidRPr="00D82176" w:rsidRDefault="00575303" w:rsidP="00575303">
            <w:pPr>
              <w:jc w:val="right"/>
              <w:rPr>
                <w:color w:val="000000"/>
                <w:sz w:val="18"/>
                <w:szCs w:val="18"/>
              </w:rPr>
            </w:pPr>
            <w:r w:rsidRPr="00D82176">
              <w:rPr>
                <w:color w:val="000000"/>
                <w:sz w:val="18"/>
                <w:szCs w:val="18"/>
              </w:rPr>
              <w:t> </w:t>
            </w:r>
          </w:p>
        </w:tc>
      </w:tr>
      <w:tr w:rsidR="001F4559" w:rsidRPr="00D82176" w:rsidTr="00B85AF2">
        <w:trPr>
          <w:trHeight w:val="20"/>
        </w:trPr>
        <w:tc>
          <w:tcPr>
            <w:tcW w:w="2160" w:type="dxa"/>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760" w:type="dxa"/>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1090" w:type="dxa"/>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1050" w:type="dxa"/>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256" w:type="dxa"/>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r>
      <w:tr w:rsidR="00575303" w:rsidRPr="00D82176" w:rsidTr="00B85AF2">
        <w:trPr>
          <w:trHeight w:val="20"/>
        </w:trPr>
        <w:tc>
          <w:tcPr>
            <w:tcW w:w="8888" w:type="dxa"/>
            <w:gridSpan w:val="13"/>
            <w:tcBorders>
              <w:top w:val="nil"/>
              <w:left w:val="nil"/>
              <w:bottom w:val="nil"/>
              <w:right w:val="nil"/>
            </w:tcBorders>
            <w:shd w:val="clear" w:color="000000" w:fill="FFFFFF"/>
            <w:noWrap/>
            <w:vAlign w:val="bottom"/>
          </w:tcPr>
          <w:p w:rsidR="00575303" w:rsidRPr="00D82176" w:rsidRDefault="00575303" w:rsidP="00D82176">
            <w:pPr>
              <w:jc w:val="both"/>
              <w:rPr>
                <w:color w:val="000000"/>
                <w:sz w:val="18"/>
                <w:szCs w:val="18"/>
              </w:rPr>
            </w:pPr>
            <w:r w:rsidRPr="00D82176">
              <w:rPr>
                <w:color w:val="000000"/>
                <w:sz w:val="18"/>
                <w:szCs w:val="18"/>
              </w:rPr>
              <w:t>[1] O saldo de obras em andamento está acrescido de benfeitorias em prédios de terceiros, razão pelo qual há depreciação.</w:t>
            </w:r>
          </w:p>
        </w:tc>
      </w:tr>
      <w:tr w:rsidR="001F4559" w:rsidRPr="00D82176" w:rsidTr="00B85AF2">
        <w:trPr>
          <w:trHeight w:val="20"/>
        </w:trPr>
        <w:tc>
          <w:tcPr>
            <w:tcW w:w="2160" w:type="dxa"/>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760" w:type="dxa"/>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1090" w:type="dxa"/>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1050" w:type="dxa"/>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256" w:type="dxa"/>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c>
          <w:tcPr>
            <w:tcW w:w="0" w:type="auto"/>
            <w:tcBorders>
              <w:top w:val="nil"/>
              <w:left w:val="nil"/>
              <w:bottom w:val="nil"/>
              <w:right w:val="nil"/>
            </w:tcBorders>
            <w:shd w:val="clear" w:color="000000" w:fill="FFFFFF"/>
            <w:noWrap/>
            <w:vAlign w:val="bottom"/>
            <w:hideMark/>
          </w:tcPr>
          <w:p w:rsidR="00575303" w:rsidRPr="00D82176" w:rsidRDefault="00575303" w:rsidP="00575303">
            <w:pPr>
              <w:rPr>
                <w:color w:val="000000"/>
                <w:sz w:val="18"/>
                <w:szCs w:val="18"/>
              </w:rPr>
            </w:pPr>
            <w:r w:rsidRPr="00D82176">
              <w:rPr>
                <w:color w:val="000000"/>
                <w:sz w:val="18"/>
                <w:szCs w:val="18"/>
              </w:rPr>
              <w:t> </w:t>
            </w:r>
          </w:p>
        </w:tc>
      </w:tr>
    </w:tbl>
    <w:p w:rsidR="00534053" w:rsidRPr="00FD7B48" w:rsidRDefault="00534053" w:rsidP="00534053">
      <w:pPr>
        <w:tabs>
          <w:tab w:val="left" w:pos="851"/>
        </w:tabs>
        <w:jc w:val="both"/>
      </w:pPr>
      <w:r w:rsidRPr="00FD7B48">
        <w:t xml:space="preserve">O Imobilizado </w:t>
      </w:r>
      <w:r w:rsidR="00C00515" w:rsidRPr="00FD7B48">
        <w:t>é</w:t>
      </w:r>
      <w:r w:rsidRPr="00FD7B48">
        <w:t xml:space="preserve"> </w:t>
      </w:r>
      <w:r w:rsidR="00C00515" w:rsidRPr="00FD7B48">
        <w:t>mensurado</w:t>
      </w:r>
      <w:r w:rsidRPr="00FD7B48">
        <w:t xml:space="preserve"> pelo seu custo histórico, menos depreciação acumulada. Os terrenos não são depreciados</w:t>
      </w:r>
      <w:r w:rsidR="00C00515" w:rsidRPr="00FD7B48">
        <w:t>.</w:t>
      </w:r>
    </w:p>
    <w:p w:rsidR="00534053" w:rsidRPr="00FD7B48" w:rsidRDefault="00534053" w:rsidP="00534053">
      <w:pPr>
        <w:jc w:val="both"/>
      </w:pPr>
    </w:p>
    <w:p w:rsidR="00534053" w:rsidRPr="00FD7B48" w:rsidRDefault="00232EA0" w:rsidP="00C00515">
      <w:pPr>
        <w:tabs>
          <w:tab w:val="left" w:pos="851"/>
        </w:tabs>
        <w:jc w:val="both"/>
      </w:pPr>
      <w:r>
        <w:t>A depreciação</w:t>
      </w:r>
      <w:r w:rsidR="00534053" w:rsidRPr="00FD7B48">
        <w:t xml:space="preserve"> está demonstrada pelo valor acumulado da data do início d</w:t>
      </w:r>
      <w:r w:rsidR="00C762F4">
        <w:t>a</w:t>
      </w:r>
      <w:r w:rsidR="00534053" w:rsidRPr="00FD7B48">
        <w:t xml:space="preserve"> operação na Instituição acrescido da depreciação do custo atribuído a partir do exercício de 2010. </w:t>
      </w:r>
      <w:r w:rsidR="00C00515" w:rsidRPr="00FD7B48">
        <w:t>A</w:t>
      </w:r>
      <w:r w:rsidR="00534053" w:rsidRPr="00FD7B48">
        <w:t xml:space="preserve">s depreciações são calculadas usando o método linear, considerando os custos </w:t>
      </w:r>
      <w:r w:rsidR="002010E3" w:rsidRPr="00FD7B48">
        <w:t xml:space="preserve">dos ativos </w:t>
      </w:r>
      <w:r w:rsidR="00534053" w:rsidRPr="00FD7B48">
        <w:t>durante a vida útil estimada</w:t>
      </w:r>
      <w:r w:rsidR="002010E3" w:rsidRPr="00FD7B48">
        <w:t xml:space="preserve"> dos mesmos</w:t>
      </w:r>
      <w:r w:rsidR="00534053" w:rsidRPr="00FD7B48">
        <w:t>.</w:t>
      </w:r>
    </w:p>
    <w:p w:rsidR="00FE0281" w:rsidRPr="00FD7B48" w:rsidRDefault="00FE0281" w:rsidP="00B20F98">
      <w:pPr>
        <w:jc w:val="both"/>
      </w:pPr>
    </w:p>
    <w:p w:rsidR="00B85ECC" w:rsidRPr="00FD7B48" w:rsidRDefault="00B85ECC" w:rsidP="00BF21BA">
      <w:pPr>
        <w:pStyle w:val="Subttulo"/>
        <w:numPr>
          <w:ilvl w:val="0"/>
          <w:numId w:val="2"/>
        </w:numPr>
      </w:pPr>
      <w:r w:rsidRPr="00FD7B48">
        <w:tab/>
        <w:t>Movimentação do Ativo Imobilizado</w:t>
      </w:r>
    </w:p>
    <w:p w:rsidR="00B85ECC" w:rsidRPr="00FD7B48" w:rsidRDefault="00B85ECC" w:rsidP="00B20F98">
      <w:pPr>
        <w:jc w:val="both"/>
      </w:pPr>
    </w:p>
    <w:tbl>
      <w:tblPr>
        <w:tblW w:w="8839" w:type="dxa"/>
        <w:tblInd w:w="55" w:type="dxa"/>
        <w:tblCellMar>
          <w:left w:w="70" w:type="dxa"/>
          <w:right w:w="70" w:type="dxa"/>
        </w:tblCellMar>
        <w:tblLook w:val="04A0" w:firstRow="1" w:lastRow="0" w:firstColumn="1" w:lastColumn="0" w:noHBand="0" w:noVBand="1"/>
      </w:tblPr>
      <w:tblGrid>
        <w:gridCol w:w="2000"/>
        <w:gridCol w:w="185"/>
        <w:gridCol w:w="1407"/>
        <w:gridCol w:w="185"/>
        <w:gridCol w:w="961"/>
        <w:gridCol w:w="185"/>
        <w:gridCol w:w="185"/>
        <w:gridCol w:w="1144"/>
        <w:gridCol w:w="185"/>
        <w:gridCol w:w="881"/>
        <w:gridCol w:w="185"/>
        <w:gridCol w:w="1336"/>
      </w:tblGrid>
      <w:tr w:rsidR="00124DF6" w:rsidRPr="00124DF6" w:rsidTr="00F87987">
        <w:trPr>
          <w:trHeight w:val="270"/>
        </w:trPr>
        <w:tc>
          <w:tcPr>
            <w:tcW w:w="2000" w:type="dxa"/>
            <w:tcBorders>
              <w:top w:val="nil"/>
              <w:left w:val="nil"/>
              <w:bottom w:val="nil"/>
              <w:right w:val="nil"/>
            </w:tcBorders>
            <w:shd w:val="clear" w:color="000000" w:fill="FFFFFF"/>
            <w:noWrap/>
            <w:vAlign w:val="bottom"/>
            <w:hideMark/>
          </w:tcPr>
          <w:p w:rsidR="00124DF6" w:rsidRPr="00124DF6" w:rsidRDefault="00124DF6" w:rsidP="00124DF6">
            <w:pPr>
              <w:rPr>
                <w:color w:val="000000"/>
                <w:sz w:val="18"/>
                <w:szCs w:val="18"/>
              </w:rPr>
            </w:pPr>
            <w:r w:rsidRPr="00124DF6">
              <w:rPr>
                <w:color w:val="000000"/>
                <w:sz w:val="18"/>
                <w:szCs w:val="18"/>
              </w:rPr>
              <w:t> </w:t>
            </w:r>
          </w:p>
        </w:tc>
        <w:tc>
          <w:tcPr>
            <w:tcW w:w="185" w:type="dxa"/>
            <w:tcBorders>
              <w:top w:val="nil"/>
              <w:left w:val="nil"/>
              <w:bottom w:val="nil"/>
              <w:right w:val="nil"/>
            </w:tcBorders>
            <w:shd w:val="clear" w:color="000000" w:fill="FFFFFF"/>
            <w:noWrap/>
            <w:vAlign w:val="bottom"/>
            <w:hideMark/>
          </w:tcPr>
          <w:p w:rsidR="00124DF6" w:rsidRPr="00124DF6" w:rsidRDefault="00124DF6" w:rsidP="00124DF6">
            <w:pPr>
              <w:rPr>
                <w:color w:val="000000"/>
                <w:sz w:val="18"/>
                <w:szCs w:val="18"/>
              </w:rPr>
            </w:pPr>
            <w:r w:rsidRPr="00124DF6">
              <w:rPr>
                <w:color w:val="000000"/>
                <w:sz w:val="18"/>
                <w:szCs w:val="18"/>
              </w:rPr>
              <w:t> </w:t>
            </w:r>
          </w:p>
        </w:tc>
        <w:tc>
          <w:tcPr>
            <w:tcW w:w="0" w:type="auto"/>
            <w:tcBorders>
              <w:top w:val="nil"/>
              <w:left w:val="nil"/>
              <w:bottom w:val="single" w:sz="8" w:space="0" w:color="auto"/>
              <w:right w:val="nil"/>
            </w:tcBorders>
            <w:shd w:val="clear" w:color="000000" w:fill="FFFFFF"/>
            <w:vAlign w:val="center"/>
            <w:hideMark/>
          </w:tcPr>
          <w:p w:rsidR="00124DF6" w:rsidRPr="00124DF6" w:rsidRDefault="00124DF6" w:rsidP="00524DD6">
            <w:pPr>
              <w:jc w:val="right"/>
              <w:rPr>
                <w:b/>
                <w:bCs/>
                <w:color w:val="000000"/>
                <w:sz w:val="18"/>
                <w:szCs w:val="18"/>
              </w:rPr>
            </w:pPr>
            <w:r w:rsidRPr="00124DF6">
              <w:rPr>
                <w:b/>
                <w:bCs/>
                <w:color w:val="000000"/>
                <w:sz w:val="18"/>
                <w:szCs w:val="18"/>
              </w:rPr>
              <w:t xml:space="preserve">Custo </w:t>
            </w:r>
            <w:r w:rsidR="00524DD6">
              <w:rPr>
                <w:b/>
                <w:bCs/>
                <w:color w:val="000000"/>
                <w:sz w:val="18"/>
                <w:szCs w:val="18"/>
              </w:rPr>
              <w:t>31/12/2016</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 </w:t>
            </w:r>
          </w:p>
        </w:tc>
        <w:tc>
          <w:tcPr>
            <w:tcW w:w="961" w:type="dxa"/>
            <w:tcBorders>
              <w:top w:val="nil"/>
              <w:left w:val="nil"/>
              <w:bottom w:val="single" w:sz="8" w:space="0" w:color="auto"/>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Aquisições</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 </w:t>
            </w:r>
          </w:p>
        </w:tc>
        <w:tc>
          <w:tcPr>
            <w:tcW w:w="1144" w:type="dxa"/>
            <w:tcBorders>
              <w:top w:val="nil"/>
              <w:left w:val="nil"/>
              <w:bottom w:val="single" w:sz="8" w:space="0" w:color="auto"/>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Ajuste Menos Valia</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 </w:t>
            </w:r>
          </w:p>
        </w:tc>
        <w:tc>
          <w:tcPr>
            <w:tcW w:w="881" w:type="dxa"/>
            <w:tcBorders>
              <w:top w:val="nil"/>
              <w:left w:val="nil"/>
              <w:bottom w:val="single" w:sz="8" w:space="0" w:color="auto"/>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Baixas</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 </w:t>
            </w:r>
          </w:p>
        </w:tc>
        <w:tc>
          <w:tcPr>
            <w:tcW w:w="0" w:type="auto"/>
            <w:tcBorders>
              <w:top w:val="nil"/>
              <w:left w:val="nil"/>
              <w:bottom w:val="single" w:sz="8" w:space="0" w:color="auto"/>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Custo 31/12/2017</w:t>
            </w:r>
          </w:p>
        </w:tc>
      </w:tr>
      <w:tr w:rsidR="00124DF6" w:rsidRPr="00124DF6" w:rsidTr="00F87987">
        <w:trPr>
          <w:trHeight w:val="255"/>
        </w:trPr>
        <w:tc>
          <w:tcPr>
            <w:tcW w:w="2000" w:type="dxa"/>
            <w:tcBorders>
              <w:top w:val="nil"/>
              <w:left w:val="nil"/>
              <w:bottom w:val="nil"/>
              <w:right w:val="nil"/>
            </w:tcBorders>
            <w:shd w:val="clear" w:color="000000" w:fill="FFFFFF"/>
            <w:vAlign w:val="center"/>
            <w:hideMark/>
          </w:tcPr>
          <w:p w:rsidR="00124DF6" w:rsidRPr="00124DF6" w:rsidRDefault="00124DF6" w:rsidP="00124DF6">
            <w:pPr>
              <w:rPr>
                <w:color w:val="000000"/>
                <w:sz w:val="18"/>
                <w:szCs w:val="18"/>
              </w:rPr>
            </w:pPr>
            <w:r w:rsidRPr="00124DF6">
              <w:rPr>
                <w:color w:val="000000"/>
                <w:sz w:val="18"/>
                <w:szCs w:val="18"/>
              </w:rPr>
              <w:t>Edifícios</w:t>
            </w:r>
          </w:p>
        </w:tc>
        <w:tc>
          <w:tcPr>
            <w:tcW w:w="185"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210.541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961" w:type="dxa"/>
            <w:tcBorders>
              <w:top w:val="nil"/>
              <w:left w:val="nil"/>
              <w:bottom w:val="nil"/>
              <w:right w:val="nil"/>
            </w:tcBorders>
            <w:shd w:val="clear" w:color="000000" w:fill="FFFFFF"/>
            <w:vAlign w:val="center"/>
            <w:hideMark/>
          </w:tcPr>
          <w:p w:rsidR="00124DF6" w:rsidRPr="00124DF6" w:rsidRDefault="00F87987" w:rsidP="00124DF6">
            <w:pPr>
              <w:jc w:val="right"/>
              <w:rPr>
                <w:color w:val="000000"/>
                <w:sz w:val="18"/>
                <w:szCs w:val="18"/>
              </w:rPr>
            </w:pPr>
            <w:r>
              <w:rPr>
                <w:color w:val="000000"/>
                <w:sz w:val="18"/>
                <w:szCs w:val="18"/>
              </w:rPr>
              <w:t>-</w:t>
            </w:r>
            <w:r w:rsidR="00124DF6"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1144"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881"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210.541 </w:t>
            </w:r>
          </w:p>
        </w:tc>
      </w:tr>
      <w:tr w:rsidR="00124DF6" w:rsidRPr="00124DF6" w:rsidTr="00F87987">
        <w:trPr>
          <w:trHeight w:val="255"/>
        </w:trPr>
        <w:tc>
          <w:tcPr>
            <w:tcW w:w="2000" w:type="dxa"/>
            <w:tcBorders>
              <w:top w:val="nil"/>
              <w:left w:val="nil"/>
              <w:bottom w:val="nil"/>
              <w:right w:val="nil"/>
            </w:tcBorders>
            <w:shd w:val="clear" w:color="000000" w:fill="FFFFFF"/>
            <w:vAlign w:val="center"/>
            <w:hideMark/>
          </w:tcPr>
          <w:p w:rsidR="00124DF6" w:rsidRPr="00124DF6" w:rsidRDefault="00124DF6" w:rsidP="00124DF6">
            <w:pPr>
              <w:rPr>
                <w:color w:val="000000"/>
                <w:sz w:val="18"/>
                <w:szCs w:val="18"/>
              </w:rPr>
            </w:pPr>
            <w:r w:rsidRPr="00124DF6">
              <w:rPr>
                <w:color w:val="000000"/>
                <w:sz w:val="18"/>
                <w:szCs w:val="18"/>
              </w:rPr>
              <w:t>Terrenos</w:t>
            </w:r>
          </w:p>
        </w:tc>
        <w:tc>
          <w:tcPr>
            <w:tcW w:w="185"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68.414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961" w:type="dxa"/>
            <w:tcBorders>
              <w:top w:val="nil"/>
              <w:left w:val="nil"/>
              <w:bottom w:val="nil"/>
              <w:right w:val="nil"/>
            </w:tcBorders>
            <w:shd w:val="clear" w:color="000000" w:fill="FFFFFF"/>
            <w:vAlign w:val="center"/>
            <w:hideMark/>
          </w:tcPr>
          <w:p w:rsidR="00124DF6" w:rsidRPr="00124DF6" w:rsidRDefault="00F87987" w:rsidP="00124DF6">
            <w:pPr>
              <w:jc w:val="right"/>
              <w:rPr>
                <w:color w:val="000000"/>
                <w:sz w:val="18"/>
                <w:szCs w:val="18"/>
              </w:rPr>
            </w:pPr>
            <w:r>
              <w:rPr>
                <w:color w:val="000000"/>
                <w:sz w:val="18"/>
                <w:szCs w:val="18"/>
              </w:rPr>
              <w:t>-</w:t>
            </w:r>
            <w:r w:rsidR="00124DF6"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1144"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881"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68.414 </w:t>
            </w:r>
          </w:p>
        </w:tc>
      </w:tr>
      <w:tr w:rsidR="00124DF6" w:rsidRPr="00124DF6" w:rsidTr="00F87987">
        <w:trPr>
          <w:trHeight w:val="315"/>
        </w:trPr>
        <w:tc>
          <w:tcPr>
            <w:tcW w:w="2000" w:type="dxa"/>
            <w:tcBorders>
              <w:top w:val="nil"/>
              <w:left w:val="nil"/>
              <w:bottom w:val="nil"/>
              <w:right w:val="nil"/>
            </w:tcBorders>
            <w:shd w:val="clear" w:color="000000" w:fill="FFFFFF"/>
            <w:vAlign w:val="center"/>
            <w:hideMark/>
          </w:tcPr>
          <w:p w:rsidR="00124DF6" w:rsidRPr="00124DF6" w:rsidRDefault="00124DF6" w:rsidP="00124DF6">
            <w:pPr>
              <w:rPr>
                <w:color w:val="000000"/>
                <w:sz w:val="18"/>
                <w:szCs w:val="18"/>
              </w:rPr>
            </w:pPr>
            <w:r w:rsidRPr="00124DF6">
              <w:rPr>
                <w:color w:val="000000"/>
                <w:sz w:val="18"/>
                <w:szCs w:val="18"/>
              </w:rPr>
              <w:t>Obras em Andamento</w:t>
            </w:r>
            <w:r w:rsidRPr="00124DF6">
              <w:rPr>
                <w:color w:val="000000"/>
                <w:sz w:val="18"/>
                <w:szCs w:val="18"/>
                <w:vertAlign w:val="superscript"/>
              </w:rPr>
              <w:t>1</w:t>
            </w:r>
          </w:p>
        </w:tc>
        <w:tc>
          <w:tcPr>
            <w:tcW w:w="185"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290.617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961"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167.575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1144"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881"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458.192 </w:t>
            </w:r>
          </w:p>
        </w:tc>
      </w:tr>
      <w:tr w:rsidR="00124DF6" w:rsidRPr="00124DF6" w:rsidTr="00F87987">
        <w:trPr>
          <w:trHeight w:val="255"/>
        </w:trPr>
        <w:tc>
          <w:tcPr>
            <w:tcW w:w="2000" w:type="dxa"/>
            <w:tcBorders>
              <w:top w:val="nil"/>
              <w:left w:val="nil"/>
              <w:bottom w:val="nil"/>
              <w:right w:val="nil"/>
            </w:tcBorders>
            <w:shd w:val="clear" w:color="000000" w:fill="FFFFFF"/>
            <w:vAlign w:val="center"/>
            <w:hideMark/>
          </w:tcPr>
          <w:p w:rsidR="00124DF6" w:rsidRPr="00124DF6" w:rsidRDefault="00124DF6" w:rsidP="00124DF6">
            <w:pPr>
              <w:rPr>
                <w:color w:val="000000"/>
                <w:sz w:val="18"/>
                <w:szCs w:val="18"/>
              </w:rPr>
            </w:pPr>
            <w:r w:rsidRPr="00124DF6">
              <w:rPr>
                <w:color w:val="000000"/>
                <w:sz w:val="18"/>
                <w:szCs w:val="18"/>
              </w:rPr>
              <w:t>Bens Móveis e Imóveis</w:t>
            </w:r>
          </w:p>
        </w:tc>
        <w:tc>
          <w:tcPr>
            <w:tcW w:w="185"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202.186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961"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6.193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1144"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2.563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881"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(629)</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210.312 </w:t>
            </w:r>
          </w:p>
        </w:tc>
      </w:tr>
      <w:tr w:rsidR="00124DF6" w:rsidRPr="00124DF6" w:rsidTr="00F87987">
        <w:trPr>
          <w:trHeight w:val="255"/>
        </w:trPr>
        <w:tc>
          <w:tcPr>
            <w:tcW w:w="2000" w:type="dxa"/>
            <w:tcBorders>
              <w:top w:val="nil"/>
              <w:left w:val="nil"/>
              <w:bottom w:val="nil"/>
              <w:right w:val="nil"/>
            </w:tcBorders>
            <w:shd w:val="clear" w:color="000000" w:fill="FFFFFF"/>
            <w:vAlign w:val="center"/>
            <w:hideMark/>
          </w:tcPr>
          <w:p w:rsidR="00124DF6" w:rsidRPr="00124DF6" w:rsidRDefault="00124DF6" w:rsidP="00124DF6">
            <w:pPr>
              <w:rPr>
                <w:color w:val="000000"/>
                <w:sz w:val="18"/>
                <w:szCs w:val="18"/>
              </w:rPr>
            </w:pPr>
            <w:r w:rsidRPr="00124DF6">
              <w:rPr>
                <w:color w:val="000000"/>
                <w:sz w:val="18"/>
                <w:szCs w:val="18"/>
              </w:rPr>
              <w:t>Informática</w:t>
            </w:r>
          </w:p>
        </w:tc>
        <w:tc>
          <w:tcPr>
            <w:tcW w:w="185"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20.421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961"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2.630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1144" w:type="dxa"/>
            <w:tcBorders>
              <w:top w:val="nil"/>
              <w:left w:val="nil"/>
              <w:bottom w:val="nil"/>
              <w:right w:val="nil"/>
            </w:tcBorders>
            <w:shd w:val="clear" w:color="000000" w:fill="FFFFFF"/>
            <w:vAlign w:val="center"/>
            <w:hideMark/>
          </w:tcPr>
          <w:p w:rsidR="00124DF6" w:rsidRPr="00124DF6" w:rsidRDefault="00CB22CD" w:rsidP="00124DF6">
            <w:pPr>
              <w:jc w:val="right"/>
              <w:rPr>
                <w:color w:val="000000"/>
                <w:sz w:val="18"/>
                <w:szCs w:val="18"/>
              </w:rPr>
            </w:pPr>
            <w:r>
              <w:rPr>
                <w:color w:val="000000"/>
                <w:sz w:val="18"/>
                <w:szCs w:val="18"/>
              </w:rPr>
              <w:t xml:space="preserve">               </w:t>
            </w:r>
            <w:r w:rsidR="00124DF6" w:rsidRPr="00124DF6">
              <w:rPr>
                <w:color w:val="000000"/>
                <w:sz w:val="18"/>
                <w:szCs w:val="18"/>
              </w:rPr>
              <w:t xml:space="preserve">196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881"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(187)</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23.060 </w:t>
            </w:r>
          </w:p>
        </w:tc>
      </w:tr>
      <w:tr w:rsidR="00124DF6" w:rsidRPr="00124DF6" w:rsidTr="00F87987">
        <w:trPr>
          <w:trHeight w:val="270"/>
        </w:trPr>
        <w:tc>
          <w:tcPr>
            <w:tcW w:w="2000" w:type="dxa"/>
            <w:tcBorders>
              <w:top w:val="nil"/>
              <w:left w:val="nil"/>
              <w:bottom w:val="nil"/>
              <w:right w:val="nil"/>
            </w:tcBorders>
            <w:shd w:val="clear" w:color="000000" w:fill="FFFFFF"/>
            <w:vAlign w:val="center"/>
            <w:hideMark/>
          </w:tcPr>
          <w:p w:rsidR="00124DF6" w:rsidRPr="00124DF6" w:rsidRDefault="00124DF6" w:rsidP="00124DF6">
            <w:pPr>
              <w:rPr>
                <w:color w:val="000000"/>
                <w:sz w:val="18"/>
                <w:szCs w:val="18"/>
              </w:rPr>
            </w:pPr>
            <w:r w:rsidRPr="00124DF6">
              <w:rPr>
                <w:color w:val="000000"/>
                <w:sz w:val="18"/>
                <w:szCs w:val="18"/>
              </w:rPr>
              <w:t>Veículos Diversos</w:t>
            </w:r>
          </w:p>
        </w:tc>
        <w:tc>
          <w:tcPr>
            <w:tcW w:w="185" w:type="dxa"/>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single" w:sz="8" w:space="0" w:color="auto"/>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1.003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961" w:type="dxa"/>
            <w:tcBorders>
              <w:top w:val="nil"/>
              <w:left w:val="nil"/>
              <w:bottom w:val="single" w:sz="8" w:space="0" w:color="auto"/>
              <w:right w:val="nil"/>
            </w:tcBorders>
            <w:shd w:val="clear" w:color="000000" w:fill="FFFFFF"/>
            <w:vAlign w:val="center"/>
            <w:hideMark/>
          </w:tcPr>
          <w:p w:rsidR="00124DF6" w:rsidRPr="00124DF6" w:rsidRDefault="00F87987" w:rsidP="00124DF6">
            <w:pPr>
              <w:jc w:val="right"/>
              <w:rPr>
                <w:color w:val="000000"/>
                <w:sz w:val="18"/>
                <w:szCs w:val="18"/>
              </w:rPr>
            </w:pPr>
            <w:r>
              <w:rPr>
                <w:color w:val="000000"/>
                <w:sz w:val="18"/>
                <w:szCs w:val="18"/>
              </w:rPr>
              <w:t>-</w:t>
            </w:r>
            <w:r w:rsidR="00124DF6"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1144" w:type="dxa"/>
            <w:tcBorders>
              <w:top w:val="nil"/>
              <w:left w:val="nil"/>
              <w:bottom w:val="single" w:sz="8" w:space="0" w:color="auto"/>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13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881" w:type="dxa"/>
            <w:tcBorders>
              <w:top w:val="nil"/>
              <w:left w:val="nil"/>
              <w:bottom w:val="single" w:sz="8" w:space="0" w:color="auto"/>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w:t>
            </w:r>
          </w:p>
        </w:tc>
        <w:tc>
          <w:tcPr>
            <w:tcW w:w="0" w:type="auto"/>
            <w:tcBorders>
              <w:top w:val="nil"/>
              <w:left w:val="nil"/>
              <w:bottom w:val="single" w:sz="8" w:space="0" w:color="auto"/>
              <w:right w:val="nil"/>
            </w:tcBorders>
            <w:shd w:val="clear" w:color="000000" w:fill="FFFFFF"/>
            <w:vAlign w:val="center"/>
            <w:hideMark/>
          </w:tcPr>
          <w:p w:rsidR="00124DF6" w:rsidRPr="00124DF6" w:rsidRDefault="00124DF6" w:rsidP="00124DF6">
            <w:pPr>
              <w:jc w:val="right"/>
              <w:rPr>
                <w:color w:val="000000"/>
                <w:sz w:val="18"/>
                <w:szCs w:val="18"/>
              </w:rPr>
            </w:pPr>
            <w:r w:rsidRPr="00124DF6">
              <w:rPr>
                <w:color w:val="000000"/>
                <w:sz w:val="18"/>
                <w:szCs w:val="18"/>
              </w:rPr>
              <w:t xml:space="preserve">                1.016 </w:t>
            </w:r>
          </w:p>
        </w:tc>
      </w:tr>
      <w:tr w:rsidR="00124DF6" w:rsidRPr="00124DF6" w:rsidTr="00F87987">
        <w:trPr>
          <w:trHeight w:val="270"/>
        </w:trPr>
        <w:tc>
          <w:tcPr>
            <w:tcW w:w="2000" w:type="dxa"/>
            <w:tcBorders>
              <w:top w:val="nil"/>
              <w:left w:val="nil"/>
              <w:bottom w:val="nil"/>
              <w:right w:val="nil"/>
            </w:tcBorders>
            <w:shd w:val="clear" w:color="000000" w:fill="FFFFFF"/>
            <w:vAlign w:val="center"/>
            <w:hideMark/>
          </w:tcPr>
          <w:p w:rsidR="00124DF6" w:rsidRPr="00124DF6" w:rsidRDefault="00124DF6" w:rsidP="00124DF6">
            <w:pPr>
              <w:rPr>
                <w:b/>
                <w:bCs/>
                <w:color w:val="000000"/>
                <w:sz w:val="18"/>
                <w:szCs w:val="18"/>
              </w:rPr>
            </w:pPr>
            <w:r w:rsidRPr="00124DF6">
              <w:rPr>
                <w:b/>
                <w:bCs/>
                <w:color w:val="000000"/>
                <w:sz w:val="18"/>
                <w:szCs w:val="18"/>
              </w:rPr>
              <w:t>Total Imobilizado</w:t>
            </w:r>
          </w:p>
        </w:tc>
        <w:tc>
          <w:tcPr>
            <w:tcW w:w="185" w:type="dxa"/>
            <w:tcBorders>
              <w:top w:val="nil"/>
              <w:left w:val="nil"/>
              <w:bottom w:val="nil"/>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 </w:t>
            </w:r>
          </w:p>
        </w:tc>
        <w:tc>
          <w:tcPr>
            <w:tcW w:w="0" w:type="auto"/>
            <w:tcBorders>
              <w:top w:val="nil"/>
              <w:left w:val="nil"/>
              <w:bottom w:val="double" w:sz="6" w:space="0" w:color="auto"/>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 xml:space="preserve">                        793.182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 </w:t>
            </w:r>
          </w:p>
        </w:tc>
        <w:tc>
          <w:tcPr>
            <w:tcW w:w="961" w:type="dxa"/>
            <w:tcBorders>
              <w:top w:val="nil"/>
              <w:left w:val="nil"/>
              <w:bottom w:val="double" w:sz="6" w:space="0" w:color="auto"/>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 xml:space="preserve">                  176.398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 </w:t>
            </w:r>
          </w:p>
        </w:tc>
        <w:tc>
          <w:tcPr>
            <w:tcW w:w="1144" w:type="dxa"/>
            <w:tcBorders>
              <w:top w:val="nil"/>
              <w:left w:val="nil"/>
              <w:bottom w:val="double" w:sz="6" w:space="0" w:color="auto"/>
              <w:right w:val="nil"/>
            </w:tcBorders>
            <w:shd w:val="clear" w:color="000000" w:fill="FFFFFF"/>
            <w:vAlign w:val="center"/>
            <w:hideMark/>
          </w:tcPr>
          <w:p w:rsidR="00124DF6" w:rsidRPr="00124DF6" w:rsidRDefault="00124DF6" w:rsidP="00D45534">
            <w:pPr>
              <w:jc w:val="right"/>
              <w:rPr>
                <w:b/>
                <w:bCs/>
                <w:color w:val="000000"/>
                <w:sz w:val="18"/>
                <w:szCs w:val="18"/>
              </w:rPr>
            </w:pPr>
            <w:r w:rsidRPr="00124DF6">
              <w:rPr>
                <w:b/>
                <w:bCs/>
                <w:color w:val="000000"/>
                <w:sz w:val="18"/>
                <w:szCs w:val="18"/>
              </w:rPr>
              <w:t xml:space="preserve">                         </w:t>
            </w:r>
            <w:r w:rsidR="00D45534">
              <w:rPr>
                <w:b/>
                <w:bCs/>
                <w:color w:val="000000"/>
                <w:sz w:val="18"/>
                <w:szCs w:val="18"/>
              </w:rPr>
              <w:t xml:space="preserve">  2.772</w:t>
            </w:r>
            <w:r w:rsidRPr="00124DF6">
              <w:rPr>
                <w:b/>
                <w:bCs/>
                <w:color w:val="000000"/>
                <w:sz w:val="18"/>
                <w:szCs w:val="18"/>
              </w:rPr>
              <w:t xml:space="preserve"> </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 </w:t>
            </w:r>
          </w:p>
        </w:tc>
        <w:tc>
          <w:tcPr>
            <w:tcW w:w="881" w:type="dxa"/>
            <w:tcBorders>
              <w:top w:val="nil"/>
              <w:left w:val="nil"/>
              <w:bottom w:val="double" w:sz="6" w:space="0" w:color="auto"/>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 xml:space="preserve">                          (816)</w:t>
            </w:r>
          </w:p>
        </w:tc>
        <w:tc>
          <w:tcPr>
            <w:tcW w:w="0" w:type="auto"/>
            <w:tcBorders>
              <w:top w:val="nil"/>
              <w:left w:val="nil"/>
              <w:bottom w:val="nil"/>
              <w:right w:val="nil"/>
            </w:tcBorders>
            <w:shd w:val="clear" w:color="000000" w:fill="FFFFFF"/>
            <w:vAlign w:val="center"/>
            <w:hideMark/>
          </w:tcPr>
          <w:p w:rsidR="00124DF6" w:rsidRPr="00124DF6" w:rsidRDefault="00124DF6" w:rsidP="00124DF6">
            <w:pPr>
              <w:jc w:val="right"/>
              <w:rPr>
                <w:b/>
                <w:bCs/>
                <w:color w:val="000000"/>
                <w:sz w:val="18"/>
                <w:szCs w:val="18"/>
              </w:rPr>
            </w:pPr>
            <w:r w:rsidRPr="00124DF6">
              <w:rPr>
                <w:b/>
                <w:bCs/>
                <w:color w:val="000000"/>
                <w:sz w:val="18"/>
                <w:szCs w:val="18"/>
              </w:rPr>
              <w:t> </w:t>
            </w:r>
          </w:p>
        </w:tc>
        <w:tc>
          <w:tcPr>
            <w:tcW w:w="0" w:type="auto"/>
            <w:tcBorders>
              <w:top w:val="nil"/>
              <w:left w:val="nil"/>
              <w:bottom w:val="double" w:sz="6" w:space="0" w:color="auto"/>
              <w:right w:val="nil"/>
            </w:tcBorders>
            <w:shd w:val="clear" w:color="000000" w:fill="FFFFFF"/>
            <w:vAlign w:val="center"/>
            <w:hideMark/>
          </w:tcPr>
          <w:p w:rsidR="00124DF6" w:rsidRPr="00124DF6" w:rsidRDefault="00124DF6" w:rsidP="00C26B67">
            <w:pPr>
              <w:jc w:val="right"/>
              <w:rPr>
                <w:b/>
                <w:bCs/>
                <w:color w:val="000000"/>
                <w:sz w:val="18"/>
                <w:szCs w:val="18"/>
              </w:rPr>
            </w:pPr>
            <w:r w:rsidRPr="00124DF6">
              <w:rPr>
                <w:b/>
                <w:bCs/>
                <w:color w:val="000000"/>
                <w:sz w:val="18"/>
                <w:szCs w:val="18"/>
              </w:rPr>
              <w:t xml:space="preserve">                     971.53</w:t>
            </w:r>
            <w:r w:rsidR="00C26B67">
              <w:rPr>
                <w:b/>
                <w:bCs/>
                <w:color w:val="000000"/>
                <w:sz w:val="18"/>
                <w:szCs w:val="18"/>
              </w:rPr>
              <w:t>5</w:t>
            </w:r>
            <w:r w:rsidRPr="00124DF6">
              <w:rPr>
                <w:b/>
                <w:bCs/>
                <w:color w:val="000000"/>
                <w:sz w:val="18"/>
                <w:szCs w:val="18"/>
              </w:rPr>
              <w:t xml:space="preserve"> </w:t>
            </w:r>
          </w:p>
        </w:tc>
      </w:tr>
    </w:tbl>
    <w:p w:rsidR="00B85AF2" w:rsidRDefault="00B85AF2" w:rsidP="005F51DD">
      <w:pPr>
        <w:rPr>
          <w:sz w:val="18"/>
          <w:szCs w:val="18"/>
        </w:rPr>
      </w:pPr>
    </w:p>
    <w:p w:rsidR="006874C1" w:rsidRPr="00FD7B48" w:rsidRDefault="006874C1" w:rsidP="005F51DD">
      <w:pPr>
        <w:rPr>
          <w:sz w:val="18"/>
          <w:szCs w:val="18"/>
        </w:rPr>
      </w:pPr>
    </w:p>
    <w:p w:rsidR="00534053" w:rsidRPr="00FD7B48" w:rsidRDefault="00520BE9" w:rsidP="00F27C83">
      <w:pPr>
        <w:pStyle w:val="Ttulo"/>
        <w:outlineLvl w:val="0"/>
      </w:pPr>
      <w:bookmarkStart w:id="21" w:name="_Ref466465941"/>
      <w:bookmarkStart w:id="22" w:name="_Toc512497273"/>
      <w:r w:rsidRPr="00FD7B48">
        <w:t>Intangível</w:t>
      </w:r>
      <w:bookmarkEnd w:id="21"/>
      <w:bookmarkEnd w:id="22"/>
    </w:p>
    <w:p w:rsidR="00777DF2" w:rsidRPr="00FD7B48" w:rsidRDefault="00777DF2" w:rsidP="00777DF2"/>
    <w:tbl>
      <w:tblPr>
        <w:tblW w:w="5000" w:type="pct"/>
        <w:tblInd w:w="70" w:type="dxa"/>
        <w:tblCellMar>
          <w:left w:w="70" w:type="dxa"/>
          <w:right w:w="70" w:type="dxa"/>
        </w:tblCellMar>
        <w:tblLook w:val="04A0" w:firstRow="1" w:lastRow="0" w:firstColumn="1" w:lastColumn="0" w:noHBand="0" w:noVBand="1"/>
      </w:tblPr>
      <w:tblGrid>
        <w:gridCol w:w="1806"/>
        <w:gridCol w:w="219"/>
        <w:gridCol w:w="1015"/>
        <w:gridCol w:w="219"/>
        <w:gridCol w:w="1225"/>
        <w:gridCol w:w="219"/>
        <w:gridCol w:w="1090"/>
        <w:gridCol w:w="219"/>
        <w:gridCol w:w="219"/>
        <w:gridCol w:w="1354"/>
        <w:gridCol w:w="219"/>
        <w:gridCol w:w="1408"/>
      </w:tblGrid>
      <w:tr w:rsidR="00720B1E" w:rsidRPr="00B85AF2" w:rsidTr="004A1708">
        <w:trPr>
          <w:trHeight w:val="20"/>
        </w:trPr>
        <w:tc>
          <w:tcPr>
            <w:tcW w:w="981" w:type="pct"/>
            <w:tcBorders>
              <w:top w:val="nil"/>
              <w:left w:val="nil"/>
              <w:bottom w:val="nil"/>
              <w:right w:val="nil"/>
            </w:tcBorders>
            <w:shd w:val="clear" w:color="000000" w:fill="FFFFFF"/>
            <w:vAlign w:val="center"/>
            <w:hideMark/>
          </w:tcPr>
          <w:p w:rsidR="00720B1E" w:rsidRPr="00B85AF2" w:rsidRDefault="00720B1E" w:rsidP="00720B1E">
            <w:pPr>
              <w:rPr>
                <w:color w:val="000000"/>
                <w:sz w:val="18"/>
                <w:szCs w:val="18"/>
              </w:rPr>
            </w:pPr>
            <w:r w:rsidRPr="00B85AF2">
              <w:rPr>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551" w:type="pct"/>
            <w:tcBorders>
              <w:top w:val="nil"/>
              <w:left w:val="nil"/>
              <w:bottom w:val="single" w:sz="4" w:space="0" w:color="auto"/>
              <w:right w:val="nil"/>
            </w:tcBorders>
            <w:shd w:val="clear" w:color="000000" w:fill="FFFFFF"/>
            <w:vAlign w:val="center"/>
            <w:hideMark/>
          </w:tcPr>
          <w:p w:rsidR="00720B1E" w:rsidRPr="004A1708" w:rsidRDefault="00720B1E" w:rsidP="00720B1E">
            <w:pPr>
              <w:jc w:val="center"/>
              <w:rPr>
                <w:b/>
                <w:bCs/>
                <w:color w:val="000000"/>
                <w:sz w:val="18"/>
                <w:szCs w:val="18"/>
              </w:rPr>
            </w:pPr>
            <w:r w:rsidRPr="004A1708">
              <w:rPr>
                <w:b/>
                <w:bCs/>
                <w:color w:val="000000"/>
                <w:sz w:val="18"/>
                <w:szCs w:val="18"/>
              </w:rPr>
              <w:t> </w:t>
            </w:r>
            <w:proofErr w:type="spellStart"/>
            <w:r w:rsidR="004A1708" w:rsidRPr="004A1708">
              <w:rPr>
                <w:b/>
                <w:bCs/>
                <w:color w:val="000000"/>
                <w:sz w:val="18"/>
                <w:szCs w:val="18"/>
              </w:rPr>
              <w:t>Tx</w:t>
            </w:r>
            <w:proofErr w:type="spellEnd"/>
            <w:r w:rsidR="004A1708" w:rsidRPr="004A1708">
              <w:rPr>
                <w:b/>
                <w:bCs/>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665" w:type="pct"/>
            <w:tcBorders>
              <w:top w:val="nil"/>
              <w:left w:val="nil"/>
              <w:bottom w:val="single" w:sz="8" w:space="0" w:color="auto"/>
              <w:right w:val="nil"/>
            </w:tcBorders>
            <w:shd w:val="clear" w:color="000000" w:fill="FFFFFF"/>
            <w:vAlign w:val="center"/>
          </w:tcPr>
          <w:p w:rsidR="00720B1E" w:rsidRPr="00B85AF2" w:rsidRDefault="004A1708" w:rsidP="00720B1E">
            <w:pPr>
              <w:jc w:val="center"/>
              <w:rPr>
                <w:b/>
                <w:bCs/>
                <w:color w:val="000000"/>
                <w:sz w:val="18"/>
                <w:szCs w:val="18"/>
              </w:rPr>
            </w:pPr>
            <w:r>
              <w:rPr>
                <w:b/>
                <w:bCs/>
                <w:color w:val="000000"/>
                <w:sz w:val="18"/>
                <w:szCs w:val="18"/>
              </w:rPr>
              <w:t>Custo</w:t>
            </w:r>
          </w:p>
        </w:tc>
        <w:tc>
          <w:tcPr>
            <w:tcW w:w="119" w:type="pct"/>
            <w:tcBorders>
              <w:top w:val="nil"/>
              <w:left w:val="nil"/>
              <w:bottom w:val="nil"/>
              <w:right w:val="nil"/>
            </w:tcBorders>
            <w:shd w:val="clear" w:color="000000" w:fill="FFFFFF"/>
            <w:vAlign w:val="center"/>
          </w:tcPr>
          <w:p w:rsidR="00720B1E" w:rsidRPr="00B85AF2" w:rsidRDefault="00720B1E" w:rsidP="004A1708">
            <w:pPr>
              <w:rPr>
                <w:color w:val="000000"/>
                <w:sz w:val="18"/>
                <w:szCs w:val="18"/>
              </w:rPr>
            </w:pPr>
          </w:p>
        </w:tc>
        <w:tc>
          <w:tcPr>
            <w:tcW w:w="590" w:type="pct"/>
            <w:tcBorders>
              <w:top w:val="nil"/>
              <w:left w:val="nil"/>
              <w:bottom w:val="single" w:sz="8" w:space="0" w:color="auto"/>
              <w:right w:val="nil"/>
            </w:tcBorders>
            <w:shd w:val="clear" w:color="000000" w:fill="FFFFFF"/>
            <w:vAlign w:val="center"/>
          </w:tcPr>
          <w:p w:rsidR="00720B1E" w:rsidRPr="00B85AF2" w:rsidRDefault="004A1708" w:rsidP="00720B1E">
            <w:pPr>
              <w:jc w:val="center"/>
              <w:rPr>
                <w:b/>
                <w:bCs/>
                <w:color w:val="000000"/>
                <w:sz w:val="18"/>
                <w:szCs w:val="18"/>
              </w:rPr>
            </w:pPr>
            <w:r>
              <w:rPr>
                <w:b/>
                <w:bCs/>
                <w:color w:val="000000"/>
                <w:sz w:val="18"/>
                <w:szCs w:val="18"/>
              </w:rPr>
              <w:t>Depreciação</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735" w:type="pct"/>
            <w:tcBorders>
              <w:top w:val="nil"/>
              <w:left w:val="nil"/>
              <w:bottom w:val="single" w:sz="8" w:space="0" w:color="auto"/>
              <w:right w:val="nil"/>
            </w:tcBorders>
            <w:shd w:val="clear" w:color="000000" w:fill="FFFFFF"/>
            <w:vAlign w:val="center"/>
            <w:hideMark/>
          </w:tcPr>
          <w:p w:rsidR="00720B1E" w:rsidRPr="00B85AF2" w:rsidRDefault="00720B1E" w:rsidP="00720B1E">
            <w:pPr>
              <w:jc w:val="right"/>
              <w:rPr>
                <w:b/>
                <w:bCs/>
                <w:color w:val="000000"/>
                <w:sz w:val="18"/>
                <w:szCs w:val="18"/>
              </w:rPr>
            </w:pPr>
            <w:r w:rsidRPr="00B85AF2">
              <w:rPr>
                <w:b/>
                <w:bCs/>
                <w:color w:val="000000"/>
                <w:sz w:val="18"/>
                <w:szCs w:val="18"/>
              </w:rPr>
              <w:t>31/12/2017</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b/>
                <w:bCs/>
                <w:color w:val="000000"/>
                <w:sz w:val="18"/>
                <w:szCs w:val="18"/>
              </w:rPr>
            </w:pPr>
            <w:r w:rsidRPr="00B85AF2">
              <w:rPr>
                <w:b/>
                <w:bCs/>
                <w:color w:val="000000"/>
                <w:sz w:val="18"/>
                <w:szCs w:val="18"/>
              </w:rPr>
              <w:t> </w:t>
            </w:r>
          </w:p>
        </w:tc>
        <w:tc>
          <w:tcPr>
            <w:tcW w:w="764" w:type="pct"/>
            <w:tcBorders>
              <w:top w:val="nil"/>
              <w:left w:val="nil"/>
              <w:bottom w:val="single" w:sz="8" w:space="0" w:color="auto"/>
              <w:right w:val="nil"/>
            </w:tcBorders>
            <w:shd w:val="clear" w:color="000000" w:fill="FFFFFF"/>
            <w:vAlign w:val="center"/>
            <w:hideMark/>
          </w:tcPr>
          <w:p w:rsidR="00720B1E" w:rsidRPr="00B85AF2" w:rsidRDefault="00720B1E" w:rsidP="00720B1E">
            <w:pPr>
              <w:jc w:val="right"/>
              <w:rPr>
                <w:b/>
                <w:bCs/>
                <w:color w:val="000000"/>
                <w:sz w:val="18"/>
                <w:szCs w:val="18"/>
              </w:rPr>
            </w:pPr>
            <w:r w:rsidRPr="00B85AF2">
              <w:rPr>
                <w:b/>
                <w:bCs/>
                <w:color w:val="000000"/>
                <w:sz w:val="18"/>
                <w:szCs w:val="18"/>
              </w:rPr>
              <w:t>31/12/2016</w:t>
            </w:r>
          </w:p>
        </w:tc>
      </w:tr>
      <w:tr w:rsidR="00720B1E" w:rsidRPr="00B85AF2" w:rsidTr="004A1708">
        <w:trPr>
          <w:trHeight w:val="20"/>
        </w:trPr>
        <w:tc>
          <w:tcPr>
            <w:tcW w:w="981" w:type="pct"/>
            <w:tcBorders>
              <w:top w:val="nil"/>
              <w:left w:val="nil"/>
              <w:bottom w:val="nil"/>
              <w:right w:val="nil"/>
            </w:tcBorders>
            <w:shd w:val="clear" w:color="000000" w:fill="FFFFFF"/>
            <w:vAlign w:val="center"/>
            <w:hideMark/>
          </w:tcPr>
          <w:p w:rsidR="00720B1E" w:rsidRPr="00B85AF2" w:rsidRDefault="00720B1E" w:rsidP="00720B1E">
            <w:pPr>
              <w:rPr>
                <w:color w:val="000000"/>
                <w:sz w:val="18"/>
                <w:szCs w:val="18"/>
              </w:rPr>
            </w:pPr>
            <w:r w:rsidRPr="00B85AF2">
              <w:rPr>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551" w:type="pct"/>
            <w:tcBorders>
              <w:top w:val="single" w:sz="4" w:space="0" w:color="auto"/>
              <w:left w:val="nil"/>
              <w:bottom w:val="nil"/>
              <w:right w:val="nil"/>
            </w:tcBorders>
            <w:shd w:val="clear" w:color="000000" w:fill="FFFFFF"/>
            <w:vAlign w:val="center"/>
            <w:hideMark/>
          </w:tcPr>
          <w:p w:rsidR="00720B1E" w:rsidRPr="00B85AF2" w:rsidRDefault="00720B1E" w:rsidP="00720B1E">
            <w:pPr>
              <w:jc w:val="center"/>
              <w:rPr>
                <w:color w:val="000000"/>
                <w:sz w:val="18"/>
                <w:szCs w:val="18"/>
              </w:rPr>
            </w:pPr>
            <w:r w:rsidRPr="00B85AF2">
              <w:rPr>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665"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590"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735"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764"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r>
      <w:tr w:rsidR="00720B1E" w:rsidRPr="00B85AF2" w:rsidTr="00B85AF2">
        <w:trPr>
          <w:trHeight w:val="20"/>
        </w:trPr>
        <w:tc>
          <w:tcPr>
            <w:tcW w:w="981" w:type="pct"/>
            <w:tcBorders>
              <w:top w:val="nil"/>
              <w:left w:val="nil"/>
              <w:bottom w:val="nil"/>
              <w:right w:val="nil"/>
            </w:tcBorders>
            <w:shd w:val="clear" w:color="000000" w:fill="FFFFFF"/>
            <w:vAlign w:val="center"/>
            <w:hideMark/>
          </w:tcPr>
          <w:p w:rsidR="00720B1E" w:rsidRPr="00B85AF2" w:rsidRDefault="00720B1E" w:rsidP="00720B1E">
            <w:pPr>
              <w:rPr>
                <w:color w:val="000000"/>
                <w:sz w:val="18"/>
                <w:szCs w:val="18"/>
              </w:rPr>
            </w:pPr>
            <w:r w:rsidRPr="00B85AF2">
              <w:rPr>
                <w:color w:val="000000"/>
                <w:sz w:val="18"/>
                <w:szCs w:val="18"/>
              </w:rPr>
              <w:t>Software</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551" w:type="pct"/>
            <w:tcBorders>
              <w:top w:val="nil"/>
              <w:left w:val="nil"/>
              <w:bottom w:val="nil"/>
              <w:right w:val="nil"/>
            </w:tcBorders>
            <w:shd w:val="clear" w:color="000000" w:fill="FFFFFF"/>
            <w:vAlign w:val="center"/>
            <w:hideMark/>
          </w:tcPr>
          <w:p w:rsidR="00720B1E" w:rsidRPr="00B85AF2" w:rsidRDefault="00720B1E" w:rsidP="00720B1E">
            <w:pPr>
              <w:jc w:val="center"/>
              <w:rPr>
                <w:color w:val="000000"/>
                <w:sz w:val="18"/>
                <w:szCs w:val="18"/>
              </w:rPr>
            </w:pPr>
            <w:r w:rsidRPr="00B85AF2">
              <w:rPr>
                <w:color w:val="000000"/>
                <w:sz w:val="18"/>
                <w:szCs w:val="18"/>
              </w:rPr>
              <w:t>20 a 50</w:t>
            </w:r>
          </w:p>
        </w:tc>
        <w:tc>
          <w:tcPr>
            <w:tcW w:w="119" w:type="pct"/>
            <w:tcBorders>
              <w:top w:val="nil"/>
              <w:left w:val="nil"/>
              <w:bottom w:val="nil"/>
              <w:right w:val="nil"/>
            </w:tcBorders>
            <w:shd w:val="clear" w:color="000000" w:fill="FFFFFF"/>
            <w:vAlign w:val="center"/>
            <w:hideMark/>
          </w:tcPr>
          <w:p w:rsidR="00720B1E" w:rsidRPr="00B85AF2" w:rsidRDefault="00720B1E" w:rsidP="00E52C27">
            <w:pPr>
              <w:rPr>
                <w:color w:val="000000"/>
                <w:sz w:val="18"/>
                <w:szCs w:val="18"/>
              </w:rPr>
            </w:pPr>
          </w:p>
        </w:tc>
        <w:tc>
          <w:tcPr>
            <w:tcW w:w="665" w:type="pct"/>
            <w:tcBorders>
              <w:top w:val="nil"/>
              <w:left w:val="nil"/>
              <w:bottom w:val="single" w:sz="8" w:space="0" w:color="auto"/>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xml:space="preserve">               6.178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590" w:type="pct"/>
            <w:tcBorders>
              <w:top w:val="nil"/>
              <w:left w:val="nil"/>
              <w:bottom w:val="single" w:sz="8" w:space="0" w:color="auto"/>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xml:space="preserve">        (5.777)</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735" w:type="pct"/>
            <w:tcBorders>
              <w:top w:val="nil"/>
              <w:left w:val="nil"/>
              <w:bottom w:val="single" w:sz="8" w:space="0" w:color="auto"/>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xml:space="preserve">                   401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764" w:type="pct"/>
            <w:tcBorders>
              <w:top w:val="nil"/>
              <w:left w:val="nil"/>
              <w:bottom w:val="single" w:sz="8" w:space="0" w:color="auto"/>
              <w:right w:val="nil"/>
            </w:tcBorders>
            <w:shd w:val="clear" w:color="000000" w:fill="FFFFFF"/>
            <w:vAlign w:val="center"/>
            <w:hideMark/>
          </w:tcPr>
          <w:p w:rsidR="00720B1E" w:rsidRPr="00B85AF2" w:rsidRDefault="008B16C7" w:rsidP="008B16C7">
            <w:pPr>
              <w:jc w:val="right"/>
              <w:rPr>
                <w:color w:val="000000"/>
                <w:sz w:val="18"/>
                <w:szCs w:val="18"/>
              </w:rPr>
            </w:pPr>
            <w:r w:rsidRPr="00B85AF2">
              <w:rPr>
                <w:color w:val="000000"/>
                <w:sz w:val="18"/>
                <w:szCs w:val="18"/>
              </w:rPr>
              <w:t xml:space="preserve">                     765</w:t>
            </w:r>
            <w:r w:rsidR="00720B1E" w:rsidRPr="00B85AF2">
              <w:rPr>
                <w:color w:val="000000"/>
                <w:sz w:val="18"/>
                <w:szCs w:val="18"/>
              </w:rPr>
              <w:t xml:space="preserve"> </w:t>
            </w:r>
          </w:p>
        </w:tc>
      </w:tr>
      <w:tr w:rsidR="00720B1E" w:rsidRPr="00B85AF2" w:rsidTr="00B85AF2">
        <w:trPr>
          <w:trHeight w:val="20"/>
        </w:trPr>
        <w:tc>
          <w:tcPr>
            <w:tcW w:w="981" w:type="pct"/>
            <w:tcBorders>
              <w:top w:val="nil"/>
              <w:left w:val="nil"/>
              <w:bottom w:val="nil"/>
              <w:right w:val="nil"/>
            </w:tcBorders>
            <w:shd w:val="clear" w:color="000000" w:fill="FFFFFF"/>
            <w:vAlign w:val="center"/>
            <w:hideMark/>
          </w:tcPr>
          <w:p w:rsidR="00720B1E" w:rsidRPr="00B85AF2" w:rsidRDefault="00720B1E" w:rsidP="00720B1E">
            <w:pPr>
              <w:rPr>
                <w:color w:val="000000"/>
                <w:sz w:val="18"/>
                <w:szCs w:val="18"/>
              </w:rPr>
            </w:pPr>
            <w:r w:rsidRPr="00B85AF2">
              <w:rPr>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551" w:type="pct"/>
            <w:tcBorders>
              <w:top w:val="nil"/>
              <w:left w:val="nil"/>
              <w:bottom w:val="nil"/>
              <w:right w:val="nil"/>
            </w:tcBorders>
            <w:shd w:val="clear" w:color="000000" w:fill="FFFFFF"/>
            <w:vAlign w:val="center"/>
            <w:hideMark/>
          </w:tcPr>
          <w:p w:rsidR="00720B1E" w:rsidRPr="00B85AF2" w:rsidRDefault="00720B1E" w:rsidP="00720B1E">
            <w:pPr>
              <w:jc w:val="center"/>
              <w:rPr>
                <w:color w:val="000000"/>
                <w:sz w:val="18"/>
                <w:szCs w:val="18"/>
              </w:rPr>
            </w:pPr>
            <w:r w:rsidRPr="00B85AF2">
              <w:rPr>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665"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590"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735"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c>
          <w:tcPr>
            <w:tcW w:w="764" w:type="pct"/>
            <w:tcBorders>
              <w:top w:val="nil"/>
              <w:left w:val="nil"/>
              <w:bottom w:val="nil"/>
              <w:right w:val="nil"/>
            </w:tcBorders>
            <w:shd w:val="clear" w:color="000000" w:fill="FFFFFF"/>
            <w:vAlign w:val="center"/>
            <w:hideMark/>
          </w:tcPr>
          <w:p w:rsidR="00720B1E" w:rsidRPr="00B85AF2" w:rsidRDefault="00720B1E" w:rsidP="00720B1E">
            <w:pPr>
              <w:jc w:val="right"/>
              <w:rPr>
                <w:color w:val="000000"/>
                <w:sz w:val="18"/>
                <w:szCs w:val="18"/>
              </w:rPr>
            </w:pPr>
            <w:r w:rsidRPr="00B85AF2">
              <w:rPr>
                <w:color w:val="000000"/>
                <w:sz w:val="18"/>
                <w:szCs w:val="18"/>
              </w:rPr>
              <w:t> </w:t>
            </w:r>
          </w:p>
        </w:tc>
      </w:tr>
      <w:tr w:rsidR="00720B1E" w:rsidRPr="00B85AF2" w:rsidTr="00B85AF2">
        <w:trPr>
          <w:trHeight w:val="20"/>
        </w:trPr>
        <w:tc>
          <w:tcPr>
            <w:tcW w:w="981" w:type="pct"/>
            <w:tcBorders>
              <w:top w:val="nil"/>
              <w:left w:val="nil"/>
              <w:bottom w:val="nil"/>
              <w:right w:val="nil"/>
            </w:tcBorders>
            <w:shd w:val="clear" w:color="000000" w:fill="FFFFFF"/>
            <w:vAlign w:val="center"/>
            <w:hideMark/>
          </w:tcPr>
          <w:p w:rsidR="00720B1E" w:rsidRPr="00B85AF2" w:rsidRDefault="00720B1E" w:rsidP="00720B1E">
            <w:pPr>
              <w:rPr>
                <w:b/>
                <w:bCs/>
                <w:color w:val="000000"/>
                <w:sz w:val="18"/>
                <w:szCs w:val="18"/>
              </w:rPr>
            </w:pPr>
            <w:r w:rsidRPr="00B85AF2">
              <w:rPr>
                <w:b/>
                <w:bCs/>
                <w:color w:val="000000"/>
                <w:sz w:val="18"/>
                <w:szCs w:val="18"/>
              </w:rPr>
              <w:t>Saldo Contábil</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b/>
                <w:bCs/>
                <w:color w:val="000000"/>
                <w:sz w:val="18"/>
                <w:szCs w:val="18"/>
              </w:rPr>
            </w:pPr>
            <w:r w:rsidRPr="00B85AF2">
              <w:rPr>
                <w:b/>
                <w:bCs/>
                <w:color w:val="000000"/>
                <w:sz w:val="18"/>
                <w:szCs w:val="18"/>
              </w:rPr>
              <w:t> </w:t>
            </w:r>
          </w:p>
        </w:tc>
        <w:tc>
          <w:tcPr>
            <w:tcW w:w="551" w:type="pct"/>
            <w:tcBorders>
              <w:top w:val="nil"/>
              <w:left w:val="nil"/>
              <w:bottom w:val="nil"/>
              <w:right w:val="nil"/>
            </w:tcBorders>
            <w:shd w:val="clear" w:color="000000" w:fill="FFFFFF"/>
            <w:vAlign w:val="center"/>
            <w:hideMark/>
          </w:tcPr>
          <w:p w:rsidR="00720B1E" w:rsidRPr="00B85AF2" w:rsidRDefault="00720B1E" w:rsidP="00720B1E">
            <w:pPr>
              <w:jc w:val="center"/>
              <w:rPr>
                <w:b/>
                <w:bCs/>
                <w:color w:val="000000"/>
                <w:sz w:val="18"/>
                <w:szCs w:val="18"/>
              </w:rPr>
            </w:pPr>
            <w:r w:rsidRPr="00B85AF2">
              <w:rPr>
                <w:b/>
                <w:bCs/>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b/>
                <w:bCs/>
                <w:color w:val="000000"/>
                <w:sz w:val="18"/>
                <w:szCs w:val="18"/>
              </w:rPr>
            </w:pPr>
            <w:r w:rsidRPr="00B85AF2">
              <w:rPr>
                <w:b/>
                <w:bCs/>
                <w:color w:val="000000"/>
                <w:sz w:val="18"/>
                <w:szCs w:val="18"/>
              </w:rPr>
              <w:t> </w:t>
            </w:r>
          </w:p>
        </w:tc>
        <w:tc>
          <w:tcPr>
            <w:tcW w:w="665" w:type="pct"/>
            <w:tcBorders>
              <w:top w:val="nil"/>
              <w:left w:val="nil"/>
              <w:bottom w:val="double" w:sz="6" w:space="0" w:color="auto"/>
              <w:right w:val="nil"/>
            </w:tcBorders>
            <w:shd w:val="clear" w:color="000000" w:fill="FFFFFF"/>
            <w:vAlign w:val="center"/>
            <w:hideMark/>
          </w:tcPr>
          <w:p w:rsidR="00720B1E" w:rsidRPr="00B85AF2" w:rsidRDefault="00720B1E" w:rsidP="00720B1E">
            <w:pPr>
              <w:jc w:val="right"/>
              <w:rPr>
                <w:b/>
                <w:bCs/>
                <w:color w:val="000000"/>
                <w:sz w:val="18"/>
                <w:szCs w:val="18"/>
              </w:rPr>
            </w:pPr>
            <w:r w:rsidRPr="00B85AF2">
              <w:rPr>
                <w:b/>
                <w:bCs/>
                <w:color w:val="000000"/>
                <w:sz w:val="18"/>
                <w:szCs w:val="18"/>
              </w:rPr>
              <w:t xml:space="preserve">              6.178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b/>
                <w:bCs/>
                <w:color w:val="000000"/>
                <w:sz w:val="18"/>
                <w:szCs w:val="18"/>
              </w:rPr>
            </w:pPr>
            <w:r w:rsidRPr="00B85AF2">
              <w:rPr>
                <w:b/>
                <w:bCs/>
                <w:color w:val="000000"/>
                <w:sz w:val="18"/>
                <w:szCs w:val="18"/>
              </w:rPr>
              <w:t> </w:t>
            </w:r>
          </w:p>
        </w:tc>
        <w:tc>
          <w:tcPr>
            <w:tcW w:w="590" w:type="pct"/>
            <w:tcBorders>
              <w:top w:val="nil"/>
              <w:left w:val="nil"/>
              <w:bottom w:val="double" w:sz="6" w:space="0" w:color="auto"/>
              <w:right w:val="nil"/>
            </w:tcBorders>
            <w:shd w:val="clear" w:color="000000" w:fill="FFFFFF"/>
            <w:vAlign w:val="center"/>
            <w:hideMark/>
          </w:tcPr>
          <w:p w:rsidR="00720B1E" w:rsidRPr="00B85AF2" w:rsidRDefault="00720B1E" w:rsidP="00720B1E">
            <w:pPr>
              <w:jc w:val="right"/>
              <w:rPr>
                <w:b/>
                <w:bCs/>
                <w:color w:val="000000"/>
                <w:sz w:val="18"/>
                <w:szCs w:val="18"/>
              </w:rPr>
            </w:pPr>
            <w:r w:rsidRPr="00B85AF2">
              <w:rPr>
                <w:b/>
                <w:bCs/>
                <w:color w:val="000000"/>
                <w:sz w:val="18"/>
                <w:szCs w:val="18"/>
              </w:rPr>
              <w:t xml:space="preserve">        (5.777)</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b/>
                <w:bCs/>
                <w:color w:val="000000"/>
                <w:sz w:val="18"/>
                <w:szCs w:val="18"/>
              </w:rPr>
            </w:pPr>
            <w:r w:rsidRPr="00B85AF2">
              <w:rPr>
                <w:b/>
                <w:bCs/>
                <w:color w:val="000000"/>
                <w:sz w:val="18"/>
                <w:szCs w:val="18"/>
              </w:rPr>
              <w:t>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b/>
                <w:bCs/>
                <w:color w:val="000000"/>
                <w:sz w:val="18"/>
                <w:szCs w:val="18"/>
              </w:rPr>
            </w:pPr>
            <w:r w:rsidRPr="00B85AF2">
              <w:rPr>
                <w:b/>
                <w:bCs/>
                <w:color w:val="000000"/>
                <w:sz w:val="18"/>
                <w:szCs w:val="18"/>
              </w:rPr>
              <w:t> </w:t>
            </w:r>
          </w:p>
        </w:tc>
        <w:tc>
          <w:tcPr>
            <w:tcW w:w="735" w:type="pct"/>
            <w:tcBorders>
              <w:top w:val="nil"/>
              <w:left w:val="nil"/>
              <w:bottom w:val="double" w:sz="6" w:space="0" w:color="auto"/>
              <w:right w:val="nil"/>
            </w:tcBorders>
            <w:shd w:val="clear" w:color="000000" w:fill="FFFFFF"/>
            <w:vAlign w:val="center"/>
            <w:hideMark/>
          </w:tcPr>
          <w:p w:rsidR="00720B1E" w:rsidRPr="00B85AF2" w:rsidRDefault="00720B1E" w:rsidP="00720B1E">
            <w:pPr>
              <w:jc w:val="right"/>
              <w:rPr>
                <w:b/>
                <w:bCs/>
                <w:color w:val="000000"/>
                <w:sz w:val="18"/>
                <w:szCs w:val="18"/>
              </w:rPr>
            </w:pPr>
            <w:r w:rsidRPr="00B85AF2">
              <w:rPr>
                <w:b/>
                <w:bCs/>
                <w:color w:val="000000"/>
                <w:sz w:val="18"/>
                <w:szCs w:val="18"/>
              </w:rPr>
              <w:t xml:space="preserve">                   401 </w:t>
            </w:r>
          </w:p>
        </w:tc>
        <w:tc>
          <w:tcPr>
            <w:tcW w:w="119" w:type="pct"/>
            <w:tcBorders>
              <w:top w:val="nil"/>
              <w:left w:val="nil"/>
              <w:bottom w:val="nil"/>
              <w:right w:val="nil"/>
            </w:tcBorders>
            <w:shd w:val="clear" w:color="000000" w:fill="FFFFFF"/>
            <w:vAlign w:val="center"/>
            <w:hideMark/>
          </w:tcPr>
          <w:p w:rsidR="00720B1E" w:rsidRPr="00B85AF2" w:rsidRDefault="00720B1E" w:rsidP="00720B1E">
            <w:pPr>
              <w:jc w:val="right"/>
              <w:rPr>
                <w:b/>
                <w:bCs/>
                <w:color w:val="000000"/>
                <w:sz w:val="18"/>
                <w:szCs w:val="18"/>
              </w:rPr>
            </w:pPr>
            <w:r w:rsidRPr="00B85AF2">
              <w:rPr>
                <w:b/>
                <w:bCs/>
                <w:color w:val="000000"/>
                <w:sz w:val="18"/>
                <w:szCs w:val="18"/>
              </w:rPr>
              <w:t> </w:t>
            </w:r>
          </w:p>
        </w:tc>
        <w:tc>
          <w:tcPr>
            <w:tcW w:w="764" w:type="pct"/>
            <w:tcBorders>
              <w:top w:val="nil"/>
              <w:left w:val="nil"/>
              <w:bottom w:val="double" w:sz="6" w:space="0" w:color="auto"/>
              <w:right w:val="nil"/>
            </w:tcBorders>
            <w:shd w:val="clear" w:color="000000" w:fill="FFFFFF"/>
            <w:vAlign w:val="center"/>
            <w:hideMark/>
          </w:tcPr>
          <w:p w:rsidR="00720B1E" w:rsidRPr="00B85AF2" w:rsidRDefault="00720B1E" w:rsidP="008B16C7">
            <w:pPr>
              <w:jc w:val="right"/>
              <w:rPr>
                <w:b/>
                <w:bCs/>
                <w:color w:val="000000"/>
                <w:sz w:val="18"/>
                <w:szCs w:val="18"/>
              </w:rPr>
            </w:pPr>
            <w:r w:rsidRPr="00B85AF2">
              <w:rPr>
                <w:b/>
                <w:bCs/>
                <w:color w:val="000000"/>
                <w:sz w:val="18"/>
                <w:szCs w:val="18"/>
              </w:rPr>
              <w:t xml:space="preserve">                 </w:t>
            </w:r>
            <w:r w:rsidR="008B16C7" w:rsidRPr="00B85AF2">
              <w:rPr>
                <w:b/>
                <w:bCs/>
                <w:color w:val="000000"/>
                <w:sz w:val="18"/>
                <w:szCs w:val="18"/>
              </w:rPr>
              <w:t>765</w:t>
            </w:r>
            <w:r w:rsidRPr="00B85AF2">
              <w:rPr>
                <w:b/>
                <w:bCs/>
                <w:color w:val="000000"/>
                <w:sz w:val="18"/>
                <w:szCs w:val="18"/>
              </w:rPr>
              <w:t xml:space="preserve"> </w:t>
            </w:r>
          </w:p>
        </w:tc>
      </w:tr>
    </w:tbl>
    <w:p w:rsidR="00777DF2" w:rsidRDefault="00777DF2" w:rsidP="00F27C83">
      <w:pPr>
        <w:rPr>
          <w:b/>
        </w:rPr>
      </w:pPr>
    </w:p>
    <w:p w:rsidR="00995E86" w:rsidRPr="00FD7B48" w:rsidRDefault="00995E86" w:rsidP="00F27C83">
      <w:pPr>
        <w:rPr>
          <w:b/>
        </w:rPr>
      </w:pPr>
    </w:p>
    <w:p w:rsidR="002A48C7" w:rsidRDefault="002A48C7" w:rsidP="002A48C7">
      <w:pPr>
        <w:tabs>
          <w:tab w:val="left" w:pos="851"/>
        </w:tabs>
        <w:jc w:val="both"/>
      </w:pPr>
      <w:r w:rsidRPr="00FD7B48">
        <w:t xml:space="preserve">O Intangível é mensurado pelo seu custo histórico, menos a amortização acumulada. </w:t>
      </w:r>
    </w:p>
    <w:p w:rsidR="008602D8" w:rsidRPr="00FD7B48" w:rsidRDefault="008602D8" w:rsidP="002A48C7">
      <w:pPr>
        <w:tabs>
          <w:tab w:val="left" w:pos="851"/>
        </w:tabs>
        <w:jc w:val="both"/>
      </w:pPr>
    </w:p>
    <w:p w:rsidR="00C00515" w:rsidRPr="00FD7B48" w:rsidRDefault="00C00515" w:rsidP="00C00515">
      <w:pPr>
        <w:tabs>
          <w:tab w:val="left" w:pos="851"/>
        </w:tabs>
        <w:jc w:val="both"/>
      </w:pPr>
      <w:r w:rsidRPr="00FD7B48">
        <w:lastRenderedPageBreak/>
        <w:t xml:space="preserve">A </w:t>
      </w:r>
      <w:r w:rsidR="0043623E" w:rsidRPr="00FD7B48">
        <w:t>amortizaç</w:t>
      </w:r>
      <w:r w:rsidR="00021E44">
        <w:t xml:space="preserve">ão </w:t>
      </w:r>
      <w:r w:rsidRPr="00FD7B48">
        <w:t xml:space="preserve">está demonstrada pelo valor acumulado desde a data do início de operação na Instituição acrescido da </w:t>
      </w:r>
      <w:r w:rsidR="0043623E" w:rsidRPr="00FD7B48">
        <w:t>amortiza</w:t>
      </w:r>
      <w:r w:rsidRPr="00FD7B48">
        <w:t xml:space="preserve">ção do custo atribuído a partir do exercício de 2010. As </w:t>
      </w:r>
      <w:r w:rsidR="0043623E" w:rsidRPr="00FD7B48">
        <w:t>amortiza</w:t>
      </w:r>
      <w:r w:rsidRPr="00FD7B48">
        <w:t xml:space="preserve">ções são calculadas usando o método linear, considerando os custos </w:t>
      </w:r>
      <w:r w:rsidR="002010E3" w:rsidRPr="00FD7B48">
        <w:t xml:space="preserve">dos ativos </w:t>
      </w:r>
      <w:r w:rsidRPr="00FD7B48">
        <w:t>durante a vida útil estimada</w:t>
      </w:r>
      <w:r w:rsidR="002010E3" w:rsidRPr="00FD7B48">
        <w:t xml:space="preserve"> dos mesmos</w:t>
      </w:r>
      <w:r w:rsidRPr="00FD7B48">
        <w:t>.</w:t>
      </w:r>
    </w:p>
    <w:p w:rsidR="001E1D04" w:rsidRPr="00FD7B48" w:rsidRDefault="001E1D04" w:rsidP="00F27C83">
      <w:pPr>
        <w:rPr>
          <w:b/>
        </w:rPr>
      </w:pPr>
    </w:p>
    <w:p w:rsidR="00995E86" w:rsidRPr="00FD7B48" w:rsidRDefault="00995E86" w:rsidP="00F27C83">
      <w:pPr>
        <w:rPr>
          <w:b/>
        </w:rPr>
      </w:pPr>
    </w:p>
    <w:p w:rsidR="00D10B2E" w:rsidRPr="001763E2" w:rsidRDefault="00D10B2E" w:rsidP="00D10B2E">
      <w:pPr>
        <w:pStyle w:val="Ttulo"/>
        <w:outlineLvl w:val="0"/>
      </w:pPr>
      <w:bookmarkStart w:id="23" w:name="_Ref466465953"/>
      <w:bookmarkStart w:id="24" w:name="_Toc512497274"/>
      <w:r w:rsidRPr="001763E2">
        <w:t>Fornecedores</w:t>
      </w:r>
      <w:bookmarkEnd w:id="23"/>
      <w:bookmarkEnd w:id="24"/>
      <w:r w:rsidR="00B44009" w:rsidRPr="001763E2">
        <w:t xml:space="preserve"> </w:t>
      </w:r>
    </w:p>
    <w:tbl>
      <w:tblPr>
        <w:tblW w:w="5000" w:type="pct"/>
        <w:tblCellMar>
          <w:left w:w="70" w:type="dxa"/>
          <w:right w:w="70" w:type="dxa"/>
        </w:tblCellMar>
        <w:tblLook w:val="04A0" w:firstRow="1" w:lastRow="0" w:firstColumn="1" w:lastColumn="0" w:noHBand="0" w:noVBand="1"/>
      </w:tblPr>
      <w:tblGrid>
        <w:gridCol w:w="4790"/>
        <w:gridCol w:w="1811"/>
        <w:gridCol w:w="1100"/>
        <w:gridCol w:w="1511"/>
      </w:tblGrid>
      <w:tr w:rsidR="004A442C" w:rsidRPr="004A442C" w:rsidTr="00B85AF2">
        <w:trPr>
          <w:trHeight w:val="20"/>
        </w:trPr>
        <w:tc>
          <w:tcPr>
            <w:tcW w:w="2600" w:type="pct"/>
            <w:tcBorders>
              <w:top w:val="nil"/>
              <w:left w:val="nil"/>
              <w:bottom w:val="nil"/>
              <w:right w:val="nil"/>
            </w:tcBorders>
            <w:shd w:val="clear" w:color="000000" w:fill="FFFFFF"/>
            <w:vAlign w:val="center"/>
            <w:hideMark/>
          </w:tcPr>
          <w:p w:rsidR="004A442C" w:rsidRPr="004A442C" w:rsidRDefault="004A442C" w:rsidP="004A442C">
            <w:pPr>
              <w:rPr>
                <w:color w:val="000000"/>
              </w:rPr>
            </w:pPr>
            <w:r w:rsidRPr="004A442C">
              <w:rPr>
                <w:color w:val="000000"/>
              </w:rPr>
              <w:t> </w:t>
            </w:r>
          </w:p>
        </w:tc>
        <w:tc>
          <w:tcPr>
            <w:tcW w:w="983" w:type="pct"/>
            <w:tcBorders>
              <w:top w:val="nil"/>
              <w:left w:val="nil"/>
              <w:bottom w:val="single" w:sz="8" w:space="0" w:color="auto"/>
              <w:right w:val="nil"/>
            </w:tcBorders>
            <w:shd w:val="clear" w:color="auto" w:fill="auto"/>
            <w:vAlign w:val="center"/>
            <w:hideMark/>
          </w:tcPr>
          <w:p w:rsidR="004A442C" w:rsidRPr="004A442C" w:rsidRDefault="004A442C" w:rsidP="004A442C">
            <w:pPr>
              <w:jc w:val="right"/>
              <w:rPr>
                <w:b/>
                <w:bCs/>
                <w:color w:val="000000"/>
              </w:rPr>
            </w:pPr>
            <w:r w:rsidRPr="004A442C">
              <w:rPr>
                <w:b/>
                <w:bCs/>
                <w:color w:val="000000"/>
              </w:rPr>
              <w:t>31/12/2017</w:t>
            </w:r>
          </w:p>
        </w:tc>
        <w:tc>
          <w:tcPr>
            <w:tcW w:w="597" w:type="pct"/>
            <w:tcBorders>
              <w:top w:val="nil"/>
              <w:left w:val="nil"/>
              <w:bottom w:val="nil"/>
              <w:right w:val="nil"/>
            </w:tcBorders>
            <w:shd w:val="clear" w:color="auto" w:fill="auto"/>
            <w:vAlign w:val="center"/>
            <w:hideMark/>
          </w:tcPr>
          <w:p w:rsidR="004A442C" w:rsidRPr="004A442C" w:rsidRDefault="004A442C" w:rsidP="004A442C">
            <w:pPr>
              <w:rPr>
                <w:color w:val="000000"/>
                <w:sz w:val="22"/>
                <w:szCs w:val="22"/>
              </w:rPr>
            </w:pPr>
          </w:p>
        </w:tc>
        <w:tc>
          <w:tcPr>
            <w:tcW w:w="820" w:type="pct"/>
            <w:tcBorders>
              <w:top w:val="nil"/>
              <w:left w:val="nil"/>
              <w:bottom w:val="single" w:sz="8" w:space="0" w:color="auto"/>
              <w:right w:val="nil"/>
            </w:tcBorders>
            <w:shd w:val="clear" w:color="auto" w:fill="auto"/>
            <w:vAlign w:val="center"/>
            <w:hideMark/>
          </w:tcPr>
          <w:p w:rsidR="004A442C" w:rsidRPr="004A442C" w:rsidRDefault="004A442C" w:rsidP="004A442C">
            <w:pPr>
              <w:jc w:val="right"/>
              <w:rPr>
                <w:b/>
                <w:bCs/>
              </w:rPr>
            </w:pPr>
            <w:r w:rsidRPr="004A442C">
              <w:rPr>
                <w:b/>
                <w:bCs/>
              </w:rPr>
              <w:t>31/12/2016</w:t>
            </w:r>
          </w:p>
        </w:tc>
      </w:tr>
      <w:tr w:rsidR="004A442C" w:rsidRPr="004A442C" w:rsidTr="00B85AF2">
        <w:trPr>
          <w:trHeight w:val="20"/>
        </w:trPr>
        <w:tc>
          <w:tcPr>
            <w:tcW w:w="2600" w:type="pct"/>
            <w:tcBorders>
              <w:top w:val="nil"/>
              <w:left w:val="nil"/>
              <w:bottom w:val="nil"/>
              <w:right w:val="nil"/>
            </w:tcBorders>
            <w:shd w:val="clear" w:color="000000" w:fill="FFFFFF"/>
            <w:vAlign w:val="center"/>
            <w:hideMark/>
          </w:tcPr>
          <w:p w:rsidR="004A442C" w:rsidRPr="004A442C" w:rsidRDefault="004A442C" w:rsidP="004A442C">
            <w:pPr>
              <w:rPr>
                <w:color w:val="000000"/>
              </w:rPr>
            </w:pPr>
            <w:r w:rsidRPr="004A442C">
              <w:rPr>
                <w:color w:val="000000"/>
              </w:rPr>
              <w:t xml:space="preserve">Consórcio </w:t>
            </w:r>
            <w:proofErr w:type="spellStart"/>
            <w:r w:rsidRPr="004A442C">
              <w:rPr>
                <w:color w:val="000000"/>
              </w:rPr>
              <w:t>Tratenge</w:t>
            </w:r>
            <w:proofErr w:type="spellEnd"/>
            <w:r w:rsidRPr="004A442C">
              <w:rPr>
                <w:color w:val="000000"/>
              </w:rPr>
              <w:t xml:space="preserve"> </w:t>
            </w:r>
            <w:proofErr w:type="spellStart"/>
            <w:r w:rsidRPr="004A442C">
              <w:rPr>
                <w:color w:val="000000"/>
              </w:rPr>
              <w:t>Engeform</w:t>
            </w:r>
            <w:proofErr w:type="spellEnd"/>
          </w:p>
        </w:tc>
        <w:tc>
          <w:tcPr>
            <w:tcW w:w="983" w:type="pct"/>
            <w:tcBorders>
              <w:top w:val="nil"/>
              <w:left w:val="nil"/>
              <w:bottom w:val="nil"/>
              <w:right w:val="nil"/>
            </w:tcBorders>
            <w:shd w:val="clear" w:color="000000" w:fill="FFFFFF"/>
            <w:vAlign w:val="center"/>
            <w:hideMark/>
          </w:tcPr>
          <w:p w:rsidR="004A442C" w:rsidRPr="004A442C" w:rsidRDefault="004A442C" w:rsidP="004A442C">
            <w:pPr>
              <w:jc w:val="right"/>
            </w:pPr>
            <w:r w:rsidRPr="004A442C">
              <w:t>13.678</w:t>
            </w:r>
          </w:p>
        </w:tc>
        <w:tc>
          <w:tcPr>
            <w:tcW w:w="597" w:type="pct"/>
            <w:tcBorders>
              <w:top w:val="nil"/>
              <w:left w:val="nil"/>
              <w:bottom w:val="nil"/>
              <w:right w:val="nil"/>
            </w:tcBorders>
            <w:shd w:val="clear" w:color="000000" w:fill="FFFFFF"/>
            <w:vAlign w:val="center"/>
            <w:hideMark/>
          </w:tcPr>
          <w:p w:rsidR="004A442C" w:rsidRPr="004A442C" w:rsidRDefault="004A442C" w:rsidP="004A442C">
            <w:pPr>
              <w:rPr>
                <w:color w:val="000000"/>
              </w:rPr>
            </w:pPr>
            <w:r w:rsidRPr="004A442C">
              <w:rPr>
                <w:color w:val="000000"/>
              </w:rPr>
              <w:t> </w:t>
            </w:r>
          </w:p>
        </w:tc>
        <w:tc>
          <w:tcPr>
            <w:tcW w:w="820" w:type="pct"/>
            <w:tcBorders>
              <w:top w:val="nil"/>
              <w:left w:val="nil"/>
              <w:bottom w:val="nil"/>
              <w:right w:val="nil"/>
            </w:tcBorders>
            <w:shd w:val="clear" w:color="000000" w:fill="FFFFFF"/>
            <w:vAlign w:val="center"/>
            <w:hideMark/>
          </w:tcPr>
          <w:p w:rsidR="004A442C" w:rsidRPr="004A442C" w:rsidRDefault="004A442C" w:rsidP="004A442C">
            <w:pPr>
              <w:jc w:val="right"/>
            </w:pPr>
            <w:r w:rsidRPr="004A442C">
              <w:t>2.054</w:t>
            </w:r>
          </w:p>
        </w:tc>
      </w:tr>
      <w:tr w:rsidR="00072343" w:rsidRPr="004A442C" w:rsidTr="00E11749">
        <w:trPr>
          <w:trHeight w:val="20"/>
        </w:trPr>
        <w:tc>
          <w:tcPr>
            <w:tcW w:w="2600" w:type="pct"/>
            <w:tcBorders>
              <w:top w:val="nil"/>
              <w:left w:val="nil"/>
              <w:bottom w:val="nil"/>
              <w:right w:val="nil"/>
            </w:tcBorders>
            <w:shd w:val="clear" w:color="000000" w:fill="FFFFFF"/>
            <w:vAlign w:val="center"/>
            <w:hideMark/>
          </w:tcPr>
          <w:p w:rsidR="00072343" w:rsidRPr="004A442C" w:rsidRDefault="00072343" w:rsidP="00E11749">
            <w:pPr>
              <w:rPr>
                <w:color w:val="000000"/>
              </w:rPr>
            </w:pPr>
            <w:r w:rsidRPr="004A442C">
              <w:rPr>
                <w:color w:val="000000"/>
              </w:rPr>
              <w:t>Unimed Porto Alegre - Cooperativa Médica Ltda</w:t>
            </w:r>
            <w:r>
              <w:rPr>
                <w:color w:val="000000"/>
              </w:rPr>
              <w:t>.</w:t>
            </w:r>
          </w:p>
        </w:tc>
        <w:tc>
          <w:tcPr>
            <w:tcW w:w="983" w:type="pct"/>
            <w:tcBorders>
              <w:top w:val="nil"/>
              <w:left w:val="nil"/>
              <w:bottom w:val="nil"/>
              <w:right w:val="nil"/>
            </w:tcBorders>
            <w:shd w:val="clear" w:color="000000" w:fill="FFFFFF"/>
            <w:vAlign w:val="center"/>
            <w:hideMark/>
          </w:tcPr>
          <w:p w:rsidR="00072343" w:rsidRPr="004A442C" w:rsidRDefault="00072343" w:rsidP="00072343">
            <w:pPr>
              <w:jc w:val="right"/>
            </w:pPr>
            <w:r>
              <w:t>2.962</w:t>
            </w:r>
          </w:p>
        </w:tc>
        <w:tc>
          <w:tcPr>
            <w:tcW w:w="597" w:type="pct"/>
            <w:tcBorders>
              <w:top w:val="nil"/>
              <w:left w:val="nil"/>
              <w:bottom w:val="nil"/>
              <w:right w:val="nil"/>
            </w:tcBorders>
            <w:shd w:val="clear" w:color="000000" w:fill="FFFFFF"/>
            <w:vAlign w:val="center"/>
            <w:hideMark/>
          </w:tcPr>
          <w:p w:rsidR="00072343" w:rsidRPr="004A442C" w:rsidRDefault="00072343" w:rsidP="00E11749">
            <w:pPr>
              <w:jc w:val="right"/>
              <w:rPr>
                <w:color w:val="000000"/>
              </w:rPr>
            </w:pPr>
            <w:r w:rsidRPr="004A442C">
              <w:rPr>
                <w:color w:val="000000"/>
              </w:rPr>
              <w:t> </w:t>
            </w:r>
          </w:p>
        </w:tc>
        <w:tc>
          <w:tcPr>
            <w:tcW w:w="820" w:type="pct"/>
            <w:tcBorders>
              <w:top w:val="nil"/>
              <w:left w:val="nil"/>
              <w:bottom w:val="nil"/>
              <w:right w:val="nil"/>
            </w:tcBorders>
            <w:shd w:val="clear" w:color="000000" w:fill="FFFFFF"/>
            <w:vAlign w:val="center"/>
            <w:hideMark/>
          </w:tcPr>
          <w:p w:rsidR="00072343" w:rsidRPr="004A442C" w:rsidRDefault="00072343" w:rsidP="00E11749">
            <w:pPr>
              <w:jc w:val="right"/>
            </w:pPr>
            <w:r>
              <w:t>-</w:t>
            </w:r>
          </w:p>
        </w:tc>
      </w:tr>
      <w:tr w:rsidR="004A442C" w:rsidRPr="004A442C" w:rsidTr="00072343">
        <w:trPr>
          <w:trHeight w:val="20"/>
        </w:trPr>
        <w:tc>
          <w:tcPr>
            <w:tcW w:w="2600" w:type="pct"/>
            <w:tcBorders>
              <w:top w:val="nil"/>
              <w:left w:val="nil"/>
              <w:bottom w:val="nil"/>
              <w:right w:val="nil"/>
            </w:tcBorders>
            <w:shd w:val="clear" w:color="000000" w:fill="FFFFFF"/>
            <w:vAlign w:val="center"/>
            <w:hideMark/>
          </w:tcPr>
          <w:p w:rsidR="004A442C" w:rsidRPr="004A442C" w:rsidRDefault="004A442C" w:rsidP="004A442C">
            <w:pPr>
              <w:rPr>
                <w:color w:val="000000"/>
              </w:rPr>
            </w:pPr>
            <w:proofErr w:type="spellStart"/>
            <w:r w:rsidRPr="004A442C">
              <w:rPr>
                <w:color w:val="000000"/>
              </w:rPr>
              <w:t>Nacon</w:t>
            </w:r>
            <w:proofErr w:type="spellEnd"/>
            <w:r w:rsidRPr="004A442C">
              <w:rPr>
                <w:color w:val="000000"/>
              </w:rPr>
              <w:t xml:space="preserve"> Engenharia Ltda</w:t>
            </w:r>
            <w:r w:rsidR="004C15C6">
              <w:rPr>
                <w:color w:val="000000"/>
              </w:rPr>
              <w:t>.</w:t>
            </w:r>
          </w:p>
        </w:tc>
        <w:tc>
          <w:tcPr>
            <w:tcW w:w="983" w:type="pct"/>
            <w:tcBorders>
              <w:top w:val="nil"/>
              <w:left w:val="nil"/>
              <w:right w:val="nil"/>
            </w:tcBorders>
            <w:shd w:val="clear" w:color="000000" w:fill="FFFFFF"/>
            <w:vAlign w:val="center"/>
            <w:hideMark/>
          </w:tcPr>
          <w:p w:rsidR="004A442C" w:rsidRPr="004A442C" w:rsidRDefault="00072343" w:rsidP="004A442C">
            <w:pPr>
              <w:jc w:val="right"/>
            </w:pPr>
            <w:r>
              <w:t>1.034</w:t>
            </w:r>
          </w:p>
        </w:tc>
        <w:tc>
          <w:tcPr>
            <w:tcW w:w="597" w:type="pct"/>
            <w:tcBorders>
              <w:top w:val="nil"/>
              <w:left w:val="nil"/>
              <w:bottom w:val="nil"/>
              <w:right w:val="nil"/>
            </w:tcBorders>
            <w:shd w:val="clear" w:color="000000" w:fill="FFFFFF"/>
            <w:vAlign w:val="center"/>
            <w:hideMark/>
          </w:tcPr>
          <w:p w:rsidR="004A442C" w:rsidRPr="004A442C" w:rsidRDefault="004A442C" w:rsidP="004A442C">
            <w:pPr>
              <w:rPr>
                <w:color w:val="000000"/>
              </w:rPr>
            </w:pPr>
            <w:r w:rsidRPr="004A442C">
              <w:rPr>
                <w:color w:val="000000"/>
              </w:rPr>
              <w:t> </w:t>
            </w:r>
          </w:p>
        </w:tc>
        <w:tc>
          <w:tcPr>
            <w:tcW w:w="820" w:type="pct"/>
            <w:tcBorders>
              <w:top w:val="nil"/>
              <w:left w:val="nil"/>
              <w:right w:val="nil"/>
            </w:tcBorders>
            <w:shd w:val="clear" w:color="000000" w:fill="FFFFFF"/>
            <w:vAlign w:val="center"/>
            <w:hideMark/>
          </w:tcPr>
          <w:p w:rsidR="004A442C" w:rsidRPr="004A442C" w:rsidRDefault="00A6699D" w:rsidP="004A442C">
            <w:pPr>
              <w:jc w:val="right"/>
            </w:pPr>
            <w:r>
              <w:t>-</w:t>
            </w:r>
          </w:p>
        </w:tc>
      </w:tr>
      <w:tr w:rsidR="00072343" w:rsidRPr="004A442C" w:rsidTr="00072343">
        <w:trPr>
          <w:trHeight w:val="20"/>
        </w:trPr>
        <w:tc>
          <w:tcPr>
            <w:tcW w:w="2600" w:type="pct"/>
            <w:tcBorders>
              <w:top w:val="nil"/>
              <w:left w:val="nil"/>
              <w:bottom w:val="nil"/>
              <w:right w:val="nil"/>
            </w:tcBorders>
            <w:shd w:val="clear" w:color="000000" w:fill="FFFFFF"/>
            <w:vAlign w:val="center"/>
            <w:hideMark/>
          </w:tcPr>
          <w:p w:rsidR="00072343" w:rsidRPr="004A442C" w:rsidRDefault="00072343" w:rsidP="00E11749">
            <w:pPr>
              <w:rPr>
                <w:color w:val="000000"/>
              </w:rPr>
            </w:pPr>
            <w:r>
              <w:rPr>
                <w:color w:val="000000"/>
              </w:rPr>
              <w:t>ACECO TI AS</w:t>
            </w:r>
          </w:p>
        </w:tc>
        <w:tc>
          <w:tcPr>
            <w:tcW w:w="983" w:type="pct"/>
            <w:tcBorders>
              <w:top w:val="nil"/>
              <w:left w:val="nil"/>
              <w:bottom w:val="single" w:sz="4" w:space="0" w:color="auto"/>
              <w:right w:val="nil"/>
            </w:tcBorders>
            <w:shd w:val="clear" w:color="000000" w:fill="FFFFFF"/>
            <w:vAlign w:val="center"/>
            <w:hideMark/>
          </w:tcPr>
          <w:p w:rsidR="00072343" w:rsidRPr="004A442C" w:rsidRDefault="00072343" w:rsidP="00072343">
            <w:pPr>
              <w:jc w:val="right"/>
            </w:pPr>
            <w:r>
              <w:t>857</w:t>
            </w:r>
          </w:p>
        </w:tc>
        <w:tc>
          <w:tcPr>
            <w:tcW w:w="597" w:type="pct"/>
            <w:tcBorders>
              <w:top w:val="nil"/>
              <w:left w:val="nil"/>
              <w:bottom w:val="nil"/>
              <w:right w:val="nil"/>
            </w:tcBorders>
            <w:shd w:val="clear" w:color="000000" w:fill="FFFFFF"/>
            <w:vAlign w:val="center"/>
            <w:hideMark/>
          </w:tcPr>
          <w:p w:rsidR="00072343" w:rsidRPr="004A442C" w:rsidRDefault="00072343" w:rsidP="00E11749">
            <w:pPr>
              <w:rPr>
                <w:color w:val="000000"/>
              </w:rPr>
            </w:pPr>
            <w:r w:rsidRPr="004A442C">
              <w:rPr>
                <w:color w:val="000000"/>
              </w:rPr>
              <w:t> </w:t>
            </w:r>
          </w:p>
        </w:tc>
        <w:tc>
          <w:tcPr>
            <w:tcW w:w="820" w:type="pct"/>
            <w:tcBorders>
              <w:top w:val="nil"/>
              <w:left w:val="nil"/>
              <w:bottom w:val="single" w:sz="4" w:space="0" w:color="auto"/>
              <w:right w:val="nil"/>
            </w:tcBorders>
            <w:shd w:val="clear" w:color="000000" w:fill="FFFFFF"/>
            <w:vAlign w:val="center"/>
            <w:hideMark/>
          </w:tcPr>
          <w:p w:rsidR="00072343" w:rsidRPr="004A442C" w:rsidRDefault="00072343" w:rsidP="00E11749">
            <w:pPr>
              <w:jc w:val="right"/>
            </w:pPr>
            <w:r>
              <w:t>-</w:t>
            </w:r>
          </w:p>
        </w:tc>
      </w:tr>
      <w:tr w:rsidR="004A442C" w:rsidRPr="004A442C" w:rsidTr="00072343">
        <w:trPr>
          <w:trHeight w:val="20"/>
        </w:trPr>
        <w:tc>
          <w:tcPr>
            <w:tcW w:w="2600" w:type="pct"/>
            <w:tcBorders>
              <w:top w:val="nil"/>
              <w:left w:val="nil"/>
              <w:bottom w:val="nil"/>
              <w:right w:val="nil"/>
            </w:tcBorders>
            <w:shd w:val="clear" w:color="000000" w:fill="FFFFFF"/>
            <w:vAlign w:val="center"/>
            <w:hideMark/>
          </w:tcPr>
          <w:p w:rsidR="004A442C" w:rsidRPr="004A442C" w:rsidRDefault="004A442C" w:rsidP="004A442C">
            <w:pPr>
              <w:rPr>
                <w:color w:val="000000"/>
              </w:rPr>
            </w:pPr>
            <w:r w:rsidRPr="004A442C">
              <w:rPr>
                <w:color w:val="000000"/>
              </w:rPr>
              <w:t> </w:t>
            </w:r>
          </w:p>
        </w:tc>
        <w:tc>
          <w:tcPr>
            <w:tcW w:w="983" w:type="pct"/>
            <w:tcBorders>
              <w:top w:val="single" w:sz="4" w:space="0" w:color="auto"/>
              <w:left w:val="nil"/>
              <w:bottom w:val="nil"/>
              <w:right w:val="nil"/>
            </w:tcBorders>
            <w:shd w:val="clear" w:color="000000" w:fill="FFFFFF"/>
            <w:vAlign w:val="center"/>
            <w:hideMark/>
          </w:tcPr>
          <w:p w:rsidR="004A442C" w:rsidRPr="004A442C" w:rsidRDefault="004A442C" w:rsidP="00072343">
            <w:pPr>
              <w:jc w:val="right"/>
              <w:rPr>
                <w:color w:val="000000"/>
              </w:rPr>
            </w:pPr>
            <w:r w:rsidRPr="004A442C">
              <w:rPr>
                <w:color w:val="000000"/>
              </w:rPr>
              <w:t>18.</w:t>
            </w:r>
            <w:r w:rsidR="00072343">
              <w:rPr>
                <w:color w:val="000000"/>
              </w:rPr>
              <w:t>531</w:t>
            </w:r>
          </w:p>
        </w:tc>
        <w:tc>
          <w:tcPr>
            <w:tcW w:w="597" w:type="pct"/>
            <w:tcBorders>
              <w:top w:val="nil"/>
              <w:left w:val="nil"/>
              <w:bottom w:val="nil"/>
              <w:right w:val="nil"/>
            </w:tcBorders>
            <w:shd w:val="clear" w:color="000000" w:fill="FFFFFF"/>
            <w:vAlign w:val="center"/>
            <w:hideMark/>
          </w:tcPr>
          <w:p w:rsidR="004A442C" w:rsidRPr="004A442C" w:rsidRDefault="004A442C" w:rsidP="004A442C">
            <w:pPr>
              <w:jc w:val="right"/>
              <w:rPr>
                <w:color w:val="000000"/>
              </w:rPr>
            </w:pPr>
            <w:r w:rsidRPr="004A442C">
              <w:rPr>
                <w:color w:val="000000"/>
              </w:rPr>
              <w:t> </w:t>
            </w:r>
          </w:p>
        </w:tc>
        <w:tc>
          <w:tcPr>
            <w:tcW w:w="820" w:type="pct"/>
            <w:tcBorders>
              <w:top w:val="single" w:sz="4" w:space="0" w:color="auto"/>
              <w:left w:val="nil"/>
              <w:bottom w:val="nil"/>
              <w:right w:val="nil"/>
            </w:tcBorders>
            <w:shd w:val="clear" w:color="000000" w:fill="FFFFFF"/>
            <w:vAlign w:val="center"/>
            <w:hideMark/>
          </w:tcPr>
          <w:p w:rsidR="004A442C" w:rsidRPr="004A442C" w:rsidRDefault="004A442C" w:rsidP="004A442C">
            <w:pPr>
              <w:jc w:val="right"/>
            </w:pPr>
            <w:r w:rsidRPr="004A442C">
              <w:t>2.054</w:t>
            </w:r>
          </w:p>
        </w:tc>
      </w:tr>
      <w:tr w:rsidR="004A442C" w:rsidRPr="004A442C" w:rsidTr="00B85AF2">
        <w:trPr>
          <w:trHeight w:val="20"/>
        </w:trPr>
        <w:tc>
          <w:tcPr>
            <w:tcW w:w="2600" w:type="pct"/>
            <w:tcBorders>
              <w:top w:val="nil"/>
              <w:left w:val="nil"/>
              <w:bottom w:val="nil"/>
              <w:right w:val="nil"/>
            </w:tcBorders>
            <w:shd w:val="clear" w:color="000000" w:fill="FFFFFF"/>
            <w:vAlign w:val="center"/>
            <w:hideMark/>
          </w:tcPr>
          <w:p w:rsidR="004A442C" w:rsidRPr="004A442C" w:rsidRDefault="004A442C" w:rsidP="004A442C">
            <w:pPr>
              <w:rPr>
                <w:color w:val="000000"/>
              </w:rPr>
            </w:pPr>
            <w:r w:rsidRPr="004A442C">
              <w:rPr>
                <w:color w:val="000000"/>
              </w:rPr>
              <w:t>Demais Fornecedores</w:t>
            </w:r>
          </w:p>
        </w:tc>
        <w:tc>
          <w:tcPr>
            <w:tcW w:w="983" w:type="pct"/>
            <w:tcBorders>
              <w:top w:val="nil"/>
              <w:left w:val="nil"/>
              <w:bottom w:val="single" w:sz="8" w:space="0" w:color="auto"/>
              <w:right w:val="nil"/>
            </w:tcBorders>
            <w:shd w:val="clear" w:color="000000" w:fill="FFFFFF"/>
            <w:vAlign w:val="center"/>
            <w:hideMark/>
          </w:tcPr>
          <w:p w:rsidR="004A442C" w:rsidRPr="004A442C" w:rsidRDefault="00072343" w:rsidP="004A442C">
            <w:pPr>
              <w:jc w:val="right"/>
              <w:rPr>
                <w:color w:val="000000"/>
              </w:rPr>
            </w:pPr>
            <w:r>
              <w:rPr>
                <w:color w:val="000000"/>
              </w:rPr>
              <w:t>17.214</w:t>
            </w:r>
          </w:p>
        </w:tc>
        <w:tc>
          <w:tcPr>
            <w:tcW w:w="597" w:type="pct"/>
            <w:tcBorders>
              <w:top w:val="nil"/>
              <w:left w:val="nil"/>
              <w:bottom w:val="nil"/>
              <w:right w:val="nil"/>
            </w:tcBorders>
            <w:shd w:val="clear" w:color="000000" w:fill="FFFFFF"/>
            <w:vAlign w:val="center"/>
            <w:hideMark/>
          </w:tcPr>
          <w:p w:rsidR="004A442C" w:rsidRPr="004A442C" w:rsidRDefault="004A442C" w:rsidP="004A442C">
            <w:pPr>
              <w:rPr>
                <w:color w:val="000000"/>
              </w:rPr>
            </w:pPr>
            <w:r w:rsidRPr="004A442C">
              <w:rPr>
                <w:color w:val="000000"/>
              </w:rPr>
              <w:t> </w:t>
            </w:r>
          </w:p>
        </w:tc>
        <w:tc>
          <w:tcPr>
            <w:tcW w:w="820" w:type="pct"/>
            <w:tcBorders>
              <w:top w:val="nil"/>
              <w:left w:val="nil"/>
              <w:bottom w:val="single" w:sz="8" w:space="0" w:color="auto"/>
              <w:right w:val="nil"/>
            </w:tcBorders>
            <w:shd w:val="clear" w:color="000000" w:fill="FFFFFF"/>
            <w:vAlign w:val="center"/>
            <w:hideMark/>
          </w:tcPr>
          <w:p w:rsidR="004A442C" w:rsidRPr="004A442C" w:rsidRDefault="004A442C" w:rsidP="004A442C">
            <w:pPr>
              <w:jc w:val="right"/>
            </w:pPr>
            <w:r w:rsidRPr="004A442C">
              <w:t>36.177</w:t>
            </w:r>
          </w:p>
        </w:tc>
      </w:tr>
      <w:tr w:rsidR="004A442C" w:rsidRPr="004A442C" w:rsidTr="00B85AF2">
        <w:trPr>
          <w:trHeight w:val="20"/>
        </w:trPr>
        <w:tc>
          <w:tcPr>
            <w:tcW w:w="2600" w:type="pct"/>
            <w:tcBorders>
              <w:top w:val="nil"/>
              <w:left w:val="nil"/>
              <w:bottom w:val="nil"/>
              <w:right w:val="nil"/>
            </w:tcBorders>
            <w:shd w:val="clear" w:color="000000" w:fill="FFFFFF"/>
            <w:vAlign w:val="center"/>
            <w:hideMark/>
          </w:tcPr>
          <w:p w:rsidR="004A442C" w:rsidRPr="004A442C" w:rsidRDefault="004A442C" w:rsidP="004A442C">
            <w:pPr>
              <w:rPr>
                <w:b/>
                <w:bCs/>
                <w:color w:val="000000"/>
              </w:rPr>
            </w:pPr>
            <w:r w:rsidRPr="004A442C">
              <w:rPr>
                <w:b/>
                <w:bCs/>
                <w:color w:val="000000"/>
              </w:rPr>
              <w:t>Saldo Contábil</w:t>
            </w:r>
          </w:p>
        </w:tc>
        <w:tc>
          <w:tcPr>
            <w:tcW w:w="983" w:type="pct"/>
            <w:tcBorders>
              <w:top w:val="nil"/>
              <w:left w:val="nil"/>
              <w:bottom w:val="double" w:sz="6" w:space="0" w:color="auto"/>
              <w:right w:val="nil"/>
            </w:tcBorders>
            <w:shd w:val="clear" w:color="000000" w:fill="FFFFFF"/>
            <w:vAlign w:val="center"/>
            <w:hideMark/>
          </w:tcPr>
          <w:p w:rsidR="004A442C" w:rsidRPr="004A442C" w:rsidRDefault="004A442C" w:rsidP="004A442C">
            <w:pPr>
              <w:jc w:val="right"/>
              <w:rPr>
                <w:b/>
                <w:bCs/>
                <w:color w:val="000000"/>
              </w:rPr>
            </w:pPr>
            <w:r w:rsidRPr="004A442C">
              <w:rPr>
                <w:b/>
                <w:bCs/>
                <w:color w:val="000000"/>
              </w:rPr>
              <w:t>35.745</w:t>
            </w:r>
          </w:p>
        </w:tc>
        <w:tc>
          <w:tcPr>
            <w:tcW w:w="597" w:type="pct"/>
            <w:tcBorders>
              <w:top w:val="nil"/>
              <w:left w:val="nil"/>
              <w:bottom w:val="nil"/>
              <w:right w:val="nil"/>
            </w:tcBorders>
            <w:shd w:val="clear" w:color="000000" w:fill="FFFFFF"/>
            <w:vAlign w:val="center"/>
            <w:hideMark/>
          </w:tcPr>
          <w:p w:rsidR="004A442C" w:rsidRPr="004A442C" w:rsidRDefault="004A442C" w:rsidP="004A442C">
            <w:pPr>
              <w:rPr>
                <w:color w:val="000000"/>
              </w:rPr>
            </w:pPr>
            <w:r w:rsidRPr="004A442C">
              <w:rPr>
                <w:color w:val="000000"/>
              </w:rPr>
              <w:t> </w:t>
            </w:r>
          </w:p>
        </w:tc>
        <w:tc>
          <w:tcPr>
            <w:tcW w:w="820" w:type="pct"/>
            <w:tcBorders>
              <w:top w:val="nil"/>
              <w:left w:val="nil"/>
              <w:bottom w:val="double" w:sz="6" w:space="0" w:color="auto"/>
              <w:right w:val="nil"/>
            </w:tcBorders>
            <w:shd w:val="clear" w:color="000000" w:fill="FFFFFF"/>
            <w:vAlign w:val="center"/>
            <w:hideMark/>
          </w:tcPr>
          <w:p w:rsidR="004A442C" w:rsidRPr="004A442C" w:rsidRDefault="004A442C" w:rsidP="004A442C">
            <w:pPr>
              <w:jc w:val="right"/>
              <w:rPr>
                <w:b/>
                <w:bCs/>
              </w:rPr>
            </w:pPr>
            <w:r w:rsidRPr="004A442C">
              <w:rPr>
                <w:b/>
                <w:bCs/>
              </w:rPr>
              <w:t>38.231</w:t>
            </w:r>
          </w:p>
        </w:tc>
      </w:tr>
    </w:tbl>
    <w:p w:rsidR="00D10B2E" w:rsidRDefault="00D10B2E" w:rsidP="00D10B2E"/>
    <w:p w:rsidR="006874C1" w:rsidRDefault="006874C1" w:rsidP="00E00498">
      <w:pPr>
        <w:tabs>
          <w:tab w:val="left" w:pos="851"/>
        </w:tabs>
        <w:jc w:val="both"/>
      </w:pPr>
    </w:p>
    <w:p w:rsidR="00A511B7" w:rsidRPr="00472E3D" w:rsidRDefault="00E00498" w:rsidP="00E00498">
      <w:pPr>
        <w:tabs>
          <w:tab w:val="left" w:pos="851"/>
        </w:tabs>
        <w:jc w:val="both"/>
      </w:pPr>
      <w:r>
        <w:t>Entre o</w:t>
      </w:r>
      <w:r w:rsidR="00C1272D" w:rsidRPr="004A442C">
        <w:t>s quatro principais fornecedores</w:t>
      </w:r>
      <w:r>
        <w:t xml:space="preserve">, que </w:t>
      </w:r>
      <w:r w:rsidR="00C1272D" w:rsidRPr="004A442C">
        <w:t>representam</w:t>
      </w:r>
      <w:r w:rsidR="00601415" w:rsidRPr="004A442C">
        <w:t xml:space="preserve"> </w:t>
      </w:r>
      <w:r w:rsidR="00072343">
        <w:t>51,84</w:t>
      </w:r>
      <w:r w:rsidR="00C1272D" w:rsidRPr="004A442C">
        <w:t>% do saldo</w:t>
      </w:r>
      <w:r w:rsidR="002010E3" w:rsidRPr="004A442C">
        <w:t xml:space="preserve"> total de Fornecedores a Pagar</w:t>
      </w:r>
      <w:r w:rsidR="00505C26" w:rsidRPr="004A442C">
        <w:t xml:space="preserve"> </w:t>
      </w:r>
      <w:r w:rsidR="009B02C0">
        <w:t>em</w:t>
      </w:r>
      <w:r w:rsidR="00505C26" w:rsidRPr="004A442C">
        <w:t xml:space="preserve"> dezembro de 201</w:t>
      </w:r>
      <w:r w:rsidR="00B44009" w:rsidRPr="004A442C">
        <w:t>7</w:t>
      </w:r>
      <w:r>
        <w:t xml:space="preserve">, está o </w:t>
      </w:r>
      <w:r w:rsidR="00A73D27" w:rsidRPr="00FD7B48">
        <w:t xml:space="preserve">Consórcio </w:t>
      </w:r>
      <w:proofErr w:type="spellStart"/>
      <w:r w:rsidR="00A73D27" w:rsidRPr="00FD7B48">
        <w:t>Tratenge</w:t>
      </w:r>
      <w:proofErr w:type="spellEnd"/>
      <w:r w:rsidR="00A73D27" w:rsidRPr="00FD7B48">
        <w:t xml:space="preserve"> </w:t>
      </w:r>
      <w:proofErr w:type="spellStart"/>
      <w:r w:rsidR="00A73D27" w:rsidRPr="00FD7B48">
        <w:t>Engeform</w:t>
      </w:r>
      <w:proofErr w:type="spellEnd"/>
      <w:r>
        <w:t xml:space="preserve"> que é </w:t>
      </w:r>
      <w:r w:rsidR="00A73D27" w:rsidRPr="0067068E">
        <w:t>responsável pela realização das obras dos Anexos</w:t>
      </w:r>
      <w:r w:rsidR="002D3C2C">
        <w:t xml:space="preserve"> cujo</w:t>
      </w:r>
      <w:r w:rsidR="00A73D27" w:rsidRPr="0067068E">
        <w:t xml:space="preserve"> projeto</w:t>
      </w:r>
      <w:r w:rsidR="002D3C2C">
        <w:t xml:space="preserve"> é o</w:t>
      </w:r>
      <w:r w:rsidR="00A73D27" w:rsidRPr="0067068E">
        <w:t xml:space="preserve"> de expansão do HCPA. A contratação desta empresa foi realizada por meio do processo licitatório nº 128663 </w:t>
      </w:r>
      <w:r w:rsidR="009C3D9F">
        <w:t>em</w:t>
      </w:r>
      <w:r w:rsidR="00A73D27" w:rsidRPr="0067068E">
        <w:t xml:space="preserve"> 2013</w:t>
      </w:r>
      <w:r w:rsidR="009C3D9F">
        <w:t xml:space="preserve"> e </w:t>
      </w:r>
      <w:r w:rsidR="00A73D27" w:rsidRPr="0067068E">
        <w:t>contrato nº 12727. O valor nominal do contrato é de R$ 397.338</w:t>
      </w:r>
      <w:r w:rsidR="00566902">
        <w:t xml:space="preserve"> </w:t>
      </w:r>
      <w:r w:rsidR="0040221C">
        <w:t xml:space="preserve">tendo como saldo atualizado até 31/12/2017 </w:t>
      </w:r>
      <w:r w:rsidR="00566902">
        <w:t>o valor</w:t>
      </w:r>
      <w:r w:rsidR="0040221C">
        <w:t xml:space="preserve"> </w:t>
      </w:r>
      <w:r w:rsidR="00A73D27" w:rsidRPr="0067068E">
        <w:t xml:space="preserve">de </w:t>
      </w:r>
      <w:r w:rsidR="00A73D27" w:rsidRPr="00A511B7">
        <w:t>R$ 471.370</w:t>
      </w:r>
      <w:r w:rsidR="00A73D27" w:rsidRPr="0067068E">
        <w:t xml:space="preserve">. A previsão de conclusão das obras e quitação do fornecedor é dezembro/2018 </w:t>
      </w:r>
      <w:r w:rsidR="00BB10A4">
        <w:t>o que depende</w:t>
      </w:r>
      <w:r w:rsidR="00A73D27" w:rsidRPr="0067068E">
        <w:t xml:space="preserve"> do valor a ser repassado para o HCPA, na ação 148G, no ano de 201</w:t>
      </w:r>
      <w:r w:rsidR="0067068E" w:rsidRPr="0067068E">
        <w:t>8</w:t>
      </w:r>
      <w:r w:rsidR="004E14E3">
        <w:t>. E o fornecedor</w:t>
      </w:r>
      <w:r>
        <w:t xml:space="preserve"> </w:t>
      </w:r>
      <w:proofErr w:type="spellStart"/>
      <w:r w:rsidR="00AA2DEA" w:rsidRPr="00A73D27">
        <w:t>Nacon</w:t>
      </w:r>
      <w:proofErr w:type="spellEnd"/>
      <w:r w:rsidR="00AA2DEA" w:rsidRPr="00A73D27">
        <w:t xml:space="preserve"> Engenharia Ltda</w:t>
      </w:r>
      <w:r w:rsidR="00846E30">
        <w:t>.</w:t>
      </w:r>
      <w:r>
        <w:t xml:space="preserve"> </w:t>
      </w:r>
      <w:r w:rsidR="00A73D27" w:rsidRPr="00A511B7">
        <w:t>respo</w:t>
      </w:r>
      <w:r w:rsidR="0067068E" w:rsidRPr="00A511B7">
        <w:t>nsável pela realização das obras de construção e ampliação do Edifício Garagem</w:t>
      </w:r>
      <w:r w:rsidR="004E14E3">
        <w:t>, esta</w:t>
      </w:r>
      <w:r w:rsidR="0067068E" w:rsidRPr="00A511B7">
        <w:t xml:space="preserve"> contratação </w:t>
      </w:r>
      <w:r w:rsidR="0064026E">
        <w:t>ocorreu</w:t>
      </w:r>
      <w:r w:rsidR="0067068E" w:rsidRPr="00A511B7">
        <w:t xml:space="preserve"> por meio de processo licitatório nº 131.407 do ano de 2014, contrato nº 15.212. A previsão de conclusão é </w:t>
      </w:r>
      <w:r w:rsidR="004E14E3">
        <w:t>em j</w:t>
      </w:r>
      <w:r w:rsidR="00A35EF4" w:rsidRPr="00A511B7">
        <w:t>ulho</w:t>
      </w:r>
      <w:r w:rsidR="00AA1C5C">
        <w:t xml:space="preserve"> de </w:t>
      </w:r>
      <w:r w:rsidR="00A35EF4" w:rsidRPr="00A511B7">
        <w:t>2018.</w:t>
      </w:r>
      <w:r w:rsidR="0064026E">
        <w:t xml:space="preserve"> </w:t>
      </w:r>
      <w:r w:rsidR="00A35EF4" w:rsidRPr="00A511B7">
        <w:t xml:space="preserve">O valor nominal do contrato é de R$ 9.712 e seu valor atualizado </w:t>
      </w:r>
      <w:r w:rsidR="004E14E3">
        <w:t xml:space="preserve">até 31/12/2017 </w:t>
      </w:r>
      <w:r w:rsidR="00A35EF4" w:rsidRPr="00A511B7">
        <w:t xml:space="preserve">é de R$10.792. </w:t>
      </w:r>
    </w:p>
    <w:p w:rsidR="00C1272D" w:rsidRDefault="00C1272D" w:rsidP="00C1272D"/>
    <w:p w:rsidR="00866EA1" w:rsidRPr="00FD7B48" w:rsidRDefault="00866EA1" w:rsidP="00C1272D"/>
    <w:p w:rsidR="00B20F98" w:rsidRPr="00A511B7" w:rsidRDefault="00FE0281" w:rsidP="00F27C83">
      <w:pPr>
        <w:pStyle w:val="Ttulo"/>
        <w:outlineLvl w:val="0"/>
      </w:pPr>
      <w:bookmarkStart w:id="25" w:name="_Ref466465991"/>
      <w:bookmarkStart w:id="26" w:name="_Ref466472218"/>
      <w:bookmarkStart w:id="27" w:name="_Toc512497275"/>
      <w:r w:rsidRPr="00A511B7">
        <w:t>Obrigações Tributárias e Sociais</w:t>
      </w:r>
      <w:bookmarkEnd w:id="25"/>
      <w:bookmarkEnd w:id="26"/>
      <w:bookmarkEnd w:id="27"/>
      <w:r w:rsidR="00A35EF4" w:rsidRPr="00A511B7">
        <w:t xml:space="preserve"> </w:t>
      </w:r>
    </w:p>
    <w:tbl>
      <w:tblPr>
        <w:tblW w:w="9162" w:type="dxa"/>
        <w:tblInd w:w="-17" w:type="dxa"/>
        <w:tblLayout w:type="fixed"/>
        <w:tblCellMar>
          <w:left w:w="0" w:type="dxa"/>
          <w:right w:w="0" w:type="dxa"/>
        </w:tblCellMar>
        <w:tblLook w:val="0000" w:firstRow="0" w:lastRow="0" w:firstColumn="0" w:lastColumn="0" w:noHBand="0" w:noVBand="0"/>
      </w:tblPr>
      <w:tblGrid>
        <w:gridCol w:w="5797"/>
        <w:gridCol w:w="1402"/>
        <w:gridCol w:w="281"/>
        <w:gridCol w:w="1682"/>
      </w:tblGrid>
      <w:tr w:rsidR="00FD7B48" w:rsidRPr="00A511B7" w:rsidTr="000F46F6">
        <w:trPr>
          <w:trHeight w:val="227"/>
        </w:trPr>
        <w:tc>
          <w:tcPr>
            <w:tcW w:w="5797" w:type="dxa"/>
            <w:vAlign w:val="bottom"/>
          </w:tcPr>
          <w:p w:rsidR="000F46F6" w:rsidRPr="00A511B7" w:rsidRDefault="000F46F6" w:rsidP="00AA303E">
            <w:pPr>
              <w:pStyle w:val="NormalWeb"/>
              <w:widowControl w:val="0"/>
              <w:spacing w:before="0" w:after="0" w:line="230" w:lineRule="auto"/>
              <w:rPr>
                <w:sz w:val="20"/>
                <w:szCs w:val="20"/>
                <w:lang w:val="pt-BR"/>
              </w:rPr>
            </w:pPr>
          </w:p>
        </w:tc>
        <w:tc>
          <w:tcPr>
            <w:tcW w:w="1402" w:type="dxa"/>
            <w:tcBorders>
              <w:bottom w:val="single" w:sz="4" w:space="0" w:color="auto"/>
            </w:tcBorders>
            <w:vAlign w:val="bottom"/>
          </w:tcPr>
          <w:p w:rsidR="000F46F6" w:rsidRPr="00A511B7" w:rsidRDefault="000F46F6" w:rsidP="00C85789">
            <w:pPr>
              <w:widowControl w:val="0"/>
              <w:suppressLineNumbers/>
              <w:suppressAutoHyphens/>
              <w:spacing w:line="230" w:lineRule="auto"/>
              <w:jc w:val="center"/>
              <w:rPr>
                <w:b/>
              </w:rPr>
            </w:pPr>
            <w:r w:rsidRPr="00A511B7">
              <w:rPr>
                <w:b/>
              </w:rPr>
              <w:t xml:space="preserve">        </w:t>
            </w:r>
            <w:r w:rsidR="00B635B3" w:rsidRPr="00A511B7">
              <w:rPr>
                <w:b/>
              </w:rPr>
              <w:t>31/12/201</w:t>
            </w:r>
            <w:r w:rsidR="00C85789" w:rsidRPr="00A511B7">
              <w:rPr>
                <w:b/>
              </w:rPr>
              <w:t>7</w:t>
            </w:r>
          </w:p>
        </w:tc>
        <w:tc>
          <w:tcPr>
            <w:tcW w:w="281" w:type="dxa"/>
            <w:vAlign w:val="bottom"/>
          </w:tcPr>
          <w:p w:rsidR="000F46F6" w:rsidRPr="00A511B7" w:rsidRDefault="000F46F6" w:rsidP="005651A6">
            <w:pPr>
              <w:widowControl w:val="0"/>
              <w:suppressLineNumbers/>
              <w:suppressAutoHyphens/>
              <w:spacing w:line="230" w:lineRule="auto"/>
              <w:rPr>
                <w:b/>
              </w:rPr>
            </w:pPr>
          </w:p>
        </w:tc>
        <w:tc>
          <w:tcPr>
            <w:tcW w:w="1682" w:type="dxa"/>
            <w:tcBorders>
              <w:bottom w:val="single" w:sz="4" w:space="0" w:color="auto"/>
            </w:tcBorders>
            <w:vAlign w:val="bottom"/>
          </w:tcPr>
          <w:p w:rsidR="000F46F6" w:rsidRPr="00A511B7" w:rsidRDefault="000F46F6" w:rsidP="00E05ADB">
            <w:pPr>
              <w:widowControl w:val="0"/>
              <w:suppressLineNumbers/>
              <w:suppressAutoHyphens/>
              <w:spacing w:line="230" w:lineRule="auto"/>
              <w:jc w:val="center"/>
              <w:rPr>
                <w:b/>
              </w:rPr>
            </w:pPr>
            <w:r w:rsidRPr="00A511B7">
              <w:rPr>
                <w:b/>
              </w:rPr>
              <w:t xml:space="preserve">         </w:t>
            </w:r>
            <w:r w:rsidR="00B635B3" w:rsidRPr="00A511B7">
              <w:rPr>
                <w:b/>
              </w:rPr>
              <w:t>31/12/201</w:t>
            </w:r>
            <w:r w:rsidR="00E05ADB" w:rsidRPr="00A511B7">
              <w:rPr>
                <w:b/>
              </w:rPr>
              <w:t>6</w:t>
            </w:r>
          </w:p>
        </w:tc>
      </w:tr>
      <w:tr w:rsidR="00FD7B48" w:rsidRPr="00FD7B48" w:rsidTr="00996031">
        <w:trPr>
          <w:trHeight w:val="227"/>
        </w:trPr>
        <w:tc>
          <w:tcPr>
            <w:tcW w:w="5797" w:type="dxa"/>
            <w:vAlign w:val="bottom"/>
          </w:tcPr>
          <w:p w:rsidR="00856031" w:rsidRPr="00FD7B48" w:rsidRDefault="00856031" w:rsidP="00AA303E">
            <w:pPr>
              <w:pStyle w:val="NormalWeb"/>
              <w:widowControl w:val="0"/>
              <w:spacing w:before="0" w:after="0" w:line="230" w:lineRule="auto"/>
              <w:rPr>
                <w:sz w:val="20"/>
                <w:szCs w:val="20"/>
                <w:lang w:val="pt-BR"/>
              </w:rPr>
            </w:pPr>
            <w:r w:rsidRPr="00FD7B48">
              <w:rPr>
                <w:sz w:val="20"/>
                <w:szCs w:val="20"/>
                <w:lang w:val="pt-BR"/>
              </w:rPr>
              <w:t>Tributos Fe</w:t>
            </w:r>
            <w:r w:rsidR="00095EC7" w:rsidRPr="00FD7B48">
              <w:rPr>
                <w:sz w:val="20"/>
                <w:szCs w:val="20"/>
                <w:lang w:val="pt-BR"/>
              </w:rPr>
              <w:t>derais e Municipais retidos de F</w:t>
            </w:r>
            <w:r w:rsidRPr="00FD7B48">
              <w:rPr>
                <w:sz w:val="20"/>
                <w:szCs w:val="20"/>
                <w:lang w:val="pt-BR"/>
              </w:rPr>
              <w:t>ornecedores</w:t>
            </w:r>
          </w:p>
        </w:tc>
        <w:tc>
          <w:tcPr>
            <w:tcW w:w="1402" w:type="dxa"/>
            <w:vAlign w:val="center"/>
          </w:tcPr>
          <w:p w:rsidR="00856031" w:rsidRPr="00FD7B48" w:rsidRDefault="00C019C5">
            <w:pPr>
              <w:jc w:val="right"/>
            </w:pPr>
            <w:r>
              <w:t>2.289</w:t>
            </w:r>
          </w:p>
        </w:tc>
        <w:tc>
          <w:tcPr>
            <w:tcW w:w="281" w:type="dxa"/>
            <w:vAlign w:val="bottom"/>
          </w:tcPr>
          <w:p w:rsidR="00856031" w:rsidRPr="00FD7B48" w:rsidRDefault="00856031" w:rsidP="00AA303E">
            <w:pPr>
              <w:pStyle w:val="NormalWeb"/>
              <w:widowControl w:val="0"/>
              <w:spacing w:before="0" w:after="0" w:line="230" w:lineRule="auto"/>
              <w:rPr>
                <w:sz w:val="20"/>
                <w:szCs w:val="20"/>
                <w:lang w:val="pt-BR"/>
              </w:rPr>
            </w:pPr>
          </w:p>
        </w:tc>
        <w:tc>
          <w:tcPr>
            <w:tcW w:w="1682" w:type="dxa"/>
            <w:vAlign w:val="center"/>
          </w:tcPr>
          <w:p w:rsidR="00856031" w:rsidRPr="00FD7B48" w:rsidRDefault="00E05ADB">
            <w:pPr>
              <w:jc w:val="right"/>
            </w:pPr>
            <w:r>
              <w:t>1.705</w:t>
            </w:r>
          </w:p>
        </w:tc>
      </w:tr>
      <w:tr w:rsidR="00FD7B48" w:rsidRPr="00FD7B48" w:rsidTr="00072343">
        <w:trPr>
          <w:trHeight w:val="227"/>
        </w:trPr>
        <w:tc>
          <w:tcPr>
            <w:tcW w:w="5797" w:type="dxa"/>
            <w:vAlign w:val="bottom"/>
          </w:tcPr>
          <w:p w:rsidR="00856031" w:rsidRPr="00FD7B48" w:rsidRDefault="00856031" w:rsidP="00AA303E">
            <w:pPr>
              <w:pStyle w:val="NormalWeb"/>
              <w:widowControl w:val="0"/>
              <w:spacing w:before="0" w:after="0" w:line="230" w:lineRule="auto"/>
              <w:rPr>
                <w:sz w:val="20"/>
                <w:szCs w:val="20"/>
                <w:lang w:val="pt-BR"/>
              </w:rPr>
            </w:pPr>
            <w:r w:rsidRPr="00FD7B48">
              <w:rPr>
                <w:sz w:val="20"/>
                <w:szCs w:val="20"/>
                <w:lang w:val="pt-BR"/>
              </w:rPr>
              <w:t>PIS sobre Faturamento</w:t>
            </w:r>
          </w:p>
        </w:tc>
        <w:tc>
          <w:tcPr>
            <w:tcW w:w="1402" w:type="dxa"/>
            <w:vAlign w:val="center"/>
          </w:tcPr>
          <w:p w:rsidR="00856031" w:rsidRPr="00FD7B48" w:rsidRDefault="00C019C5">
            <w:pPr>
              <w:jc w:val="right"/>
            </w:pPr>
            <w:r>
              <w:t>42</w:t>
            </w:r>
          </w:p>
        </w:tc>
        <w:tc>
          <w:tcPr>
            <w:tcW w:w="281" w:type="dxa"/>
            <w:vAlign w:val="bottom"/>
          </w:tcPr>
          <w:p w:rsidR="00856031" w:rsidRPr="00FD7B48" w:rsidRDefault="00856031" w:rsidP="00AA303E">
            <w:pPr>
              <w:pStyle w:val="NormalWeb"/>
              <w:widowControl w:val="0"/>
              <w:spacing w:before="0" w:after="0" w:line="230" w:lineRule="auto"/>
              <w:ind w:right="6"/>
              <w:jc w:val="right"/>
              <w:rPr>
                <w:sz w:val="20"/>
                <w:szCs w:val="20"/>
                <w:lang w:val="pt-BR"/>
              </w:rPr>
            </w:pPr>
          </w:p>
        </w:tc>
        <w:tc>
          <w:tcPr>
            <w:tcW w:w="1682" w:type="dxa"/>
            <w:vAlign w:val="center"/>
          </w:tcPr>
          <w:p w:rsidR="00856031" w:rsidRPr="00FD7B48" w:rsidRDefault="00E05ADB">
            <w:pPr>
              <w:jc w:val="right"/>
            </w:pPr>
            <w:r>
              <w:t>26</w:t>
            </w:r>
          </w:p>
        </w:tc>
      </w:tr>
      <w:tr w:rsidR="00FD7B48" w:rsidRPr="00FD7B48" w:rsidTr="00072343">
        <w:trPr>
          <w:trHeight w:val="227"/>
        </w:trPr>
        <w:tc>
          <w:tcPr>
            <w:tcW w:w="5797" w:type="dxa"/>
            <w:vAlign w:val="bottom"/>
          </w:tcPr>
          <w:p w:rsidR="00856031" w:rsidRPr="00FD7B48" w:rsidRDefault="00856031" w:rsidP="00AA303E">
            <w:pPr>
              <w:pStyle w:val="NormalWeb"/>
              <w:widowControl w:val="0"/>
              <w:spacing w:before="0" w:after="0" w:line="230" w:lineRule="auto"/>
              <w:rPr>
                <w:sz w:val="20"/>
                <w:szCs w:val="20"/>
                <w:lang w:val="pt-BR"/>
              </w:rPr>
            </w:pPr>
            <w:r w:rsidRPr="00FD7B48">
              <w:rPr>
                <w:sz w:val="20"/>
                <w:szCs w:val="20"/>
                <w:lang w:val="pt-BR"/>
              </w:rPr>
              <w:t>COFINS sobre Faturamento</w:t>
            </w:r>
          </w:p>
        </w:tc>
        <w:tc>
          <w:tcPr>
            <w:tcW w:w="1402" w:type="dxa"/>
            <w:tcBorders>
              <w:bottom w:val="single" w:sz="4" w:space="0" w:color="auto"/>
            </w:tcBorders>
            <w:vAlign w:val="center"/>
          </w:tcPr>
          <w:p w:rsidR="00856031" w:rsidRPr="00FD7B48" w:rsidRDefault="00C019C5">
            <w:pPr>
              <w:jc w:val="right"/>
            </w:pPr>
            <w:r>
              <w:t>195</w:t>
            </w:r>
          </w:p>
        </w:tc>
        <w:tc>
          <w:tcPr>
            <w:tcW w:w="281" w:type="dxa"/>
            <w:vAlign w:val="bottom"/>
          </w:tcPr>
          <w:p w:rsidR="00856031" w:rsidRPr="00FD7B48" w:rsidRDefault="00856031" w:rsidP="00AA303E">
            <w:pPr>
              <w:pStyle w:val="NormalWeb"/>
              <w:widowControl w:val="0"/>
              <w:spacing w:before="0" w:after="0" w:line="230" w:lineRule="auto"/>
              <w:ind w:right="6"/>
              <w:jc w:val="right"/>
              <w:rPr>
                <w:sz w:val="20"/>
                <w:szCs w:val="20"/>
                <w:lang w:val="pt-BR"/>
              </w:rPr>
            </w:pPr>
          </w:p>
        </w:tc>
        <w:tc>
          <w:tcPr>
            <w:tcW w:w="1682" w:type="dxa"/>
            <w:tcBorders>
              <w:bottom w:val="single" w:sz="4" w:space="0" w:color="auto"/>
            </w:tcBorders>
            <w:vAlign w:val="center"/>
          </w:tcPr>
          <w:p w:rsidR="00856031" w:rsidRPr="00FD7B48" w:rsidRDefault="00E05ADB">
            <w:pPr>
              <w:jc w:val="right"/>
            </w:pPr>
            <w:r>
              <w:t>123</w:t>
            </w:r>
          </w:p>
        </w:tc>
      </w:tr>
      <w:tr w:rsidR="00FD7B48" w:rsidRPr="00FD7B48" w:rsidTr="00072343">
        <w:trPr>
          <w:trHeight w:val="227"/>
        </w:trPr>
        <w:tc>
          <w:tcPr>
            <w:tcW w:w="5797" w:type="dxa"/>
            <w:vAlign w:val="bottom"/>
          </w:tcPr>
          <w:p w:rsidR="00AA303E" w:rsidRPr="00FD7B48" w:rsidRDefault="0043623E" w:rsidP="00AA303E">
            <w:pPr>
              <w:pStyle w:val="NormalWeb"/>
              <w:widowControl w:val="0"/>
              <w:spacing w:before="0" w:after="0"/>
              <w:rPr>
                <w:sz w:val="20"/>
                <w:szCs w:val="20"/>
                <w:lang w:val="pt-BR"/>
              </w:rPr>
            </w:pPr>
            <w:r w:rsidRPr="00FD7B48">
              <w:rPr>
                <w:sz w:val="20"/>
                <w:szCs w:val="20"/>
                <w:lang w:val="pt-BR"/>
              </w:rPr>
              <w:t>Obrigações Tributárias</w:t>
            </w:r>
          </w:p>
        </w:tc>
        <w:tc>
          <w:tcPr>
            <w:tcW w:w="1402" w:type="dxa"/>
            <w:tcBorders>
              <w:top w:val="single" w:sz="4" w:space="0" w:color="auto"/>
            </w:tcBorders>
            <w:vAlign w:val="bottom"/>
          </w:tcPr>
          <w:p w:rsidR="00AA303E" w:rsidRPr="00FD7B48" w:rsidRDefault="00881AAF" w:rsidP="00AA303E">
            <w:pPr>
              <w:pStyle w:val="NormalWeb"/>
              <w:widowControl w:val="0"/>
              <w:spacing w:before="0" w:after="0"/>
              <w:ind w:right="6"/>
              <w:jc w:val="right"/>
              <w:rPr>
                <w:b/>
                <w:sz w:val="20"/>
                <w:szCs w:val="20"/>
                <w:lang w:val="pt-BR"/>
              </w:rPr>
            </w:pPr>
            <w:r>
              <w:rPr>
                <w:rStyle w:val="Forte"/>
                <w:b w:val="0"/>
                <w:sz w:val="20"/>
                <w:szCs w:val="20"/>
                <w:lang w:val="pt-BR"/>
              </w:rPr>
              <w:t>2.526</w:t>
            </w:r>
          </w:p>
        </w:tc>
        <w:tc>
          <w:tcPr>
            <w:tcW w:w="281" w:type="dxa"/>
            <w:vAlign w:val="bottom"/>
          </w:tcPr>
          <w:p w:rsidR="00AA303E" w:rsidRPr="00FD7B48" w:rsidRDefault="00AA303E" w:rsidP="00AA303E">
            <w:pPr>
              <w:pStyle w:val="NormalWeb"/>
              <w:widowControl w:val="0"/>
              <w:spacing w:before="0" w:after="0"/>
              <w:rPr>
                <w:sz w:val="20"/>
                <w:szCs w:val="20"/>
                <w:lang w:val="pt-BR"/>
              </w:rPr>
            </w:pPr>
          </w:p>
        </w:tc>
        <w:tc>
          <w:tcPr>
            <w:tcW w:w="1682" w:type="dxa"/>
            <w:tcBorders>
              <w:top w:val="single" w:sz="4" w:space="0" w:color="auto"/>
            </w:tcBorders>
            <w:vAlign w:val="bottom"/>
          </w:tcPr>
          <w:p w:rsidR="00AA303E" w:rsidRPr="00FD7B48" w:rsidRDefault="00E05ADB" w:rsidP="00AA303E">
            <w:pPr>
              <w:pStyle w:val="NormalWeb"/>
              <w:widowControl w:val="0"/>
              <w:spacing w:before="0" w:after="0"/>
              <w:ind w:right="6"/>
              <w:jc w:val="right"/>
              <w:rPr>
                <w:sz w:val="20"/>
                <w:szCs w:val="20"/>
                <w:lang w:val="pt-BR"/>
              </w:rPr>
            </w:pPr>
            <w:r>
              <w:rPr>
                <w:sz w:val="20"/>
                <w:szCs w:val="20"/>
                <w:lang w:val="pt-BR"/>
              </w:rPr>
              <w:t>1.854</w:t>
            </w:r>
          </w:p>
        </w:tc>
      </w:tr>
      <w:tr w:rsidR="00FD7B48" w:rsidRPr="00FD7B48" w:rsidTr="00072343">
        <w:trPr>
          <w:trHeight w:val="227"/>
        </w:trPr>
        <w:tc>
          <w:tcPr>
            <w:tcW w:w="5797" w:type="dxa"/>
            <w:vAlign w:val="bottom"/>
          </w:tcPr>
          <w:p w:rsidR="00AA303E" w:rsidRPr="00FD7B48" w:rsidRDefault="00D10B2E" w:rsidP="00520BE9">
            <w:pPr>
              <w:pStyle w:val="NormalWeb"/>
              <w:widowControl w:val="0"/>
              <w:spacing w:before="0" w:after="0"/>
              <w:rPr>
                <w:sz w:val="20"/>
                <w:szCs w:val="20"/>
                <w:lang w:val="pt-BR"/>
              </w:rPr>
            </w:pPr>
            <w:r w:rsidRPr="00FD7B48">
              <w:rPr>
                <w:sz w:val="20"/>
                <w:szCs w:val="20"/>
                <w:lang w:val="pt-BR"/>
              </w:rPr>
              <w:t>Obrigações Sociais</w:t>
            </w:r>
          </w:p>
        </w:tc>
        <w:tc>
          <w:tcPr>
            <w:tcW w:w="1402" w:type="dxa"/>
            <w:tcBorders>
              <w:bottom w:val="single" w:sz="4" w:space="0" w:color="auto"/>
            </w:tcBorders>
            <w:vAlign w:val="bottom"/>
          </w:tcPr>
          <w:p w:rsidR="00AA303E" w:rsidRPr="00FD7B48" w:rsidRDefault="00881AAF" w:rsidP="00AA303E">
            <w:pPr>
              <w:pStyle w:val="NormalWeb"/>
              <w:widowControl w:val="0"/>
              <w:spacing w:before="0" w:after="0"/>
              <w:ind w:right="6"/>
              <w:jc w:val="right"/>
              <w:rPr>
                <w:sz w:val="20"/>
                <w:szCs w:val="20"/>
                <w:lang w:val="pt-BR"/>
              </w:rPr>
            </w:pPr>
            <w:r>
              <w:rPr>
                <w:sz w:val="20"/>
                <w:szCs w:val="20"/>
                <w:lang w:val="pt-BR"/>
              </w:rPr>
              <w:t>292</w:t>
            </w:r>
          </w:p>
        </w:tc>
        <w:tc>
          <w:tcPr>
            <w:tcW w:w="281" w:type="dxa"/>
            <w:vAlign w:val="bottom"/>
          </w:tcPr>
          <w:p w:rsidR="00AA303E" w:rsidRPr="00FD7B48" w:rsidRDefault="00AA303E" w:rsidP="00AA303E">
            <w:pPr>
              <w:pStyle w:val="NormalWeb"/>
              <w:widowControl w:val="0"/>
              <w:spacing w:before="0" w:after="0"/>
              <w:rPr>
                <w:sz w:val="20"/>
                <w:szCs w:val="20"/>
                <w:lang w:val="pt-BR"/>
              </w:rPr>
            </w:pPr>
          </w:p>
        </w:tc>
        <w:tc>
          <w:tcPr>
            <w:tcW w:w="1682" w:type="dxa"/>
            <w:tcBorders>
              <w:bottom w:val="single" w:sz="4" w:space="0" w:color="auto"/>
            </w:tcBorders>
            <w:vAlign w:val="bottom"/>
          </w:tcPr>
          <w:p w:rsidR="00AA303E" w:rsidRPr="00FD7B48" w:rsidRDefault="00E05ADB" w:rsidP="007A6920">
            <w:pPr>
              <w:pStyle w:val="NormalWeb"/>
              <w:widowControl w:val="0"/>
              <w:spacing w:before="0" w:after="0"/>
              <w:ind w:right="6"/>
              <w:jc w:val="right"/>
              <w:rPr>
                <w:sz w:val="20"/>
                <w:szCs w:val="20"/>
                <w:lang w:val="pt-BR"/>
              </w:rPr>
            </w:pPr>
            <w:r>
              <w:rPr>
                <w:sz w:val="20"/>
                <w:szCs w:val="20"/>
                <w:lang w:val="pt-BR"/>
              </w:rPr>
              <w:t>556</w:t>
            </w:r>
          </w:p>
        </w:tc>
      </w:tr>
      <w:tr w:rsidR="00FD7B48" w:rsidRPr="00FD7B48" w:rsidTr="000F46F6">
        <w:trPr>
          <w:trHeight w:val="227"/>
        </w:trPr>
        <w:tc>
          <w:tcPr>
            <w:tcW w:w="5797" w:type="dxa"/>
            <w:vAlign w:val="bottom"/>
          </w:tcPr>
          <w:p w:rsidR="00AA303E" w:rsidRPr="00FD7B48" w:rsidRDefault="0043623E" w:rsidP="00AA303E">
            <w:pPr>
              <w:pStyle w:val="NormalWeb"/>
              <w:widowControl w:val="0"/>
              <w:spacing w:before="0" w:after="0"/>
              <w:rPr>
                <w:b/>
                <w:sz w:val="20"/>
                <w:szCs w:val="20"/>
                <w:lang w:val="pt-BR"/>
              </w:rPr>
            </w:pPr>
            <w:r w:rsidRPr="00FD7B48">
              <w:rPr>
                <w:b/>
                <w:sz w:val="20"/>
                <w:szCs w:val="20"/>
                <w:lang w:val="pt-BR"/>
              </w:rPr>
              <w:t>Saldo Contábil</w:t>
            </w:r>
          </w:p>
        </w:tc>
        <w:tc>
          <w:tcPr>
            <w:tcW w:w="1402" w:type="dxa"/>
            <w:tcBorders>
              <w:bottom w:val="double" w:sz="6" w:space="0" w:color="auto"/>
            </w:tcBorders>
            <w:vAlign w:val="bottom"/>
          </w:tcPr>
          <w:p w:rsidR="00AA303E" w:rsidRPr="00FD7B48" w:rsidRDefault="00881AAF" w:rsidP="00AA303E">
            <w:pPr>
              <w:pStyle w:val="NormalWeb"/>
              <w:widowControl w:val="0"/>
              <w:spacing w:before="0" w:after="0"/>
              <w:ind w:right="6"/>
              <w:jc w:val="right"/>
              <w:rPr>
                <w:b/>
                <w:sz w:val="20"/>
                <w:szCs w:val="20"/>
                <w:lang w:val="pt-BR"/>
              </w:rPr>
            </w:pPr>
            <w:r>
              <w:rPr>
                <w:b/>
                <w:sz w:val="20"/>
                <w:szCs w:val="20"/>
                <w:lang w:val="pt-BR"/>
              </w:rPr>
              <w:t>2.818</w:t>
            </w:r>
          </w:p>
        </w:tc>
        <w:tc>
          <w:tcPr>
            <w:tcW w:w="281" w:type="dxa"/>
            <w:vAlign w:val="bottom"/>
          </w:tcPr>
          <w:p w:rsidR="00AA303E" w:rsidRPr="00FD7B48" w:rsidRDefault="00AA303E" w:rsidP="00AA303E">
            <w:pPr>
              <w:pStyle w:val="NormalWeb"/>
              <w:widowControl w:val="0"/>
              <w:spacing w:before="0" w:after="0"/>
              <w:rPr>
                <w:b/>
                <w:sz w:val="20"/>
                <w:szCs w:val="20"/>
                <w:lang w:val="pt-BR"/>
              </w:rPr>
            </w:pPr>
          </w:p>
        </w:tc>
        <w:tc>
          <w:tcPr>
            <w:tcW w:w="1682" w:type="dxa"/>
            <w:tcBorders>
              <w:bottom w:val="double" w:sz="6" w:space="0" w:color="auto"/>
            </w:tcBorders>
            <w:vAlign w:val="bottom"/>
          </w:tcPr>
          <w:p w:rsidR="00AA303E" w:rsidRPr="00FD7B48" w:rsidRDefault="00856031" w:rsidP="00E05ADB">
            <w:pPr>
              <w:pStyle w:val="NormalWeb"/>
              <w:widowControl w:val="0"/>
              <w:spacing w:before="0" w:after="0"/>
              <w:ind w:right="6"/>
              <w:jc w:val="right"/>
              <w:rPr>
                <w:b/>
                <w:sz w:val="20"/>
                <w:szCs w:val="20"/>
                <w:lang w:val="pt-BR"/>
              </w:rPr>
            </w:pPr>
            <w:r w:rsidRPr="00FD7B48">
              <w:rPr>
                <w:b/>
                <w:sz w:val="20"/>
                <w:szCs w:val="20"/>
                <w:lang w:val="pt-BR"/>
              </w:rPr>
              <w:t>2.</w:t>
            </w:r>
            <w:r w:rsidR="00E05ADB">
              <w:rPr>
                <w:b/>
                <w:sz w:val="20"/>
                <w:szCs w:val="20"/>
                <w:lang w:val="pt-BR"/>
              </w:rPr>
              <w:t>410</w:t>
            </w:r>
          </w:p>
        </w:tc>
      </w:tr>
    </w:tbl>
    <w:p w:rsidR="00AA303E" w:rsidRPr="00FD7B48" w:rsidRDefault="00AA303E" w:rsidP="00AA303E"/>
    <w:p w:rsidR="00B20F98" w:rsidRDefault="00B20F98" w:rsidP="00116BD5">
      <w:pPr>
        <w:tabs>
          <w:tab w:val="left" w:pos="851"/>
        </w:tabs>
        <w:jc w:val="both"/>
      </w:pPr>
      <w:r w:rsidRPr="00FF46E7">
        <w:t>Na conta Obrigações Tributárias, são registrados os impostos federais PIS e</w:t>
      </w:r>
      <w:r w:rsidR="00B72E90" w:rsidRPr="00FF46E7">
        <w:t xml:space="preserve"> COFINS e os valores retidos de</w:t>
      </w:r>
      <w:r w:rsidRPr="00FF46E7">
        <w:t xml:space="preserve"> fornecedores, conforme Lei Complementar Municipal n° 306/93 e 07/73 e federais </w:t>
      </w:r>
      <w:r w:rsidR="00B72E90" w:rsidRPr="00FF46E7">
        <w:t>conforme IN/RFB n° 123</w:t>
      </w:r>
      <w:r w:rsidRPr="00FF46E7">
        <w:t xml:space="preserve">4 de 30/01/2012 e IN/RFB n° 971 de 2009. Todos os valores retidos dos fornecedores são recolhidos aos cofres públicos por ocasião do pagamento ao fornecedor. A Instituição goza de isenção de </w:t>
      </w:r>
      <w:r w:rsidR="00610AA6" w:rsidRPr="00FF46E7">
        <w:t>impostos</w:t>
      </w:r>
      <w:r w:rsidRPr="00FF46E7">
        <w:t xml:space="preserve"> federais conforme artigo n° 15 da Lei 5.604 de 02 de setembro de 1970</w:t>
      </w:r>
      <w:r w:rsidR="00116BD5" w:rsidRPr="00FF46E7">
        <w:t>.</w:t>
      </w:r>
      <w:r w:rsidR="00D10B2E" w:rsidRPr="00FF46E7">
        <w:t xml:space="preserve"> </w:t>
      </w:r>
      <w:r w:rsidR="00974311">
        <w:t xml:space="preserve"> </w:t>
      </w:r>
      <w:r w:rsidR="00D10B2E" w:rsidRPr="00FF46E7">
        <w:t>O saldo de Obrigações Sociais é composto pel</w:t>
      </w:r>
      <w:r w:rsidR="00530568">
        <w:t xml:space="preserve">a </w:t>
      </w:r>
      <w:r w:rsidR="00D10B2E" w:rsidRPr="00FF46E7">
        <w:t>ret</w:t>
      </w:r>
      <w:r w:rsidR="002939BB">
        <w:t>enção previdenciária</w:t>
      </w:r>
      <w:r w:rsidR="00D10B2E" w:rsidRPr="00FF46E7">
        <w:t xml:space="preserve"> </w:t>
      </w:r>
      <w:r w:rsidR="00974311">
        <w:t>incidente sobre serviços pagos a</w:t>
      </w:r>
      <w:r w:rsidR="00D10B2E" w:rsidRPr="00FF46E7">
        <w:t xml:space="preserve"> Fornecedores.</w:t>
      </w:r>
    </w:p>
    <w:p w:rsidR="006874C1" w:rsidRPr="00FF46E7" w:rsidRDefault="006874C1" w:rsidP="00116BD5">
      <w:pPr>
        <w:tabs>
          <w:tab w:val="left" w:pos="851"/>
        </w:tabs>
        <w:jc w:val="both"/>
      </w:pPr>
    </w:p>
    <w:p w:rsidR="00B85AF2" w:rsidRDefault="00B85AF2" w:rsidP="00B20F98">
      <w:pPr>
        <w:jc w:val="both"/>
      </w:pPr>
    </w:p>
    <w:p w:rsidR="00F12C38" w:rsidRPr="00A511B7" w:rsidRDefault="00494A9A" w:rsidP="00F12C38">
      <w:pPr>
        <w:pStyle w:val="Ttulo"/>
        <w:outlineLvl w:val="0"/>
      </w:pPr>
      <w:bookmarkStart w:id="28" w:name="_Ref466465804"/>
      <w:bookmarkStart w:id="29" w:name="_Ref466465880"/>
      <w:bookmarkStart w:id="30" w:name="_Ref466466046"/>
      <w:bookmarkStart w:id="31" w:name="_Ref466466081"/>
      <w:bookmarkStart w:id="32" w:name="_Ref466467762"/>
      <w:bookmarkStart w:id="33" w:name="_Ref466467846"/>
      <w:bookmarkStart w:id="34" w:name="_Ref466472309"/>
      <w:bookmarkStart w:id="35" w:name="_Toc512497276"/>
      <w:r w:rsidRPr="00A511B7">
        <w:t>Contingências</w:t>
      </w:r>
      <w:r w:rsidR="00116BD5" w:rsidRPr="00A511B7">
        <w:t xml:space="preserve"> e Apropriações </w:t>
      </w:r>
      <w:r w:rsidR="00166DA5">
        <w:t xml:space="preserve"> </w:t>
      </w:r>
      <w:r w:rsidR="00116BD5" w:rsidRPr="00A511B7">
        <w:t>por Competência</w:t>
      </w:r>
      <w:bookmarkEnd w:id="28"/>
      <w:bookmarkEnd w:id="29"/>
      <w:bookmarkEnd w:id="30"/>
      <w:bookmarkEnd w:id="31"/>
      <w:bookmarkEnd w:id="32"/>
      <w:bookmarkEnd w:id="33"/>
      <w:bookmarkEnd w:id="34"/>
      <w:bookmarkEnd w:id="35"/>
      <w:r w:rsidR="00AC6EC7" w:rsidRPr="00A511B7">
        <w:t xml:space="preserve"> </w:t>
      </w:r>
    </w:p>
    <w:p w:rsidR="008A3B7E" w:rsidRPr="00FD7B48" w:rsidRDefault="008A3B7E" w:rsidP="008A3B7E">
      <w:pPr>
        <w:jc w:val="both"/>
      </w:pPr>
    </w:p>
    <w:tbl>
      <w:tblPr>
        <w:tblW w:w="5000" w:type="pct"/>
        <w:tblCellMar>
          <w:left w:w="70" w:type="dxa"/>
          <w:right w:w="70" w:type="dxa"/>
        </w:tblCellMar>
        <w:tblLook w:val="04A0" w:firstRow="1" w:lastRow="0" w:firstColumn="1" w:lastColumn="0" w:noHBand="0" w:noVBand="1"/>
      </w:tblPr>
      <w:tblGrid>
        <w:gridCol w:w="3172"/>
        <w:gridCol w:w="188"/>
        <w:gridCol w:w="1367"/>
        <w:gridCol w:w="205"/>
        <w:gridCol w:w="1345"/>
        <w:gridCol w:w="282"/>
        <w:gridCol w:w="1083"/>
        <w:gridCol w:w="243"/>
        <w:gridCol w:w="1327"/>
      </w:tblGrid>
      <w:tr w:rsidR="00AC6EC7" w:rsidRPr="00B85AF2" w:rsidTr="001763E2">
        <w:trPr>
          <w:trHeight w:val="20"/>
        </w:trPr>
        <w:tc>
          <w:tcPr>
            <w:tcW w:w="172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10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2324" w:type="pct"/>
            <w:gridSpan w:val="5"/>
            <w:tcBorders>
              <w:top w:val="nil"/>
              <w:left w:val="nil"/>
              <w:bottom w:val="single" w:sz="8" w:space="0" w:color="auto"/>
              <w:right w:val="nil"/>
            </w:tcBorders>
            <w:shd w:val="clear" w:color="auto" w:fill="auto"/>
            <w:vAlign w:val="center"/>
            <w:hideMark/>
          </w:tcPr>
          <w:p w:rsidR="00AC6EC7" w:rsidRPr="00B85AF2" w:rsidRDefault="00AC6EC7" w:rsidP="00AC6EC7">
            <w:pPr>
              <w:jc w:val="right"/>
              <w:rPr>
                <w:b/>
                <w:bCs/>
                <w:color w:val="000000"/>
                <w:sz w:val="18"/>
                <w:szCs w:val="18"/>
              </w:rPr>
            </w:pPr>
            <w:r w:rsidRPr="00B85AF2">
              <w:rPr>
                <w:b/>
                <w:bCs/>
                <w:color w:val="000000"/>
                <w:sz w:val="18"/>
                <w:szCs w:val="18"/>
              </w:rPr>
              <w:t>31/12/2017</w:t>
            </w:r>
          </w:p>
        </w:tc>
        <w:tc>
          <w:tcPr>
            <w:tcW w:w="13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21" w:type="pct"/>
            <w:tcBorders>
              <w:top w:val="nil"/>
              <w:left w:val="nil"/>
              <w:bottom w:val="single" w:sz="8" w:space="0" w:color="auto"/>
              <w:right w:val="nil"/>
            </w:tcBorders>
            <w:shd w:val="clear" w:color="auto" w:fill="auto"/>
            <w:vAlign w:val="center"/>
            <w:hideMark/>
          </w:tcPr>
          <w:p w:rsidR="00AC6EC7" w:rsidRPr="00B85AF2" w:rsidRDefault="00AC6EC7" w:rsidP="00AC6EC7">
            <w:pPr>
              <w:jc w:val="right"/>
              <w:rPr>
                <w:b/>
                <w:bCs/>
                <w:color w:val="000000"/>
                <w:sz w:val="18"/>
                <w:szCs w:val="18"/>
              </w:rPr>
            </w:pPr>
            <w:r w:rsidRPr="00B85AF2">
              <w:rPr>
                <w:b/>
                <w:bCs/>
                <w:color w:val="000000"/>
                <w:sz w:val="18"/>
                <w:szCs w:val="18"/>
              </w:rPr>
              <w:t>31/12/2016</w:t>
            </w:r>
          </w:p>
        </w:tc>
      </w:tr>
      <w:tr w:rsidR="001763E2" w:rsidRPr="00B85AF2" w:rsidTr="001763E2">
        <w:trPr>
          <w:trHeight w:val="20"/>
        </w:trPr>
        <w:tc>
          <w:tcPr>
            <w:tcW w:w="172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10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4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111"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30"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153"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587"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13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21"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r>
      <w:tr w:rsidR="001763E2" w:rsidRPr="00B85AF2" w:rsidTr="001763E2">
        <w:trPr>
          <w:trHeight w:val="20"/>
        </w:trPr>
        <w:tc>
          <w:tcPr>
            <w:tcW w:w="172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10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42" w:type="pct"/>
            <w:tcBorders>
              <w:top w:val="nil"/>
              <w:left w:val="nil"/>
              <w:bottom w:val="single" w:sz="8" w:space="0" w:color="auto"/>
              <w:right w:val="nil"/>
            </w:tcBorders>
            <w:shd w:val="clear" w:color="auto" w:fill="auto"/>
            <w:vAlign w:val="center"/>
            <w:hideMark/>
          </w:tcPr>
          <w:p w:rsidR="00AC6EC7" w:rsidRPr="00B85AF2" w:rsidRDefault="00AC6EC7" w:rsidP="00AC6EC7">
            <w:pPr>
              <w:jc w:val="right"/>
              <w:rPr>
                <w:b/>
                <w:bCs/>
                <w:color w:val="000000"/>
                <w:sz w:val="18"/>
                <w:szCs w:val="18"/>
              </w:rPr>
            </w:pPr>
            <w:r w:rsidRPr="00B85AF2">
              <w:rPr>
                <w:b/>
                <w:bCs/>
                <w:color w:val="000000"/>
                <w:sz w:val="18"/>
                <w:szCs w:val="18"/>
              </w:rPr>
              <w:t>Curto Prazo</w:t>
            </w:r>
          </w:p>
        </w:tc>
        <w:tc>
          <w:tcPr>
            <w:tcW w:w="111"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30" w:type="pct"/>
            <w:tcBorders>
              <w:top w:val="nil"/>
              <w:left w:val="nil"/>
              <w:bottom w:val="single" w:sz="8" w:space="0" w:color="auto"/>
              <w:right w:val="nil"/>
            </w:tcBorders>
            <w:shd w:val="clear" w:color="auto" w:fill="auto"/>
            <w:vAlign w:val="center"/>
            <w:hideMark/>
          </w:tcPr>
          <w:p w:rsidR="00AC6EC7" w:rsidRPr="00B85AF2" w:rsidRDefault="00AC6EC7" w:rsidP="00AC6EC7">
            <w:pPr>
              <w:jc w:val="right"/>
              <w:rPr>
                <w:b/>
                <w:bCs/>
                <w:color w:val="000000"/>
                <w:sz w:val="18"/>
                <w:szCs w:val="18"/>
              </w:rPr>
            </w:pPr>
            <w:r w:rsidRPr="00B85AF2">
              <w:rPr>
                <w:b/>
                <w:bCs/>
                <w:color w:val="000000"/>
                <w:sz w:val="18"/>
                <w:szCs w:val="18"/>
              </w:rPr>
              <w:t>Longo Prazo</w:t>
            </w:r>
          </w:p>
        </w:tc>
        <w:tc>
          <w:tcPr>
            <w:tcW w:w="153"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587" w:type="pct"/>
            <w:tcBorders>
              <w:top w:val="nil"/>
              <w:left w:val="nil"/>
              <w:bottom w:val="single" w:sz="8" w:space="0" w:color="auto"/>
              <w:right w:val="nil"/>
            </w:tcBorders>
            <w:shd w:val="clear" w:color="auto" w:fill="auto"/>
            <w:vAlign w:val="center"/>
            <w:hideMark/>
          </w:tcPr>
          <w:p w:rsidR="00AC6EC7" w:rsidRPr="00B85AF2" w:rsidRDefault="00AC6EC7" w:rsidP="00AC6EC7">
            <w:pPr>
              <w:jc w:val="right"/>
              <w:rPr>
                <w:b/>
                <w:bCs/>
                <w:color w:val="000000"/>
                <w:sz w:val="18"/>
                <w:szCs w:val="18"/>
              </w:rPr>
            </w:pPr>
            <w:r w:rsidRPr="00B85AF2">
              <w:rPr>
                <w:b/>
                <w:bCs/>
                <w:color w:val="000000"/>
                <w:sz w:val="18"/>
                <w:szCs w:val="18"/>
              </w:rPr>
              <w:t>Total</w:t>
            </w:r>
          </w:p>
        </w:tc>
        <w:tc>
          <w:tcPr>
            <w:tcW w:w="13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21" w:type="pct"/>
            <w:tcBorders>
              <w:top w:val="nil"/>
              <w:left w:val="nil"/>
              <w:bottom w:val="single" w:sz="8" w:space="0" w:color="auto"/>
              <w:right w:val="nil"/>
            </w:tcBorders>
            <w:shd w:val="clear" w:color="auto" w:fill="auto"/>
            <w:vAlign w:val="center"/>
            <w:hideMark/>
          </w:tcPr>
          <w:p w:rsidR="00AC6EC7" w:rsidRPr="00B85AF2" w:rsidRDefault="00AC6EC7" w:rsidP="00AC6EC7">
            <w:pPr>
              <w:jc w:val="right"/>
              <w:rPr>
                <w:b/>
                <w:bCs/>
                <w:color w:val="000000"/>
                <w:sz w:val="18"/>
                <w:szCs w:val="18"/>
              </w:rPr>
            </w:pPr>
            <w:r w:rsidRPr="00B85AF2">
              <w:rPr>
                <w:b/>
                <w:bCs/>
                <w:color w:val="000000"/>
                <w:sz w:val="18"/>
                <w:szCs w:val="18"/>
              </w:rPr>
              <w:t>Total</w:t>
            </w:r>
          </w:p>
        </w:tc>
      </w:tr>
      <w:tr w:rsidR="001763E2" w:rsidRPr="00B85AF2" w:rsidTr="001763E2">
        <w:trPr>
          <w:trHeight w:val="20"/>
        </w:trPr>
        <w:tc>
          <w:tcPr>
            <w:tcW w:w="172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r w:rsidRPr="00B85AF2">
              <w:rPr>
                <w:color w:val="000000"/>
                <w:sz w:val="18"/>
                <w:szCs w:val="18"/>
              </w:rPr>
              <w:t>Contingências (a)</w:t>
            </w:r>
          </w:p>
        </w:tc>
        <w:tc>
          <w:tcPr>
            <w:tcW w:w="10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42" w:type="pct"/>
            <w:tcBorders>
              <w:top w:val="nil"/>
              <w:left w:val="nil"/>
              <w:bottom w:val="nil"/>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8.346</w:t>
            </w:r>
          </w:p>
        </w:tc>
        <w:tc>
          <w:tcPr>
            <w:tcW w:w="111"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30" w:type="pct"/>
            <w:tcBorders>
              <w:top w:val="nil"/>
              <w:left w:val="nil"/>
              <w:bottom w:val="nil"/>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257.506</w:t>
            </w:r>
          </w:p>
        </w:tc>
        <w:tc>
          <w:tcPr>
            <w:tcW w:w="153"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587" w:type="pct"/>
            <w:tcBorders>
              <w:top w:val="nil"/>
              <w:left w:val="nil"/>
              <w:bottom w:val="nil"/>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265.852</w:t>
            </w:r>
          </w:p>
        </w:tc>
        <w:tc>
          <w:tcPr>
            <w:tcW w:w="13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21" w:type="pct"/>
            <w:tcBorders>
              <w:top w:val="nil"/>
              <w:left w:val="nil"/>
              <w:bottom w:val="nil"/>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232.601</w:t>
            </w:r>
          </w:p>
        </w:tc>
      </w:tr>
      <w:tr w:rsidR="001763E2" w:rsidRPr="00B85AF2" w:rsidTr="001763E2">
        <w:trPr>
          <w:trHeight w:val="20"/>
        </w:trPr>
        <w:tc>
          <w:tcPr>
            <w:tcW w:w="1722" w:type="pct"/>
            <w:tcBorders>
              <w:top w:val="nil"/>
              <w:left w:val="nil"/>
              <w:bottom w:val="nil"/>
              <w:right w:val="nil"/>
            </w:tcBorders>
            <w:shd w:val="clear" w:color="auto" w:fill="auto"/>
            <w:vAlign w:val="center"/>
            <w:hideMark/>
          </w:tcPr>
          <w:p w:rsidR="00AC6EC7" w:rsidRPr="00B85AF2" w:rsidRDefault="00AC6EC7" w:rsidP="00975C9E">
            <w:pPr>
              <w:rPr>
                <w:color w:val="000000"/>
                <w:sz w:val="18"/>
                <w:szCs w:val="18"/>
              </w:rPr>
            </w:pPr>
            <w:r w:rsidRPr="00B85AF2">
              <w:rPr>
                <w:color w:val="000000"/>
                <w:sz w:val="18"/>
                <w:szCs w:val="18"/>
              </w:rPr>
              <w:t>Férias a Pagar (</w:t>
            </w:r>
            <w:r w:rsidR="00975C9E" w:rsidRPr="00B85AF2">
              <w:rPr>
                <w:color w:val="000000"/>
                <w:sz w:val="18"/>
                <w:szCs w:val="18"/>
              </w:rPr>
              <w:t>b</w:t>
            </w:r>
            <w:r w:rsidRPr="00B85AF2">
              <w:rPr>
                <w:color w:val="000000"/>
                <w:sz w:val="18"/>
                <w:szCs w:val="18"/>
              </w:rPr>
              <w:t>)</w:t>
            </w:r>
          </w:p>
        </w:tc>
        <w:tc>
          <w:tcPr>
            <w:tcW w:w="10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42" w:type="pct"/>
            <w:tcBorders>
              <w:top w:val="nil"/>
              <w:left w:val="nil"/>
              <w:bottom w:val="nil"/>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94.789</w:t>
            </w:r>
          </w:p>
        </w:tc>
        <w:tc>
          <w:tcPr>
            <w:tcW w:w="111"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30" w:type="pct"/>
            <w:tcBorders>
              <w:top w:val="nil"/>
              <w:left w:val="nil"/>
              <w:bottom w:val="nil"/>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w:t>
            </w:r>
          </w:p>
        </w:tc>
        <w:tc>
          <w:tcPr>
            <w:tcW w:w="153"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587" w:type="pct"/>
            <w:tcBorders>
              <w:top w:val="nil"/>
              <w:left w:val="nil"/>
              <w:bottom w:val="nil"/>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94.789</w:t>
            </w:r>
          </w:p>
        </w:tc>
        <w:tc>
          <w:tcPr>
            <w:tcW w:w="13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21" w:type="pct"/>
            <w:tcBorders>
              <w:top w:val="nil"/>
              <w:left w:val="nil"/>
              <w:bottom w:val="nil"/>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85.359</w:t>
            </w:r>
          </w:p>
        </w:tc>
      </w:tr>
      <w:tr w:rsidR="001763E2" w:rsidRPr="00B85AF2" w:rsidTr="001763E2">
        <w:trPr>
          <w:trHeight w:val="20"/>
        </w:trPr>
        <w:tc>
          <w:tcPr>
            <w:tcW w:w="1722" w:type="pct"/>
            <w:tcBorders>
              <w:top w:val="nil"/>
              <w:left w:val="nil"/>
              <w:bottom w:val="nil"/>
              <w:right w:val="nil"/>
            </w:tcBorders>
            <w:shd w:val="clear" w:color="auto" w:fill="auto"/>
            <w:vAlign w:val="center"/>
            <w:hideMark/>
          </w:tcPr>
          <w:p w:rsidR="00AC6EC7" w:rsidRPr="00B85AF2" w:rsidRDefault="00AC6EC7" w:rsidP="00975C9E">
            <w:pPr>
              <w:rPr>
                <w:color w:val="000000"/>
                <w:sz w:val="18"/>
                <w:szCs w:val="18"/>
              </w:rPr>
            </w:pPr>
            <w:r w:rsidRPr="00B85AF2">
              <w:rPr>
                <w:color w:val="000000"/>
                <w:sz w:val="18"/>
                <w:szCs w:val="18"/>
              </w:rPr>
              <w:t>Licença Especial (</w:t>
            </w:r>
            <w:r w:rsidR="00975C9E" w:rsidRPr="00B85AF2">
              <w:rPr>
                <w:color w:val="000000"/>
                <w:sz w:val="18"/>
                <w:szCs w:val="18"/>
              </w:rPr>
              <w:t>c</w:t>
            </w:r>
            <w:r w:rsidRPr="00B85AF2">
              <w:rPr>
                <w:color w:val="000000"/>
                <w:sz w:val="18"/>
                <w:szCs w:val="18"/>
              </w:rPr>
              <w:t>)</w:t>
            </w:r>
          </w:p>
        </w:tc>
        <w:tc>
          <w:tcPr>
            <w:tcW w:w="10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42" w:type="pct"/>
            <w:tcBorders>
              <w:top w:val="nil"/>
              <w:left w:val="nil"/>
              <w:bottom w:val="nil"/>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49.966</w:t>
            </w:r>
          </w:p>
        </w:tc>
        <w:tc>
          <w:tcPr>
            <w:tcW w:w="111"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30" w:type="pct"/>
            <w:tcBorders>
              <w:top w:val="nil"/>
              <w:left w:val="nil"/>
              <w:bottom w:val="nil"/>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w:t>
            </w:r>
          </w:p>
        </w:tc>
        <w:tc>
          <w:tcPr>
            <w:tcW w:w="153"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587" w:type="pct"/>
            <w:tcBorders>
              <w:top w:val="nil"/>
              <w:left w:val="nil"/>
              <w:bottom w:val="nil"/>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49.966</w:t>
            </w:r>
          </w:p>
        </w:tc>
        <w:tc>
          <w:tcPr>
            <w:tcW w:w="13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21" w:type="pct"/>
            <w:tcBorders>
              <w:top w:val="nil"/>
              <w:left w:val="nil"/>
              <w:bottom w:val="nil"/>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44.951</w:t>
            </w:r>
          </w:p>
        </w:tc>
      </w:tr>
      <w:tr w:rsidR="001763E2" w:rsidRPr="00B85AF2" w:rsidTr="001763E2">
        <w:trPr>
          <w:trHeight w:val="20"/>
        </w:trPr>
        <w:tc>
          <w:tcPr>
            <w:tcW w:w="1722" w:type="pct"/>
            <w:tcBorders>
              <w:top w:val="nil"/>
              <w:left w:val="nil"/>
              <w:bottom w:val="nil"/>
              <w:right w:val="nil"/>
            </w:tcBorders>
            <w:shd w:val="clear" w:color="auto" w:fill="auto"/>
            <w:vAlign w:val="center"/>
            <w:hideMark/>
          </w:tcPr>
          <w:p w:rsidR="00AC6EC7" w:rsidRPr="00B85AF2" w:rsidRDefault="00AC6EC7" w:rsidP="00975C9E">
            <w:pPr>
              <w:rPr>
                <w:color w:val="000000"/>
                <w:sz w:val="18"/>
                <w:szCs w:val="18"/>
              </w:rPr>
            </w:pPr>
            <w:r w:rsidRPr="00B85AF2">
              <w:rPr>
                <w:color w:val="000000"/>
                <w:sz w:val="18"/>
                <w:szCs w:val="18"/>
              </w:rPr>
              <w:t>Tempo de Serviço Passado TSP (</w:t>
            </w:r>
            <w:r w:rsidR="00975C9E" w:rsidRPr="00B85AF2">
              <w:rPr>
                <w:color w:val="000000"/>
                <w:sz w:val="18"/>
                <w:szCs w:val="18"/>
              </w:rPr>
              <w:t>d</w:t>
            </w:r>
            <w:r w:rsidRPr="00B85AF2">
              <w:rPr>
                <w:color w:val="000000"/>
                <w:sz w:val="18"/>
                <w:szCs w:val="18"/>
              </w:rPr>
              <w:t>)</w:t>
            </w:r>
          </w:p>
        </w:tc>
        <w:tc>
          <w:tcPr>
            <w:tcW w:w="10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42" w:type="pct"/>
            <w:tcBorders>
              <w:top w:val="nil"/>
              <w:left w:val="nil"/>
              <w:bottom w:val="single" w:sz="8" w:space="0" w:color="auto"/>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4.270</w:t>
            </w:r>
          </w:p>
        </w:tc>
        <w:tc>
          <w:tcPr>
            <w:tcW w:w="111"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30" w:type="pct"/>
            <w:tcBorders>
              <w:top w:val="nil"/>
              <w:left w:val="nil"/>
              <w:bottom w:val="single" w:sz="8" w:space="0" w:color="auto"/>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21.352</w:t>
            </w:r>
          </w:p>
        </w:tc>
        <w:tc>
          <w:tcPr>
            <w:tcW w:w="153"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587" w:type="pct"/>
            <w:tcBorders>
              <w:top w:val="nil"/>
              <w:left w:val="nil"/>
              <w:bottom w:val="single" w:sz="8" w:space="0" w:color="auto"/>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25.622</w:t>
            </w:r>
          </w:p>
        </w:tc>
        <w:tc>
          <w:tcPr>
            <w:tcW w:w="13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21" w:type="pct"/>
            <w:tcBorders>
              <w:top w:val="nil"/>
              <w:left w:val="nil"/>
              <w:bottom w:val="single" w:sz="8" w:space="0" w:color="auto"/>
              <w:right w:val="nil"/>
            </w:tcBorders>
            <w:shd w:val="clear" w:color="auto" w:fill="auto"/>
            <w:vAlign w:val="center"/>
            <w:hideMark/>
          </w:tcPr>
          <w:p w:rsidR="00AC6EC7" w:rsidRPr="00B85AF2" w:rsidRDefault="00AC6EC7" w:rsidP="00AC6EC7">
            <w:pPr>
              <w:jc w:val="right"/>
              <w:rPr>
                <w:color w:val="000000"/>
                <w:sz w:val="18"/>
                <w:szCs w:val="18"/>
              </w:rPr>
            </w:pPr>
            <w:r w:rsidRPr="00B85AF2">
              <w:rPr>
                <w:color w:val="000000"/>
                <w:sz w:val="18"/>
                <w:szCs w:val="18"/>
              </w:rPr>
              <w:t>31.584</w:t>
            </w:r>
          </w:p>
        </w:tc>
      </w:tr>
      <w:tr w:rsidR="001763E2" w:rsidRPr="00B85AF2" w:rsidTr="001763E2">
        <w:trPr>
          <w:trHeight w:val="20"/>
        </w:trPr>
        <w:tc>
          <w:tcPr>
            <w:tcW w:w="1722" w:type="pct"/>
            <w:tcBorders>
              <w:top w:val="nil"/>
              <w:left w:val="nil"/>
              <w:bottom w:val="nil"/>
              <w:right w:val="nil"/>
            </w:tcBorders>
            <w:shd w:val="clear" w:color="auto" w:fill="auto"/>
            <w:noWrap/>
            <w:vAlign w:val="center"/>
            <w:hideMark/>
          </w:tcPr>
          <w:p w:rsidR="00AC6EC7" w:rsidRPr="00B85AF2" w:rsidRDefault="00AC6EC7" w:rsidP="00AC6EC7">
            <w:pPr>
              <w:rPr>
                <w:color w:val="000000"/>
                <w:sz w:val="18"/>
                <w:szCs w:val="18"/>
              </w:rPr>
            </w:pPr>
          </w:p>
        </w:tc>
        <w:tc>
          <w:tcPr>
            <w:tcW w:w="102" w:type="pct"/>
            <w:tcBorders>
              <w:top w:val="nil"/>
              <w:left w:val="nil"/>
              <w:bottom w:val="nil"/>
              <w:right w:val="nil"/>
            </w:tcBorders>
            <w:shd w:val="clear" w:color="auto" w:fill="auto"/>
            <w:noWrap/>
            <w:vAlign w:val="bottom"/>
            <w:hideMark/>
          </w:tcPr>
          <w:p w:rsidR="00AC6EC7" w:rsidRPr="00B85AF2" w:rsidRDefault="00AC6EC7" w:rsidP="00AC6EC7">
            <w:pPr>
              <w:rPr>
                <w:color w:val="000000"/>
                <w:sz w:val="18"/>
                <w:szCs w:val="18"/>
              </w:rPr>
            </w:pPr>
          </w:p>
        </w:tc>
        <w:tc>
          <w:tcPr>
            <w:tcW w:w="742" w:type="pct"/>
            <w:tcBorders>
              <w:top w:val="nil"/>
              <w:left w:val="nil"/>
              <w:bottom w:val="nil"/>
              <w:right w:val="nil"/>
            </w:tcBorders>
            <w:shd w:val="clear" w:color="auto" w:fill="auto"/>
            <w:noWrap/>
            <w:vAlign w:val="bottom"/>
            <w:hideMark/>
          </w:tcPr>
          <w:p w:rsidR="00AC6EC7" w:rsidRPr="00B85AF2" w:rsidRDefault="00AC6EC7" w:rsidP="00AC6EC7">
            <w:pPr>
              <w:rPr>
                <w:color w:val="000000"/>
                <w:sz w:val="18"/>
                <w:szCs w:val="18"/>
              </w:rPr>
            </w:pPr>
          </w:p>
        </w:tc>
        <w:tc>
          <w:tcPr>
            <w:tcW w:w="111" w:type="pct"/>
            <w:tcBorders>
              <w:top w:val="nil"/>
              <w:left w:val="nil"/>
              <w:bottom w:val="nil"/>
              <w:right w:val="nil"/>
            </w:tcBorders>
            <w:shd w:val="clear" w:color="auto" w:fill="auto"/>
            <w:noWrap/>
            <w:vAlign w:val="bottom"/>
            <w:hideMark/>
          </w:tcPr>
          <w:p w:rsidR="00AC6EC7" w:rsidRPr="00B85AF2" w:rsidRDefault="00AC6EC7" w:rsidP="00AC6EC7">
            <w:pPr>
              <w:rPr>
                <w:color w:val="000000"/>
                <w:sz w:val="18"/>
                <w:szCs w:val="18"/>
              </w:rPr>
            </w:pPr>
          </w:p>
        </w:tc>
        <w:tc>
          <w:tcPr>
            <w:tcW w:w="730" w:type="pct"/>
            <w:tcBorders>
              <w:top w:val="nil"/>
              <w:left w:val="nil"/>
              <w:bottom w:val="nil"/>
              <w:right w:val="nil"/>
            </w:tcBorders>
            <w:shd w:val="clear" w:color="auto" w:fill="auto"/>
            <w:noWrap/>
            <w:vAlign w:val="bottom"/>
            <w:hideMark/>
          </w:tcPr>
          <w:p w:rsidR="00AC6EC7" w:rsidRPr="00B85AF2" w:rsidRDefault="00AC6EC7" w:rsidP="00AC6EC7">
            <w:pPr>
              <w:rPr>
                <w:color w:val="000000"/>
                <w:sz w:val="18"/>
                <w:szCs w:val="18"/>
              </w:rPr>
            </w:pPr>
          </w:p>
        </w:tc>
        <w:tc>
          <w:tcPr>
            <w:tcW w:w="153" w:type="pct"/>
            <w:tcBorders>
              <w:top w:val="nil"/>
              <w:left w:val="nil"/>
              <w:bottom w:val="nil"/>
              <w:right w:val="nil"/>
            </w:tcBorders>
            <w:shd w:val="clear" w:color="auto" w:fill="auto"/>
            <w:noWrap/>
            <w:vAlign w:val="bottom"/>
            <w:hideMark/>
          </w:tcPr>
          <w:p w:rsidR="00AC6EC7" w:rsidRPr="00B85AF2" w:rsidRDefault="00AC6EC7" w:rsidP="00AC6EC7">
            <w:pPr>
              <w:rPr>
                <w:color w:val="000000"/>
                <w:sz w:val="18"/>
                <w:szCs w:val="18"/>
              </w:rPr>
            </w:pPr>
          </w:p>
        </w:tc>
        <w:tc>
          <w:tcPr>
            <w:tcW w:w="587" w:type="pct"/>
            <w:tcBorders>
              <w:top w:val="nil"/>
              <w:left w:val="nil"/>
              <w:bottom w:val="nil"/>
              <w:right w:val="nil"/>
            </w:tcBorders>
            <w:shd w:val="clear" w:color="auto" w:fill="auto"/>
            <w:noWrap/>
            <w:vAlign w:val="bottom"/>
            <w:hideMark/>
          </w:tcPr>
          <w:p w:rsidR="00AC6EC7" w:rsidRPr="00B85AF2" w:rsidRDefault="00AC6EC7" w:rsidP="00AC6EC7">
            <w:pPr>
              <w:rPr>
                <w:color w:val="000000"/>
                <w:sz w:val="18"/>
                <w:szCs w:val="18"/>
              </w:rPr>
            </w:pPr>
          </w:p>
        </w:tc>
        <w:tc>
          <w:tcPr>
            <w:tcW w:w="132" w:type="pct"/>
            <w:tcBorders>
              <w:top w:val="nil"/>
              <w:left w:val="nil"/>
              <w:bottom w:val="nil"/>
              <w:right w:val="nil"/>
            </w:tcBorders>
            <w:shd w:val="clear" w:color="auto" w:fill="auto"/>
            <w:noWrap/>
            <w:vAlign w:val="bottom"/>
            <w:hideMark/>
          </w:tcPr>
          <w:p w:rsidR="00AC6EC7" w:rsidRPr="00B85AF2" w:rsidRDefault="00AC6EC7" w:rsidP="00AC6EC7">
            <w:pPr>
              <w:rPr>
                <w:color w:val="000000"/>
                <w:sz w:val="18"/>
                <w:szCs w:val="18"/>
              </w:rPr>
            </w:pPr>
          </w:p>
        </w:tc>
        <w:tc>
          <w:tcPr>
            <w:tcW w:w="721" w:type="pct"/>
            <w:tcBorders>
              <w:top w:val="nil"/>
              <w:left w:val="nil"/>
              <w:bottom w:val="nil"/>
              <w:right w:val="nil"/>
            </w:tcBorders>
            <w:shd w:val="clear" w:color="auto" w:fill="auto"/>
            <w:noWrap/>
            <w:vAlign w:val="bottom"/>
            <w:hideMark/>
          </w:tcPr>
          <w:p w:rsidR="00AC6EC7" w:rsidRPr="00B85AF2" w:rsidRDefault="00AC6EC7" w:rsidP="00AC6EC7">
            <w:pPr>
              <w:rPr>
                <w:color w:val="000000"/>
                <w:sz w:val="18"/>
                <w:szCs w:val="18"/>
              </w:rPr>
            </w:pPr>
          </w:p>
        </w:tc>
      </w:tr>
      <w:tr w:rsidR="001763E2" w:rsidRPr="00B85AF2" w:rsidTr="001763E2">
        <w:trPr>
          <w:trHeight w:val="20"/>
        </w:trPr>
        <w:tc>
          <w:tcPr>
            <w:tcW w:w="1722" w:type="pct"/>
            <w:tcBorders>
              <w:top w:val="nil"/>
              <w:left w:val="nil"/>
              <w:bottom w:val="nil"/>
              <w:right w:val="nil"/>
            </w:tcBorders>
            <w:shd w:val="clear" w:color="auto" w:fill="auto"/>
            <w:vAlign w:val="center"/>
            <w:hideMark/>
          </w:tcPr>
          <w:p w:rsidR="00AC6EC7" w:rsidRPr="00B85AF2" w:rsidRDefault="00AC6EC7" w:rsidP="00AC6EC7">
            <w:pPr>
              <w:rPr>
                <w:b/>
                <w:bCs/>
                <w:color w:val="000000"/>
                <w:sz w:val="18"/>
                <w:szCs w:val="18"/>
              </w:rPr>
            </w:pPr>
            <w:r w:rsidRPr="00B85AF2">
              <w:rPr>
                <w:b/>
                <w:bCs/>
                <w:color w:val="000000"/>
                <w:sz w:val="18"/>
                <w:szCs w:val="18"/>
              </w:rPr>
              <w:t>Saldo Contábil</w:t>
            </w:r>
          </w:p>
        </w:tc>
        <w:tc>
          <w:tcPr>
            <w:tcW w:w="10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42" w:type="pct"/>
            <w:tcBorders>
              <w:top w:val="nil"/>
              <w:left w:val="nil"/>
              <w:bottom w:val="double" w:sz="6" w:space="0" w:color="auto"/>
              <w:right w:val="nil"/>
            </w:tcBorders>
            <w:shd w:val="clear" w:color="auto" w:fill="auto"/>
            <w:vAlign w:val="center"/>
            <w:hideMark/>
          </w:tcPr>
          <w:p w:rsidR="00AC6EC7" w:rsidRPr="00B85AF2" w:rsidRDefault="00AC6EC7" w:rsidP="00AC6EC7">
            <w:pPr>
              <w:jc w:val="right"/>
              <w:rPr>
                <w:b/>
                <w:bCs/>
                <w:color w:val="000000"/>
                <w:sz w:val="18"/>
                <w:szCs w:val="18"/>
              </w:rPr>
            </w:pPr>
            <w:r w:rsidRPr="00B85AF2">
              <w:rPr>
                <w:b/>
                <w:bCs/>
                <w:color w:val="000000"/>
                <w:sz w:val="18"/>
                <w:szCs w:val="18"/>
              </w:rPr>
              <w:t>157.371</w:t>
            </w:r>
          </w:p>
        </w:tc>
        <w:tc>
          <w:tcPr>
            <w:tcW w:w="111"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30" w:type="pct"/>
            <w:tcBorders>
              <w:top w:val="nil"/>
              <w:left w:val="nil"/>
              <w:bottom w:val="double" w:sz="6" w:space="0" w:color="auto"/>
              <w:right w:val="nil"/>
            </w:tcBorders>
            <w:shd w:val="clear" w:color="auto" w:fill="auto"/>
            <w:vAlign w:val="center"/>
            <w:hideMark/>
          </w:tcPr>
          <w:p w:rsidR="00AC6EC7" w:rsidRPr="00B85AF2" w:rsidRDefault="00AC6EC7" w:rsidP="00AC6EC7">
            <w:pPr>
              <w:jc w:val="right"/>
              <w:rPr>
                <w:b/>
                <w:bCs/>
                <w:color w:val="000000"/>
                <w:sz w:val="18"/>
                <w:szCs w:val="18"/>
              </w:rPr>
            </w:pPr>
            <w:r w:rsidRPr="00B85AF2">
              <w:rPr>
                <w:b/>
                <w:bCs/>
                <w:color w:val="000000"/>
                <w:sz w:val="18"/>
                <w:szCs w:val="18"/>
              </w:rPr>
              <w:t>278.858</w:t>
            </w:r>
          </w:p>
        </w:tc>
        <w:tc>
          <w:tcPr>
            <w:tcW w:w="153"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587" w:type="pct"/>
            <w:tcBorders>
              <w:top w:val="nil"/>
              <w:left w:val="nil"/>
              <w:bottom w:val="double" w:sz="6" w:space="0" w:color="auto"/>
              <w:right w:val="nil"/>
            </w:tcBorders>
            <w:shd w:val="clear" w:color="auto" w:fill="auto"/>
            <w:vAlign w:val="center"/>
            <w:hideMark/>
          </w:tcPr>
          <w:p w:rsidR="00AC6EC7" w:rsidRPr="00B85AF2" w:rsidRDefault="00AC6EC7" w:rsidP="00AC6EC7">
            <w:pPr>
              <w:jc w:val="right"/>
              <w:rPr>
                <w:b/>
                <w:bCs/>
                <w:color w:val="000000"/>
                <w:sz w:val="18"/>
                <w:szCs w:val="18"/>
              </w:rPr>
            </w:pPr>
            <w:r w:rsidRPr="00B85AF2">
              <w:rPr>
                <w:b/>
                <w:bCs/>
                <w:color w:val="000000"/>
                <w:sz w:val="18"/>
                <w:szCs w:val="18"/>
              </w:rPr>
              <w:t>436.229</w:t>
            </w:r>
          </w:p>
        </w:tc>
        <w:tc>
          <w:tcPr>
            <w:tcW w:w="132" w:type="pct"/>
            <w:tcBorders>
              <w:top w:val="nil"/>
              <w:left w:val="nil"/>
              <w:bottom w:val="nil"/>
              <w:right w:val="nil"/>
            </w:tcBorders>
            <w:shd w:val="clear" w:color="auto" w:fill="auto"/>
            <w:vAlign w:val="center"/>
            <w:hideMark/>
          </w:tcPr>
          <w:p w:rsidR="00AC6EC7" w:rsidRPr="00B85AF2" w:rsidRDefault="00AC6EC7" w:rsidP="00AC6EC7">
            <w:pPr>
              <w:rPr>
                <w:color w:val="000000"/>
                <w:sz w:val="18"/>
                <w:szCs w:val="18"/>
              </w:rPr>
            </w:pPr>
          </w:p>
        </w:tc>
        <w:tc>
          <w:tcPr>
            <w:tcW w:w="721" w:type="pct"/>
            <w:tcBorders>
              <w:top w:val="nil"/>
              <w:left w:val="nil"/>
              <w:bottom w:val="double" w:sz="6" w:space="0" w:color="auto"/>
              <w:right w:val="nil"/>
            </w:tcBorders>
            <w:shd w:val="clear" w:color="auto" w:fill="auto"/>
            <w:vAlign w:val="center"/>
            <w:hideMark/>
          </w:tcPr>
          <w:p w:rsidR="00AC6EC7" w:rsidRPr="00B85AF2" w:rsidRDefault="00AC6EC7" w:rsidP="00AC6EC7">
            <w:pPr>
              <w:jc w:val="right"/>
              <w:rPr>
                <w:b/>
                <w:bCs/>
                <w:color w:val="000000"/>
                <w:sz w:val="18"/>
                <w:szCs w:val="18"/>
              </w:rPr>
            </w:pPr>
            <w:r w:rsidRPr="00B85AF2">
              <w:rPr>
                <w:b/>
                <w:bCs/>
                <w:color w:val="000000"/>
                <w:sz w:val="18"/>
                <w:szCs w:val="18"/>
              </w:rPr>
              <w:t>394.495</w:t>
            </w:r>
          </w:p>
        </w:tc>
      </w:tr>
    </w:tbl>
    <w:p w:rsidR="008A3B7E" w:rsidRPr="00FD7B48" w:rsidRDefault="008A3B7E" w:rsidP="008A3B7E">
      <w:pPr>
        <w:rPr>
          <w:b/>
        </w:rPr>
      </w:pPr>
    </w:p>
    <w:p w:rsidR="00095C30" w:rsidRPr="00FD7B48" w:rsidRDefault="00095C30" w:rsidP="00095C30">
      <w:pPr>
        <w:jc w:val="both"/>
      </w:pPr>
      <w:r w:rsidRPr="00FD7B48">
        <w:lastRenderedPageBreak/>
        <w:t xml:space="preserve">A Instituição registra </w:t>
      </w:r>
      <w:r w:rsidR="007E750D" w:rsidRPr="00FD7B48">
        <w:t>no ativo</w:t>
      </w:r>
      <w:r w:rsidRPr="00FD7B48">
        <w:t xml:space="preserve"> os recursos a receber relativos às provisões e valores a pagar registrados no </w:t>
      </w:r>
      <w:r w:rsidR="007E750D" w:rsidRPr="00FD7B48">
        <w:t>passivo</w:t>
      </w:r>
      <w:r w:rsidR="005E35D4" w:rsidRPr="00FD7B48">
        <w:t>,</w:t>
      </w:r>
      <w:r w:rsidRPr="00FD7B48">
        <w:t xml:space="preserve"> provenientes de despesas com pessoal</w:t>
      </w:r>
      <w:r w:rsidR="002B1F87" w:rsidRPr="00FD7B48">
        <w:t xml:space="preserve">, os quais </w:t>
      </w:r>
      <w:r w:rsidRPr="00FD7B48">
        <w:t>são custead</w:t>
      </w:r>
      <w:r w:rsidR="002B1F87" w:rsidRPr="00FD7B48">
        <w:t>o</w:t>
      </w:r>
      <w:r w:rsidRPr="00FD7B48">
        <w:t xml:space="preserve">s com </w:t>
      </w:r>
      <w:r w:rsidR="008F24EC" w:rsidRPr="00FD7B48">
        <w:t xml:space="preserve">recursos </w:t>
      </w:r>
      <w:r w:rsidR="002B1F87" w:rsidRPr="00FD7B48">
        <w:t xml:space="preserve">advindos </w:t>
      </w:r>
      <w:r w:rsidRPr="00FD7B48">
        <w:t>do Tesouro Nacional.</w:t>
      </w:r>
    </w:p>
    <w:p w:rsidR="00095C30" w:rsidRPr="00FD7B48" w:rsidRDefault="00095C30" w:rsidP="00095C30">
      <w:pPr>
        <w:jc w:val="both"/>
      </w:pPr>
    </w:p>
    <w:p w:rsidR="00095C30" w:rsidRDefault="00095C30" w:rsidP="00095C30">
      <w:pPr>
        <w:jc w:val="both"/>
      </w:pPr>
      <w:r w:rsidRPr="00FD7B48">
        <w:t>Os recursos a receber, bem como os valores a pagar e provisões relacionadas estão mensurados pelo valor presente dos gastos</w:t>
      </w:r>
      <w:r w:rsidR="007E750D" w:rsidRPr="00FD7B48">
        <w:t>, conforme segue:</w:t>
      </w:r>
    </w:p>
    <w:p w:rsidR="006874C1" w:rsidRPr="00FD7B48" w:rsidRDefault="006874C1" w:rsidP="00095C30">
      <w:pPr>
        <w:jc w:val="both"/>
      </w:pPr>
    </w:p>
    <w:p w:rsidR="00BB282C" w:rsidRDefault="00BB282C">
      <w:pPr>
        <w:rPr>
          <w:b/>
        </w:rPr>
      </w:pPr>
    </w:p>
    <w:p w:rsidR="00494A9A" w:rsidRPr="00CD0813" w:rsidRDefault="00116BD5" w:rsidP="00494A9A">
      <w:pPr>
        <w:pStyle w:val="Subttulo"/>
        <w:numPr>
          <w:ilvl w:val="0"/>
          <w:numId w:val="6"/>
        </w:numPr>
        <w:jc w:val="both"/>
      </w:pPr>
      <w:r w:rsidRPr="005509DC">
        <w:rPr>
          <w:color w:val="0070C0"/>
        </w:rPr>
        <w:tab/>
      </w:r>
      <w:bookmarkStart w:id="36" w:name="_Ref466467861"/>
      <w:r w:rsidR="00494A9A" w:rsidRPr="00CD0813">
        <w:t>Contingências</w:t>
      </w:r>
      <w:bookmarkEnd w:id="36"/>
      <w:r w:rsidR="00494A9A" w:rsidRPr="00CD0813">
        <w:t xml:space="preserve"> </w:t>
      </w:r>
    </w:p>
    <w:tbl>
      <w:tblPr>
        <w:tblW w:w="5000" w:type="pct"/>
        <w:tblCellMar>
          <w:left w:w="70" w:type="dxa"/>
          <w:right w:w="70" w:type="dxa"/>
        </w:tblCellMar>
        <w:tblLook w:val="04A0" w:firstRow="1" w:lastRow="0" w:firstColumn="1" w:lastColumn="0" w:noHBand="0" w:noVBand="1"/>
      </w:tblPr>
      <w:tblGrid>
        <w:gridCol w:w="3414"/>
        <w:gridCol w:w="210"/>
        <w:gridCol w:w="1223"/>
        <w:gridCol w:w="282"/>
        <w:gridCol w:w="1279"/>
        <w:gridCol w:w="256"/>
        <w:gridCol w:w="1098"/>
        <w:gridCol w:w="227"/>
        <w:gridCol w:w="1223"/>
      </w:tblGrid>
      <w:tr w:rsidR="00DE557C" w:rsidRPr="00B85AF2" w:rsidTr="00B85AF2">
        <w:trPr>
          <w:trHeight w:val="20"/>
        </w:trPr>
        <w:tc>
          <w:tcPr>
            <w:tcW w:w="185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114"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2246" w:type="pct"/>
            <w:gridSpan w:val="5"/>
            <w:tcBorders>
              <w:top w:val="nil"/>
              <w:left w:val="nil"/>
              <w:bottom w:val="single" w:sz="8" w:space="0" w:color="auto"/>
              <w:right w:val="nil"/>
            </w:tcBorders>
            <w:shd w:val="clear" w:color="auto" w:fill="auto"/>
            <w:vAlign w:val="center"/>
            <w:hideMark/>
          </w:tcPr>
          <w:p w:rsidR="00B267B3" w:rsidRPr="00B85AF2" w:rsidRDefault="00B267B3" w:rsidP="00B267B3">
            <w:pPr>
              <w:jc w:val="right"/>
              <w:rPr>
                <w:b/>
                <w:bCs/>
                <w:sz w:val="18"/>
                <w:szCs w:val="18"/>
              </w:rPr>
            </w:pPr>
            <w:r w:rsidRPr="00B85AF2">
              <w:rPr>
                <w:b/>
                <w:bCs/>
                <w:sz w:val="18"/>
                <w:szCs w:val="18"/>
              </w:rPr>
              <w:t>31/12/2017</w:t>
            </w:r>
          </w:p>
        </w:tc>
        <w:tc>
          <w:tcPr>
            <w:tcW w:w="12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64" w:type="pct"/>
            <w:tcBorders>
              <w:top w:val="nil"/>
              <w:left w:val="nil"/>
              <w:bottom w:val="single" w:sz="8" w:space="0" w:color="auto"/>
              <w:right w:val="nil"/>
            </w:tcBorders>
            <w:shd w:val="clear" w:color="auto" w:fill="auto"/>
            <w:vAlign w:val="center"/>
            <w:hideMark/>
          </w:tcPr>
          <w:p w:rsidR="00B267B3" w:rsidRPr="00B85AF2" w:rsidRDefault="00B267B3" w:rsidP="00B267B3">
            <w:pPr>
              <w:jc w:val="right"/>
              <w:rPr>
                <w:b/>
                <w:bCs/>
                <w:sz w:val="18"/>
                <w:szCs w:val="18"/>
              </w:rPr>
            </w:pPr>
            <w:r w:rsidRPr="00B85AF2">
              <w:rPr>
                <w:b/>
                <w:bCs/>
                <w:sz w:val="18"/>
                <w:szCs w:val="18"/>
              </w:rPr>
              <w:t>31/12/2016</w:t>
            </w:r>
          </w:p>
        </w:tc>
      </w:tr>
      <w:tr w:rsidR="00DE557C" w:rsidRPr="00B85AF2" w:rsidTr="00B85AF2">
        <w:trPr>
          <w:trHeight w:val="20"/>
        </w:trPr>
        <w:tc>
          <w:tcPr>
            <w:tcW w:w="185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114"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64"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153" w:type="pct"/>
            <w:tcBorders>
              <w:top w:val="nil"/>
              <w:left w:val="nil"/>
              <w:bottom w:val="nil"/>
              <w:right w:val="nil"/>
            </w:tcBorders>
            <w:shd w:val="clear" w:color="auto" w:fill="auto"/>
            <w:vAlign w:val="center"/>
            <w:hideMark/>
          </w:tcPr>
          <w:p w:rsidR="00B267B3" w:rsidRPr="00B85AF2" w:rsidRDefault="00B267B3" w:rsidP="00B267B3">
            <w:pPr>
              <w:jc w:val="right"/>
              <w:rPr>
                <w:b/>
                <w:bCs/>
                <w:sz w:val="18"/>
                <w:szCs w:val="18"/>
              </w:rPr>
            </w:pPr>
          </w:p>
        </w:tc>
        <w:tc>
          <w:tcPr>
            <w:tcW w:w="694" w:type="pct"/>
            <w:tcBorders>
              <w:top w:val="nil"/>
              <w:left w:val="nil"/>
              <w:bottom w:val="nil"/>
              <w:right w:val="nil"/>
            </w:tcBorders>
            <w:shd w:val="clear" w:color="auto" w:fill="auto"/>
            <w:vAlign w:val="center"/>
            <w:hideMark/>
          </w:tcPr>
          <w:p w:rsidR="00B267B3" w:rsidRPr="00B85AF2" w:rsidRDefault="00B267B3" w:rsidP="00B267B3">
            <w:pPr>
              <w:jc w:val="right"/>
              <w:rPr>
                <w:b/>
                <w:bCs/>
                <w:sz w:val="18"/>
                <w:szCs w:val="18"/>
              </w:rPr>
            </w:pPr>
          </w:p>
        </w:tc>
        <w:tc>
          <w:tcPr>
            <w:tcW w:w="139" w:type="pct"/>
            <w:tcBorders>
              <w:top w:val="nil"/>
              <w:left w:val="nil"/>
              <w:bottom w:val="nil"/>
              <w:right w:val="nil"/>
            </w:tcBorders>
            <w:shd w:val="clear" w:color="auto" w:fill="auto"/>
            <w:vAlign w:val="center"/>
            <w:hideMark/>
          </w:tcPr>
          <w:p w:rsidR="00B267B3" w:rsidRPr="00B85AF2" w:rsidRDefault="00B267B3" w:rsidP="00B267B3">
            <w:pPr>
              <w:jc w:val="right"/>
              <w:rPr>
                <w:b/>
                <w:bCs/>
                <w:sz w:val="18"/>
                <w:szCs w:val="18"/>
              </w:rPr>
            </w:pPr>
          </w:p>
        </w:tc>
        <w:tc>
          <w:tcPr>
            <w:tcW w:w="596" w:type="pct"/>
            <w:tcBorders>
              <w:top w:val="nil"/>
              <w:left w:val="nil"/>
              <w:bottom w:val="nil"/>
              <w:right w:val="nil"/>
            </w:tcBorders>
            <w:shd w:val="clear" w:color="auto" w:fill="auto"/>
            <w:vAlign w:val="center"/>
            <w:hideMark/>
          </w:tcPr>
          <w:p w:rsidR="00B267B3" w:rsidRPr="00B85AF2" w:rsidRDefault="00B267B3" w:rsidP="00B267B3">
            <w:pPr>
              <w:jc w:val="right"/>
              <w:rPr>
                <w:b/>
                <w:bCs/>
                <w:sz w:val="18"/>
                <w:szCs w:val="18"/>
              </w:rPr>
            </w:pPr>
          </w:p>
        </w:tc>
        <w:tc>
          <w:tcPr>
            <w:tcW w:w="12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64"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r>
      <w:tr w:rsidR="00DE557C" w:rsidRPr="00B85AF2" w:rsidTr="00B85AF2">
        <w:trPr>
          <w:trHeight w:val="20"/>
        </w:trPr>
        <w:tc>
          <w:tcPr>
            <w:tcW w:w="185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114"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64" w:type="pct"/>
            <w:tcBorders>
              <w:top w:val="nil"/>
              <w:left w:val="nil"/>
              <w:bottom w:val="single" w:sz="8" w:space="0" w:color="auto"/>
              <w:right w:val="nil"/>
            </w:tcBorders>
            <w:shd w:val="clear" w:color="auto" w:fill="auto"/>
            <w:vAlign w:val="center"/>
            <w:hideMark/>
          </w:tcPr>
          <w:p w:rsidR="00B267B3" w:rsidRPr="00B85AF2" w:rsidRDefault="00B267B3" w:rsidP="00B267B3">
            <w:pPr>
              <w:jc w:val="right"/>
              <w:rPr>
                <w:b/>
                <w:bCs/>
                <w:sz w:val="18"/>
                <w:szCs w:val="18"/>
              </w:rPr>
            </w:pPr>
            <w:r w:rsidRPr="00B85AF2">
              <w:rPr>
                <w:b/>
                <w:bCs/>
                <w:sz w:val="18"/>
                <w:szCs w:val="18"/>
              </w:rPr>
              <w:t>Curto Prazo</w:t>
            </w:r>
          </w:p>
        </w:tc>
        <w:tc>
          <w:tcPr>
            <w:tcW w:w="15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94" w:type="pct"/>
            <w:tcBorders>
              <w:top w:val="nil"/>
              <w:left w:val="nil"/>
              <w:bottom w:val="single" w:sz="8" w:space="0" w:color="auto"/>
              <w:right w:val="nil"/>
            </w:tcBorders>
            <w:shd w:val="clear" w:color="auto" w:fill="auto"/>
            <w:vAlign w:val="center"/>
            <w:hideMark/>
          </w:tcPr>
          <w:p w:rsidR="00B267B3" w:rsidRPr="00B85AF2" w:rsidRDefault="00B267B3" w:rsidP="00B267B3">
            <w:pPr>
              <w:jc w:val="right"/>
              <w:rPr>
                <w:b/>
                <w:bCs/>
                <w:sz w:val="18"/>
                <w:szCs w:val="18"/>
              </w:rPr>
            </w:pPr>
            <w:r w:rsidRPr="00B85AF2">
              <w:rPr>
                <w:b/>
                <w:bCs/>
                <w:sz w:val="18"/>
                <w:szCs w:val="18"/>
              </w:rPr>
              <w:t>Longo Prazo</w:t>
            </w:r>
          </w:p>
        </w:tc>
        <w:tc>
          <w:tcPr>
            <w:tcW w:w="139"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596" w:type="pct"/>
            <w:tcBorders>
              <w:top w:val="nil"/>
              <w:left w:val="nil"/>
              <w:bottom w:val="single" w:sz="8" w:space="0" w:color="auto"/>
              <w:right w:val="nil"/>
            </w:tcBorders>
            <w:shd w:val="clear" w:color="auto" w:fill="auto"/>
            <w:vAlign w:val="center"/>
            <w:hideMark/>
          </w:tcPr>
          <w:p w:rsidR="00B267B3" w:rsidRPr="00B85AF2" w:rsidRDefault="00B267B3" w:rsidP="00B267B3">
            <w:pPr>
              <w:jc w:val="right"/>
              <w:rPr>
                <w:b/>
                <w:bCs/>
                <w:sz w:val="18"/>
                <w:szCs w:val="18"/>
              </w:rPr>
            </w:pPr>
            <w:r w:rsidRPr="00B85AF2">
              <w:rPr>
                <w:b/>
                <w:bCs/>
                <w:sz w:val="18"/>
                <w:szCs w:val="18"/>
              </w:rPr>
              <w:t>Total</w:t>
            </w:r>
          </w:p>
        </w:tc>
        <w:tc>
          <w:tcPr>
            <w:tcW w:w="12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64" w:type="pct"/>
            <w:tcBorders>
              <w:top w:val="nil"/>
              <w:left w:val="nil"/>
              <w:bottom w:val="single" w:sz="8" w:space="0" w:color="auto"/>
              <w:right w:val="nil"/>
            </w:tcBorders>
            <w:shd w:val="clear" w:color="auto" w:fill="auto"/>
            <w:vAlign w:val="center"/>
            <w:hideMark/>
          </w:tcPr>
          <w:p w:rsidR="00B267B3" w:rsidRPr="00B85AF2" w:rsidRDefault="00B267B3" w:rsidP="00B267B3">
            <w:pPr>
              <w:jc w:val="right"/>
              <w:rPr>
                <w:b/>
                <w:bCs/>
                <w:sz w:val="18"/>
                <w:szCs w:val="18"/>
              </w:rPr>
            </w:pPr>
            <w:r w:rsidRPr="00B85AF2">
              <w:rPr>
                <w:b/>
                <w:bCs/>
                <w:sz w:val="18"/>
                <w:szCs w:val="18"/>
              </w:rPr>
              <w:t>Total</w:t>
            </w:r>
          </w:p>
        </w:tc>
      </w:tr>
      <w:tr w:rsidR="00DE557C" w:rsidRPr="00B85AF2" w:rsidTr="00B85AF2">
        <w:trPr>
          <w:trHeight w:val="20"/>
        </w:trPr>
        <w:tc>
          <w:tcPr>
            <w:tcW w:w="185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114"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64"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15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94"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139"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596"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12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64"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r>
      <w:tr w:rsidR="00DE557C" w:rsidRPr="00B85AF2" w:rsidTr="00B85AF2">
        <w:trPr>
          <w:trHeight w:val="20"/>
        </w:trPr>
        <w:tc>
          <w:tcPr>
            <w:tcW w:w="1853" w:type="pct"/>
            <w:tcBorders>
              <w:top w:val="nil"/>
              <w:left w:val="nil"/>
              <w:bottom w:val="nil"/>
              <w:right w:val="nil"/>
            </w:tcBorders>
            <w:shd w:val="clear" w:color="auto" w:fill="auto"/>
            <w:vAlign w:val="center"/>
            <w:hideMark/>
          </w:tcPr>
          <w:p w:rsidR="00B267B3" w:rsidRPr="00B85AF2" w:rsidRDefault="00B267B3" w:rsidP="00B267B3">
            <w:pPr>
              <w:rPr>
                <w:sz w:val="18"/>
                <w:szCs w:val="18"/>
              </w:rPr>
            </w:pPr>
            <w:r w:rsidRPr="00B85AF2">
              <w:rPr>
                <w:sz w:val="18"/>
                <w:szCs w:val="18"/>
              </w:rPr>
              <w:t>Contingências Trabalhistas</w:t>
            </w:r>
          </w:p>
        </w:tc>
        <w:tc>
          <w:tcPr>
            <w:tcW w:w="114"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64" w:type="pct"/>
            <w:tcBorders>
              <w:top w:val="nil"/>
              <w:left w:val="nil"/>
              <w:bottom w:val="nil"/>
              <w:right w:val="nil"/>
            </w:tcBorders>
            <w:shd w:val="clear" w:color="auto" w:fill="auto"/>
            <w:vAlign w:val="center"/>
            <w:hideMark/>
          </w:tcPr>
          <w:p w:rsidR="00B267B3" w:rsidRPr="00B85AF2" w:rsidRDefault="00B267B3" w:rsidP="00B267B3">
            <w:pPr>
              <w:jc w:val="right"/>
              <w:rPr>
                <w:sz w:val="18"/>
                <w:szCs w:val="18"/>
              </w:rPr>
            </w:pPr>
            <w:r w:rsidRPr="00B85AF2">
              <w:rPr>
                <w:sz w:val="18"/>
                <w:szCs w:val="18"/>
              </w:rPr>
              <w:t>6.382</w:t>
            </w:r>
          </w:p>
        </w:tc>
        <w:tc>
          <w:tcPr>
            <w:tcW w:w="15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94" w:type="pct"/>
            <w:tcBorders>
              <w:top w:val="nil"/>
              <w:left w:val="nil"/>
              <w:bottom w:val="nil"/>
              <w:right w:val="nil"/>
            </w:tcBorders>
            <w:shd w:val="clear" w:color="auto" w:fill="auto"/>
            <w:vAlign w:val="center"/>
            <w:hideMark/>
          </w:tcPr>
          <w:p w:rsidR="00B267B3" w:rsidRPr="00B85AF2" w:rsidRDefault="00B267B3" w:rsidP="00B267B3">
            <w:pPr>
              <w:jc w:val="right"/>
              <w:rPr>
                <w:sz w:val="18"/>
                <w:szCs w:val="18"/>
              </w:rPr>
            </w:pPr>
            <w:r w:rsidRPr="00B85AF2">
              <w:rPr>
                <w:sz w:val="18"/>
                <w:szCs w:val="18"/>
              </w:rPr>
              <w:t>241.159</w:t>
            </w:r>
          </w:p>
        </w:tc>
        <w:tc>
          <w:tcPr>
            <w:tcW w:w="139"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596" w:type="pct"/>
            <w:tcBorders>
              <w:top w:val="nil"/>
              <w:left w:val="nil"/>
              <w:bottom w:val="nil"/>
              <w:right w:val="nil"/>
            </w:tcBorders>
            <w:shd w:val="clear" w:color="auto" w:fill="auto"/>
            <w:vAlign w:val="center"/>
            <w:hideMark/>
          </w:tcPr>
          <w:p w:rsidR="00B267B3" w:rsidRPr="00B85AF2" w:rsidRDefault="00B267B3" w:rsidP="00B267B3">
            <w:pPr>
              <w:jc w:val="right"/>
              <w:rPr>
                <w:sz w:val="18"/>
                <w:szCs w:val="18"/>
              </w:rPr>
            </w:pPr>
            <w:r w:rsidRPr="00B85AF2">
              <w:rPr>
                <w:sz w:val="18"/>
                <w:szCs w:val="18"/>
              </w:rPr>
              <w:t>247.541</w:t>
            </w:r>
          </w:p>
        </w:tc>
        <w:tc>
          <w:tcPr>
            <w:tcW w:w="12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64" w:type="pct"/>
            <w:tcBorders>
              <w:top w:val="nil"/>
              <w:left w:val="nil"/>
              <w:bottom w:val="nil"/>
              <w:right w:val="nil"/>
            </w:tcBorders>
            <w:shd w:val="clear" w:color="auto" w:fill="auto"/>
            <w:vAlign w:val="center"/>
            <w:hideMark/>
          </w:tcPr>
          <w:p w:rsidR="00B267B3" w:rsidRPr="00B85AF2" w:rsidRDefault="00B267B3" w:rsidP="00B267B3">
            <w:pPr>
              <w:jc w:val="right"/>
              <w:rPr>
                <w:sz w:val="18"/>
                <w:szCs w:val="18"/>
              </w:rPr>
            </w:pPr>
            <w:r w:rsidRPr="00B85AF2">
              <w:rPr>
                <w:sz w:val="18"/>
                <w:szCs w:val="18"/>
              </w:rPr>
              <w:t>215.312</w:t>
            </w:r>
          </w:p>
        </w:tc>
      </w:tr>
      <w:tr w:rsidR="00DE557C" w:rsidRPr="00B85AF2" w:rsidTr="00B85AF2">
        <w:trPr>
          <w:trHeight w:val="20"/>
        </w:trPr>
        <w:tc>
          <w:tcPr>
            <w:tcW w:w="1853" w:type="pct"/>
            <w:tcBorders>
              <w:top w:val="nil"/>
              <w:left w:val="nil"/>
              <w:bottom w:val="nil"/>
              <w:right w:val="nil"/>
            </w:tcBorders>
            <w:shd w:val="clear" w:color="auto" w:fill="auto"/>
            <w:vAlign w:val="center"/>
            <w:hideMark/>
          </w:tcPr>
          <w:p w:rsidR="00B267B3" w:rsidRPr="00B85AF2" w:rsidRDefault="00B267B3" w:rsidP="00B267B3">
            <w:pPr>
              <w:rPr>
                <w:sz w:val="18"/>
                <w:szCs w:val="18"/>
              </w:rPr>
            </w:pPr>
            <w:r w:rsidRPr="00B85AF2">
              <w:rPr>
                <w:sz w:val="18"/>
                <w:szCs w:val="18"/>
              </w:rPr>
              <w:t>Contingências Cíveis</w:t>
            </w:r>
          </w:p>
        </w:tc>
        <w:tc>
          <w:tcPr>
            <w:tcW w:w="114"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64" w:type="pct"/>
            <w:tcBorders>
              <w:top w:val="nil"/>
              <w:left w:val="nil"/>
              <w:bottom w:val="nil"/>
              <w:right w:val="nil"/>
            </w:tcBorders>
            <w:shd w:val="clear" w:color="auto" w:fill="auto"/>
            <w:vAlign w:val="center"/>
            <w:hideMark/>
          </w:tcPr>
          <w:p w:rsidR="00B267B3" w:rsidRPr="00B85AF2" w:rsidRDefault="00B267B3" w:rsidP="00B267B3">
            <w:pPr>
              <w:jc w:val="right"/>
              <w:rPr>
                <w:sz w:val="18"/>
                <w:szCs w:val="18"/>
              </w:rPr>
            </w:pPr>
            <w:r w:rsidRPr="00B85AF2">
              <w:rPr>
                <w:sz w:val="18"/>
                <w:szCs w:val="18"/>
              </w:rPr>
              <w:t>1.964</w:t>
            </w:r>
          </w:p>
        </w:tc>
        <w:tc>
          <w:tcPr>
            <w:tcW w:w="15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94" w:type="pct"/>
            <w:tcBorders>
              <w:top w:val="nil"/>
              <w:left w:val="nil"/>
              <w:bottom w:val="nil"/>
              <w:right w:val="nil"/>
            </w:tcBorders>
            <w:shd w:val="clear" w:color="auto" w:fill="auto"/>
            <w:vAlign w:val="center"/>
            <w:hideMark/>
          </w:tcPr>
          <w:p w:rsidR="00B267B3" w:rsidRPr="00B85AF2" w:rsidRDefault="00B267B3" w:rsidP="00B267B3">
            <w:pPr>
              <w:jc w:val="right"/>
              <w:rPr>
                <w:sz w:val="18"/>
                <w:szCs w:val="18"/>
              </w:rPr>
            </w:pPr>
            <w:r w:rsidRPr="00B85AF2">
              <w:rPr>
                <w:sz w:val="18"/>
                <w:szCs w:val="18"/>
              </w:rPr>
              <w:t>15.475</w:t>
            </w:r>
          </w:p>
        </w:tc>
        <w:tc>
          <w:tcPr>
            <w:tcW w:w="139"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596" w:type="pct"/>
            <w:tcBorders>
              <w:top w:val="nil"/>
              <w:left w:val="nil"/>
              <w:bottom w:val="nil"/>
              <w:right w:val="nil"/>
            </w:tcBorders>
            <w:shd w:val="clear" w:color="auto" w:fill="auto"/>
            <w:vAlign w:val="center"/>
            <w:hideMark/>
          </w:tcPr>
          <w:p w:rsidR="00B267B3" w:rsidRPr="00B85AF2" w:rsidRDefault="00B267B3" w:rsidP="00B267B3">
            <w:pPr>
              <w:jc w:val="right"/>
              <w:rPr>
                <w:sz w:val="18"/>
                <w:szCs w:val="18"/>
              </w:rPr>
            </w:pPr>
            <w:r w:rsidRPr="00B85AF2">
              <w:rPr>
                <w:sz w:val="18"/>
                <w:szCs w:val="18"/>
              </w:rPr>
              <w:t>17.439</w:t>
            </w:r>
          </w:p>
        </w:tc>
        <w:tc>
          <w:tcPr>
            <w:tcW w:w="12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64" w:type="pct"/>
            <w:tcBorders>
              <w:top w:val="nil"/>
              <w:left w:val="nil"/>
              <w:bottom w:val="nil"/>
              <w:right w:val="nil"/>
            </w:tcBorders>
            <w:shd w:val="clear" w:color="auto" w:fill="auto"/>
            <w:vAlign w:val="center"/>
            <w:hideMark/>
          </w:tcPr>
          <w:p w:rsidR="00B267B3" w:rsidRPr="00B85AF2" w:rsidRDefault="00B267B3" w:rsidP="00B267B3">
            <w:pPr>
              <w:jc w:val="right"/>
              <w:rPr>
                <w:sz w:val="18"/>
                <w:szCs w:val="18"/>
              </w:rPr>
            </w:pPr>
            <w:r w:rsidRPr="00B85AF2">
              <w:rPr>
                <w:sz w:val="18"/>
                <w:szCs w:val="18"/>
              </w:rPr>
              <w:t>16.546</w:t>
            </w:r>
          </w:p>
        </w:tc>
      </w:tr>
      <w:tr w:rsidR="00DE557C" w:rsidRPr="00B85AF2" w:rsidTr="00B85AF2">
        <w:trPr>
          <w:trHeight w:val="20"/>
        </w:trPr>
        <w:tc>
          <w:tcPr>
            <w:tcW w:w="1853" w:type="pct"/>
            <w:tcBorders>
              <w:top w:val="nil"/>
              <w:left w:val="nil"/>
              <w:bottom w:val="nil"/>
              <w:right w:val="nil"/>
            </w:tcBorders>
            <w:shd w:val="clear" w:color="auto" w:fill="auto"/>
            <w:vAlign w:val="center"/>
            <w:hideMark/>
          </w:tcPr>
          <w:p w:rsidR="00B267B3" w:rsidRPr="00B85AF2" w:rsidRDefault="00B267B3" w:rsidP="00B267B3">
            <w:pPr>
              <w:rPr>
                <w:sz w:val="18"/>
                <w:szCs w:val="18"/>
              </w:rPr>
            </w:pPr>
            <w:r w:rsidRPr="00B85AF2">
              <w:rPr>
                <w:sz w:val="18"/>
                <w:szCs w:val="18"/>
              </w:rPr>
              <w:t>Contingências Tributárias</w:t>
            </w:r>
          </w:p>
        </w:tc>
        <w:tc>
          <w:tcPr>
            <w:tcW w:w="114"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64" w:type="pct"/>
            <w:tcBorders>
              <w:top w:val="nil"/>
              <w:left w:val="nil"/>
              <w:bottom w:val="single" w:sz="8" w:space="0" w:color="auto"/>
              <w:right w:val="nil"/>
            </w:tcBorders>
            <w:shd w:val="clear" w:color="auto" w:fill="auto"/>
            <w:vAlign w:val="center"/>
            <w:hideMark/>
          </w:tcPr>
          <w:p w:rsidR="00B267B3" w:rsidRPr="00B85AF2" w:rsidRDefault="00B267B3" w:rsidP="00B267B3">
            <w:pPr>
              <w:jc w:val="right"/>
              <w:rPr>
                <w:sz w:val="18"/>
                <w:szCs w:val="18"/>
              </w:rPr>
            </w:pPr>
            <w:r w:rsidRPr="00B85AF2">
              <w:rPr>
                <w:sz w:val="18"/>
                <w:szCs w:val="18"/>
              </w:rPr>
              <w:t>-</w:t>
            </w:r>
          </w:p>
        </w:tc>
        <w:tc>
          <w:tcPr>
            <w:tcW w:w="15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94" w:type="pct"/>
            <w:tcBorders>
              <w:top w:val="nil"/>
              <w:left w:val="nil"/>
              <w:bottom w:val="single" w:sz="8" w:space="0" w:color="auto"/>
              <w:right w:val="nil"/>
            </w:tcBorders>
            <w:shd w:val="clear" w:color="auto" w:fill="auto"/>
            <w:vAlign w:val="center"/>
            <w:hideMark/>
          </w:tcPr>
          <w:p w:rsidR="00B267B3" w:rsidRPr="00B85AF2" w:rsidRDefault="00B267B3" w:rsidP="00B267B3">
            <w:pPr>
              <w:jc w:val="right"/>
              <w:rPr>
                <w:sz w:val="18"/>
                <w:szCs w:val="18"/>
              </w:rPr>
            </w:pPr>
            <w:r w:rsidRPr="00B85AF2">
              <w:rPr>
                <w:sz w:val="18"/>
                <w:szCs w:val="18"/>
              </w:rPr>
              <w:t>872</w:t>
            </w:r>
          </w:p>
        </w:tc>
        <w:tc>
          <w:tcPr>
            <w:tcW w:w="139"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596" w:type="pct"/>
            <w:tcBorders>
              <w:top w:val="nil"/>
              <w:left w:val="nil"/>
              <w:bottom w:val="single" w:sz="8" w:space="0" w:color="auto"/>
              <w:right w:val="nil"/>
            </w:tcBorders>
            <w:shd w:val="clear" w:color="auto" w:fill="auto"/>
            <w:vAlign w:val="center"/>
            <w:hideMark/>
          </w:tcPr>
          <w:p w:rsidR="00B267B3" w:rsidRPr="00B85AF2" w:rsidRDefault="00B267B3" w:rsidP="00B267B3">
            <w:pPr>
              <w:jc w:val="right"/>
              <w:rPr>
                <w:sz w:val="18"/>
                <w:szCs w:val="18"/>
              </w:rPr>
            </w:pPr>
            <w:r w:rsidRPr="00B85AF2">
              <w:rPr>
                <w:sz w:val="18"/>
                <w:szCs w:val="18"/>
              </w:rPr>
              <w:t>872</w:t>
            </w:r>
          </w:p>
        </w:tc>
        <w:tc>
          <w:tcPr>
            <w:tcW w:w="12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64" w:type="pct"/>
            <w:tcBorders>
              <w:top w:val="nil"/>
              <w:left w:val="nil"/>
              <w:bottom w:val="single" w:sz="8" w:space="0" w:color="auto"/>
              <w:right w:val="nil"/>
            </w:tcBorders>
            <w:shd w:val="clear" w:color="auto" w:fill="auto"/>
            <w:vAlign w:val="center"/>
            <w:hideMark/>
          </w:tcPr>
          <w:p w:rsidR="00B267B3" w:rsidRPr="00B85AF2" w:rsidRDefault="00B267B3" w:rsidP="00B267B3">
            <w:pPr>
              <w:jc w:val="right"/>
              <w:rPr>
                <w:sz w:val="18"/>
                <w:szCs w:val="18"/>
              </w:rPr>
            </w:pPr>
            <w:r w:rsidRPr="00B85AF2">
              <w:rPr>
                <w:sz w:val="18"/>
                <w:szCs w:val="18"/>
              </w:rPr>
              <w:t>743</w:t>
            </w:r>
          </w:p>
        </w:tc>
      </w:tr>
      <w:tr w:rsidR="00DE557C" w:rsidRPr="00B85AF2" w:rsidTr="00B85AF2">
        <w:trPr>
          <w:trHeight w:val="20"/>
        </w:trPr>
        <w:tc>
          <w:tcPr>
            <w:tcW w:w="1853" w:type="pct"/>
            <w:tcBorders>
              <w:top w:val="nil"/>
              <w:left w:val="nil"/>
              <w:bottom w:val="nil"/>
              <w:right w:val="nil"/>
            </w:tcBorders>
            <w:shd w:val="clear" w:color="auto" w:fill="auto"/>
            <w:vAlign w:val="center"/>
            <w:hideMark/>
          </w:tcPr>
          <w:p w:rsidR="00B267B3" w:rsidRPr="00B85AF2" w:rsidRDefault="00B267B3" w:rsidP="00B267B3">
            <w:pPr>
              <w:rPr>
                <w:b/>
                <w:bCs/>
                <w:sz w:val="18"/>
                <w:szCs w:val="18"/>
              </w:rPr>
            </w:pPr>
            <w:r w:rsidRPr="00B85AF2">
              <w:rPr>
                <w:b/>
                <w:bCs/>
                <w:sz w:val="18"/>
                <w:szCs w:val="18"/>
              </w:rPr>
              <w:t>Saldo de Contingências</w:t>
            </w:r>
          </w:p>
        </w:tc>
        <w:tc>
          <w:tcPr>
            <w:tcW w:w="114"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64" w:type="pct"/>
            <w:tcBorders>
              <w:top w:val="nil"/>
              <w:left w:val="nil"/>
              <w:bottom w:val="double" w:sz="6" w:space="0" w:color="auto"/>
              <w:right w:val="nil"/>
            </w:tcBorders>
            <w:shd w:val="clear" w:color="auto" w:fill="auto"/>
            <w:vAlign w:val="center"/>
            <w:hideMark/>
          </w:tcPr>
          <w:p w:rsidR="00B267B3" w:rsidRPr="00B85AF2" w:rsidRDefault="00B267B3" w:rsidP="00B267B3">
            <w:pPr>
              <w:jc w:val="right"/>
              <w:rPr>
                <w:b/>
                <w:bCs/>
                <w:sz w:val="18"/>
                <w:szCs w:val="18"/>
              </w:rPr>
            </w:pPr>
            <w:r w:rsidRPr="00B85AF2">
              <w:rPr>
                <w:b/>
                <w:bCs/>
                <w:sz w:val="18"/>
                <w:szCs w:val="18"/>
              </w:rPr>
              <w:t>8.346</w:t>
            </w:r>
          </w:p>
        </w:tc>
        <w:tc>
          <w:tcPr>
            <w:tcW w:w="15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94" w:type="pct"/>
            <w:tcBorders>
              <w:top w:val="nil"/>
              <w:left w:val="nil"/>
              <w:bottom w:val="double" w:sz="6" w:space="0" w:color="auto"/>
              <w:right w:val="nil"/>
            </w:tcBorders>
            <w:shd w:val="clear" w:color="auto" w:fill="auto"/>
            <w:vAlign w:val="center"/>
            <w:hideMark/>
          </w:tcPr>
          <w:p w:rsidR="00B267B3" w:rsidRPr="00B85AF2" w:rsidRDefault="00B267B3" w:rsidP="00B267B3">
            <w:pPr>
              <w:jc w:val="right"/>
              <w:rPr>
                <w:b/>
                <w:bCs/>
                <w:sz w:val="18"/>
                <w:szCs w:val="18"/>
              </w:rPr>
            </w:pPr>
            <w:r w:rsidRPr="00B85AF2">
              <w:rPr>
                <w:b/>
                <w:bCs/>
                <w:sz w:val="18"/>
                <w:szCs w:val="18"/>
              </w:rPr>
              <w:t>257.506</w:t>
            </w:r>
          </w:p>
        </w:tc>
        <w:tc>
          <w:tcPr>
            <w:tcW w:w="139"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596" w:type="pct"/>
            <w:tcBorders>
              <w:top w:val="nil"/>
              <w:left w:val="nil"/>
              <w:bottom w:val="double" w:sz="6" w:space="0" w:color="auto"/>
              <w:right w:val="nil"/>
            </w:tcBorders>
            <w:shd w:val="clear" w:color="auto" w:fill="auto"/>
            <w:vAlign w:val="center"/>
            <w:hideMark/>
          </w:tcPr>
          <w:p w:rsidR="00B267B3" w:rsidRPr="00B85AF2" w:rsidRDefault="00B267B3" w:rsidP="00B267B3">
            <w:pPr>
              <w:jc w:val="right"/>
              <w:rPr>
                <w:b/>
                <w:bCs/>
                <w:sz w:val="18"/>
                <w:szCs w:val="18"/>
              </w:rPr>
            </w:pPr>
            <w:r w:rsidRPr="00B85AF2">
              <w:rPr>
                <w:b/>
                <w:bCs/>
                <w:sz w:val="18"/>
                <w:szCs w:val="18"/>
              </w:rPr>
              <w:t>265.852</w:t>
            </w:r>
          </w:p>
        </w:tc>
        <w:tc>
          <w:tcPr>
            <w:tcW w:w="123" w:type="pct"/>
            <w:tcBorders>
              <w:top w:val="nil"/>
              <w:left w:val="nil"/>
              <w:bottom w:val="nil"/>
              <w:right w:val="nil"/>
            </w:tcBorders>
            <w:shd w:val="clear" w:color="auto" w:fill="auto"/>
            <w:vAlign w:val="center"/>
            <w:hideMark/>
          </w:tcPr>
          <w:p w:rsidR="00B267B3" w:rsidRPr="00B85AF2" w:rsidRDefault="00B267B3" w:rsidP="00B267B3">
            <w:pPr>
              <w:rPr>
                <w:sz w:val="18"/>
                <w:szCs w:val="18"/>
              </w:rPr>
            </w:pPr>
          </w:p>
        </w:tc>
        <w:tc>
          <w:tcPr>
            <w:tcW w:w="664" w:type="pct"/>
            <w:tcBorders>
              <w:top w:val="nil"/>
              <w:left w:val="nil"/>
              <w:bottom w:val="double" w:sz="6" w:space="0" w:color="auto"/>
              <w:right w:val="nil"/>
            </w:tcBorders>
            <w:shd w:val="clear" w:color="auto" w:fill="auto"/>
            <w:vAlign w:val="center"/>
            <w:hideMark/>
          </w:tcPr>
          <w:p w:rsidR="00B267B3" w:rsidRPr="00B85AF2" w:rsidRDefault="00B267B3" w:rsidP="00B267B3">
            <w:pPr>
              <w:jc w:val="right"/>
              <w:rPr>
                <w:b/>
                <w:bCs/>
                <w:sz w:val="18"/>
                <w:szCs w:val="18"/>
              </w:rPr>
            </w:pPr>
            <w:r w:rsidRPr="00B85AF2">
              <w:rPr>
                <w:b/>
                <w:bCs/>
                <w:sz w:val="18"/>
                <w:szCs w:val="18"/>
              </w:rPr>
              <w:t>232.601</w:t>
            </w:r>
          </w:p>
        </w:tc>
      </w:tr>
    </w:tbl>
    <w:p w:rsidR="00494A9A" w:rsidRDefault="00494A9A" w:rsidP="00B20F98">
      <w:pPr>
        <w:ind w:left="851" w:hanging="851"/>
        <w:jc w:val="both"/>
        <w:rPr>
          <w:b/>
        </w:rPr>
      </w:pPr>
    </w:p>
    <w:p w:rsidR="00093A03" w:rsidRPr="00FD7B48" w:rsidRDefault="00093A03" w:rsidP="00B20F98">
      <w:pPr>
        <w:ind w:left="851" w:hanging="851"/>
        <w:jc w:val="both"/>
        <w:rPr>
          <w:b/>
        </w:rPr>
      </w:pPr>
    </w:p>
    <w:p w:rsidR="00B20F98" w:rsidRPr="00FD7B48" w:rsidRDefault="00A24772" w:rsidP="00B20F98">
      <w:pPr>
        <w:ind w:left="851" w:hanging="851"/>
        <w:jc w:val="both"/>
      </w:pPr>
      <w:r w:rsidRPr="00FD7B48">
        <w:t>A</w:t>
      </w:r>
      <w:r w:rsidR="00B20F98" w:rsidRPr="00FD7B48">
        <w:t xml:space="preserve"> </w:t>
      </w:r>
      <w:r w:rsidR="005F0C19" w:rsidRPr="00FD7B48">
        <w:t>movimentação d</w:t>
      </w:r>
      <w:r w:rsidR="00164F1F" w:rsidRPr="00FD7B48">
        <w:t>e</w:t>
      </w:r>
      <w:r w:rsidR="005F0C19" w:rsidRPr="00FD7B48">
        <w:t xml:space="preserve"> precatórios e provisões de contingências do</w:t>
      </w:r>
      <w:r w:rsidR="00B20F98" w:rsidRPr="00FD7B48">
        <w:t xml:space="preserve"> </w:t>
      </w:r>
      <w:r w:rsidR="003127AA" w:rsidRPr="00FD7B48">
        <w:t>período</w:t>
      </w:r>
      <w:r w:rsidR="00B20F98" w:rsidRPr="00FD7B48">
        <w:t xml:space="preserve"> está demonstrada a seguir:</w:t>
      </w:r>
    </w:p>
    <w:p w:rsidR="00B20F98" w:rsidRDefault="00B20F98" w:rsidP="00B20F98">
      <w:pPr>
        <w:ind w:left="851" w:hanging="851"/>
        <w:jc w:val="both"/>
        <w:rPr>
          <w:b/>
        </w:rPr>
      </w:pPr>
    </w:p>
    <w:tbl>
      <w:tblPr>
        <w:tblW w:w="5000" w:type="pct"/>
        <w:tblCellMar>
          <w:left w:w="70" w:type="dxa"/>
          <w:right w:w="70" w:type="dxa"/>
        </w:tblCellMar>
        <w:tblLook w:val="04A0" w:firstRow="1" w:lastRow="0" w:firstColumn="1" w:lastColumn="0" w:noHBand="0" w:noVBand="1"/>
      </w:tblPr>
      <w:tblGrid>
        <w:gridCol w:w="2577"/>
        <w:gridCol w:w="341"/>
        <w:gridCol w:w="1603"/>
        <w:gridCol w:w="236"/>
        <w:gridCol w:w="1172"/>
        <w:gridCol w:w="387"/>
        <w:gridCol w:w="1306"/>
        <w:gridCol w:w="411"/>
        <w:gridCol w:w="1179"/>
      </w:tblGrid>
      <w:tr w:rsidR="00D079B9" w:rsidRPr="00B85AF2" w:rsidTr="001763E2">
        <w:trPr>
          <w:trHeight w:val="20"/>
        </w:trPr>
        <w:tc>
          <w:tcPr>
            <w:tcW w:w="1399" w:type="pct"/>
            <w:tcBorders>
              <w:top w:val="nil"/>
              <w:left w:val="nil"/>
              <w:bottom w:val="nil"/>
              <w:right w:val="nil"/>
            </w:tcBorders>
            <w:shd w:val="clear" w:color="000000" w:fill="FFFFFF"/>
            <w:vAlign w:val="center"/>
            <w:hideMark/>
          </w:tcPr>
          <w:p w:rsidR="00D079B9" w:rsidRPr="00B85AF2" w:rsidRDefault="00D079B9" w:rsidP="00F01A7E">
            <w:pPr>
              <w:rPr>
                <w:color w:val="000000"/>
                <w:sz w:val="18"/>
                <w:szCs w:val="18"/>
              </w:rPr>
            </w:pPr>
            <w:r w:rsidRPr="00B85AF2">
              <w:rPr>
                <w:color w:val="000000"/>
                <w:sz w:val="18"/>
                <w:szCs w:val="18"/>
              </w:rPr>
              <w:t> </w:t>
            </w:r>
          </w:p>
        </w:tc>
        <w:tc>
          <w:tcPr>
            <w:tcW w:w="185" w:type="pct"/>
            <w:tcBorders>
              <w:top w:val="nil"/>
              <w:left w:val="nil"/>
              <w:bottom w:val="single" w:sz="8" w:space="0" w:color="auto"/>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3416" w:type="pct"/>
            <w:gridSpan w:val="7"/>
            <w:tcBorders>
              <w:top w:val="nil"/>
              <w:left w:val="nil"/>
              <w:bottom w:val="single" w:sz="8" w:space="0" w:color="auto"/>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31/12/2017</w:t>
            </w:r>
          </w:p>
        </w:tc>
      </w:tr>
      <w:tr w:rsidR="00D079B9" w:rsidRPr="00B85AF2" w:rsidTr="001763E2">
        <w:trPr>
          <w:trHeight w:val="20"/>
        </w:trPr>
        <w:tc>
          <w:tcPr>
            <w:tcW w:w="1399" w:type="pct"/>
            <w:tcBorders>
              <w:top w:val="nil"/>
              <w:left w:val="nil"/>
              <w:bottom w:val="nil"/>
              <w:right w:val="nil"/>
            </w:tcBorders>
            <w:shd w:val="clear" w:color="000000" w:fill="FFFFFF"/>
            <w:vAlign w:val="center"/>
            <w:hideMark/>
          </w:tcPr>
          <w:p w:rsidR="00D079B9" w:rsidRPr="00B85AF2" w:rsidRDefault="00D079B9" w:rsidP="00F01A7E">
            <w:pPr>
              <w:rPr>
                <w:color w:val="000000"/>
                <w:sz w:val="18"/>
                <w:szCs w:val="18"/>
              </w:rPr>
            </w:pPr>
            <w:r w:rsidRPr="00B85AF2">
              <w:rPr>
                <w:color w:val="000000"/>
                <w:sz w:val="18"/>
                <w:szCs w:val="18"/>
              </w:rPr>
              <w:t> </w:t>
            </w:r>
          </w:p>
        </w:tc>
        <w:tc>
          <w:tcPr>
            <w:tcW w:w="185"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870" w:type="pct"/>
            <w:tcBorders>
              <w:top w:val="nil"/>
              <w:left w:val="nil"/>
              <w:bottom w:val="nil"/>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 </w:t>
            </w:r>
          </w:p>
        </w:tc>
        <w:tc>
          <w:tcPr>
            <w:tcW w:w="128" w:type="pct"/>
            <w:tcBorders>
              <w:top w:val="nil"/>
              <w:left w:val="nil"/>
              <w:bottom w:val="nil"/>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 </w:t>
            </w:r>
          </w:p>
        </w:tc>
        <w:tc>
          <w:tcPr>
            <w:tcW w:w="636" w:type="pct"/>
            <w:tcBorders>
              <w:top w:val="nil"/>
              <w:left w:val="nil"/>
              <w:bottom w:val="nil"/>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 </w:t>
            </w:r>
          </w:p>
        </w:tc>
        <w:tc>
          <w:tcPr>
            <w:tcW w:w="210" w:type="pct"/>
            <w:tcBorders>
              <w:top w:val="nil"/>
              <w:left w:val="nil"/>
              <w:bottom w:val="nil"/>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 </w:t>
            </w:r>
          </w:p>
        </w:tc>
        <w:tc>
          <w:tcPr>
            <w:tcW w:w="709" w:type="pct"/>
            <w:tcBorders>
              <w:top w:val="nil"/>
              <w:left w:val="nil"/>
              <w:bottom w:val="nil"/>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 </w:t>
            </w:r>
          </w:p>
        </w:tc>
        <w:tc>
          <w:tcPr>
            <w:tcW w:w="223" w:type="pct"/>
            <w:tcBorders>
              <w:top w:val="nil"/>
              <w:left w:val="nil"/>
              <w:bottom w:val="nil"/>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 </w:t>
            </w:r>
          </w:p>
        </w:tc>
        <w:tc>
          <w:tcPr>
            <w:tcW w:w="640" w:type="pct"/>
            <w:tcBorders>
              <w:top w:val="nil"/>
              <w:left w:val="nil"/>
              <w:bottom w:val="nil"/>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 </w:t>
            </w:r>
          </w:p>
        </w:tc>
      </w:tr>
      <w:tr w:rsidR="00D079B9" w:rsidRPr="00B85AF2" w:rsidTr="001763E2">
        <w:trPr>
          <w:trHeight w:val="20"/>
        </w:trPr>
        <w:tc>
          <w:tcPr>
            <w:tcW w:w="1399" w:type="pct"/>
            <w:tcBorders>
              <w:top w:val="nil"/>
              <w:left w:val="nil"/>
              <w:bottom w:val="nil"/>
              <w:right w:val="nil"/>
            </w:tcBorders>
            <w:shd w:val="clear" w:color="000000" w:fill="FFFFFF"/>
            <w:vAlign w:val="center"/>
            <w:hideMark/>
          </w:tcPr>
          <w:p w:rsidR="00D079B9" w:rsidRPr="00B85AF2" w:rsidRDefault="00D079B9" w:rsidP="00F01A7E">
            <w:pPr>
              <w:rPr>
                <w:color w:val="000000"/>
                <w:sz w:val="18"/>
                <w:szCs w:val="18"/>
              </w:rPr>
            </w:pPr>
            <w:r w:rsidRPr="00B85AF2">
              <w:rPr>
                <w:color w:val="000000"/>
                <w:sz w:val="18"/>
                <w:szCs w:val="18"/>
              </w:rPr>
              <w:t> </w:t>
            </w:r>
          </w:p>
        </w:tc>
        <w:tc>
          <w:tcPr>
            <w:tcW w:w="185"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870" w:type="pct"/>
            <w:tcBorders>
              <w:top w:val="nil"/>
              <w:left w:val="nil"/>
              <w:bottom w:val="single" w:sz="8" w:space="0" w:color="auto"/>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Trabalhista</w:t>
            </w:r>
          </w:p>
        </w:tc>
        <w:tc>
          <w:tcPr>
            <w:tcW w:w="128" w:type="pct"/>
            <w:tcBorders>
              <w:top w:val="nil"/>
              <w:left w:val="nil"/>
              <w:bottom w:val="nil"/>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 </w:t>
            </w:r>
          </w:p>
        </w:tc>
        <w:tc>
          <w:tcPr>
            <w:tcW w:w="636" w:type="pct"/>
            <w:tcBorders>
              <w:top w:val="nil"/>
              <w:left w:val="nil"/>
              <w:bottom w:val="single" w:sz="8" w:space="0" w:color="auto"/>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Cível</w:t>
            </w:r>
          </w:p>
        </w:tc>
        <w:tc>
          <w:tcPr>
            <w:tcW w:w="210" w:type="pct"/>
            <w:tcBorders>
              <w:top w:val="nil"/>
              <w:left w:val="nil"/>
              <w:bottom w:val="nil"/>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 </w:t>
            </w:r>
          </w:p>
        </w:tc>
        <w:tc>
          <w:tcPr>
            <w:tcW w:w="709" w:type="pct"/>
            <w:tcBorders>
              <w:top w:val="nil"/>
              <w:left w:val="nil"/>
              <w:bottom w:val="single" w:sz="8" w:space="0" w:color="auto"/>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Tributária</w:t>
            </w:r>
          </w:p>
        </w:tc>
        <w:tc>
          <w:tcPr>
            <w:tcW w:w="223" w:type="pct"/>
            <w:tcBorders>
              <w:top w:val="nil"/>
              <w:left w:val="nil"/>
              <w:bottom w:val="nil"/>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 </w:t>
            </w:r>
          </w:p>
        </w:tc>
        <w:tc>
          <w:tcPr>
            <w:tcW w:w="640" w:type="pct"/>
            <w:tcBorders>
              <w:top w:val="nil"/>
              <w:left w:val="nil"/>
              <w:bottom w:val="single" w:sz="8" w:space="0" w:color="auto"/>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Total</w:t>
            </w:r>
          </w:p>
        </w:tc>
      </w:tr>
      <w:tr w:rsidR="00D079B9" w:rsidRPr="00B85AF2" w:rsidTr="001763E2">
        <w:trPr>
          <w:trHeight w:val="20"/>
        </w:trPr>
        <w:tc>
          <w:tcPr>
            <w:tcW w:w="1399" w:type="pct"/>
            <w:tcBorders>
              <w:top w:val="nil"/>
              <w:left w:val="nil"/>
              <w:bottom w:val="nil"/>
              <w:right w:val="nil"/>
            </w:tcBorders>
            <w:shd w:val="clear" w:color="000000" w:fill="FFFFFF"/>
            <w:vAlign w:val="center"/>
            <w:hideMark/>
          </w:tcPr>
          <w:p w:rsidR="00D079B9" w:rsidRPr="00B85AF2" w:rsidRDefault="00D079B9" w:rsidP="00F01A7E">
            <w:pPr>
              <w:rPr>
                <w:color w:val="000000"/>
                <w:sz w:val="18"/>
                <w:szCs w:val="18"/>
              </w:rPr>
            </w:pPr>
            <w:r w:rsidRPr="00B85AF2">
              <w:rPr>
                <w:color w:val="000000"/>
                <w:sz w:val="18"/>
                <w:szCs w:val="18"/>
              </w:rPr>
              <w:t> </w:t>
            </w:r>
          </w:p>
        </w:tc>
        <w:tc>
          <w:tcPr>
            <w:tcW w:w="185"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870"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128"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636"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210"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709"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223"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640"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r>
      <w:tr w:rsidR="00D079B9" w:rsidRPr="00B85AF2" w:rsidTr="001763E2">
        <w:trPr>
          <w:trHeight w:val="20"/>
        </w:trPr>
        <w:tc>
          <w:tcPr>
            <w:tcW w:w="1399" w:type="pct"/>
            <w:tcBorders>
              <w:top w:val="nil"/>
              <w:left w:val="nil"/>
              <w:bottom w:val="nil"/>
              <w:right w:val="nil"/>
            </w:tcBorders>
            <w:shd w:val="clear" w:color="000000" w:fill="FFFFFF"/>
            <w:vAlign w:val="center"/>
            <w:hideMark/>
          </w:tcPr>
          <w:p w:rsidR="00D079B9" w:rsidRPr="00B85AF2" w:rsidRDefault="00D079B9" w:rsidP="00F01A7E">
            <w:pPr>
              <w:rPr>
                <w:color w:val="000000"/>
                <w:sz w:val="18"/>
                <w:szCs w:val="18"/>
              </w:rPr>
            </w:pPr>
            <w:r w:rsidRPr="00B85AF2">
              <w:rPr>
                <w:color w:val="000000"/>
                <w:sz w:val="18"/>
                <w:szCs w:val="18"/>
              </w:rPr>
              <w:t>Saldo Inicial</w:t>
            </w:r>
          </w:p>
        </w:tc>
        <w:tc>
          <w:tcPr>
            <w:tcW w:w="185"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870"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215.312</w:t>
            </w:r>
          </w:p>
        </w:tc>
        <w:tc>
          <w:tcPr>
            <w:tcW w:w="128"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636"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16.546</w:t>
            </w:r>
          </w:p>
        </w:tc>
        <w:tc>
          <w:tcPr>
            <w:tcW w:w="210"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709"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743</w:t>
            </w:r>
          </w:p>
        </w:tc>
        <w:tc>
          <w:tcPr>
            <w:tcW w:w="223"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640"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232.601</w:t>
            </w:r>
          </w:p>
        </w:tc>
      </w:tr>
      <w:tr w:rsidR="00D079B9" w:rsidRPr="00B85AF2" w:rsidTr="001763E2">
        <w:trPr>
          <w:trHeight w:val="20"/>
        </w:trPr>
        <w:tc>
          <w:tcPr>
            <w:tcW w:w="1399" w:type="pct"/>
            <w:tcBorders>
              <w:top w:val="nil"/>
              <w:left w:val="nil"/>
              <w:bottom w:val="nil"/>
              <w:right w:val="nil"/>
            </w:tcBorders>
            <w:shd w:val="clear" w:color="000000" w:fill="FFFFFF"/>
            <w:vAlign w:val="center"/>
            <w:hideMark/>
          </w:tcPr>
          <w:p w:rsidR="00D079B9" w:rsidRPr="00B85AF2" w:rsidRDefault="00D079B9" w:rsidP="00F01A7E">
            <w:pPr>
              <w:rPr>
                <w:color w:val="000000"/>
                <w:sz w:val="18"/>
                <w:szCs w:val="18"/>
              </w:rPr>
            </w:pPr>
            <w:r w:rsidRPr="00B85AF2">
              <w:rPr>
                <w:color w:val="000000"/>
                <w:sz w:val="18"/>
                <w:szCs w:val="18"/>
              </w:rPr>
              <w:t>Adições</w:t>
            </w:r>
          </w:p>
        </w:tc>
        <w:tc>
          <w:tcPr>
            <w:tcW w:w="185"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870"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35.399</w:t>
            </w:r>
          </w:p>
        </w:tc>
        <w:tc>
          <w:tcPr>
            <w:tcW w:w="128"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636"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2.896</w:t>
            </w:r>
          </w:p>
        </w:tc>
        <w:tc>
          <w:tcPr>
            <w:tcW w:w="210"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709"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129</w:t>
            </w:r>
          </w:p>
        </w:tc>
        <w:tc>
          <w:tcPr>
            <w:tcW w:w="223"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640"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38.424</w:t>
            </w:r>
          </w:p>
        </w:tc>
      </w:tr>
      <w:tr w:rsidR="00D079B9" w:rsidRPr="00B85AF2" w:rsidTr="00B85AF2">
        <w:trPr>
          <w:trHeight w:val="20"/>
        </w:trPr>
        <w:tc>
          <w:tcPr>
            <w:tcW w:w="1399" w:type="pct"/>
            <w:tcBorders>
              <w:top w:val="nil"/>
              <w:left w:val="nil"/>
              <w:bottom w:val="nil"/>
              <w:right w:val="nil"/>
            </w:tcBorders>
            <w:shd w:val="clear" w:color="000000" w:fill="FFFFFF"/>
            <w:vAlign w:val="center"/>
            <w:hideMark/>
          </w:tcPr>
          <w:p w:rsidR="00D079B9" w:rsidRPr="00B85AF2" w:rsidRDefault="00D079B9" w:rsidP="00F01A7E">
            <w:pPr>
              <w:rPr>
                <w:color w:val="000000"/>
                <w:sz w:val="18"/>
                <w:szCs w:val="18"/>
              </w:rPr>
            </w:pPr>
            <w:r w:rsidRPr="00B85AF2">
              <w:rPr>
                <w:color w:val="000000"/>
                <w:sz w:val="18"/>
                <w:szCs w:val="18"/>
              </w:rPr>
              <w:t>Baixas por Pagamento</w:t>
            </w:r>
          </w:p>
        </w:tc>
        <w:tc>
          <w:tcPr>
            <w:tcW w:w="185"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870" w:type="pct"/>
            <w:tcBorders>
              <w:top w:val="nil"/>
              <w:left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(3.170)</w:t>
            </w:r>
          </w:p>
        </w:tc>
        <w:tc>
          <w:tcPr>
            <w:tcW w:w="128"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636" w:type="pct"/>
            <w:tcBorders>
              <w:top w:val="nil"/>
              <w:left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(273)</w:t>
            </w:r>
          </w:p>
        </w:tc>
        <w:tc>
          <w:tcPr>
            <w:tcW w:w="210"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709" w:type="pct"/>
            <w:tcBorders>
              <w:top w:val="nil"/>
              <w:left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w:t>
            </w:r>
          </w:p>
        </w:tc>
        <w:tc>
          <w:tcPr>
            <w:tcW w:w="223"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640" w:type="pct"/>
            <w:tcBorders>
              <w:top w:val="nil"/>
              <w:left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(3.443)</w:t>
            </w:r>
          </w:p>
        </w:tc>
      </w:tr>
      <w:tr w:rsidR="00D079B9" w:rsidRPr="00B85AF2" w:rsidTr="00B85AF2">
        <w:trPr>
          <w:trHeight w:val="20"/>
        </w:trPr>
        <w:tc>
          <w:tcPr>
            <w:tcW w:w="1399" w:type="pct"/>
            <w:tcBorders>
              <w:top w:val="nil"/>
              <w:left w:val="nil"/>
              <w:bottom w:val="nil"/>
              <w:right w:val="nil"/>
            </w:tcBorders>
            <w:shd w:val="clear" w:color="000000" w:fill="FFFFFF"/>
            <w:vAlign w:val="center"/>
            <w:hideMark/>
          </w:tcPr>
          <w:p w:rsidR="00D079B9" w:rsidRPr="00B85AF2" w:rsidRDefault="00D079B9" w:rsidP="00F01A7E">
            <w:pPr>
              <w:rPr>
                <w:color w:val="000000"/>
                <w:sz w:val="18"/>
                <w:szCs w:val="18"/>
              </w:rPr>
            </w:pPr>
            <w:r w:rsidRPr="00B85AF2">
              <w:rPr>
                <w:color w:val="000000"/>
                <w:sz w:val="18"/>
                <w:szCs w:val="18"/>
              </w:rPr>
              <w:t>Baixas por Reversão</w:t>
            </w:r>
          </w:p>
        </w:tc>
        <w:tc>
          <w:tcPr>
            <w:tcW w:w="185"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870" w:type="pct"/>
            <w:tcBorders>
              <w:top w:val="nil"/>
              <w:left w:val="nil"/>
              <w:bottom w:val="single" w:sz="4" w:space="0" w:color="auto"/>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w:t>
            </w:r>
          </w:p>
        </w:tc>
        <w:tc>
          <w:tcPr>
            <w:tcW w:w="128"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636" w:type="pct"/>
            <w:tcBorders>
              <w:top w:val="nil"/>
              <w:left w:val="nil"/>
              <w:bottom w:val="single" w:sz="4" w:space="0" w:color="auto"/>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(1.730)</w:t>
            </w:r>
          </w:p>
        </w:tc>
        <w:tc>
          <w:tcPr>
            <w:tcW w:w="210"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709" w:type="pct"/>
            <w:tcBorders>
              <w:top w:val="nil"/>
              <w:left w:val="nil"/>
              <w:bottom w:val="single" w:sz="4" w:space="0" w:color="auto"/>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w:t>
            </w:r>
          </w:p>
        </w:tc>
        <w:tc>
          <w:tcPr>
            <w:tcW w:w="223" w:type="pct"/>
            <w:tcBorders>
              <w:top w:val="nil"/>
              <w:left w:val="nil"/>
              <w:bottom w:val="nil"/>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 </w:t>
            </w:r>
          </w:p>
        </w:tc>
        <w:tc>
          <w:tcPr>
            <w:tcW w:w="640" w:type="pct"/>
            <w:tcBorders>
              <w:top w:val="nil"/>
              <w:left w:val="nil"/>
              <w:bottom w:val="single" w:sz="4" w:space="0" w:color="auto"/>
              <w:right w:val="nil"/>
            </w:tcBorders>
            <w:shd w:val="clear" w:color="000000" w:fill="FFFFFF"/>
            <w:vAlign w:val="center"/>
            <w:hideMark/>
          </w:tcPr>
          <w:p w:rsidR="00D079B9" w:rsidRPr="00B85AF2" w:rsidRDefault="00D079B9" w:rsidP="00F01A7E">
            <w:pPr>
              <w:jc w:val="right"/>
              <w:rPr>
                <w:color w:val="000000"/>
                <w:sz w:val="18"/>
                <w:szCs w:val="18"/>
              </w:rPr>
            </w:pPr>
            <w:r w:rsidRPr="00B85AF2">
              <w:rPr>
                <w:color w:val="000000"/>
                <w:sz w:val="18"/>
                <w:szCs w:val="18"/>
              </w:rPr>
              <w:t>(1.730)</w:t>
            </w:r>
          </w:p>
        </w:tc>
      </w:tr>
      <w:tr w:rsidR="00D079B9" w:rsidRPr="00B85AF2" w:rsidTr="00B85AF2">
        <w:trPr>
          <w:trHeight w:val="20"/>
        </w:trPr>
        <w:tc>
          <w:tcPr>
            <w:tcW w:w="1399" w:type="pct"/>
            <w:tcBorders>
              <w:top w:val="nil"/>
              <w:left w:val="nil"/>
              <w:bottom w:val="nil"/>
              <w:right w:val="nil"/>
            </w:tcBorders>
            <w:shd w:val="clear" w:color="000000" w:fill="FFFFFF"/>
            <w:vAlign w:val="center"/>
            <w:hideMark/>
          </w:tcPr>
          <w:p w:rsidR="00D079B9" w:rsidRPr="00B85AF2" w:rsidRDefault="00D079B9" w:rsidP="00F01A7E">
            <w:pPr>
              <w:rPr>
                <w:b/>
                <w:bCs/>
                <w:color w:val="000000"/>
                <w:sz w:val="18"/>
                <w:szCs w:val="18"/>
              </w:rPr>
            </w:pPr>
            <w:r w:rsidRPr="00B85AF2">
              <w:rPr>
                <w:b/>
                <w:bCs/>
                <w:color w:val="000000"/>
                <w:sz w:val="18"/>
                <w:szCs w:val="18"/>
              </w:rPr>
              <w:t>Saldo de Contingências</w:t>
            </w:r>
          </w:p>
        </w:tc>
        <w:tc>
          <w:tcPr>
            <w:tcW w:w="185" w:type="pct"/>
            <w:tcBorders>
              <w:top w:val="nil"/>
              <w:left w:val="nil"/>
              <w:bottom w:val="nil"/>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 </w:t>
            </w:r>
          </w:p>
        </w:tc>
        <w:tc>
          <w:tcPr>
            <w:tcW w:w="870" w:type="pct"/>
            <w:tcBorders>
              <w:top w:val="single" w:sz="4" w:space="0" w:color="auto"/>
              <w:left w:val="nil"/>
              <w:bottom w:val="double" w:sz="6" w:space="0" w:color="auto"/>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247.541</w:t>
            </w:r>
          </w:p>
        </w:tc>
        <w:tc>
          <w:tcPr>
            <w:tcW w:w="128" w:type="pct"/>
            <w:tcBorders>
              <w:top w:val="nil"/>
              <w:left w:val="nil"/>
              <w:bottom w:val="nil"/>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 </w:t>
            </w:r>
          </w:p>
        </w:tc>
        <w:tc>
          <w:tcPr>
            <w:tcW w:w="636" w:type="pct"/>
            <w:tcBorders>
              <w:top w:val="single" w:sz="4" w:space="0" w:color="auto"/>
              <w:left w:val="nil"/>
              <w:bottom w:val="double" w:sz="6" w:space="0" w:color="auto"/>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17.439</w:t>
            </w:r>
          </w:p>
        </w:tc>
        <w:tc>
          <w:tcPr>
            <w:tcW w:w="210" w:type="pct"/>
            <w:tcBorders>
              <w:top w:val="nil"/>
              <w:left w:val="nil"/>
              <w:bottom w:val="nil"/>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 </w:t>
            </w:r>
          </w:p>
        </w:tc>
        <w:tc>
          <w:tcPr>
            <w:tcW w:w="709" w:type="pct"/>
            <w:tcBorders>
              <w:top w:val="single" w:sz="4" w:space="0" w:color="auto"/>
              <w:left w:val="nil"/>
              <w:bottom w:val="double" w:sz="6" w:space="0" w:color="auto"/>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872</w:t>
            </w:r>
          </w:p>
        </w:tc>
        <w:tc>
          <w:tcPr>
            <w:tcW w:w="223" w:type="pct"/>
            <w:tcBorders>
              <w:top w:val="nil"/>
              <w:left w:val="nil"/>
              <w:bottom w:val="nil"/>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 </w:t>
            </w:r>
          </w:p>
        </w:tc>
        <w:tc>
          <w:tcPr>
            <w:tcW w:w="640" w:type="pct"/>
            <w:tcBorders>
              <w:top w:val="single" w:sz="4" w:space="0" w:color="auto"/>
              <w:left w:val="nil"/>
              <w:bottom w:val="double" w:sz="6" w:space="0" w:color="auto"/>
              <w:right w:val="nil"/>
            </w:tcBorders>
            <w:shd w:val="clear" w:color="000000" w:fill="FFFFFF"/>
            <w:vAlign w:val="center"/>
            <w:hideMark/>
          </w:tcPr>
          <w:p w:rsidR="00D079B9" w:rsidRPr="00B85AF2" w:rsidRDefault="00D079B9" w:rsidP="00F01A7E">
            <w:pPr>
              <w:jc w:val="right"/>
              <w:rPr>
                <w:b/>
                <w:bCs/>
                <w:color w:val="000000"/>
                <w:sz w:val="18"/>
                <w:szCs w:val="18"/>
              </w:rPr>
            </w:pPr>
            <w:r w:rsidRPr="00B85AF2">
              <w:rPr>
                <w:b/>
                <w:bCs/>
                <w:color w:val="000000"/>
                <w:sz w:val="18"/>
                <w:szCs w:val="18"/>
              </w:rPr>
              <w:t>265.852</w:t>
            </w:r>
          </w:p>
        </w:tc>
      </w:tr>
    </w:tbl>
    <w:p w:rsidR="007B6CC6" w:rsidRPr="00FD7B48" w:rsidRDefault="007B6CC6" w:rsidP="00B20F98">
      <w:pPr>
        <w:ind w:left="851" w:hanging="851"/>
        <w:jc w:val="both"/>
        <w:rPr>
          <w:b/>
        </w:rPr>
      </w:pPr>
    </w:p>
    <w:p w:rsidR="00852127" w:rsidRPr="009374E6" w:rsidRDefault="000A6A29" w:rsidP="00852127">
      <w:pPr>
        <w:jc w:val="both"/>
      </w:pPr>
      <w:r w:rsidRPr="009374E6">
        <w:t>São reconhecidas como contingências</w:t>
      </w:r>
      <w:r w:rsidR="00E82794" w:rsidRPr="009374E6">
        <w:t xml:space="preserve"> </w:t>
      </w:r>
      <w:r w:rsidRPr="009374E6">
        <w:t>a</w:t>
      </w:r>
      <w:r w:rsidR="007E750D" w:rsidRPr="009374E6">
        <w:t>s ações judiciais, classificadas como perdas prováveis</w:t>
      </w:r>
      <w:r w:rsidR="001B1787" w:rsidRPr="009374E6">
        <w:t>. D</w:t>
      </w:r>
      <w:r w:rsidR="004A0DE1" w:rsidRPr="009374E6">
        <w:t xml:space="preserve">esta forma </w:t>
      </w:r>
      <w:r w:rsidR="0025677A" w:rsidRPr="009374E6">
        <w:t>as con</w:t>
      </w:r>
      <w:r w:rsidRPr="009374E6">
        <w:t>tingências</w:t>
      </w:r>
      <w:r w:rsidR="00852127" w:rsidRPr="009374E6">
        <w:t xml:space="preserve"> (trabalhistas, cíveis e tributárias) </w:t>
      </w:r>
      <w:r w:rsidR="0025677A" w:rsidRPr="009374E6">
        <w:t>seguem os seguintes critérios</w:t>
      </w:r>
      <w:r w:rsidR="001B1787" w:rsidRPr="009374E6">
        <w:t xml:space="preserve"> para contabilização</w:t>
      </w:r>
      <w:r w:rsidR="00852127" w:rsidRPr="009374E6">
        <w:t>: (i) a Instituição tem uma obrigação presente ou não formalizada como resultado de eventos já ocorridos; (</w:t>
      </w:r>
      <w:proofErr w:type="spellStart"/>
      <w:r w:rsidR="00852127" w:rsidRPr="009374E6">
        <w:t>ii</w:t>
      </w:r>
      <w:proofErr w:type="spellEnd"/>
      <w:r w:rsidR="00852127" w:rsidRPr="009374E6">
        <w:t>) é provável que uma saída de recursos seja necessária para liquidar a obrigação; e (</w:t>
      </w:r>
      <w:proofErr w:type="spellStart"/>
      <w:r w:rsidR="00852127" w:rsidRPr="009374E6">
        <w:t>iii</w:t>
      </w:r>
      <w:proofErr w:type="spellEnd"/>
      <w:r w:rsidR="00852127" w:rsidRPr="009374E6">
        <w:t xml:space="preserve">) o valor puder ser estimado com segurança. </w:t>
      </w:r>
    </w:p>
    <w:p w:rsidR="00852127" w:rsidRPr="009374E6" w:rsidRDefault="00852127" w:rsidP="00852127">
      <w:pPr>
        <w:jc w:val="both"/>
      </w:pPr>
    </w:p>
    <w:p w:rsidR="00852127" w:rsidRDefault="00852127" w:rsidP="00852127">
      <w:pPr>
        <w:jc w:val="both"/>
      </w:pPr>
      <w:r w:rsidRPr="009374E6">
        <w:t xml:space="preserve">As provisões são mensuradas pelo valor presente dos gastos que devem ser necessários para liquidar a obrigação, usando uma taxa antes dos efeitos tributários, a qual reflita as avaliações atuais de mercado do valor do dinheiro no tempo e dos riscos específicos da obrigação. </w:t>
      </w:r>
    </w:p>
    <w:p w:rsidR="00093A03" w:rsidRPr="009374E6" w:rsidRDefault="00093A03" w:rsidP="00852127">
      <w:pPr>
        <w:jc w:val="both"/>
      </w:pPr>
    </w:p>
    <w:p w:rsidR="00116BD5" w:rsidRPr="00CD0813" w:rsidRDefault="00116BD5" w:rsidP="00BF21BA">
      <w:pPr>
        <w:pStyle w:val="Subttulo"/>
        <w:numPr>
          <w:ilvl w:val="0"/>
          <w:numId w:val="6"/>
        </w:numPr>
      </w:pPr>
      <w:r w:rsidRPr="00CD0813">
        <w:tab/>
      </w:r>
      <w:bookmarkStart w:id="37" w:name="_Ref466467866"/>
      <w:r w:rsidRPr="00CD0813">
        <w:t>Férias</w:t>
      </w:r>
      <w:r w:rsidR="007773FA" w:rsidRPr="00CD0813">
        <w:t xml:space="preserve"> a Pagar</w:t>
      </w:r>
      <w:bookmarkEnd w:id="37"/>
    </w:p>
    <w:tbl>
      <w:tblPr>
        <w:tblW w:w="4917" w:type="pct"/>
        <w:tblCellMar>
          <w:left w:w="0" w:type="dxa"/>
          <w:right w:w="0" w:type="dxa"/>
        </w:tblCellMar>
        <w:tblLook w:val="0000" w:firstRow="0" w:lastRow="0" w:firstColumn="0" w:lastColumn="0" w:noHBand="0" w:noVBand="0"/>
      </w:tblPr>
      <w:tblGrid>
        <w:gridCol w:w="4967"/>
        <w:gridCol w:w="1838"/>
        <w:gridCol w:w="14"/>
        <w:gridCol w:w="262"/>
        <w:gridCol w:w="1840"/>
      </w:tblGrid>
      <w:tr w:rsidR="00DE6E86" w:rsidRPr="00C40CE1" w:rsidTr="00DE6E86">
        <w:trPr>
          <w:trHeight w:val="227"/>
        </w:trPr>
        <w:tc>
          <w:tcPr>
            <w:tcW w:w="2783" w:type="pct"/>
            <w:vAlign w:val="bottom"/>
          </w:tcPr>
          <w:p w:rsidR="00DE6E86" w:rsidRPr="00C40CE1" w:rsidRDefault="00DE6E86" w:rsidP="00FB3FD0">
            <w:pPr>
              <w:pStyle w:val="NormalWeb"/>
              <w:widowControl w:val="0"/>
              <w:spacing w:before="0" w:after="0" w:line="230" w:lineRule="auto"/>
              <w:rPr>
                <w:sz w:val="18"/>
                <w:szCs w:val="18"/>
                <w:lang w:val="pt-BR"/>
              </w:rPr>
            </w:pPr>
          </w:p>
        </w:tc>
        <w:tc>
          <w:tcPr>
            <w:tcW w:w="1030" w:type="pct"/>
            <w:tcBorders>
              <w:bottom w:val="single" w:sz="4" w:space="0" w:color="auto"/>
            </w:tcBorders>
            <w:vAlign w:val="bottom"/>
          </w:tcPr>
          <w:p w:rsidR="00DE6E86" w:rsidRPr="00C40CE1" w:rsidRDefault="00DE6E86" w:rsidP="005651A6">
            <w:pPr>
              <w:widowControl w:val="0"/>
              <w:suppressLineNumbers/>
              <w:suppressAutoHyphens/>
              <w:spacing w:line="230" w:lineRule="auto"/>
              <w:jc w:val="center"/>
              <w:rPr>
                <w:b/>
                <w:sz w:val="18"/>
                <w:szCs w:val="18"/>
              </w:rPr>
            </w:pPr>
            <w:r w:rsidRPr="00C40CE1">
              <w:rPr>
                <w:b/>
                <w:sz w:val="18"/>
                <w:szCs w:val="18"/>
              </w:rPr>
              <w:t xml:space="preserve">      31/12/2017</w:t>
            </w:r>
          </w:p>
        </w:tc>
        <w:tc>
          <w:tcPr>
            <w:tcW w:w="8" w:type="pct"/>
            <w:vAlign w:val="bottom"/>
          </w:tcPr>
          <w:p w:rsidR="00DE6E86" w:rsidRPr="00C40CE1" w:rsidRDefault="00DE6E86" w:rsidP="005651A6">
            <w:pPr>
              <w:widowControl w:val="0"/>
              <w:suppressLineNumbers/>
              <w:suppressAutoHyphens/>
              <w:spacing w:line="230" w:lineRule="auto"/>
              <w:rPr>
                <w:b/>
                <w:sz w:val="18"/>
                <w:szCs w:val="18"/>
              </w:rPr>
            </w:pPr>
          </w:p>
        </w:tc>
        <w:tc>
          <w:tcPr>
            <w:tcW w:w="147" w:type="pct"/>
          </w:tcPr>
          <w:p w:rsidR="00DE6E86" w:rsidRPr="00C40CE1" w:rsidRDefault="00DE6E86" w:rsidP="009A5AE5">
            <w:pPr>
              <w:widowControl w:val="0"/>
              <w:suppressLineNumbers/>
              <w:suppressAutoHyphens/>
              <w:spacing w:line="230" w:lineRule="auto"/>
              <w:jc w:val="center"/>
              <w:rPr>
                <w:b/>
                <w:sz w:val="18"/>
                <w:szCs w:val="18"/>
              </w:rPr>
            </w:pPr>
          </w:p>
        </w:tc>
        <w:tc>
          <w:tcPr>
            <w:tcW w:w="1031" w:type="pct"/>
            <w:tcBorders>
              <w:bottom w:val="single" w:sz="4" w:space="0" w:color="auto"/>
            </w:tcBorders>
            <w:vAlign w:val="bottom"/>
          </w:tcPr>
          <w:p w:rsidR="00DE6E86" w:rsidRPr="00C40CE1" w:rsidRDefault="00DE6E86" w:rsidP="009A5AE5">
            <w:pPr>
              <w:widowControl w:val="0"/>
              <w:suppressLineNumbers/>
              <w:suppressAutoHyphens/>
              <w:spacing w:line="230" w:lineRule="auto"/>
              <w:jc w:val="center"/>
              <w:rPr>
                <w:b/>
                <w:sz w:val="18"/>
                <w:szCs w:val="18"/>
              </w:rPr>
            </w:pPr>
            <w:r w:rsidRPr="00C40CE1">
              <w:rPr>
                <w:b/>
                <w:sz w:val="18"/>
                <w:szCs w:val="18"/>
              </w:rPr>
              <w:t xml:space="preserve">       31/12/2016</w:t>
            </w:r>
          </w:p>
        </w:tc>
      </w:tr>
      <w:tr w:rsidR="00DE6E86" w:rsidRPr="00C40CE1" w:rsidTr="00DE6E86">
        <w:trPr>
          <w:trHeight w:val="227"/>
        </w:trPr>
        <w:tc>
          <w:tcPr>
            <w:tcW w:w="2783" w:type="pct"/>
            <w:vAlign w:val="bottom"/>
          </w:tcPr>
          <w:p w:rsidR="00DE6E86" w:rsidRPr="00C40CE1" w:rsidRDefault="00DE6E86" w:rsidP="00C40CE1">
            <w:pPr>
              <w:pStyle w:val="NormalWeb"/>
              <w:widowControl w:val="0"/>
              <w:spacing w:before="0" w:after="0" w:line="230" w:lineRule="auto"/>
              <w:rPr>
                <w:sz w:val="18"/>
                <w:szCs w:val="18"/>
                <w:lang w:val="pt-BR"/>
              </w:rPr>
            </w:pPr>
            <w:r w:rsidRPr="00C40CE1">
              <w:rPr>
                <w:sz w:val="18"/>
                <w:szCs w:val="18"/>
                <w:lang w:val="pt-BR"/>
              </w:rPr>
              <w:t>Férias</w:t>
            </w:r>
          </w:p>
        </w:tc>
        <w:tc>
          <w:tcPr>
            <w:tcW w:w="1030" w:type="pct"/>
            <w:tcBorders>
              <w:top w:val="single" w:sz="4" w:space="0" w:color="auto"/>
            </w:tcBorders>
            <w:vAlign w:val="bottom"/>
          </w:tcPr>
          <w:p w:rsidR="00DE6E86" w:rsidRPr="00C40CE1" w:rsidRDefault="00DE6E86" w:rsidP="00FB3FD0">
            <w:pPr>
              <w:pStyle w:val="NormalWeb"/>
              <w:widowControl w:val="0"/>
              <w:spacing w:before="0" w:after="0" w:line="230" w:lineRule="auto"/>
              <w:ind w:right="6"/>
              <w:jc w:val="right"/>
              <w:rPr>
                <w:sz w:val="18"/>
                <w:szCs w:val="18"/>
                <w:lang w:val="pt-BR"/>
              </w:rPr>
            </w:pPr>
          </w:p>
        </w:tc>
        <w:tc>
          <w:tcPr>
            <w:tcW w:w="8" w:type="pct"/>
            <w:vAlign w:val="bottom"/>
          </w:tcPr>
          <w:p w:rsidR="00DE6E86" w:rsidRPr="00C40CE1" w:rsidRDefault="00DE6E86" w:rsidP="00FB3FD0">
            <w:pPr>
              <w:pStyle w:val="NormalWeb"/>
              <w:widowControl w:val="0"/>
              <w:spacing w:before="0" w:after="0" w:line="230" w:lineRule="auto"/>
              <w:rPr>
                <w:sz w:val="18"/>
                <w:szCs w:val="18"/>
                <w:lang w:val="pt-BR"/>
              </w:rPr>
            </w:pPr>
          </w:p>
        </w:tc>
        <w:tc>
          <w:tcPr>
            <w:tcW w:w="147" w:type="pct"/>
          </w:tcPr>
          <w:p w:rsidR="00DE6E86" w:rsidRPr="00C40CE1" w:rsidRDefault="00DE6E86" w:rsidP="00FB3FD0">
            <w:pPr>
              <w:pStyle w:val="NormalWeb"/>
              <w:widowControl w:val="0"/>
              <w:spacing w:before="0" w:after="0" w:line="230" w:lineRule="auto"/>
              <w:ind w:right="6"/>
              <w:jc w:val="right"/>
              <w:rPr>
                <w:sz w:val="18"/>
                <w:szCs w:val="18"/>
                <w:lang w:val="pt-BR"/>
              </w:rPr>
            </w:pPr>
          </w:p>
        </w:tc>
        <w:tc>
          <w:tcPr>
            <w:tcW w:w="1031" w:type="pct"/>
            <w:tcBorders>
              <w:top w:val="single" w:sz="4" w:space="0" w:color="auto"/>
            </w:tcBorders>
            <w:vAlign w:val="bottom"/>
          </w:tcPr>
          <w:p w:rsidR="00DE6E86" w:rsidRPr="00C40CE1" w:rsidRDefault="00DE6E86" w:rsidP="00FB3FD0">
            <w:pPr>
              <w:pStyle w:val="NormalWeb"/>
              <w:widowControl w:val="0"/>
              <w:spacing w:before="0" w:after="0" w:line="230" w:lineRule="auto"/>
              <w:ind w:right="6"/>
              <w:jc w:val="right"/>
              <w:rPr>
                <w:sz w:val="18"/>
                <w:szCs w:val="18"/>
                <w:lang w:val="pt-BR"/>
              </w:rPr>
            </w:pPr>
          </w:p>
        </w:tc>
      </w:tr>
      <w:tr w:rsidR="00DE6E86" w:rsidRPr="00C40CE1" w:rsidTr="00DE6E86">
        <w:trPr>
          <w:trHeight w:val="227"/>
        </w:trPr>
        <w:tc>
          <w:tcPr>
            <w:tcW w:w="2783" w:type="pct"/>
            <w:vAlign w:val="bottom"/>
          </w:tcPr>
          <w:p w:rsidR="00DE6E86" w:rsidRPr="00C40CE1" w:rsidRDefault="00DE6E86" w:rsidP="007773FA">
            <w:pPr>
              <w:pStyle w:val="NormalWeb"/>
              <w:widowControl w:val="0"/>
              <w:spacing w:before="0" w:after="0" w:line="230" w:lineRule="auto"/>
              <w:rPr>
                <w:sz w:val="18"/>
                <w:szCs w:val="18"/>
                <w:lang w:val="pt-BR"/>
              </w:rPr>
            </w:pPr>
            <w:r w:rsidRPr="00C40CE1">
              <w:rPr>
                <w:sz w:val="18"/>
                <w:szCs w:val="18"/>
                <w:lang w:val="pt-BR"/>
              </w:rPr>
              <w:t xml:space="preserve">   Saldo Inicial</w:t>
            </w:r>
          </w:p>
        </w:tc>
        <w:tc>
          <w:tcPr>
            <w:tcW w:w="1030" w:type="pct"/>
            <w:vAlign w:val="center"/>
          </w:tcPr>
          <w:p w:rsidR="00DE6E86" w:rsidRPr="00C40CE1" w:rsidRDefault="00DE6E86" w:rsidP="00236864">
            <w:pPr>
              <w:jc w:val="right"/>
              <w:rPr>
                <w:sz w:val="18"/>
                <w:szCs w:val="18"/>
              </w:rPr>
            </w:pPr>
            <w:r>
              <w:rPr>
                <w:sz w:val="18"/>
                <w:szCs w:val="18"/>
              </w:rPr>
              <w:t>6</w:t>
            </w:r>
            <w:r w:rsidRPr="00C40CE1">
              <w:rPr>
                <w:sz w:val="18"/>
                <w:szCs w:val="18"/>
              </w:rPr>
              <w:t>2.225</w:t>
            </w:r>
          </w:p>
        </w:tc>
        <w:tc>
          <w:tcPr>
            <w:tcW w:w="8" w:type="pct"/>
            <w:vAlign w:val="bottom"/>
          </w:tcPr>
          <w:p w:rsidR="00DE6E86" w:rsidRPr="00C40CE1" w:rsidRDefault="00DE6E86" w:rsidP="001D1793">
            <w:pPr>
              <w:pStyle w:val="NormalWeb"/>
              <w:widowControl w:val="0"/>
              <w:spacing w:before="0" w:after="0" w:line="230" w:lineRule="auto"/>
              <w:ind w:right="6"/>
              <w:jc w:val="right"/>
              <w:rPr>
                <w:sz w:val="18"/>
                <w:szCs w:val="18"/>
                <w:lang w:val="pt-BR"/>
              </w:rPr>
            </w:pPr>
          </w:p>
        </w:tc>
        <w:tc>
          <w:tcPr>
            <w:tcW w:w="147" w:type="pct"/>
          </w:tcPr>
          <w:p w:rsidR="00DE6E86" w:rsidRPr="00C40CE1" w:rsidRDefault="00DE6E86" w:rsidP="00DE6E86">
            <w:pPr>
              <w:jc w:val="right"/>
              <w:rPr>
                <w:sz w:val="18"/>
                <w:szCs w:val="18"/>
              </w:rPr>
            </w:pPr>
          </w:p>
        </w:tc>
        <w:tc>
          <w:tcPr>
            <w:tcW w:w="1031" w:type="pct"/>
            <w:shd w:val="clear" w:color="auto" w:fill="auto"/>
            <w:vAlign w:val="center"/>
          </w:tcPr>
          <w:p w:rsidR="00DE6E86" w:rsidRPr="00C40CE1" w:rsidRDefault="00DE6E86" w:rsidP="00DE6E86">
            <w:pPr>
              <w:jc w:val="right"/>
              <w:rPr>
                <w:sz w:val="18"/>
                <w:szCs w:val="18"/>
              </w:rPr>
            </w:pPr>
            <w:r w:rsidRPr="00C40CE1">
              <w:rPr>
                <w:sz w:val="18"/>
                <w:szCs w:val="18"/>
              </w:rPr>
              <w:t>59.441</w:t>
            </w:r>
          </w:p>
        </w:tc>
      </w:tr>
      <w:tr w:rsidR="00DE6E86" w:rsidRPr="00C40CE1" w:rsidTr="00DE6E86">
        <w:trPr>
          <w:trHeight w:val="227"/>
        </w:trPr>
        <w:tc>
          <w:tcPr>
            <w:tcW w:w="2783" w:type="pct"/>
            <w:vAlign w:val="bottom"/>
          </w:tcPr>
          <w:p w:rsidR="00DE6E86" w:rsidRPr="00C40CE1" w:rsidRDefault="00DE6E86" w:rsidP="007773FA">
            <w:pPr>
              <w:pStyle w:val="NormalWeb"/>
              <w:widowControl w:val="0"/>
              <w:spacing w:before="0" w:after="0" w:line="230" w:lineRule="auto"/>
              <w:rPr>
                <w:sz w:val="18"/>
                <w:szCs w:val="18"/>
                <w:lang w:val="pt-BR"/>
              </w:rPr>
            </w:pPr>
            <w:r w:rsidRPr="00C40CE1">
              <w:rPr>
                <w:sz w:val="18"/>
                <w:szCs w:val="18"/>
                <w:lang w:val="pt-BR"/>
              </w:rPr>
              <w:t xml:space="preserve">   Baixas</w:t>
            </w:r>
          </w:p>
        </w:tc>
        <w:tc>
          <w:tcPr>
            <w:tcW w:w="1030" w:type="pct"/>
            <w:vAlign w:val="center"/>
          </w:tcPr>
          <w:p w:rsidR="00DE6E86" w:rsidRPr="00C40CE1" w:rsidRDefault="00DE6E86" w:rsidP="00236864">
            <w:pPr>
              <w:jc w:val="right"/>
              <w:rPr>
                <w:sz w:val="18"/>
                <w:szCs w:val="18"/>
              </w:rPr>
            </w:pPr>
            <w:r w:rsidRPr="00C40CE1">
              <w:rPr>
                <w:sz w:val="18"/>
                <w:szCs w:val="18"/>
              </w:rPr>
              <w:t>(63.929)</w:t>
            </w:r>
          </w:p>
        </w:tc>
        <w:tc>
          <w:tcPr>
            <w:tcW w:w="8" w:type="pct"/>
            <w:vAlign w:val="bottom"/>
          </w:tcPr>
          <w:p w:rsidR="00DE6E86" w:rsidRPr="00C40CE1" w:rsidRDefault="00DE6E86" w:rsidP="001D1793">
            <w:pPr>
              <w:pStyle w:val="NormalWeb"/>
              <w:widowControl w:val="0"/>
              <w:spacing w:before="0" w:after="0" w:line="230" w:lineRule="auto"/>
              <w:ind w:right="6"/>
              <w:jc w:val="right"/>
              <w:rPr>
                <w:sz w:val="18"/>
                <w:szCs w:val="18"/>
                <w:lang w:val="pt-BR"/>
              </w:rPr>
            </w:pPr>
          </w:p>
        </w:tc>
        <w:tc>
          <w:tcPr>
            <w:tcW w:w="147" w:type="pct"/>
          </w:tcPr>
          <w:p w:rsidR="00DE6E86" w:rsidRPr="00C40CE1" w:rsidRDefault="00DE6E86" w:rsidP="009A5AE5">
            <w:pPr>
              <w:jc w:val="right"/>
              <w:rPr>
                <w:sz w:val="18"/>
                <w:szCs w:val="18"/>
              </w:rPr>
            </w:pPr>
          </w:p>
        </w:tc>
        <w:tc>
          <w:tcPr>
            <w:tcW w:w="1031" w:type="pct"/>
            <w:shd w:val="clear" w:color="auto" w:fill="auto"/>
            <w:vAlign w:val="center"/>
          </w:tcPr>
          <w:p w:rsidR="00DE6E86" w:rsidRPr="00C40CE1" w:rsidRDefault="00DE6E86" w:rsidP="009A5AE5">
            <w:pPr>
              <w:jc w:val="right"/>
              <w:rPr>
                <w:sz w:val="18"/>
                <w:szCs w:val="18"/>
              </w:rPr>
            </w:pPr>
            <w:r w:rsidRPr="00C40CE1">
              <w:rPr>
                <w:sz w:val="18"/>
                <w:szCs w:val="18"/>
              </w:rPr>
              <w:t>(57.041)</w:t>
            </w:r>
          </w:p>
        </w:tc>
      </w:tr>
      <w:tr w:rsidR="00DE6E86" w:rsidRPr="00C40CE1" w:rsidTr="00DE6E86">
        <w:trPr>
          <w:trHeight w:val="227"/>
        </w:trPr>
        <w:tc>
          <w:tcPr>
            <w:tcW w:w="2783" w:type="pct"/>
            <w:vAlign w:val="bottom"/>
          </w:tcPr>
          <w:p w:rsidR="00DE6E86" w:rsidRPr="00C40CE1" w:rsidRDefault="00DE6E86" w:rsidP="007773FA">
            <w:pPr>
              <w:pStyle w:val="NormalWeb"/>
              <w:widowControl w:val="0"/>
              <w:spacing w:before="0" w:after="0" w:line="230" w:lineRule="auto"/>
              <w:rPr>
                <w:sz w:val="18"/>
                <w:szCs w:val="18"/>
                <w:lang w:val="pt-BR"/>
              </w:rPr>
            </w:pPr>
            <w:r w:rsidRPr="00C40CE1">
              <w:rPr>
                <w:sz w:val="18"/>
                <w:szCs w:val="18"/>
                <w:lang w:val="pt-BR"/>
              </w:rPr>
              <w:t xml:space="preserve">   Apropriações</w:t>
            </w:r>
          </w:p>
        </w:tc>
        <w:tc>
          <w:tcPr>
            <w:tcW w:w="1030" w:type="pct"/>
            <w:vAlign w:val="center"/>
          </w:tcPr>
          <w:p w:rsidR="00DE6E86" w:rsidRPr="00C40CE1" w:rsidRDefault="00DE6E86">
            <w:pPr>
              <w:jc w:val="right"/>
              <w:rPr>
                <w:sz w:val="18"/>
                <w:szCs w:val="18"/>
              </w:rPr>
            </w:pPr>
            <w:r w:rsidRPr="00C40CE1">
              <w:rPr>
                <w:sz w:val="18"/>
                <w:szCs w:val="18"/>
              </w:rPr>
              <w:t>71.615</w:t>
            </w:r>
          </w:p>
        </w:tc>
        <w:tc>
          <w:tcPr>
            <w:tcW w:w="8" w:type="pct"/>
            <w:vAlign w:val="bottom"/>
          </w:tcPr>
          <w:p w:rsidR="00DE6E86" w:rsidRPr="00C40CE1" w:rsidRDefault="00DE6E86" w:rsidP="001D1793">
            <w:pPr>
              <w:pStyle w:val="NormalWeb"/>
              <w:widowControl w:val="0"/>
              <w:spacing w:before="0" w:after="0" w:line="230" w:lineRule="auto"/>
              <w:ind w:right="6"/>
              <w:jc w:val="right"/>
              <w:rPr>
                <w:sz w:val="18"/>
                <w:szCs w:val="18"/>
                <w:lang w:val="pt-BR"/>
              </w:rPr>
            </w:pPr>
          </w:p>
        </w:tc>
        <w:tc>
          <w:tcPr>
            <w:tcW w:w="147" w:type="pct"/>
          </w:tcPr>
          <w:p w:rsidR="00DE6E86" w:rsidRPr="00C40CE1" w:rsidRDefault="00DE6E86">
            <w:pPr>
              <w:jc w:val="right"/>
              <w:rPr>
                <w:sz w:val="18"/>
                <w:szCs w:val="18"/>
              </w:rPr>
            </w:pPr>
          </w:p>
        </w:tc>
        <w:tc>
          <w:tcPr>
            <w:tcW w:w="1031" w:type="pct"/>
            <w:shd w:val="clear" w:color="auto" w:fill="auto"/>
            <w:vAlign w:val="center"/>
          </w:tcPr>
          <w:p w:rsidR="00DE6E86" w:rsidRPr="00C40CE1" w:rsidRDefault="00DE6E86">
            <w:pPr>
              <w:jc w:val="right"/>
              <w:rPr>
                <w:sz w:val="18"/>
                <w:szCs w:val="18"/>
              </w:rPr>
            </w:pPr>
            <w:r w:rsidRPr="00C40CE1">
              <w:rPr>
                <w:sz w:val="18"/>
                <w:szCs w:val="18"/>
              </w:rPr>
              <w:t>59.825</w:t>
            </w:r>
          </w:p>
        </w:tc>
      </w:tr>
      <w:tr w:rsidR="00DE6E86" w:rsidRPr="00C40CE1" w:rsidTr="00DE6E86">
        <w:trPr>
          <w:trHeight w:val="227"/>
        </w:trPr>
        <w:tc>
          <w:tcPr>
            <w:tcW w:w="2783" w:type="pct"/>
            <w:vAlign w:val="bottom"/>
          </w:tcPr>
          <w:p w:rsidR="00DE6E86" w:rsidRPr="00C40CE1" w:rsidRDefault="00DE6E86" w:rsidP="00FB3FD0">
            <w:pPr>
              <w:pStyle w:val="NormalWeb"/>
              <w:widowControl w:val="0"/>
              <w:spacing w:before="0" w:after="0"/>
              <w:rPr>
                <w:sz w:val="18"/>
                <w:szCs w:val="18"/>
                <w:lang w:val="pt-BR"/>
              </w:rPr>
            </w:pPr>
          </w:p>
        </w:tc>
        <w:tc>
          <w:tcPr>
            <w:tcW w:w="1030" w:type="pct"/>
            <w:tcBorders>
              <w:top w:val="single" w:sz="6" w:space="0" w:color="auto"/>
            </w:tcBorders>
            <w:vAlign w:val="bottom"/>
          </w:tcPr>
          <w:p w:rsidR="00DE6E86" w:rsidRPr="00C40CE1" w:rsidRDefault="00DE6E86" w:rsidP="001D1793">
            <w:pPr>
              <w:pStyle w:val="NormalWeb"/>
              <w:widowControl w:val="0"/>
              <w:spacing w:before="0" w:after="0"/>
              <w:ind w:right="6"/>
              <w:jc w:val="right"/>
              <w:rPr>
                <w:rStyle w:val="Forte"/>
                <w:b w:val="0"/>
                <w:sz w:val="18"/>
                <w:szCs w:val="18"/>
                <w:lang w:val="pt-BR"/>
              </w:rPr>
            </w:pPr>
          </w:p>
        </w:tc>
        <w:tc>
          <w:tcPr>
            <w:tcW w:w="8" w:type="pct"/>
            <w:vAlign w:val="bottom"/>
          </w:tcPr>
          <w:p w:rsidR="00DE6E86" w:rsidRPr="00C40CE1" w:rsidRDefault="00DE6E86" w:rsidP="001D1793">
            <w:pPr>
              <w:pStyle w:val="NormalWeb"/>
              <w:widowControl w:val="0"/>
              <w:spacing w:before="0" w:after="0"/>
              <w:jc w:val="right"/>
              <w:rPr>
                <w:sz w:val="18"/>
                <w:szCs w:val="18"/>
                <w:lang w:val="pt-BR"/>
              </w:rPr>
            </w:pPr>
          </w:p>
        </w:tc>
        <w:tc>
          <w:tcPr>
            <w:tcW w:w="147" w:type="pct"/>
          </w:tcPr>
          <w:p w:rsidR="00DE6E86" w:rsidRPr="00C40CE1" w:rsidRDefault="00DE6E86" w:rsidP="001D1793">
            <w:pPr>
              <w:pStyle w:val="NormalWeb"/>
              <w:widowControl w:val="0"/>
              <w:spacing w:before="0" w:after="0"/>
              <w:ind w:right="6"/>
              <w:jc w:val="right"/>
              <w:rPr>
                <w:sz w:val="18"/>
                <w:szCs w:val="18"/>
                <w:lang w:val="pt-BR"/>
              </w:rPr>
            </w:pPr>
          </w:p>
        </w:tc>
        <w:tc>
          <w:tcPr>
            <w:tcW w:w="1031" w:type="pct"/>
            <w:tcBorders>
              <w:top w:val="single" w:sz="6" w:space="0" w:color="auto"/>
            </w:tcBorders>
            <w:shd w:val="clear" w:color="auto" w:fill="auto"/>
            <w:vAlign w:val="bottom"/>
          </w:tcPr>
          <w:p w:rsidR="00DE6E86" w:rsidRPr="00C40CE1" w:rsidRDefault="00DE6E86" w:rsidP="001D1793">
            <w:pPr>
              <w:pStyle w:val="NormalWeb"/>
              <w:widowControl w:val="0"/>
              <w:spacing w:before="0" w:after="0"/>
              <w:ind w:right="6"/>
              <w:jc w:val="right"/>
              <w:rPr>
                <w:sz w:val="18"/>
                <w:szCs w:val="18"/>
                <w:lang w:val="pt-BR"/>
              </w:rPr>
            </w:pPr>
          </w:p>
        </w:tc>
      </w:tr>
      <w:tr w:rsidR="00DE6E86" w:rsidRPr="00C40CE1" w:rsidTr="00DE6E86">
        <w:trPr>
          <w:trHeight w:val="227"/>
        </w:trPr>
        <w:tc>
          <w:tcPr>
            <w:tcW w:w="2783" w:type="pct"/>
            <w:vAlign w:val="bottom"/>
          </w:tcPr>
          <w:p w:rsidR="00DE6E86" w:rsidRPr="00C40CE1" w:rsidRDefault="00DE6E86" w:rsidP="007773FA">
            <w:pPr>
              <w:pStyle w:val="NormalWeb"/>
              <w:widowControl w:val="0"/>
              <w:spacing w:before="0" w:after="0"/>
              <w:rPr>
                <w:sz w:val="18"/>
                <w:szCs w:val="18"/>
                <w:lang w:val="pt-BR"/>
              </w:rPr>
            </w:pPr>
            <w:r w:rsidRPr="00C40CE1">
              <w:rPr>
                <w:sz w:val="18"/>
                <w:szCs w:val="18"/>
                <w:lang w:val="pt-BR"/>
              </w:rPr>
              <w:t xml:space="preserve">Total de Férias </w:t>
            </w:r>
          </w:p>
        </w:tc>
        <w:tc>
          <w:tcPr>
            <w:tcW w:w="1030" w:type="pct"/>
            <w:tcBorders>
              <w:bottom w:val="single" w:sz="6" w:space="0" w:color="auto"/>
            </w:tcBorders>
            <w:vAlign w:val="bottom"/>
          </w:tcPr>
          <w:p w:rsidR="00DE6E86" w:rsidRPr="00C40CE1" w:rsidRDefault="00DE6E86" w:rsidP="00975C9E">
            <w:pPr>
              <w:jc w:val="right"/>
              <w:rPr>
                <w:sz w:val="18"/>
                <w:szCs w:val="18"/>
              </w:rPr>
            </w:pPr>
            <w:r w:rsidRPr="00C40CE1">
              <w:rPr>
                <w:bCs/>
                <w:sz w:val="18"/>
                <w:szCs w:val="18"/>
              </w:rPr>
              <w:t>69.911</w:t>
            </w:r>
          </w:p>
        </w:tc>
        <w:tc>
          <w:tcPr>
            <w:tcW w:w="8" w:type="pct"/>
            <w:vAlign w:val="bottom"/>
          </w:tcPr>
          <w:p w:rsidR="00DE6E86" w:rsidRPr="00C40CE1" w:rsidRDefault="00DE6E86" w:rsidP="001D1793">
            <w:pPr>
              <w:pStyle w:val="NormalWeb"/>
              <w:widowControl w:val="0"/>
              <w:spacing w:before="0" w:after="0"/>
              <w:jc w:val="right"/>
              <w:rPr>
                <w:sz w:val="18"/>
                <w:szCs w:val="18"/>
                <w:lang w:val="pt-BR"/>
              </w:rPr>
            </w:pPr>
          </w:p>
        </w:tc>
        <w:tc>
          <w:tcPr>
            <w:tcW w:w="147" w:type="pct"/>
          </w:tcPr>
          <w:p w:rsidR="00DE6E86" w:rsidRPr="00C40CE1" w:rsidRDefault="00DE6E86" w:rsidP="001D1793">
            <w:pPr>
              <w:jc w:val="right"/>
              <w:rPr>
                <w:bCs/>
                <w:sz w:val="18"/>
                <w:szCs w:val="18"/>
              </w:rPr>
            </w:pPr>
          </w:p>
        </w:tc>
        <w:tc>
          <w:tcPr>
            <w:tcW w:w="1031" w:type="pct"/>
            <w:tcBorders>
              <w:bottom w:val="single" w:sz="6" w:space="0" w:color="auto"/>
            </w:tcBorders>
            <w:shd w:val="clear" w:color="auto" w:fill="auto"/>
            <w:vAlign w:val="bottom"/>
          </w:tcPr>
          <w:p w:rsidR="00DE6E86" w:rsidRPr="00C40CE1" w:rsidRDefault="00DE6E86" w:rsidP="001D1793">
            <w:pPr>
              <w:jc w:val="right"/>
              <w:rPr>
                <w:sz w:val="18"/>
                <w:szCs w:val="18"/>
              </w:rPr>
            </w:pPr>
            <w:r w:rsidRPr="00C40CE1">
              <w:rPr>
                <w:bCs/>
                <w:sz w:val="18"/>
                <w:szCs w:val="18"/>
              </w:rPr>
              <w:t>62.225</w:t>
            </w:r>
          </w:p>
        </w:tc>
      </w:tr>
      <w:tr w:rsidR="00DE6E86" w:rsidRPr="00C40CE1" w:rsidTr="00DE6E86">
        <w:trPr>
          <w:trHeight w:val="227"/>
        </w:trPr>
        <w:tc>
          <w:tcPr>
            <w:tcW w:w="2783" w:type="pct"/>
            <w:vAlign w:val="bottom"/>
          </w:tcPr>
          <w:p w:rsidR="00DE6E86" w:rsidRPr="00C40CE1" w:rsidRDefault="00DE6E86" w:rsidP="00FB3FD0">
            <w:pPr>
              <w:pStyle w:val="NormalWeb"/>
              <w:widowControl w:val="0"/>
              <w:spacing w:before="0" w:after="0"/>
              <w:rPr>
                <w:sz w:val="18"/>
                <w:szCs w:val="18"/>
                <w:lang w:val="pt-BR"/>
              </w:rPr>
            </w:pPr>
          </w:p>
        </w:tc>
        <w:tc>
          <w:tcPr>
            <w:tcW w:w="1030" w:type="pct"/>
            <w:tcBorders>
              <w:top w:val="single" w:sz="6" w:space="0" w:color="auto"/>
            </w:tcBorders>
            <w:vAlign w:val="bottom"/>
          </w:tcPr>
          <w:p w:rsidR="00DE6E86" w:rsidRPr="00C40CE1" w:rsidRDefault="00DE6E86" w:rsidP="001D1793">
            <w:pPr>
              <w:pStyle w:val="NormalWeb"/>
              <w:widowControl w:val="0"/>
              <w:spacing w:before="0" w:after="0"/>
              <w:ind w:right="6"/>
              <w:jc w:val="right"/>
              <w:rPr>
                <w:rStyle w:val="Forte"/>
                <w:b w:val="0"/>
                <w:sz w:val="18"/>
                <w:szCs w:val="18"/>
                <w:lang w:val="pt-BR"/>
              </w:rPr>
            </w:pPr>
          </w:p>
        </w:tc>
        <w:tc>
          <w:tcPr>
            <w:tcW w:w="8" w:type="pct"/>
            <w:vAlign w:val="bottom"/>
          </w:tcPr>
          <w:p w:rsidR="00DE6E86" w:rsidRPr="00C40CE1" w:rsidRDefault="00DE6E86" w:rsidP="001D1793">
            <w:pPr>
              <w:pStyle w:val="NormalWeb"/>
              <w:widowControl w:val="0"/>
              <w:spacing w:before="0" w:after="0"/>
              <w:jc w:val="right"/>
              <w:rPr>
                <w:sz w:val="18"/>
                <w:szCs w:val="18"/>
                <w:lang w:val="pt-BR"/>
              </w:rPr>
            </w:pPr>
          </w:p>
        </w:tc>
        <w:tc>
          <w:tcPr>
            <w:tcW w:w="147" w:type="pct"/>
          </w:tcPr>
          <w:p w:rsidR="00DE6E86" w:rsidRPr="00C40CE1" w:rsidRDefault="00DE6E86" w:rsidP="001D1793">
            <w:pPr>
              <w:pStyle w:val="NormalWeb"/>
              <w:widowControl w:val="0"/>
              <w:spacing w:before="0" w:after="0"/>
              <w:ind w:right="6"/>
              <w:jc w:val="right"/>
              <w:rPr>
                <w:sz w:val="18"/>
                <w:szCs w:val="18"/>
                <w:lang w:val="pt-BR"/>
              </w:rPr>
            </w:pPr>
          </w:p>
        </w:tc>
        <w:tc>
          <w:tcPr>
            <w:tcW w:w="1031" w:type="pct"/>
            <w:tcBorders>
              <w:top w:val="single" w:sz="6" w:space="0" w:color="auto"/>
            </w:tcBorders>
            <w:shd w:val="clear" w:color="auto" w:fill="auto"/>
            <w:vAlign w:val="bottom"/>
          </w:tcPr>
          <w:p w:rsidR="00DE6E86" w:rsidRPr="00C40CE1" w:rsidRDefault="00DE6E86" w:rsidP="001D1793">
            <w:pPr>
              <w:pStyle w:val="NormalWeb"/>
              <w:widowControl w:val="0"/>
              <w:spacing w:before="0" w:after="0"/>
              <w:ind w:right="6"/>
              <w:jc w:val="right"/>
              <w:rPr>
                <w:sz w:val="18"/>
                <w:szCs w:val="18"/>
                <w:lang w:val="pt-BR"/>
              </w:rPr>
            </w:pPr>
          </w:p>
        </w:tc>
      </w:tr>
      <w:tr w:rsidR="00DE6E86" w:rsidRPr="00C40CE1" w:rsidTr="00DE6E86">
        <w:trPr>
          <w:trHeight w:val="227"/>
        </w:trPr>
        <w:tc>
          <w:tcPr>
            <w:tcW w:w="2783" w:type="pct"/>
            <w:vAlign w:val="bottom"/>
          </w:tcPr>
          <w:p w:rsidR="00DE6E86" w:rsidRPr="00C40CE1" w:rsidRDefault="00DE6E86" w:rsidP="00FB3FD0">
            <w:pPr>
              <w:pStyle w:val="NormalWeb"/>
              <w:widowControl w:val="0"/>
              <w:spacing w:before="0" w:after="0"/>
              <w:rPr>
                <w:sz w:val="18"/>
                <w:szCs w:val="18"/>
                <w:lang w:val="pt-BR"/>
              </w:rPr>
            </w:pPr>
            <w:r w:rsidRPr="00C40CE1">
              <w:rPr>
                <w:sz w:val="18"/>
                <w:szCs w:val="18"/>
                <w:lang w:val="pt-BR"/>
              </w:rPr>
              <w:t>Encargos Sobre Férias</w:t>
            </w:r>
          </w:p>
        </w:tc>
        <w:tc>
          <w:tcPr>
            <w:tcW w:w="1030" w:type="pct"/>
            <w:vAlign w:val="bottom"/>
          </w:tcPr>
          <w:p w:rsidR="00DE6E86" w:rsidRPr="00C40CE1" w:rsidRDefault="00DE6E86" w:rsidP="001D1793">
            <w:pPr>
              <w:pStyle w:val="NormalWeb"/>
              <w:widowControl w:val="0"/>
              <w:spacing w:before="0" w:after="0"/>
              <w:ind w:right="6"/>
              <w:jc w:val="right"/>
              <w:rPr>
                <w:sz w:val="18"/>
                <w:szCs w:val="18"/>
                <w:lang w:val="pt-BR"/>
              </w:rPr>
            </w:pPr>
          </w:p>
        </w:tc>
        <w:tc>
          <w:tcPr>
            <w:tcW w:w="8" w:type="pct"/>
            <w:vAlign w:val="bottom"/>
          </w:tcPr>
          <w:p w:rsidR="00DE6E86" w:rsidRPr="00C40CE1" w:rsidRDefault="00DE6E86" w:rsidP="001D1793">
            <w:pPr>
              <w:pStyle w:val="NormalWeb"/>
              <w:widowControl w:val="0"/>
              <w:spacing w:before="0" w:after="0"/>
              <w:jc w:val="right"/>
              <w:rPr>
                <w:sz w:val="18"/>
                <w:szCs w:val="18"/>
                <w:lang w:val="pt-BR"/>
              </w:rPr>
            </w:pPr>
          </w:p>
        </w:tc>
        <w:tc>
          <w:tcPr>
            <w:tcW w:w="147" w:type="pct"/>
          </w:tcPr>
          <w:p w:rsidR="00DE6E86" w:rsidRPr="00C40CE1" w:rsidRDefault="00DE6E86" w:rsidP="001D1793">
            <w:pPr>
              <w:pStyle w:val="NormalWeb"/>
              <w:widowControl w:val="0"/>
              <w:spacing w:before="0" w:after="0"/>
              <w:ind w:right="6"/>
              <w:jc w:val="right"/>
              <w:rPr>
                <w:sz w:val="18"/>
                <w:szCs w:val="18"/>
                <w:lang w:val="pt-BR"/>
              </w:rPr>
            </w:pPr>
          </w:p>
        </w:tc>
        <w:tc>
          <w:tcPr>
            <w:tcW w:w="1031" w:type="pct"/>
            <w:shd w:val="clear" w:color="auto" w:fill="auto"/>
            <w:vAlign w:val="bottom"/>
          </w:tcPr>
          <w:p w:rsidR="00DE6E86" w:rsidRPr="00C40CE1" w:rsidRDefault="00DE6E86" w:rsidP="001D1793">
            <w:pPr>
              <w:pStyle w:val="NormalWeb"/>
              <w:widowControl w:val="0"/>
              <w:spacing w:before="0" w:after="0"/>
              <w:ind w:right="6"/>
              <w:jc w:val="right"/>
              <w:rPr>
                <w:sz w:val="18"/>
                <w:szCs w:val="18"/>
                <w:lang w:val="pt-BR"/>
              </w:rPr>
            </w:pPr>
          </w:p>
        </w:tc>
      </w:tr>
      <w:tr w:rsidR="00DE6E86" w:rsidRPr="00C40CE1" w:rsidTr="00DE6E86">
        <w:trPr>
          <w:trHeight w:val="227"/>
        </w:trPr>
        <w:tc>
          <w:tcPr>
            <w:tcW w:w="2783" w:type="pct"/>
            <w:vAlign w:val="bottom"/>
          </w:tcPr>
          <w:p w:rsidR="00DE6E86" w:rsidRPr="00C40CE1" w:rsidRDefault="00DE6E86" w:rsidP="00FB3FD0">
            <w:pPr>
              <w:pStyle w:val="NormalWeb"/>
              <w:widowControl w:val="0"/>
              <w:spacing w:before="0" w:after="0"/>
              <w:rPr>
                <w:sz w:val="18"/>
                <w:szCs w:val="18"/>
                <w:lang w:val="pt-BR"/>
              </w:rPr>
            </w:pPr>
            <w:r w:rsidRPr="00C40CE1">
              <w:rPr>
                <w:sz w:val="18"/>
                <w:szCs w:val="18"/>
                <w:lang w:val="pt-BR"/>
              </w:rPr>
              <w:t xml:space="preserve">   Saldo Inicial</w:t>
            </w:r>
          </w:p>
        </w:tc>
        <w:tc>
          <w:tcPr>
            <w:tcW w:w="1030" w:type="pct"/>
            <w:vAlign w:val="center"/>
          </w:tcPr>
          <w:p w:rsidR="00DE6E86" w:rsidRPr="00C40CE1" w:rsidRDefault="00DE6E86" w:rsidP="00236864">
            <w:pPr>
              <w:jc w:val="right"/>
              <w:rPr>
                <w:sz w:val="18"/>
                <w:szCs w:val="18"/>
              </w:rPr>
            </w:pPr>
            <w:r w:rsidRPr="00C40CE1">
              <w:rPr>
                <w:sz w:val="18"/>
                <w:szCs w:val="18"/>
              </w:rPr>
              <w:t>22.296</w:t>
            </w:r>
          </w:p>
        </w:tc>
        <w:tc>
          <w:tcPr>
            <w:tcW w:w="8" w:type="pct"/>
            <w:vAlign w:val="bottom"/>
          </w:tcPr>
          <w:p w:rsidR="00DE6E86" w:rsidRPr="00C40CE1" w:rsidRDefault="00DE6E86" w:rsidP="001D1793">
            <w:pPr>
              <w:pStyle w:val="NormalWeb"/>
              <w:widowControl w:val="0"/>
              <w:spacing w:before="0" w:after="0"/>
              <w:jc w:val="right"/>
              <w:rPr>
                <w:sz w:val="18"/>
                <w:szCs w:val="18"/>
                <w:lang w:val="pt-BR"/>
              </w:rPr>
            </w:pPr>
          </w:p>
        </w:tc>
        <w:tc>
          <w:tcPr>
            <w:tcW w:w="147" w:type="pct"/>
          </w:tcPr>
          <w:p w:rsidR="00DE6E86" w:rsidRPr="00C40CE1" w:rsidRDefault="00DE6E86" w:rsidP="005567F7">
            <w:pPr>
              <w:jc w:val="right"/>
              <w:rPr>
                <w:sz w:val="18"/>
                <w:szCs w:val="18"/>
              </w:rPr>
            </w:pPr>
          </w:p>
        </w:tc>
        <w:tc>
          <w:tcPr>
            <w:tcW w:w="1031" w:type="pct"/>
            <w:shd w:val="clear" w:color="auto" w:fill="auto"/>
            <w:vAlign w:val="center"/>
          </w:tcPr>
          <w:p w:rsidR="00DE6E86" w:rsidRPr="00C40CE1" w:rsidRDefault="00DE6E86" w:rsidP="005567F7">
            <w:pPr>
              <w:jc w:val="right"/>
              <w:rPr>
                <w:sz w:val="18"/>
                <w:szCs w:val="18"/>
              </w:rPr>
            </w:pPr>
            <w:r w:rsidRPr="00C40CE1">
              <w:rPr>
                <w:sz w:val="18"/>
                <w:szCs w:val="18"/>
              </w:rPr>
              <w:t>22.100</w:t>
            </w:r>
          </w:p>
        </w:tc>
      </w:tr>
      <w:tr w:rsidR="00DE6E86" w:rsidRPr="00C40CE1" w:rsidTr="00DE6E86">
        <w:trPr>
          <w:trHeight w:val="227"/>
        </w:trPr>
        <w:tc>
          <w:tcPr>
            <w:tcW w:w="2783" w:type="pct"/>
            <w:vAlign w:val="bottom"/>
          </w:tcPr>
          <w:p w:rsidR="00DE6E86" w:rsidRPr="00C40CE1" w:rsidRDefault="00DE6E86" w:rsidP="00FB3FD0">
            <w:pPr>
              <w:pStyle w:val="NormalWeb"/>
              <w:widowControl w:val="0"/>
              <w:spacing w:before="0" w:after="0"/>
              <w:rPr>
                <w:sz w:val="18"/>
                <w:szCs w:val="18"/>
                <w:lang w:val="pt-BR"/>
              </w:rPr>
            </w:pPr>
            <w:r w:rsidRPr="00C40CE1">
              <w:rPr>
                <w:sz w:val="18"/>
                <w:szCs w:val="18"/>
                <w:lang w:val="pt-BR"/>
              </w:rPr>
              <w:t xml:space="preserve">   Baixas</w:t>
            </w:r>
          </w:p>
        </w:tc>
        <w:tc>
          <w:tcPr>
            <w:tcW w:w="1030" w:type="pct"/>
            <w:vAlign w:val="center"/>
          </w:tcPr>
          <w:p w:rsidR="00DE6E86" w:rsidRPr="00C40CE1" w:rsidRDefault="00DE6E86" w:rsidP="00236864">
            <w:pPr>
              <w:jc w:val="right"/>
              <w:rPr>
                <w:sz w:val="18"/>
                <w:szCs w:val="18"/>
              </w:rPr>
            </w:pPr>
            <w:r w:rsidRPr="00C40CE1">
              <w:rPr>
                <w:sz w:val="18"/>
                <w:szCs w:val="18"/>
              </w:rPr>
              <w:t>(23.811)</w:t>
            </w:r>
          </w:p>
        </w:tc>
        <w:tc>
          <w:tcPr>
            <w:tcW w:w="8" w:type="pct"/>
            <w:vAlign w:val="bottom"/>
          </w:tcPr>
          <w:p w:rsidR="00DE6E86" w:rsidRPr="00C40CE1" w:rsidRDefault="00DE6E86" w:rsidP="001D1793">
            <w:pPr>
              <w:pStyle w:val="NormalWeb"/>
              <w:widowControl w:val="0"/>
              <w:spacing w:before="0" w:after="0"/>
              <w:jc w:val="right"/>
              <w:rPr>
                <w:sz w:val="18"/>
                <w:szCs w:val="18"/>
                <w:lang w:val="pt-BR"/>
              </w:rPr>
            </w:pPr>
          </w:p>
        </w:tc>
        <w:tc>
          <w:tcPr>
            <w:tcW w:w="147" w:type="pct"/>
          </w:tcPr>
          <w:p w:rsidR="00DE6E86" w:rsidRPr="00C40CE1" w:rsidRDefault="00DE6E86" w:rsidP="009A5AE5">
            <w:pPr>
              <w:jc w:val="right"/>
              <w:rPr>
                <w:sz w:val="18"/>
                <w:szCs w:val="18"/>
              </w:rPr>
            </w:pPr>
          </w:p>
        </w:tc>
        <w:tc>
          <w:tcPr>
            <w:tcW w:w="1031" w:type="pct"/>
            <w:shd w:val="clear" w:color="auto" w:fill="auto"/>
            <w:vAlign w:val="center"/>
          </w:tcPr>
          <w:p w:rsidR="00DE6E86" w:rsidRPr="00C40CE1" w:rsidRDefault="00DE6E86" w:rsidP="009A5AE5">
            <w:pPr>
              <w:jc w:val="right"/>
              <w:rPr>
                <w:sz w:val="18"/>
                <w:szCs w:val="18"/>
              </w:rPr>
            </w:pPr>
            <w:r w:rsidRPr="00C40CE1">
              <w:rPr>
                <w:sz w:val="18"/>
                <w:szCs w:val="18"/>
              </w:rPr>
              <w:t>(21.262)</w:t>
            </w:r>
          </w:p>
        </w:tc>
      </w:tr>
      <w:tr w:rsidR="00DE6E86" w:rsidRPr="00C40CE1" w:rsidTr="00DE6E86">
        <w:trPr>
          <w:trHeight w:val="227"/>
        </w:trPr>
        <w:tc>
          <w:tcPr>
            <w:tcW w:w="2783" w:type="pct"/>
            <w:vAlign w:val="bottom"/>
          </w:tcPr>
          <w:p w:rsidR="00DE6E86" w:rsidRPr="00C40CE1" w:rsidRDefault="00DE6E86" w:rsidP="00935AE9">
            <w:pPr>
              <w:pStyle w:val="NormalWeb"/>
              <w:widowControl w:val="0"/>
              <w:spacing w:before="0" w:after="0"/>
              <w:rPr>
                <w:sz w:val="18"/>
                <w:szCs w:val="18"/>
                <w:lang w:val="pt-BR"/>
              </w:rPr>
            </w:pPr>
            <w:r w:rsidRPr="00C40CE1">
              <w:rPr>
                <w:sz w:val="18"/>
                <w:szCs w:val="18"/>
                <w:lang w:val="pt-BR"/>
              </w:rPr>
              <w:t xml:space="preserve">   Apropriações</w:t>
            </w:r>
          </w:p>
        </w:tc>
        <w:tc>
          <w:tcPr>
            <w:tcW w:w="1030" w:type="pct"/>
            <w:tcBorders>
              <w:bottom w:val="single" w:sz="4" w:space="0" w:color="auto"/>
            </w:tcBorders>
            <w:vAlign w:val="center"/>
          </w:tcPr>
          <w:p w:rsidR="00DE6E86" w:rsidRPr="00C40CE1" w:rsidRDefault="00DE6E86">
            <w:pPr>
              <w:jc w:val="right"/>
              <w:rPr>
                <w:sz w:val="18"/>
                <w:szCs w:val="18"/>
              </w:rPr>
            </w:pPr>
            <w:r w:rsidRPr="00C40CE1">
              <w:rPr>
                <w:sz w:val="18"/>
                <w:szCs w:val="18"/>
              </w:rPr>
              <w:t>26.393</w:t>
            </w:r>
          </w:p>
        </w:tc>
        <w:tc>
          <w:tcPr>
            <w:tcW w:w="8" w:type="pct"/>
            <w:vAlign w:val="bottom"/>
          </w:tcPr>
          <w:p w:rsidR="00DE6E86" w:rsidRPr="00C40CE1" w:rsidRDefault="00DE6E86" w:rsidP="001D1793">
            <w:pPr>
              <w:pStyle w:val="NormalWeb"/>
              <w:widowControl w:val="0"/>
              <w:spacing w:before="0" w:after="0"/>
              <w:jc w:val="right"/>
              <w:rPr>
                <w:sz w:val="18"/>
                <w:szCs w:val="18"/>
                <w:lang w:val="pt-BR"/>
              </w:rPr>
            </w:pPr>
          </w:p>
        </w:tc>
        <w:tc>
          <w:tcPr>
            <w:tcW w:w="147" w:type="pct"/>
          </w:tcPr>
          <w:p w:rsidR="00DE6E86" w:rsidRPr="00C40CE1" w:rsidRDefault="00DE6E86">
            <w:pPr>
              <w:jc w:val="right"/>
              <w:rPr>
                <w:sz w:val="18"/>
                <w:szCs w:val="18"/>
              </w:rPr>
            </w:pPr>
          </w:p>
        </w:tc>
        <w:tc>
          <w:tcPr>
            <w:tcW w:w="1031" w:type="pct"/>
            <w:tcBorders>
              <w:bottom w:val="single" w:sz="4" w:space="0" w:color="auto"/>
            </w:tcBorders>
            <w:shd w:val="clear" w:color="auto" w:fill="auto"/>
            <w:vAlign w:val="center"/>
          </w:tcPr>
          <w:p w:rsidR="00DE6E86" w:rsidRPr="00C40CE1" w:rsidRDefault="00DE6E86">
            <w:pPr>
              <w:jc w:val="right"/>
              <w:rPr>
                <w:sz w:val="18"/>
                <w:szCs w:val="18"/>
              </w:rPr>
            </w:pPr>
            <w:r w:rsidRPr="00C40CE1">
              <w:rPr>
                <w:sz w:val="18"/>
                <w:szCs w:val="18"/>
              </w:rPr>
              <w:t>22.296</w:t>
            </w:r>
          </w:p>
        </w:tc>
      </w:tr>
      <w:tr w:rsidR="00DE6E86" w:rsidRPr="00C40CE1" w:rsidTr="00DE6E86">
        <w:trPr>
          <w:trHeight w:val="227"/>
        </w:trPr>
        <w:tc>
          <w:tcPr>
            <w:tcW w:w="2783" w:type="pct"/>
            <w:vAlign w:val="bottom"/>
          </w:tcPr>
          <w:p w:rsidR="00DE6E86" w:rsidRPr="00C40CE1" w:rsidRDefault="00DE6E86" w:rsidP="00FB3FD0">
            <w:pPr>
              <w:pStyle w:val="NormalWeb"/>
              <w:widowControl w:val="0"/>
              <w:spacing w:before="0" w:after="0"/>
              <w:rPr>
                <w:sz w:val="18"/>
                <w:szCs w:val="18"/>
                <w:lang w:val="pt-BR"/>
              </w:rPr>
            </w:pPr>
          </w:p>
        </w:tc>
        <w:tc>
          <w:tcPr>
            <w:tcW w:w="1030" w:type="pct"/>
            <w:tcBorders>
              <w:top w:val="single" w:sz="4" w:space="0" w:color="auto"/>
            </w:tcBorders>
            <w:vAlign w:val="bottom"/>
          </w:tcPr>
          <w:p w:rsidR="00DE6E86" w:rsidRPr="00C40CE1" w:rsidRDefault="00DE6E86" w:rsidP="001D1793">
            <w:pPr>
              <w:pStyle w:val="NormalWeb"/>
              <w:widowControl w:val="0"/>
              <w:spacing w:before="0" w:after="0"/>
              <w:ind w:right="6"/>
              <w:jc w:val="right"/>
              <w:rPr>
                <w:rStyle w:val="Forte"/>
                <w:b w:val="0"/>
                <w:sz w:val="18"/>
                <w:szCs w:val="18"/>
                <w:lang w:val="pt-BR"/>
              </w:rPr>
            </w:pPr>
          </w:p>
        </w:tc>
        <w:tc>
          <w:tcPr>
            <w:tcW w:w="8" w:type="pct"/>
            <w:vAlign w:val="bottom"/>
          </w:tcPr>
          <w:p w:rsidR="00DE6E86" w:rsidRPr="00C40CE1" w:rsidRDefault="00DE6E86" w:rsidP="001D1793">
            <w:pPr>
              <w:pStyle w:val="NormalWeb"/>
              <w:widowControl w:val="0"/>
              <w:spacing w:before="0" w:after="0"/>
              <w:jc w:val="right"/>
              <w:rPr>
                <w:sz w:val="18"/>
                <w:szCs w:val="18"/>
                <w:lang w:val="pt-BR"/>
              </w:rPr>
            </w:pPr>
          </w:p>
        </w:tc>
        <w:tc>
          <w:tcPr>
            <w:tcW w:w="147" w:type="pct"/>
          </w:tcPr>
          <w:p w:rsidR="00DE6E86" w:rsidRPr="00C40CE1" w:rsidRDefault="00DE6E86" w:rsidP="001D1793">
            <w:pPr>
              <w:pStyle w:val="NormalWeb"/>
              <w:widowControl w:val="0"/>
              <w:spacing w:before="0" w:after="0"/>
              <w:ind w:right="6"/>
              <w:jc w:val="right"/>
              <w:rPr>
                <w:sz w:val="18"/>
                <w:szCs w:val="18"/>
                <w:lang w:val="pt-BR"/>
              </w:rPr>
            </w:pPr>
          </w:p>
        </w:tc>
        <w:tc>
          <w:tcPr>
            <w:tcW w:w="1031" w:type="pct"/>
            <w:tcBorders>
              <w:top w:val="single" w:sz="4" w:space="0" w:color="auto"/>
            </w:tcBorders>
            <w:shd w:val="clear" w:color="auto" w:fill="auto"/>
            <w:vAlign w:val="bottom"/>
          </w:tcPr>
          <w:p w:rsidR="00DE6E86" w:rsidRPr="00C40CE1" w:rsidRDefault="00DE6E86" w:rsidP="001D1793">
            <w:pPr>
              <w:pStyle w:val="NormalWeb"/>
              <w:widowControl w:val="0"/>
              <w:spacing w:before="0" w:after="0"/>
              <w:ind w:right="6"/>
              <w:jc w:val="right"/>
              <w:rPr>
                <w:sz w:val="18"/>
                <w:szCs w:val="18"/>
                <w:lang w:val="pt-BR"/>
              </w:rPr>
            </w:pPr>
          </w:p>
        </w:tc>
      </w:tr>
      <w:tr w:rsidR="00DE6E86" w:rsidRPr="00C40CE1" w:rsidTr="00DE6E86">
        <w:trPr>
          <w:trHeight w:val="227"/>
        </w:trPr>
        <w:tc>
          <w:tcPr>
            <w:tcW w:w="2783" w:type="pct"/>
            <w:vAlign w:val="bottom"/>
          </w:tcPr>
          <w:p w:rsidR="00DE6E86" w:rsidRPr="00C40CE1" w:rsidRDefault="00DE6E86" w:rsidP="00FB3FD0">
            <w:pPr>
              <w:pStyle w:val="NormalWeb"/>
              <w:widowControl w:val="0"/>
              <w:spacing w:before="0" w:after="0"/>
              <w:rPr>
                <w:sz w:val="18"/>
                <w:szCs w:val="18"/>
                <w:lang w:val="pt-BR"/>
              </w:rPr>
            </w:pPr>
            <w:r w:rsidRPr="00C40CE1">
              <w:rPr>
                <w:sz w:val="18"/>
                <w:szCs w:val="18"/>
                <w:lang w:val="pt-BR"/>
              </w:rPr>
              <w:t>Total de Encargos sobre Férias</w:t>
            </w:r>
          </w:p>
        </w:tc>
        <w:tc>
          <w:tcPr>
            <w:tcW w:w="1030" w:type="pct"/>
            <w:vAlign w:val="bottom"/>
          </w:tcPr>
          <w:p w:rsidR="00DE6E86" w:rsidRPr="00C40CE1" w:rsidRDefault="00DE6E86" w:rsidP="00F113B4">
            <w:pPr>
              <w:jc w:val="right"/>
              <w:rPr>
                <w:rStyle w:val="Forte"/>
                <w:sz w:val="18"/>
                <w:szCs w:val="18"/>
              </w:rPr>
            </w:pPr>
            <w:r w:rsidRPr="00C40CE1">
              <w:rPr>
                <w:bCs/>
                <w:sz w:val="18"/>
                <w:szCs w:val="18"/>
              </w:rPr>
              <w:t>24.878</w:t>
            </w:r>
          </w:p>
        </w:tc>
        <w:tc>
          <w:tcPr>
            <w:tcW w:w="8" w:type="pct"/>
            <w:vAlign w:val="bottom"/>
          </w:tcPr>
          <w:p w:rsidR="00DE6E86" w:rsidRPr="00C40CE1" w:rsidRDefault="00DE6E86" w:rsidP="001D1793">
            <w:pPr>
              <w:pStyle w:val="NormalWeb"/>
              <w:widowControl w:val="0"/>
              <w:spacing w:before="0" w:after="0"/>
              <w:jc w:val="right"/>
              <w:rPr>
                <w:sz w:val="18"/>
                <w:szCs w:val="18"/>
                <w:lang w:val="pt-BR"/>
              </w:rPr>
            </w:pPr>
          </w:p>
        </w:tc>
        <w:tc>
          <w:tcPr>
            <w:tcW w:w="147" w:type="pct"/>
          </w:tcPr>
          <w:p w:rsidR="00DE6E86" w:rsidRPr="00C40CE1" w:rsidRDefault="00DE6E86" w:rsidP="001D1793">
            <w:pPr>
              <w:jc w:val="right"/>
              <w:rPr>
                <w:bCs/>
                <w:sz w:val="18"/>
                <w:szCs w:val="18"/>
              </w:rPr>
            </w:pPr>
          </w:p>
        </w:tc>
        <w:tc>
          <w:tcPr>
            <w:tcW w:w="1031" w:type="pct"/>
            <w:shd w:val="clear" w:color="auto" w:fill="auto"/>
            <w:vAlign w:val="bottom"/>
          </w:tcPr>
          <w:p w:rsidR="00DE6E86" w:rsidRPr="00C40CE1" w:rsidRDefault="00DE6E86" w:rsidP="001D1793">
            <w:pPr>
              <w:jc w:val="right"/>
              <w:rPr>
                <w:sz w:val="18"/>
                <w:szCs w:val="18"/>
              </w:rPr>
            </w:pPr>
            <w:r w:rsidRPr="00C40CE1">
              <w:rPr>
                <w:bCs/>
                <w:sz w:val="18"/>
                <w:szCs w:val="18"/>
              </w:rPr>
              <w:t>23.134</w:t>
            </w:r>
          </w:p>
        </w:tc>
      </w:tr>
      <w:tr w:rsidR="00DE6E86" w:rsidRPr="00C40CE1" w:rsidTr="00DE6E86">
        <w:trPr>
          <w:trHeight w:val="227"/>
        </w:trPr>
        <w:tc>
          <w:tcPr>
            <w:tcW w:w="2783" w:type="pct"/>
            <w:vAlign w:val="bottom"/>
          </w:tcPr>
          <w:p w:rsidR="00DE6E86" w:rsidRPr="00C40CE1" w:rsidRDefault="00DE6E86" w:rsidP="00FB3FD0">
            <w:pPr>
              <w:pStyle w:val="NormalWeb"/>
              <w:widowControl w:val="0"/>
              <w:spacing w:before="0" w:after="0"/>
              <w:rPr>
                <w:sz w:val="18"/>
                <w:szCs w:val="18"/>
                <w:lang w:val="pt-BR"/>
              </w:rPr>
            </w:pPr>
          </w:p>
        </w:tc>
        <w:tc>
          <w:tcPr>
            <w:tcW w:w="1030" w:type="pct"/>
            <w:tcBorders>
              <w:top w:val="single" w:sz="4" w:space="0" w:color="auto"/>
            </w:tcBorders>
            <w:vAlign w:val="bottom"/>
          </w:tcPr>
          <w:p w:rsidR="00DE6E86" w:rsidRPr="00C40CE1" w:rsidRDefault="00DE6E86" w:rsidP="001D1793">
            <w:pPr>
              <w:pStyle w:val="NormalWeb"/>
              <w:widowControl w:val="0"/>
              <w:spacing w:before="0" w:after="0"/>
              <w:ind w:right="6"/>
              <w:jc w:val="right"/>
              <w:rPr>
                <w:rStyle w:val="Forte"/>
                <w:b w:val="0"/>
                <w:sz w:val="18"/>
                <w:szCs w:val="18"/>
                <w:lang w:val="pt-BR"/>
              </w:rPr>
            </w:pPr>
          </w:p>
        </w:tc>
        <w:tc>
          <w:tcPr>
            <w:tcW w:w="8" w:type="pct"/>
            <w:vAlign w:val="bottom"/>
          </w:tcPr>
          <w:p w:rsidR="00DE6E86" w:rsidRPr="00C40CE1" w:rsidRDefault="00DE6E86" w:rsidP="001D1793">
            <w:pPr>
              <w:pStyle w:val="NormalWeb"/>
              <w:widowControl w:val="0"/>
              <w:spacing w:before="0" w:after="0"/>
              <w:jc w:val="right"/>
              <w:rPr>
                <w:sz w:val="18"/>
                <w:szCs w:val="18"/>
                <w:lang w:val="pt-BR"/>
              </w:rPr>
            </w:pPr>
          </w:p>
        </w:tc>
        <w:tc>
          <w:tcPr>
            <w:tcW w:w="147" w:type="pct"/>
          </w:tcPr>
          <w:p w:rsidR="00DE6E86" w:rsidRPr="00C40CE1" w:rsidRDefault="00DE6E86" w:rsidP="001D1793">
            <w:pPr>
              <w:pStyle w:val="NormalWeb"/>
              <w:widowControl w:val="0"/>
              <w:spacing w:before="0" w:after="0"/>
              <w:ind w:right="6"/>
              <w:jc w:val="right"/>
              <w:rPr>
                <w:sz w:val="18"/>
                <w:szCs w:val="18"/>
                <w:lang w:val="pt-BR"/>
              </w:rPr>
            </w:pPr>
          </w:p>
        </w:tc>
        <w:tc>
          <w:tcPr>
            <w:tcW w:w="1031" w:type="pct"/>
            <w:tcBorders>
              <w:top w:val="single" w:sz="4" w:space="0" w:color="auto"/>
            </w:tcBorders>
            <w:shd w:val="clear" w:color="auto" w:fill="auto"/>
            <w:vAlign w:val="bottom"/>
          </w:tcPr>
          <w:p w:rsidR="00DE6E86" w:rsidRPr="00C40CE1" w:rsidRDefault="00DE6E86" w:rsidP="001D1793">
            <w:pPr>
              <w:pStyle w:val="NormalWeb"/>
              <w:widowControl w:val="0"/>
              <w:spacing w:before="0" w:after="0"/>
              <w:ind w:right="6"/>
              <w:jc w:val="right"/>
              <w:rPr>
                <w:sz w:val="18"/>
                <w:szCs w:val="18"/>
                <w:lang w:val="pt-BR"/>
              </w:rPr>
            </w:pPr>
          </w:p>
        </w:tc>
      </w:tr>
      <w:tr w:rsidR="00DE6E86" w:rsidRPr="00C40CE1" w:rsidTr="00DE6E86">
        <w:trPr>
          <w:trHeight w:val="227"/>
        </w:trPr>
        <w:tc>
          <w:tcPr>
            <w:tcW w:w="2783" w:type="pct"/>
            <w:vAlign w:val="bottom"/>
          </w:tcPr>
          <w:p w:rsidR="00DE6E86" w:rsidRPr="00C40CE1" w:rsidRDefault="00DE6E86" w:rsidP="00935AE9">
            <w:pPr>
              <w:pStyle w:val="NormalWeb"/>
              <w:widowControl w:val="0"/>
              <w:spacing w:before="0" w:after="0"/>
              <w:rPr>
                <w:b/>
                <w:sz w:val="18"/>
                <w:szCs w:val="18"/>
                <w:lang w:val="pt-BR"/>
              </w:rPr>
            </w:pPr>
            <w:r w:rsidRPr="00C40CE1">
              <w:rPr>
                <w:b/>
                <w:sz w:val="18"/>
                <w:szCs w:val="18"/>
                <w:lang w:val="pt-BR"/>
              </w:rPr>
              <w:t>Saldo de Férias a Pagar</w:t>
            </w:r>
          </w:p>
        </w:tc>
        <w:tc>
          <w:tcPr>
            <w:tcW w:w="1030" w:type="pct"/>
            <w:tcBorders>
              <w:bottom w:val="double" w:sz="6" w:space="0" w:color="auto"/>
            </w:tcBorders>
            <w:vAlign w:val="bottom"/>
          </w:tcPr>
          <w:p w:rsidR="00DE6E86" w:rsidRPr="00C40CE1" w:rsidRDefault="00DE6E86" w:rsidP="001D1793">
            <w:pPr>
              <w:jc w:val="right"/>
              <w:rPr>
                <w:b/>
                <w:bCs/>
                <w:sz w:val="18"/>
                <w:szCs w:val="18"/>
              </w:rPr>
            </w:pPr>
            <w:r w:rsidRPr="00C40CE1">
              <w:rPr>
                <w:b/>
                <w:bCs/>
                <w:sz w:val="18"/>
                <w:szCs w:val="18"/>
              </w:rPr>
              <w:t>94.789</w:t>
            </w:r>
          </w:p>
        </w:tc>
        <w:tc>
          <w:tcPr>
            <w:tcW w:w="8" w:type="pct"/>
            <w:vAlign w:val="bottom"/>
          </w:tcPr>
          <w:p w:rsidR="00DE6E86" w:rsidRPr="00C40CE1" w:rsidRDefault="00DE6E86" w:rsidP="001D1793">
            <w:pPr>
              <w:jc w:val="right"/>
              <w:rPr>
                <w:b/>
                <w:bCs/>
                <w:sz w:val="18"/>
                <w:szCs w:val="18"/>
              </w:rPr>
            </w:pPr>
          </w:p>
        </w:tc>
        <w:tc>
          <w:tcPr>
            <w:tcW w:w="147" w:type="pct"/>
          </w:tcPr>
          <w:p w:rsidR="00DE6E86" w:rsidRPr="00C40CE1" w:rsidRDefault="00DE6E86" w:rsidP="001D1793">
            <w:pPr>
              <w:jc w:val="right"/>
              <w:rPr>
                <w:b/>
                <w:bCs/>
                <w:sz w:val="18"/>
                <w:szCs w:val="18"/>
              </w:rPr>
            </w:pPr>
          </w:p>
        </w:tc>
        <w:tc>
          <w:tcPr>
            <w:tcW w:w="1031" w:type="pct"/>
            <w:tcBorders>
              <w:bottom w:val="double" w:sz="6" w:space="0" w:color="auto"/>
            </w:tcBorders>
            <w:shd w:val="clear" w:color="auto" w:fill="auto"/>
            <w:vAlign w:val="bottom"/>
          </w:tcPr>
          <w:p w:rsidR="00DE6E86" w:rsidRPr="00C40CE1" w:rsidRDefault="00DE6E86" w:rsidP="001D1793">
            <w:pPr>
              <w:jc w:val="right"/>
              <w:rPr>
                <w:b/>
                <w:bCs/>
                <w:sz w:val="18"/>
                <w:szCs w:val="18"/>
              </w:rPr>
            </w:pPr>
            <w:r w:rsidRPr="00C40CE1">
              <w:rPr>
                <w:b/>
                <w:bCs/>
                <w:sz w:val="18"/>
                <w:szCs w:val="18"/>
              </w:rPr>
              <w:t>85.359</w:t>
            </w:r>
          </w:p>
        </w:tc>
      </w:tr>
    </w:tbl>
    <w:p w:rsidR="006D786C" w:rsidRPr="00FD7B48" w:rsidRDefault="006D786C" w:rsidP="00B20F98">
      <w:pPr>
        <w:ind w:left="851" w:hanging="851"/>
        <w:jc w:val="both"/>
        <w:rPr>
          <w:b/>
        </w:rPr>
      </w:pPr>
    </w:p>
    <w:p w:rsidR="00116BD5" w:rsidRPr="00CD0813" w:rsidRDefault="00116BD5" w:rsidP="00BF21BA">
      <w:pPr>
        <w:pStyle w:val="Subttulo"/>
        <w:numPr>
          <w:ilvl w:val="0"/>
          <w:numId w:val="6"/>
        </w:numPr>
      </w:pPr>
      <w:r w:rsidRPr="00CD0813">
        <w:tab/>
      </w:r>
      <w:bookmarkStart w:id="38" w:name="_Ref466467872"/>
      <w:r w:rsidRPr="00CD0813">
        <w:t>Licença Especial</w:t>
      </w:r>
      <w:bookmarkEnd w:id="38"/>
    </w:p>
    <w:tbl>
      <w:tblPr>
        <w:tblW w:w="8948" w:type="dxa"/>
        <w:tblInd w:w="-17" w:type="dxa"/>
        <w:tblLayout w:type="fixed"/>
        <w:tblCellMar>
          <w:left w:w="0" w:type="dxa"/>
          <w:right w:w="0" w:type="dxa"/>
        </w:tblCellMar>
        <w:tblLook w:val="0000" w:firstRow="0" w:lastRow="0" w:firstColumn="0" w:lastColumn="0" w:noHBand="0" w:noVBand="0"/>
      </w:tblPr>
      <w:tblGrid>
        <w:gridCol w:w="4979"/>
        <w:gridCol w:w="1842"/>
        <w:gridCol w:w="284"/>
        <w:gridCol w:w="1843"/>
      </w:tblGrid>
      <w:tr w:rsidR="00FD7B48" w:rsidRPr="00DE6E86" w:rsidTr="00DE6E86">
        <w:trPr>
          <w:trHeight w:val="227"/>
        </w:trPr>
        <w:tc>
          <w:tcPr>
            <w:tcW w:w="4979" w:type="dxa"/>
            <w:vAlign w:val="bottom"/>
          </w:tcPr>
          <w:p w:rsidR="000F46F6" w:rsidRPr="00DE6E86" w:rsidRDefault="000F46F6" w:rsidP="00FB3FD0">
            <w:pPr>
              <w:pStyle w:val="NormalWeb"/>
              <w:widowControl w:val="0"/>
              <w:spacing w:before="0" w:after="0" w:line="230" w:lineRule="auto"/>
              <w:rPr>
                <w:sz w:val="18"/>
                <w:szCs w:val="18"/>
                <w:lang w:val="pt-BR"/>
              </w:rPr>
            </w:pPr>
          </w:p>
        </w:tc>
        <w:tc>
          <w:tcPr>
            <w:tcW w:w="1842" w:type="dxa"/>
            <w:tcBorders>
              <w:bottom w:val="single" w:sz="4" w:space="0" w:color="auto"/>
            </w:tcBorders>
            <w:vAlign w:val="bottom"/>
          </w:tcPr>
          <w:p w:rsidR="000F46F6" w:rsidRPr="00DE6E86" w:rsidRDefault="000F46F6" w:rsidP="00975C9E">
            <w:pPr>
              <w:widowControl w:val="0"/>
              <w:suppressLineNumbers/>
              <w:suppressAutoHyphens/>
              <w:spacing w:line="230" w:lineRule="auto"/>
              <w:jc w:val="center"/>
              <w:rPr>
                <w:b/>
                <w:sz w:val="18"/>
                <w:szCs w:val="18"/>
              </w:rPr>
            </w:pPr>
            <w:r w:rsidRPr="00DE6E86">
              <w:rPr>
                <w:b/>
                <w:sz w:val="18"/>
                <w:szCs w:val="18"/>
              </w:rPr>
              <w:t xml:space="preserve">      </w:t>
            </w:r>
            <w:r w:rsidR="00B635B3" w:rsidRPr="00DE6E86">
              <w:rPr>
                <w:b/>
                <w:sz w:val="18"/>
                <w:szCs w:val="18"/>
              </w:rPr>
              <w:t>31/12/201</w:t>
            </w:r>
            <w:r w:rsidR="00975C9E" w:rsidRPr="00DE6E86">
              <w:rPr>
                <w:b/>
                <w:sz w:val="18"/>
                <w:szCs w:val="18"/>
              </w:rPr>
              <w:t>7</w:t>
            </w:r>
          </w:p>
        </w:tc>
        <w:tc>
          <w:tcPr>
            <w:tcW w:w="284" w:type="dxa"/>
            <w:vAlign w:val="bottom"/>
          </w:tcPr>
          <w:p w:rsidR="000F46F6" w:rsidRPr="00DE6E86" w:rsidRDefault="000F46F6" w:rsidP="005651A6">
            <w:pPr>
              <w:widowControl w:val="0"/>
              <w:suppressLineNumbers/>
              <w:suppressAutoHyphens/>
              <w:spacing w:line="230" w:lineRule="auto"/>
              <w:rPr>
                <w:b/>
                <w:sz w:val="18"/>
                <w:szCs w:val="18"/>
              </w:rPr>
            </w:pPr>
          </w:p>
        </w:tc>
        <w:tc>
          <w:tcPr>
            <w:tcW w:w="1843" w:type="dxa"/>
            <w:tcBorders>
              <w:bottom w:val="single" w:sz="4" w:space="0" w:color="auto"/>
            </w:tcBorders>
            <w:vAlign w:val="bottom"/>
          </w:tcPr>
          <w:p w:rsidR="000F46F6" w:rsidRPr="00DE6E86" w:rsidRDefault="000F46F6" w:rsidP="005651A6">
            <w:pPr>
              <w:widowControl w:val="0"/>
              <w:suppressLineNumbers/>
              <w:suppressAutoHyphens/>
              <w:spacing w:line="230" w:lineRule="auto"/>
              <w:jc w:val="center"/>
              <w:rPr>
                <w:b/>
                <w:sz w:val="18"/>
                <w:szCs w:val="18"/>
              </w:rPr>
            </w:pPr>
            <w:r w:rsidRPr="00DE6E86">
              <w:rPr>
                <w:b/>
                <w:sz w:val="18"/>
                <w:szCs w:val="18"/>
              </w:rPr>
              <w:t xml:space="preserve">       </w:t>
            </w:r>
            <w:r w:rsidR="00A152A9" w:rsidRPr="00DE6E86">
              <w:rPr>
                <w:b/>
                <w:sz w:val="18"/>
                <w:szCs w:val="18"/>
              </w:rPr>
              <w:t xml:space="preserve">     </w:t>
            </w:r>
            <w:r w:rsidR="00B635B3" w:rsidRPr="00DE6E86">
              <w:rPr>
                <w:b/>
                <w:sz w:val="18"/>
                <w:szCs w:val="18"/>
              </w:rPr>
              <w:t>31/12/201</w:t>
            </w:r>
            <w:r w:rsidR="007D06B2" w:rsidRPr="00DE6E86">
              <w:rPr>
                <w:b/>
                <w:sz w:val="18"/>
                <w:szCs w:val="18"/>
              </w:rPr>
              <w:t>6</w:t>
            </w:r>
          </w:p>
        </w:tc>
      </w:tr>
      <w:tr w:rsidR="00FD7B48" w:rsidRPr="00DE6E86" w:rsidTr="00DE6E86">
        <w:trPr>
          <w:trHeight w:val="227"/>
        </w:trPr>
        <w:tc>
          <w:tcPr>
            <w:tcW w:w="4979" w:type="dxa"/>
            <w:vAlign w:val="bottom"/>
          </w:tcPr>
          <w:p w:rsidR="00935AE9" w:rsidRPr="00DE6E86" w:rsidRDefault="00935AE9" w:rsidP="00FB3FD0">
            <w:pPr>
              <w:pStyle w:val="NormalWeb"/>
              <w:widowControl w:val="0"/>
              <w:spacing w:before="0" w:after="0" w:line="230" w:lineRule="auto"/>
              <w:rPr>
                <w:sz w:val="18"/>
                <w:szCs w:val="18"/>
                <w:lang w:val="pt-BR"/>
              </w:rPr>
            </w:pPr>
            <w:r w:rsidRPr="00DE6E86">
              <w:rPr>
                <w:sz w:val="18"/>
                <w:szCs w:val="18"/>
                <w:lang w:val="pt-BR"/>
              </w:rPr>
              <w:t>Licença Especial</w:t>
            </w:r>
          </w:p>
        </w:tc>
        <w:tc>
          <w:tcPr>
            <w:tcW w:w="1842" w:type="dxa"/>
            <w:tcBorders>
              <w:top w:val="single" w:sz="4" w:space="0" w:color="auto"/>
            </w:tcBorders>
            <w:vAlign w:val="bottom"/>
          </w:tcPr>
          <w:p w:rsidR="00935AE9" w:rsidRPr="00DE6E86" w:rsidRDefault="00935AE9" w:rsidP="00FB3FD0">
            <w:pPr>
              <w:pStyle w:val="NormalWeb"/>
              <w:widowControl w:val="0"/>
              <w:spacing w:before="0" w:after="0" w:line="230" w:lineRule="auto"/>
              <w:ind w:right="6"/>
              <w:jc w:val="right"/>
              <w:rPr>
                <w:sz w:val="18"/>
                <w:szCs w:val="18"/>
                <w:lang w:val="pt-BR"/>
              </w:rPr>
            </w:pPr>
          </w:p>
        </w:tc>
        <w:tc>
          <w:tcPr>
            <w:tcW w:w="284" w:type="dxa"/>
            <w:vAlign w:val="bottom"/>
          </w:tcPr>
          <w:p w:rsidR="00935AE9" w:rsidRPr="00DE6E86" w:rsidRDefault="00935AE9" w:rsidP="00FB3FD0">
            <w:pPr>
              <w:pStyle w:val="NormalWeb"/>
              <w:widowControl w:val="0"/>
              <w:spacing w:before="0" w:after="0" w:line="230" w:lineRule="auto"/>
              <w:rPr>
                <w:sz w:val="18"/>
                <w:szCs w:val="18"/>
                <w:lang w:val="pt-BR"/>
              </w:rPr>
            </w:pPr>
          </w:p>
        </w:tc>
        <w:tc>
          <w:tcPr>
            <w:tcW w:w="1843" w:type="dxa"/>
            <w:tcBorders>
              <w:top w:val="single" w:sz="4" w:space="0" w:color="auto"/>
            </w:tcBorders>
            <w:vAlign w:val="bottom"/>
          </w:tcPr>
          <w:p w:rsidR="00935AE9" w:rsidRPr="00DE6E86" w:rsidRDefault="00935AE9" w:rsidP="00FB3FD0">
            <w:pPr>
              <w:pStyle w:val="NormalWeb"/>
              <w:widowControl w:val="0"/>
              <w:spacing w:before="0" w:after="0" w:line="230" w:lineRule="auto"/>
              <w:ind w:right="6"/>
              <w:jc w:val="right"/>
              <w:rPr>
                <w:sz w:val="18"/>
                <w:szCs w:val="18"/>
                <w:lang w:val="pt-BR"/>
              </w:rPr>
            </w:pPr>
          </w:p>
        </w:tc>
      </w:tr>
      <w:tr w:rsidR="00FD7B48" w:rsidRPr="00DE6E86" w:rsidTr="00DE6E86">
        <w:trPr>
          <w:trHeight w:val="227"/>
        </w:trPr>
        <w:tc>
          <w:tcPr>
            <w:tcW w:w="4979" w:type="dxa"/>
            <w:vAlign w:val="bottom"/>
          </w:tcPr>
          <w:p w:rsidR="00713F4B" w:rsidRPr="00DE6E86" w:rsidRDefault="00713F4B" w:rsidP="00FB3FD0">
            <w:pPr>
              <w:pStyle w:val="NormalWeb"/>
              <w:widowControl w:val="0"/>
              <w:spacing w:before="0" w:after="0" w:line="230" w:lineRule="auto"/>
              <w:rPr>
                <w:sz w:val="18"/>
                <w:szCs w:val="18"/>
                <w:lang w:val="pt-BR"/>
              </w:rPr>
            </w:pPr>
            <w:r w:rsidRPr="00DE6E86">
              <w:rPr>
                <w:sz w:val="18"/>
                <w:szCs w:val="18"/>
                <w:lang w:val="pt-BR"/>
              </w:rPr>
              <w:t xml:space="preserve">   Saldo Inicial</w:t>
            </w:r>
          </w:p>
        </w:tc>
        <w:tc>
          <w:tcPr>
            <w:tcW w:w="1842" w:type="dxa"/>
            <w:vAlign w:val="center"/>
          </w:tcPr>
          <w:p w:rsidR="00713F4B" w:rsidRPr="00DE6E86" w:rsidRDefault="00C537AA">
            <w:pPr>
              <w:jc w:val="right"/>
              <w:rPr>
                <w:sz w:val="18"/>
                <w:szCs w:val="18"/>
              </w:rPr>
            </w:pPr>
            <w:r w:rsidRPr="00DE6E86">
              <w:rPr>
                <w:sz w:val="18"/>
                <w:szCs w:val="18"/>
              </w:rPr>
              <w:t>32.769</w:t>
            </w:r>
          </w:p>
        </w:tc>
        <w:tc>
          <w:tcPr>
            <w:tcW w:w="284" w:type="dxa"/>
            <w:vAlign w:val="bottom"/>
          </w:tcPr>
          <w:p w:rsidR="00713F4B" w:rsidRPr="00DE6E86" w:rsidRDefault="00713F4B" w:rsidP="00FB3FD0">
            <w:pPr>
              <w:pStyle w:val="NormalWeb"/>
              <w:widowControl w:val="0"/>
              <w:spacing w:before="0" w:after="0" w:line="230" w:lineRule="auto"/>
              <w:ind w:right="6"/>
              <w:jc w:val="right"/>
              <w:rPr>
                <w:sz w:val="18"/>
                <w:szCs w:val="18"/>
                <w:lang w:val="pt-BR"/>
              </w:rPr>
            </w:pPr>
          </w:p>
        </w:tc>
        <w:tc>
          <w:tcPr>
            <w:tcW w:w="1843" w:type="dxa"/>
            <w:vAlign w:val="center"/>
          </w:tcPr>
          <w:p w:rsidR="00713F4B" w:rsidRPr="00DE6E86" w:rsidRDefault="007D06B2">
            <w:pPr>
              <w:jc w:val="right"/>
              <w:rPr>
                <w:sz w:val="18"/>
                <w:szCs w:val="18"/>
              </w:rPr>
            </w:pPr>
            <w:r w:rsidRPr="00DE6E86">
              <w:rPr>
                <w:sz w:val="18"/>
                <w:szCs w:val="18"/>
              </w:rPr>
              <w:t>28.684</w:t>
            </w:r>
          </w:p>
        </w:tc>
      </w:tr>
      <w:tr w:rsidR="00FD7B48" w:rsidRPr="00DE6E86" w:rsidTr="00DE6E86">
        <w:trPr>
          <w:trHeight w:val="227"/>
        </w:trPr>
        <w:tc>
          <w:tcPr>
            <w:tcW w:w="4979" w:type="dxa"/>
            <w:vAlign w:val="bottom"/>
          </w:tcPr>
          <w:p w:rsidR="00713F4B" w:rsidRPr="00DE6E86" w:rsidRDefault="00713F4B" w:rsidP="00FB3FD0">
            <w:pPr>
              <w:pStyle w:val="NormalWeb"/>
              <w:widowControl w:val="0"/>
              <w:spacing w:before="0" w:after="0" w:line="230" w:lineRule="auto"/>
              <w:rPr>
                <w:sz w:val="18"/>
                <w:szCs w:val="18"/>
                <w:lang w:val="pt-BR"/>
              </w:rPr>
            </w:pPr>
            <w:r w:rsidRPr="00DE6E86">
              <w:rPr>
                <w:sz w:val="18"/>
                <w:szCs w:val="18"/>
                <w:lang w:val="pt-BR"/>
              </w:rPr>
              <w:t xml:space="preserve">   Baixas</w:t>
            </w:r>
          </w:p>
        </w:tc>
        <w:tc>
          <w:tcPr>
            <w:tcW w:w="1842" w:type="dxa"/>
            <w:vAlign w:val="center"/>
          </w:tcPr>
          <w:p w:rsidR="00713F4B" w:rsidRPr="00DE6E86" w:rsidRDefault="00713F4B" w:rsidP="00C537AA">
            <w:pPr>
              <w:jc w:val="right"/>
              <w:rPr>
                <w:sz w:val="18"/>
                <w:szCs w:val="18"/>
              </w:rPr>
            </w:pPr>
            <w:r w:rsidRPr="00DE6E86">
              <w:rPr>
                <w:sz w:val="18"/>
                <w:szCs w:val="18"/>
              </w:rPr>
              <w:t>(</w:t>
            </w:r>
            <w:r w:rsidR="00C537AA" w:rsidRPr="00DE6E86">
              <w:rPr>
                <w:sz w:val="18"/>
                <w:szCs w:val="18"/>
              </w:rPr>
              <w:t>5.372</w:t>
            </w:r>
            <w:r w:rsidR="00351B8C" w:rsidRPr="00DE6E86">
              <w:rPr>
                <w:sz w:val="18"/>
                <w:szCs w:val="18"/>
              </w:rPr>
              <w:t>)</w:t>
            </w:r>
          </w:p>
        </w:tc>
        <w:tc>
          <w:tcPr>
            <w:tcW w:w="284" w:type="dxa"/>
            <w:vAlign w:val="bottom"/>
          </w:tcPr>
          <w:p w:rsidR="00713F4B" w:rsidRPr="00DE6E86" w:rsidRDefault="00713F4B" w:rsidP="00FB3FD0">
            <w:pPr>
              <w:pStyle w:val="NormalWeb"/>
              <w:widowControl w:val="0"/>
              <w:spacing w:before="0" w:after="0" w:line="230" w:lineRule="auto"/>
              <w:ind w:right="6"/>
              <w:jc w:val="right"/>
              <w:rPr>
                <w:sz w:val="18"/>
                <w:szCs w:val="18"/>
                <w:lang w:val="pt-BR"/>
              </w:rPr>
            </w:pPr>
          </w:p>
        </w:tc>
        <w:tc>
          <w:tcPr>
            <w:tcW w:w="1843" w:type="dxa"/>
            <w:vAlign w:val="center"/>
          </w:tcPr>
          <w:p w:rsidR="00713F4B" w:rsidRPr="00DE6E86" w:rsidRDefault="00351B8C" w:rsidP="007D06B2">
            <w:pPr>
              <w:jc w:val="right"/>
              <w:rPr>
                <w:sz w:val="18"/>
                <w:szCs w:val="18"/>
              </w:rPr>
            </w:pPr>
            <w:r w:rsidRPr="00DE6E86">
              <w:rPr>
                <w:sz w:val="18"/>
                <w:szCs w:val="18"/>
              </w:rPr>
              <w:t>(</w:t>
            </w:r>
            <w:r w:rsidR="007D06B2" w:rsidRPr="00DE6E86">
              <w:rPr>
                <w:sz w:val="18"/>
                <w:szCs w:val="18"/>
              </w:rPr>
              <w:t>4.088</w:t>
            </w:r>
            <w:r w:rsidRPr="00DE6E86">
              <w:rPr>
                <w:sz w:val="18"/>
                <w:szCs w:val="18"/>
              </w:rPr>
              <w:t>)</w:t>
            </w:r>
          </w:p>
        </w:tc>
      </w:tr>
      <w:tr w:rsidR="00FD7B48" w:rsidRPr="00DE6E86" w:rsidTr="00DE6E86">
        <w:trPr>
          <w:trHeight w:val="227"/>
        </w:trPr>
        <w:tc>
          <w:tcPr>
            <w:tcW w:w="4979" w:type="dxa"/>
            <w:vAlign w:val="bottom"/>
          </w:tcPr>
          <w:p w:rsidR="00713F4B" w:rsidRPr="00DE6E86" w:rsidRDefault="00713F4B" w:rsidP="00FB3FD0">
            <w:pPr>
              <w:pStyle w:val="NormalWeb"/>
              <w:widowControl w:val="0"/>
              <w:spacing w:before="0" w:after="0" w:line="230" w:lineRule="auto"/>
              <w:rPr>
                <w:sz w:val="18"/>
                <w:szCs w:val="18"/>
                <w:lang w:val="pt-BR"/>
              </w:rPr>
            </w:pPr>
            <w:r w:rsidRPr="00DE6E86">
              <w:rPr>
                <w:sz w:val="18"/>
                <w:szCs w:val="18"/>
                <w:lang w:val="pt-BR"/>
              </w:rPr>
              <w:t xml:space="preserve">   Apropriações</w:t>
            </w:r>
          </w:p>
        </w:tc>
        <w:tc>
          <w:tcPr>
            <w:tcW w:w="1842" w:type="dxa"/>
            <w:vAlign w:val="center"/>
          </w:tcPr>
          <w:p w:rsidR="00713F4B" w:rsidRPr="00DE6E86" w:rsidRDefault="00C537AA">
            <w:pPr>
              <w:jc w:val="right"/>
              <w:rPr>
                <w:sz w:val="18"/>
                <w:szCs w:val="18"/>
              </w:rPr>
            </w:pPr>
            <w:r w:rsidRPr="00DE6E86">
              <w:rPr>
                <w:sz w:val="18"/>
                <w:szCs w:val="18"/>
              </w:rPr>
              <w:t>9.021</w:t>
            </w:r>
          </w:p>
        </w:tc>
        <w:tc>
          <w:tcPr>
            <w:tcW w:w="284" w:type="dxa"/>
            <w:vAlign w:val="bottom"/>
          </w:tcPr>
          <w:p w:rsidR="00713F4B" w:rsidRPr="00DE6E86" w:rsidRDefault="00713F4B" w:rsidP="00FB3FD0">
            <w:pPr>
              <w:pStyle w:val="NormalWeb"/>
              <w:widowControl w:val="0"/>
              <w:spacing w:before="0" w:after="0" w:line="230" w:lineRule="auto"/>
              <w:ind w:right="6"/>
              <w:jc w:val="right"/>
              <w:rPr>
                <w:sz w:val="18"/>
                <w:szCs w:val="18"/>
                <w:lang w:val="pt-BR"/>
              </w:rPr>
            </w:pPr>
          </w:p>
        </w:tc>
        <w:tc>
          <w:tcPr>
            <w:tcW w:w="1843" w:type="dxa"/>
            <w:vAlign w:val="center"/>
          </w:tcPr>
          <w:p w:rsidR="00713F4B" w:rsidRPr="00DE6E86" w:rsidRDefault="007D06B2">
            <w:pPr>
              <w:jc w:val="right"/>
              <w:rPr>
                <w:sz w:val="18"/>
                <w:szCs w:val="18"/>
              </w:rPr>
            </w:pPr>
            <w:r w:rsidRPr="00DE6E86">
              <w:rPr>
                <w:sz w:val="18"/>
                <w:szCs w:val="18"/>
              </w:rPr>
              <w:t>8.173</w:t>
            </w:r>
          </w:p>
        </w:tc>
      </w:tr>
      <w:tr w:rsidR="00FD7B48" w:rsidRPr="00DE6E86" w:rsidTr="00DE6E86">
        <w:trPr>
          <w:trHeight w:val="227"/>
        </w:trPr>
        <w:tc>
          <w:tcPr>
            <w:tcW w:w="4979" w:type="dxa"/>
            <w:vAlign w:val="bottom"/>
          </w:tcPr>
          <w:p w:rsidR="00935AE9" w:rsidRPr="00DE6E86" w:rsidRDefault="00935AE9" w:rsidP="00FB3FD0">
            <w:pPr>
              <w:pStyle w:val="NormalWeb"/>
              <w:widowControl w:val="0"/>
              <w:spacing w:before="0" w:after="0"/>
              <w:rPr>
                <w:sz w:val="18"/>
                <w:szCs w:val="18"/>
                <w:lang w:val="pt-BR"/>
              </w:rPr>
            </w:pPr>
          </w:p>
        </w:tc>
        <w:tc>
          <w:tcPr>
            <w:tcW w:w="1842" w:type="dxa"/>
            <w:tcBorders>
              <w:top w:val="single" w:sz="6" w:space="0" w:color="auto"/>
            </w:tcBorders>
            <w:vAlign w:val="bottom"/>
          </w:tcPr>
          <w:p w:rsidR="00935AE9" w:rsidRPr="00DE6E86" w:rsidRDefault="00935AE9" w:rsidP="00FB3FD0">
            <w:pPr>
              <w:pStyle w:val="NormalWeb"/>
              <w:widowControl w:val="0"/>
              <w:spacing w:before="0" w:after="0"/>
              <w:ind w:right="6"/>
              <w:jc w:val="right"/>
              <w:rPr>
                <w:rStyle w:val="Forte"/>
                <w:b w:val="0"/>
                <w:sz w:val="18"/>
                <w:szCs w:val="18"/>
                <w:lang w:val="pt-BR"/>
              </w:rPr>
            </w:pPr>
          </w:p>
        </w:tc>
        <w:tc>
          <w:tcPr>
            <w:tcW w:w="284" w:type="dxa"/>
            <w:vAlign w:val="bottom"/>
          </w:tcPr>
          <w:p w:rsidR="00935AE9" w:rsidRPr="00DE6E86" w:rsidRDefault="00935AE9" w:rsidP="00FB3FD0">
            <w:pPr>
              <w:pStyle w:val="NormalWeb"/>
              <w:widowControl w:val="0"/>
              <w:spacing w:before="0" w:after="0"/>
              <w:rPr>
                <w:sz w:val="18"/>
                <w:szCs w:val="18"/>
                <w:lang w:val="pt-BR"/>
              </w:rPr>
            </w:pPr>
          </w:p>
        </w:tc>
        <w:tc>
          <w:tcPr>
            <w:tcW w:w="1843" w:type="dxa"/>
            <w:tcBorders>
              <w:top w:val="single" w:sz="6" w:space="0" w:color="auto"/>
            </w:tcBorders>
            <w:vAlign w:val="bottom"/>
          </w:tcPr>
          <w:p w:rsidR="00935AE9" w:rsidRPr="00DE6E86" w:rsidRDefault="00935AE9" w:rsidP="00FB3FD0">
            <w:pPr>
              <w:pStyle w:val="NormalWeb"/>
              <w:widowControl w:val="0"/>
              <w:spacing w:before="0" w:after="0"/>
              <w:ind w:right="6"/>
              <w:jc w:val="right"/>
              <w:rPr>
                <w:sz w:val="18"/>
                <w:szCs w:val="18"/>
                <w:lang w:val="pt-BR"/>
              </w:rPr>
            </w:pPr>
          </w:p>
        </w:tc>
      </w:tr>
      <w:tr w:rsidR="00FD7B48" w:rsidRPr="00DE6E86" w:rsidTr="00DE6E86">
        <w:trPr>
          <w:trHeight w:val="227"/>
        </w:trPr>
        <w:tc>
          <w:tcPr>
            <w:tcW w:w="4979" w:type="dxa"/>
            <w:vAlign w:val="bottom"/>
          </w:tcPr>
          <w:p w:rsidR="001D1793" w:rsidRPr="00DE6E86" w:rsidRDefault="001D1793" w:rsidP="00BA5158">
            <w:pPr>
              <w:pStyle w:val="NormalWeb"/>
              <w:widowControl w:val="0"/>
              <w:spacing w:before="0" w:after="0"/>
              <w:rPr>
                <w:sz w:val="18"/>
                <w:szCs w:val="18"/>
                <w:lang w:val="pt-BR"/>
              </w:rPr>
            </w:pPr>
            <w:r w:rsidRPr="00DE6E86">
              <w:rPr>
                <w:sz w:val="18"/>
                <w:szCs w:val="18"/>
                <w:lang w:val="pt-BR"/>
              </w:rPr>
              <w:t xml:space="preserve">Total de Licença Especial </w:t>
            </w:r>
          </w:p>
        </w:tc>
        <w:tc>
          <w:tcPr>
            <w:tcW w:w="1842" w:type="dxa"/>
            <w:tcBorders>
              <w:bottom w:val="single" w:sz="6" w:space="0" w:color="auto"/>
            </w:tcBorders>
            <w:vAlign w:val="center"/>
          </w:tcPr>
          <w:p w:rsidR="001D1793" w:rsidRPr="00DE6E86" w:rsidRDefault="00C537AA">
            <w:pPr>
              <w:jc w:val="right"/>
              <w:rPr>
                <w:bCs/>
                <w:sz w:val="18"/>
                <w:szCs w:val="18"/>
              </w:rPr>
            </w:pPr>
            <w:r w:rsidRPr="00DE6E86">
              <w:rPr>
                <w:bCs/>
                <w:sz w:val="18"/>
                <w:szCs w:val="18"/>
              </w:rPr>
              <w:t>36.418</w:t>
            </w:r>
          </w:p>
        </w:tc>
        <w:tc>
          <w:tcPr>
            <w:tcW w:w="284" w:type="dxa"/>
            <w:vAlign w:val="center"/>
          </w:tcPr>
          <w:p w:rsidR="001D1793" w:rsidRPr="00DE6E86" w:rsidRDefault="001D1793">
            <w:pPr>
              <w:rPr>
                <w:sz w:val="18"/>
                <w:szCs w:val="18"/>
              </w:rPr>
            </w:pPr>
            <w:r w:rsidRPr="00DE6E86">
              <w:rPr>
                <w:sz w:val="18"/>
                <w:szCs w:val="18"/>
              </w:rPr>
              <w:t> </w:t>
            </w:r>
          </w:p>
        </w:tc>
        <w:tc>
          <w:tcPr>
            <w:tcW w:w="1843" w:type="dxa"/>
            <w:tcBorders>
              <w:bottom w:val="single" w:sz="6" w:space="0" w:color="auto"/>
            </w:tcBorders>
            <w:vAlign w:val="center"/>
          </w:tcPr>
          <w:p w:rsidR="001D1793" w:rsidRPr="00DE6E86" w:rsidRDefault="007D06B2" w:rsidP="00713F4B">
            <w:pPr>
              <w:jc w:val="right"/>
              <w:rPr>
                <w:bCs/>
                <w:sz w:val="18"/>
                <w:szCs w:val="18"/>
              </w:rPr>
            </w:pPr>
            <w:r w:rsidRPr="00DE6E86">
              <w:rPr>
                <w:bCs/>
                <w:sz w:val="18"/>
                <w:szCs w:val="18"/>
              </w:rPr>
              <w:t>32.769</w:t>
            </w:r>
          </w:p>
        </w:tc>
      </w:tr>
      <w:tr w:rsidR="00FD7B48" w:rsidRPr="00DE6E86" w:rsidTr="00DE6E86">
        <w:trPr>
          <w:trHeight w:val="227"/>
        </w:trPr>
        <w:tc>
          <w:tcPr>
            <w:tcW w:w="4979" w:type="dxa"/>
            <w:vAlign w:val="bottom"/>
          </w:tcPr>
          <w:p w:rsidR="00935AE9" w:rsidRPr="00DE6E86" w:rsidRDefault="00935AE9" w:rsidP="00FB3FD0">
            <w:pPr>
              <w:pStyle w:val="NormalWeb"/>
              <w:widowControl w:val="0"/>
              <w:spacing w:before="0" w:after="0"/>
              <w:rPr>
                <w:sz w:val="18"/>
                <w:szCs w:val="18"/>
                <w:lang w:val="pt-BR"/>
              </w:rPr>
            </w:pPr>
          </w:p>
        </w:tc>
        <w:tc>
          <w:tcPr>
            <w:tcW w:w="1842" w:type="dxa"/>
            <w:tcBorders>
              <w:top w:val="single" w:sz="6" w:space="0" w:color="auto"/>
            </w:tcBorders>
            <w:vAlign w:val="bottom"/>
          </w:tcPr>
          <w:p w:rsidR="00935AE9" w:rsidRPr="00DE6E86" w:rsidRDefault="00935AE9" w:rsidP="00FB3FD0">
            <w:pPr>
              <w:pStyle w:val="NormalWeb"/>
              <w:widowControl w:val="0"/>
              <w:spacing w:before="0" w:after="0"/>
              <w:ind w:right="6"/>
              <w:jc w:val="right"/>
              <w:rPr>
                <w:rStyle w:val="Forte"/>
                <w:b w:val="0"/>
                <w:sz w:val="18"/>
                <w:szCs w:val="18"/>
                <w:lang w:val="pt-BR"/>
              </w:rPr>
            </w:pPr>
          </w:p>
        </w:tc>
        <w:tc>
          <w:tcPr>
            <w:tcW w:w="284" w:type="dxa"/>
            <w:vAlign w:val="bottom"/>
          </w:tcPr>
          <w:p w:rsidR="00935AE9" w:rsidRPr="00DE6E86" w:rsidRDefault="00935AE9" w:rsidP="00FB3FD0">
            <w:pPr>
              <w:pStyle w:val="NormalWeb"/>
              <w:widowControl w:val="0"/>
              <w:spacing w:before="0" w:after="0"/>
              <w:rPr>
                <w:sz w:val="18"/>
                <w:szCs w:val="18"/>
                <w:lang w:val="pt-BR"/>
              </w:rPr>
            </w:pPr>
          </w:p>
        </w:tc>
        <w:tc>
          <w:tcPr>
            <w:tcW w:w="1843" w:type="dxa"/>
            <w:tcBorders>
              <w:top w:val="single" w:sz="6" w:space="0" w:color="auto"/>
            </w:tcBorders>
            <w:vAlign w:val="bottom"/>
          </w:tcPr>
          <w:p w:rsidR="00935AE9" w:rsidRPr="00DE6E86" w:rsidRDefault="00935AE9" w:rsidP="00FB3FD0">
            <w:pPr>
              <w:pStyle w:val="NormalWeb"/>
              <w:widowControl w:val="0"/>
              <w:spacing w:before="0" w:after="0"/>
              <w:ind w:right="6"/>
              <w:jc w:val="right"/>
              <w:rPr>
                <w:sz w:val="18"/>
                <w:szCs w:val="18"/>
                <w:lang w:val="pt-BR"/>
              </w:rPr>
            </w:pPr>
          </w:p>
        </w:tc>
      </w:tr>
      <w:tr w:rsidR="00FD7B48" w:rsidRPr="00DE6E86" w:rsidTr="00DE6E86">
        <w:trPr>
          <w:trHeight w:val="227"/>
        </w:trPr>
        <w:tc>
          <w:tcPr>
            <w:tcW w:w="4979" w:type="dxa"/>
            <w:vAlign w:val="bottom"/>
          </w:tcPr>
          <w:p w:rsidR="00935AE9" w:rsidRPr="00DE6E86" w:rsidRDefault="00935AE9" w:rsidP="00935AE9">
            <w:pPr>
              <w:pStyle w:val="NormalWeb"/>
              <w:widowControl w:val="0"/>
              <w:spacing w:before="0" w:after="0"/>
              <w:rPr>
                <w:sz w:val="18"/>
                <w:szCs w:val="18"/>
                <w:lang w:val="pt-BR"/>
              </w:rPr>
            </w:pPr>
            <w:r w:rsidRPr="00DE6E86">
              <w:rPr>
                <w:sz w:val="18"/>
                <w:szCs w:val="18"/>
                <w:lang w:val="pt-BR"/>
              </w:rPr>
              <w:t>Encargos Sobre Licença Especial</w:t>
            </w:r>
          </w:p>
        </w:tc>
        <w:tc>
          <w:tcPr>
            <w:tcW w:w="1842" w:type="dxa"/>
            <w:vAlign w:val="bottom"/>
          </w:tcPr>
          <w:p w:rsidR="00935AE9" w:rsidRPr="00DE6E86" w:rsidRDefault="00935AE9" w:rsidP="00FB3FD0">
            <w:pPr>
              <w:pStyle w:val="NormalWeb"/>
              <w:widowControl w:val="0"/>
              <w:spacing w:before="0" w:after="0"/>
              <w:ind w:right="6"/>
              <w:jc w:val="right"/>
              <w:rPr>
                <w:sz w:val="18"/>
                <w:szCs w:val="18"/>
                <w:lang w:val="pt-BR"/>
              </w:rPr>
            </w:pPr>
          </w:p>
        </w:tc>
        <w:tc>
          <w:tcPr>
            <w:tcW w:w="284" w:type="dxa"/>
            <w:vAlign w:val="bottom"/>
          </w:tcPr>
          <w:p w:rsidR="00935AE9" w:rsidRPr="00DE6E86" w:rsidRDefault="00935AE9" w:rsidP="00FB3FD0">
            <w:pPr>
              <w:pStyle w:val="NormalWeb"/>
              <w:widowControl w:val="0"/>
              <w:spacing w:before="0" w:after="0"/>
              <w:rPr>
                <w:sz w:val="18"/>
                <w:szCs w:val="18"/>
                <w:lang w:val="pt-BR"/>
              </w:rPr>
            </w:pPr>
          </w:p>
        </w:tc>
        <w:tc>
          <w:tcPr>
            <w:tcW w:w="1843" w:type="dxa"/>
            <w:vAlign w:val="bottom"/>
          </w:tcPr>
          <w:p w:rsidR="00935AE9" w:rsidRPr="00DE6E86" w:rsidRDefault="00935AE9" w:rsidP="00FB3FD0">
            <w:pPr>
              <w:pStyle w:val="NormalWeb"/>
              <w:widowControl w:val="0"/>
              <w:spacing w:before="0" w:after="0"/>
              <w:ind w:right="6"/>
              <w:jc w:val="right"/>
              <w:rPr>
                <w:sz w:val="18"/>
                <w:szCs w:val="18"/>
                <w:lang w:val="pt-BR"/>
              </w:rPr>
            </w:pPr>
          </w:p>
        </w:tc>
      </w:tr>
      <w:tr w:rsidR="00FD7B48" w:rsidRPr="00DE6E86" w:rsidTr="00DE6E86">
        <w:trPr>
          <w:trHeight w:val="227"/>
        </w:trPr>
        <w:tc>
          <w:tcPr>
            <w:tcW w:w="4979" w:type="dxa"/>
            <w:vAlign w:val="bottom"/>
          </w:tcPr>
          <w:p w:rsidR="00351B8C" w:rsidRPr="00DE6E86" w:rsidRDefault="00351B8C" w:rsidP="00FB3FD0">
            <w:pPr>
              <w:pStyle w:val="NormalWeb"/>
              <w:widowControl w:val="0"/>
              <w:spacing w:before="0" w:after="0"/>
              <w:rPr>
                <w:sz w:val="18"/>
                <w:szCs w:val="18"/>
                <w:lang w:val="pt-BR"/>
              </w:rPr>
            </w:pPr>
            <w:r w:rsidRPr="00DE6E86">
              <w:rPr>
                <w:sz w:val="18"/>
                <w:szCs w:val="18"/>
                <w:lang w:val="pt-BR"/>
              </w:rPr>
              <w:t xml:space="preserve">   Saldo Inicial</w:t>
            </w:r>
          </w:p>
        </w:tc>
        <w:tc>
          <w:tcPr>
            <w:tcW w:w="1842" w:type="dxa"/>
            <w:vAlign w:val="center"/>
          </w:tcPr>
          <w:p w:rsidR="00351B8C" w:rsidRPr="00DE6E86" w:rsidRDefault="007D63D8">
            <w:pPr>
              <w:jc w:val="right"/>
              <w:rPr>
                <w:sz w:val="18"/>
                <w:szCs w:val="18"/>
              </w:rPr>
            </w:pPr>
            <w:r w:rsidRPr="00DE6E86">
              <w:rPr>
                <w:sz w:val="18"/>
                <w:szCs w:val="18"/>
              </w:rPr>
              <w:t>12.182</w:t>
            </w:r>
          </w:p>
        </w:tc>
        <w:tc>
          <w:tcPr>
            <w:tcW w:w="284" w:type="dxa"/>
            <w:vAlign w:val="bottom"/>
          </w:tcPr>
          <w:p w:rsidR="00351B8C" w:rsidRPr="00DE6E86" w:rsidRDefault="00351B8C" w:rsidP="00FB3FD0">
            <w:pPr>
              <w:pStyle w:val="NormalWeb"/>
              <w:widowControl w:val="0"/>
              <w:spacing w:before="0" w:after="0"/>
              <w:rPr>
                <w:sz w:val="18"/>
                <w:szCs w:val="18"/>
                <w:lang w:val="pt-BR"/>
              </w:rPr>
            </w:pPr>
          </w:p>
        </w:tc>
        <w:tc>
          <w:tcPr>
            <w:tcW w:w="1843" w:type="dxa"/>
            <w:vAlign w:val="center"/>
          </w:tcPr>
          <w:p w:rsidR="00351B8C" w:rsidRPr="00DE6E86" w:rsidRDefault="007D06B2">
            <w:pPr>
              <w:jc w:val="right"/>
              <w:rPr>
                <w:sz w:val="18"/>
                <w:szCs w:val="18"/>
              </w:rPr>
            </w:pPr>
            <w:r w:rsidRPr="00DE6E86">
              <w:rPr>
                <w:sz w:val="18"/>
                <w:szCs w:val="18"/>
              </w:rPr>
              <w:t>10.</w:t>
            </w:r>
            <w:r w:rsidR="007D63D8" w:rsidRPr="00DE6E86">
              <w:rPr>
                <w:sz w:val="18"/>
                <w:szCs w:val="18"/>
              </w:rPr>
              <w:t>6</w:t>
            </w:r>
            <w:r w:rsidRPr="00DE6E86">
              <w:rPr>
                <w:sz w:val="18"/>
                <w:szCs w:val="18"/>
              </w:rPr>
              <w:t>49</w:t>
            </w:r>
          </w:p>
        </w:tc>
      </w:tr>
      <w:tr w:rsidR="00FD7B48" w:rsidRPr="00DE6E86" w:rsidTr="00DE6E86">
        <w:trPr>
          <w:trHeight w:val="227"/>
        </w:trPr>
        <w:tc>
          <w:tcPr>
            <w:tcW w:w="4979" w:type="dxa"/>
            <w:vAlign w:val="bottom"/>
          </w:tcPr>
          <w:p w:rsidR="00351B8C" w:rsidRPr="00DE6E86" w:rsidRDefault="00351B8C" w:rsidP="00FB3FD0">
            <w:pPr>
              <w:pStyle w:val="NormalWeb"/>
              <w:widowControl w:val="0"/>
              <w:spacing w:before="0" w:after="0"/>
              <w:rPr>
                <w:sz w:val="18"/>
                <w:szCs w:val="18"/>
                <w:lang w:val="pt-BR"/>
              </w:rPr>
            </w:pPr>
            <w:r w:rsidRPr="00DE6E86">
              <w:rPr>
                <w:sz w:val="18"/>
                <w:szCs w:val="18"/>
                <w:lang w:val="pt-BR"/>
              </w:rPr>
              <w:t xml:space="preserve">   Baixas</w:t>
            </w:r>
          </w:p>
        </w:tc>
        <w:tc>
          <w:tcPr>
            <w:tcW w:w="1842" w:type="dxa"/>
            <w:vAlign w:val="center"/>
          </w:tcPr>
          <w:p w:rsidR="00351B8C" w:rsidRPr="00DE6E86" w:rsidRDefault="00351B8C" w:rsidP="007D63D8">
            <w:pPr>
              <w:jc w:val="right"/>
              <w:rPr>
                <w:sz w:val="18"/>
                <w:szCs w:val="18"/>
              </w:rPr>
            </w:pPr>
            <w:r w:rsidRPr="00DE6E86">
              <w:rPr>
                <w:sz w:val="18"/>
                <w:szCs w:val="18"/>
              </w:rPr>
              <w:t>(</w:t>
            </w:r>
            <w:r w:rsidR="007D63D8" w:rsidRPr="00DE6E86">
              <w:rPr>
                <w:sz w:val="18"/>
                <w:szCs w:val="18"/>
              </w:rPr>
              <w:t>1.998</w:t>
            </w:r>
            <w:r w:rsidRPr="00DE6E86">
              <w:rPr>
                <w:sz w:val="18"/>
                <w:szCs w:val="18"/>
              </w:rPr>
              <w:t>)</w:t>
            </w:r>
          </w:p>
        </w:tc>
        <w:tc>
          <w:tcPr>
            <w:tcW w:w="284" w:type="dxa"/>
            <w:vAlign w:val="bottom"/>
          </w:tcPr>
          <w:p w:rsidR="00351B8C" w:rsidRPr="00DE6E86" w:rsidRDefault="00351B8C" w:rsidP="00FB3FD0">
            <w:pPr>
              <w:pStyle w:val="NormalWeb"/>
              <w:widowControl w:val="0"/>
              <w:spacing w:before="0" w:after="0"/>
              <w:rPr>
                <w:sz w:val="18"/>
                <w:szCs w:val="18"/>
                <w:lang w:val="pt-BR"/>
              </w:rPr>
            </w:pPr>
          </w:p>
        </w:tc>
        <w:tc>
          <w:tcPr>
            <w:tcW w:w="1843" w:type="dxa"/>
            <w:vAlign w:val="center"/>
          </w:tcPr>
          <w:p w:rsidR="00351B8C" w:rsidRPr="00DE6E86" w:rsidRDefault="00351B8C" w:rsidP="007D06B2">
            <w:pPr>
              <w:jc w:val="right"/>
              <w:rPr>
                <w:sz w:val="18"/>
                <w:szCs w:val="18"/>
              </w:rPr>
            </w:pPr>
            <w:r w:rsidRPr="00DE6E86">
              <w:rPr>
                <w:sz w:val="18"/>
                <w:szCs w:val="18"/>
              </w:rPr>
              <w:t>(</w:t>
            </w:r>
            <w:r w:rsidR="007D06B2" w:rsidRPr="00DE6E86">
              <w:rPr>
                <w:sz w:val="18"/>
                <w:szCs w:val="18"/>
              </w:rPr>
              <w:t>1.520</w:t>
            </w:r>
            <w:r w:rsidRPr="00DE6E86">
              <w:rPr>
                <w:sz w:val="18"/>
                <w:szCs w:val="18"/>
              </w:rPr>
              <w:t>)</w:t>
            </w:r>
          </w:p>
        </w:tc>
      </w:tr>
      <w:tr w:rsidR="00FD7B48" w:rsidRPr="00DE6E86" w:rsidTr="00DE6E86">
        <w:trPr>
          <w:trHeight w:val="227"/>
        </w:trPr>
        <w:tc>
          <w:tcPr>
            <w:tcW w:w="4979" w:type="dxa"/>
            <w:vAlign w:val="bottom"/>
          </w:tcPr>
          <w:p w:rsidR="00351B8C" w:rsidRPr="00DE6E86" w:rsidRDefault="00351B8C" w:rsidP="00FB3FD0">
            <w:pPr>
              <w:pStyle w:val="NormalWeb"/>
              <w:widowControl w:val="0"/>
              <w:spacing w:before="0" w:after="0"/>
              <w:rPr>
                <w:sz w:val="18"/>
                <w:szCs w:val="18"/>
                <w:lang w:val="pt-BR"/>
              </w:rPr>
            </w:pPr>
            <w:r w:rsidRPr="00DE6E86">
              <w:rPr>
                <w:sz w:val="18"/>
                <w:szCs w:val="18"/>
                <w:lang w:val="pt-BR"/>
              </w:rPr>
              <w:t xml:space="preserve">   Apropriações</w:t>
            </w:r>
          </w:p>
        </w:tc>
        <w:tc>
          <w:tcPr>
            <w:tcW w:w="1842" w:type="dxa"/>
            <w:tcBorders>
              <w:bottom w:val="single" w:sz="4" w:space="0" w:color="auto"/>
            </w:tcBorders>
            <w:vAlign w:val="center"/>
          </w:tcPr>
          <w:p w:rsidR="00351B8C" w:rsidRPr="00DE6E86" w:rsidRDefault="007D63D8">
            <w:pPr>
              <w:jc w:val="right"/>
              <w:rPr>
                <w:sz w:val="18"/>
                <w:szCs w:val="18"/>
              </w:rPr>
            </w:pPr>
            <w:r w:rsidRPr="00DE6E86">
              <w:rPr>
                <w:sz w:val="18"/>
                <w:szCs w:val="18"/>
              </w:rPr>
              <w:t>3.364</w:t>
            </w:r>
          </w:p>
        </w:tc>
        <w:tc>
          <w:tcPr>
            <w:tcW w:w="284" w:type="dxa"/>
            <w:vAlign w:val="bottom"/>
          </w:tcPr>
          <w:p w:rsidR="00351B8C" w:rsidRPr="00DE6E86" w:rsidRDefault="00351B8C" w:rsidP="00FB3FD0">
            <w:pPr>
              <w:pStyle w:val="NormalWeb"/>
              <w:widowControl w:val="0"/>
              <w:spacing w:before="0" w:after="0"/>
              <w:rPr>
                <w:sz w:val="18"/>
                <w:szCs w:val="18"/>
                <w:lang w:val="pt-BR"/>
              </w:rPr>
            </w:pPr>
          </w:p>
        </w:tc>
        <w:tc>
          <w:tcPr>
            <w:tcW w:w="1843" w:type="dxa"/>
            <w:tcBorders>
              <w:bottom w:val="single" w:sz="4" w:space="0" w:color="auto"/>
            </w:tcBorders>
            <w:vAlign w:val="center"/>
          </w:tcPr>
          <w:p w:rsidR="00351B8C" w:rsidRPr="00DE6E86" w:rsidRDefault="007D06B2" w:rsidP="00921282">
            <w:pPr>
              <w:jc w:val="right"/>
              <w:rPr>
                <w:sz w:val="18"/>
                <w:szCs w:val="18"/>
              </w:rPr>
            </w:pPr>
            <w:r w:rsidRPr="00DE6E86">
              <w:rPr>
                <w:sz w:val="18"/>
                <w:szCs w:val="18"/>
              </w:rPr>
              <w:t>3.053</w:t>
            </w:r>
          </w:p>
        </w:tc>
      </w:tr>
      <w:tr w:rsidR="00FD7B48" w:rsidRPr="00DE6E86" w:rsidTr="00DE6E86">
        <w:trPr>
          <w:trHeight w:val="227"/>
        </w:trPr>
        <w:tc>
          <w:tcPr>
            <w:tcW w:w="4979" w:type="dxa"/>
            <w:vAlign w:val="bottom"/>
          </w:tcPr>
          <w:p w:rsidR="00935AE9" w:rsidRPr="00DE6E86" w:rsidRDefault="00935AE9" w:rsidP="00FB3FD0">
            <w:pPr>
              <w:pStyle w:val="NormalWeb"/>
              <w:widowControl w:val="0"/>
              <w:spacing w:before="0" w:after="0"/>
              <w:rPr>
                <w:sz w:val="18"/>
                <w:szCs w:val="18"/>
                <w:lang w:val="pt-BR"/>
              </w:rPr>
            </w:pPr>
          </w:p>
        </w:tc>
        <w:tc>
          <w:tcPr>
            <w:tcW w:w="1842" w:type="dxa"/>
            <w:tcBorders>
              <w:top w:val="single" w:sz="4" w:space="0" w:color="auto"/>
            </w:tcBorders>
            <w:vAlign w:val="bottom"/>
          </w:tcPr>
          <w:p w:rsidR="00935AE9" w:rsidRPr="00DE6E86" w:rsidRDefault="00935AE9" w:rsidP="00FB3FD0">
            <w:pPr>
              <w:pStyle w:val="NormalWeb"/>
              <w:widowControl w:val="0"/>
              <w:spacing w:before="0" w:after="0"/>
              <w:ind w:right="6"/>
              <w:jc w:val="right"/>
              <w:rPr>
                <w:rStyle w:val="Forte"/>
                <w:b w:val="0"/>
                <w:sz w:val="18"/>
                <w:szCs w:val="18"/>
                <w:lang w:val="pt-BR"/>
              </w:rPr>
            </w:pPr>
          </w:p>
        </w:tc>
        <w:tc>
          <w:tcPr>
            <w:tcW w:w="284" w:type="dxa"/>
            <w:vAlign w:val="bottom"/>
          </w:tcPr>
          <w:p w:rsidR="00935AE9" w:rsidRPr="00DE6E86" w:rsidRDefault="00935AE9" w:rsidP="00FB3FD0">
            <w:pPr>
              <w:pStyle w:val="NormalWeb"/>
              <w:widowControl w:val="0"/>
              <w:spacing w:before="0" w:after="0"/>
              <w:rPr>
                <w:sz w:val="18"/>
                <w:szCs w:val="18"/>
                <w:lang w:val="pt-BR"/>
              </w:rPr>
            </w:pPr>
          </w:p>
        </w:tc>
        <w:tc>
          <w:tcPr>
            <w:tcW w:w="1843" w:type="dxa"/>
            <w:tcBorders>
              <w:top w:val="single" w:sz="4" w:space="0" w:color="auto"/>
            </w:tcBorders>
            <w:vAlign w:val="bottom"/>
          </w:tcPr>
          <w:p w:rsidR="00935AE9" w:rsidRPr="00DE6E86" w:rsidRDefault="00935AE9" w:rsidP="00FB3FD0">
            <w:pPr>
              <w:pStyle w:val="NormalWeb"/>
              <w:widowControl w:val="0"/>
              <w:spacing w:before="0" w:after="0"/>
              <w:ind w:right="6"/>
              <w:jc w:val="right"/>
              <w:rPr>
                <w:sz w:val="18"/>
                <w:szCs w:val="18"/>
                <w:lang w:val="pt-BR"/>
              </w:rPr>
            </w:pPr>
          </w:p>
        </w:tc>
      </w:tr>
      <w:tr w:rsidR="00FD7B48" w:rsidRPr="00DE6E86" w:rsidTr="00DE6E86">
        <w:trPr>
          <w:trHeight w:val="227"/>
        </w:trPr>
        <w:tc>
          <w:tcPr>
            <w:tcW w:w="4979" w:type="dxa"/>
            <w:vAlign w:val="bottom"/>
          </w:tcPr>
          <w:p w:rsidR="001D1793" w:rsidRPr="00DE6E86" w:rsidRDefault="001D1793" w:rsidP="00BA5158">
            <w:pPr>
              <w:pStyle w:val="NormalWeb"/>
              <w:widowControl w:val="0"/>
              <w:spacing w:before="0" w:after="0"/>
              <w:rPr>
                <w:sz w:val="18"/>
                <w:szCs w:val="18"/>
                <w:lang w:val="pt-BR"/>
              </w:rPr>
            </w:pPr>
            <w:r w:rsidRPr="00DE6E86">
              <w:rPr>
                <w:sz w:val="18"/>
                <w:szCs w:val="18"/>
                <w:lang w:val="pt-BR"/>
              </w:rPr>
              <w:t>Total de Encargos sobre Licença Especial</w:t>
            </w:r>
          </w:p>
        </w:tc>
        <w:tc>
          <w:tcPr>
            <w:tcW w:w="1842" w:type="dxa"/>
            <w:vAlign w:val="center"/>
          </w:tcPr>
          <w:p w:rsidR="001D1793" w:rsidRPr="00DE6E86" w:rsidRDefault="007D63D8" w:rsidP="00C03D76">
            <w:pPr>
              <w:jc w:val="right"/>
              <w:rPr>
                <w:bCs/>
                <w:sz w:val="18"/>
                <w:szCs w:val="18"/>
              </w:rPr>
            </w:pPr>
            <w:r w:rsidRPr="00DE6E86">
              <w:rPr>
                <w:bCs/>
                <w:sz w:val="18"/>
                <w:szCs w:val="18"/>
              </w:rPr>
              <w:t>13.548</w:t>
            </w:r>
          </w:p>
        </w:tc>
        <w:tc>
          <w:tcPr>
            <w:tcW w:w="284" w:type="dxa"/>
            <w:vAlign w:val="center"/>
          </w:tcPr>
          <w:p w:rsidR="001D1793" w:rsidRPr="00DE6E86" w:rsidRDefault="001D1793">
            <w:pPr>
              <w:rPr>
                <w:sz w:val="18"/>
                <w:szCs w:val="18"/>
              </w:rPr>
            </w:pPr>
            <w:r w:rsidRPr="00DE6E86">
              <w:rPr>
                <w:sz w:val="18"/>
                <w:szCs w:val="18"/>
              </w:rPr>
              <w:t> </w:t>
            </w:r>
          </w:p>
        </w:tc>
        <w:tc>
          <w:tcPr>
            <w:tcW w:w="1843" w:type="dxa"/>
            <w:vAlign w:val="center"/>
          </w:tcPr>
          <w:p w:rsidR="001D1793" w:rsidRPr="00DE6E86" w:rsidRDefault="007D06B2" w:rsidP="00921282">
            <w:pPr>
              <w:jc w:val="right"/>
              <w:rPr>
                <w:bCs/>
                <w:sz w:val="18"/>
                <w:szCs w:val="18"/>
              </w:rPr>
            </w:pPr>
            <w:r w:rsidRPr="00DE6E86">
              <w:rPr>
                <w:bCs/>
                <w:sz w:val="18"/>
                <w:szCs w:val="18"/>
              </w:rPr>
              <w:t>12.182</w:t>
            </w:r>
          </w:p>
        </w:tc>
      </w:tr>
      <w:tr w:rsidR="00FD7B48" w:rsidRPr="00DE6E86" w:rsidTr="00DE6E86">
        <w:trPr>
          <w:trHeight w:val="227"/>
        </w:trPr>
        <w:tc>
          <w:tcPr>
            <w:tcW w:w="4979" w:type="dxa"/>
            <w:vAlign w:val="bottom"/>
          </w:tcPr>
          <w:p w:rsidR="00935AE9" w:rsidRPr="00DE6E86" w:rsidRDefault="00935AE9" w:rsidP="00FB3FD0">
            <w:pPr>
              <w:pStyle w:val="NormalWeb"/>
              <w:widowControl w:val="0"/>
              <w:spacing w:before="0" w:after="0"/>
              <w:rPr>
                <w:sz w:val="18"/>
                <w:szCs w:val="18"/>
                <w:lang w:val="pt-BR"/>
              </w:rPr>
            </w:pPr>
          </w:p>
        </w:tc>
        <w:tc>
          <w:tcPr>
            <w:tcW w:w="1842" w:type="dxa"/>
            <w:tcBorders>
              <w:top w:val="single" w:sz="4" w:space="0" w:color="auto"/>
            </w:tcBorders>
            <w:vAlign w:val="bottom"/>
          </w:tcPr>
          <w:p w:rsidR="00935AE9" w:rsidRPr="00DE6E86" w:rsidRDefault="00935AE9" w:rsidP="00FB3FD0">
            <w:pPr>
              <w:pStyle w:val="NormalWeb"/>
              <w:widowControl w:val="0"/>
              <w:spacing w:before="0" w:after="0"/>
              <w:ind w:right="6"/>
              <w:jc w:val="right"/>
              <w:rPr>
                <w:rStyle w:val="Forte"/>
                <w:b w:val="0"/>
                <w:sz w:val="18"/>
                <w:szCs w:val="18"/>
                <w:lang w:val="pt-BR"/>
              </w:rPr>
            </w:pPr>
          </w:p>
        </w:tc>
        <w:tc>
          <w:tcPr>
            <w:tcW w:w="284" w:type="dxa"/>
            <w:vAlign w:val="bottom"/>
          </w:tcPr>
          <w:p w:rsidR="00935AE9" w:rsidRPr="00DE6E86" w:rsidRDefault="00935AE9" w:rsidP="00FB3FD0">
            <w:pPr>
              <w:pStyle w:val="NormalWeb"/>
              <w:widowControl w:val="0"/>
              <w:spacing w:before="0" w:after="0"/>
              <w:rPr>
                <w:sz w:val="18"/>
                <w:szCs w:val="18"/>
                <w:lang w:val="pt-BR"/>
              </w:rPr>
            </w:pPr>
          </w:p>
        </w:tc>
        <w:tc>
          <w:tcPr>
            <w:tcW w:w="1843" w:type="dxa"/>
            <w:tcBorders>
              <w:top w:val="single" w:sz="4" w:space="0" w:color="auto"/>
            </w:tcBorders>
            <w:vAlign w:val="bottom"/>
          </w:tcPr>
          <w:p w:rsidR="00935AE9" w:rsidRPr="00DE6E86" w:rsidRDefault="00935AE9" w:rsidP="00FB3FD0">
            <w:pPr>
              <w:pStyle w:val="NormalWeb"/>
              <w:widowControl w:val="0"/>
              <w:spacing w:before="0" w:after="0"/>
              <w:ind w:right="6"/>
              <w:jc w:val="right"/>
              <w:rPr>
                <w:sz w:val="18"/>
                <w:szCs w:val="18"/>
                <w:lang w:val="pt-BR"/>
              </w:rPr>
            </w:pPr>
          </w:p>
        </w:tc>
      </w:tr>
      <w:tr w:rsidR="00FD7B48" w:rsidRPr="00DE6E86" w:rsidTr="00DE6E86">
        <w:trPr>
          <w:trHeight w:val="227"/>
        </w:trPr>
        <w:tc>
          <w:tcPr>
            <w:tcW w:w="4979" w:type="dxa"/>
            <w:vAlign w:val="bottom"/>
          </w:tcPr>
          <w:p w:rsidR="001D1793" w:rsidRPr="00DE6E86" w:rsidRDefault="001D1793" w:rsidP="00BA5158">
            <w:pPr>
              <w:pStyle w:val="NormalWeb"/>
              <w:widowControl w:val="0"/>
              <w:spacing w:before="0" w:after="0"/>
              <w:rPr>
                <w:b/>
                <w:sz w:val="18"/>
                <w:szCs w:val="18"/>
                <w:lang w:val="pt-BR"/>
              </w:rPr>
            </w:pPr>
            <w:r w:rsidRPr="00DE6E86">
              <w:rPr>
                <w:b/>
                <w:sz w:val="18"/>
                <w:szCs w:val="18"/>
                <w:lang w:val="pt-BR"/>
              </w:rPr>
              <w:t>Total de Licença Especial a Pagar</w:t>
            </w:r>
          </w:p>
        </w:tc>
        <w:tc>
          <w:tcPr>
            <w:tcW w:w="1842" w:type="dxa"/>
            <w:tcBorders>
              <w:bottom w:val="double" w:sz="6" w:space="0" w:color="auto"/>
            </w:tcBorders>
            <w:vAlign w:val="center"/>
          </w:tcPr>
          <w:p w:rsidR="001D1793" w:rsidRPr="00DE6E86" w:rsidRDefault="007D63D8" w:rsidP="00C03D76">
            <w:pPr>
              <w:jc w:val="right"/>
              <w:rPr>
                <w:b/>
                <w:bCs/>
                <w:sz w:val="18"/>
                <w:szCs w:val="18"/>
              </w:rPr>
            </w:pPr>
            <w:r w:rsidRPr="00DE6E86">
              <w:rPr>
                <w:b/>
                <w:bCs/>
                <w:sz w:val="18"/>
                <w:szCs w:val="18"/>
              </w:rPr>
              <w:t>49.966</w:t>
            </w:r>
          </w:p>
        </w:tc>
        <w:tc>
          <w:tcPr>
            <w:tcW w:w="284" w:type="dxa"/>
            <w:vAlign w:val="center"/>
          </w:tcPr>
          <w:p w:rsidR="001D1793" w:rsidRPr="00DE6E86" w:rsidRDefault="001D1793">
            <w:pPr>
              <w:rPr>
                <w:b/>
                <w:bCs/>
                <w:sz w:val="18"/>
                <w:szCs w:val="18"/>
              </w:rPr>
            </w:pPr>
            <w:r w:rsidRPr="00DE6E86">
              <w:rPr>
                <w:b/>
                <w:bCs/>
                <w:sz w:val="18"/>
                <w:szCs w:val="18"/>
              </w:rPr>
              <w:t> </w:t>
            </w:r>
          </w:p>
        </w:tc>
        <w:tc>
          <w:tcPr>
            <w:tcW w:w="1843" w:type="dxa"/>
            <w:tcBorders>
              <w:bottom w:val="double" w:sz="6" w:space="0" w:color="auto"/>
            </w:tcBorders>
            <w:vAlign w:val="center"/>
          </w:tcPr>
          <w:p w:rsidR="001D1793" w:rsidRPr="00DE6E86" w:rsidRDefault="00501345" w:rsidP="00F113B4">
            <w:pPr>
              <w:jc w:val="right"/>
              <w:rPr>
                <w:b/>
                <w:bCs/>
                <w:sz w:val="18"/>
                <w:szCs w:val="18"/>
              </w:rPr>
            </w:pPr>
            <w:r w:rsidRPr="00DE6E86">
              <w:rPr>
                <w:b/>
                <w:bCs/>
                <w:sz w:val="18"/>
                <w:szCs w:val="18"/>
              </w:rPr>
              <w:t>44.951</w:t>
            </w:r>
          </w:p>
        </w:tc>
      </w:tr>
    </w:tbl>
    <w:p w:rsidR="00A902F7" w:rsidRDefault="00A902F7" w:rsidP="00A902F7">
      <w:pPr>
        <w:pStyle w:val="Subttulo"/>
        <w:ind w:left="-4" w:firstLine="0"/>
      </w:pPr>
    </w:p>
    <w:p w:rsidR="00093A03" w:rsidRPr="00093A03" w:rsidRDefault="00093A03" w:rsidP="00093A03"/>
    <w:p w:rsidR="00C44995" w:rsidRPr="00CD0813" w:rsidRDefault="00A902F7" w:rsidP="00BF21BA">
      <w:pPr>
        <w:pStyle w:val="Subttulo"/>
        <w:numPr>
          <w:ilvl w:val="0"/>
          <w:numId w:val="6"/>
        </w:numPr>
      </w:pPr>
      <w:bookmarkStart w:id="39" w:name="_Ref466467744"/>
      <w:r w:rsidRPr="00CD0813">
        <w:t>Tempo de Serviço Passado</w:t>
      </w:r>
      <w:bookmarkEnd w:id="39"/>
      <w:r w:rsidR="00A60300" w:rsidRPr="00CD0813">
        <w:t xml:space="preserve"> (TSP) </w:t>
      </w:r>
    </w:p>
    <w:p w:rsidR="00A902F7" w:rsidRPr="00FD7B48" w:rsidRDefault="00A902F7" w:rsidP="00A902F7"/>
    <w:p w:rsidR="00095C30" w:rsidRDefault="00095C30" w:rsidP="00095C30">
      <w:pPr>
        <w:jc w:val="both"/>
      </w:pPr>
      <w:r w:rsidRPr="00FD7B48">
        <w:t>O HCPA possui financiamento com o Banco do Brasil para Previdência Privada</w:t>
      </w:r>
      <w:r w:rsidR="00921282" w:rsidRPr="00FD7B48">
        <w:t xml:space="preserve"> </w:t>
      </w:r>
      <w:r w:rsidR="00A60300">
        <w:t>- T</w:t>
      </w:r>
      <w:r w:rsidRPr="00FD7B48">
        <w:t>SP</w:t>
      </w:r>
      <w:r w:rsidR="00A60300">
        <w:t xml:space="preserve"> -</w:t>
      </w:r>
      <w:r w:rsidRPr="00FD7B48">
        <w:t xml:space="preserve"> a ser amortizado em 164 parcelas mensais a partir de 01 de junho de 2010</w:t>
      </w:r>
      <w:r w:rsidR="00D133D9">
        <w:t>,</w:t>
      </w:r>
      <w:r w:rsidRPr="00FD7B48">
        <w:t xml:space="preserve"> atualizadas pelo INPC</w:t>
      </w:r>
      <w:r w:rsidR="00D133D9">
        <w:t xml:space="preserve"> com</w:t>
      </w:r>
      <w:r w:rsidRPr="00FD7B48">
        <w:t xml:space="preserve"> juros mensais de 0,4868%. </w:t>
      </w:r>
      <w:r w:rsidR="001666B8">
        <w:t xml:space="preserve">Por ser, este valor, </w:t>
      </w:r>
      <w:r w:rsidRPr="00FD7B48">
        <w:t xml:space="preserve"> pago c</w:t>
      </w:r>
      <w:r w:rsidR="001666B8">
        <w:t>om Recursos do Tesouro Nacional possui, também, registro em Direitos a Receber no Ativo.  O valor correspondente a</w:t>
      </w:r>
      <w:r w:rsidR="00BB6753" w:rsidRPr="00FD7B48">
        <w:t xml:space="preserve"> doze prestações</w:t>
      </w:r>
      <w:r w:rsidR="002D3C2C">
        <w:t>,</w:t>
      </w:r>
      <w:r w:rsidR="00BB6753" w:rsidRPr="00FD7B48">
        <w:t xml:space="preserve"> encontra-se registrado no Ativo e Passivo Circulante</w:t>
      </w:r>
      <w:r w:rsidR="005A64EA">
        <w:t xml:space="preserve"> e as demais prestações estão registradas n</w:t>
      </w:r>
      <w:r w:rsidRPr="00FD7B48">
        <w:t xml:space="preserve">o Ativo </w:t>
      </w:r>
      <w:r w:rsidR="002900D5" w:rsidRPr="00FD7B48">
        <w:t xml:space="preserve">e Passivo </w:t>
      </w:r>
      <w:r w:rsidR="00BB6753" w:rsidRPr="00FD7B48">
        <w:t>N</w:t>
      </w:r>
      <w:r w:rsidRPr="00FD7B48">
        <w:t>ão Circulante</w:t>
      </w:r>
      <w:r w:rsidR="002900D5" w:rsidRPr="00FD7B48">
        <w:t>.</w:t>
      </w:r>
      <w:r w:rsidRPr="00FD7B48">
        <w:t xml:space="preserve"> </w:t>
      </w:r>
    </w:p>
    <w:p w:rsidR="006874C1" w:rsidRDefault="006874C1" w:rsidP="00095C30">
      <w:pPr>
        <w:jc w:val="both"/>
      </w:pPr>
    </w:p>
    <w:p w:rsidR="002A48C7" w:rsidRDefault="002A48C7" w:rsidP="00A902F7"/>
    <w:p w:rsidR="008602D8" w:rsidRPr="00CD0813" w:rsidRDefault="008602D8" w:rsidP="008602D8">
      <w:pPr>
        <w:pStyle w:val="Ttulo"/>
        <w:jc w:val="both"/>
        <w:outlineLvl w:val="0"/>
      </w:pPr>
      <w:bookmarkStart w:id="40" w:name="_Toc497896256"/>
      <w:r w:rsidRPr="00CD0813">
        <w:t xml:space="preserve"> </w:t>
      </w:r>
      <w:bookmarkStart w:id="41" w:name="_Toc512497277"/>
      <w:r w:rsidRPr="00CD0813">
        <w:t xml:space="preserve">Repasses Recebidos da União </w:t>
      </w:r>
      <w:bookmarkEnd w:id="40"/>
      <w:r w:rsidR="00435195" w:rsidRPr="00CD0813">
        <w:t>Para Investimentos</w:t>
      </w:r>
      <w:r w:rsidR="00A63E89">
        <w:t xml:space="preserve"> </w:t>
      </w:r>
      <w:r w:rsidR="002C4E11">
        <w:t>e</w:t>
      </w:r>
      <w:r w:rsidR="00A63E89">
        <w:t xml:space="preserve"> a Mudança de Critério Contábil</w:t>
      </w:r>
      <w:bookmarkEnd w:id="41"/>
    </w:p>
    <w:p w:rsidR="008602D8" w:rsidRDefault="008602D8" w:rsidP="008602D8">
      <w:pPr>
        <w:jc w:val="both"/>
        <w:rPr>
          <w:b/>
        </w:rPr>
      </w:pPr>
    </w:p>
    <w:p w:rsidR="00166DA5" w:rsidRDefault="00166DA5" w:rsidP="008602D8">
      <w:pPr>
        <w:jc w:val="both"/>
        <w:rPr>
          <w:b/>
        </w:rPr>
      </w:pPr>
    </w:p>
    <w:p w:rsidR="00166DA5" w:rsidRPr="00166DA5" w:rsidRDefault="00166DA5" w:rsidP="00166DA5">
      <w:pPr>
        <w:jc w:val="both"/>
      </w:pPr>
      <w:r w:rsidRPr="00166DA5">
        <w:t>Demonstrativo dos Ajustes Realizados</w:t>
      </w:r>
    </w:p>
    <w:p w:rsidR="00166DA5" w:rsidRPr="00B3213B" w:rsidRDefault="00166DA5" w:rsidP="00166DA5">
      <w:pPr>
        <w:jc w:val="both"/>
        <w:rPr>
          <w:b/>
        </w:rPr>
      </w:pPr>
    </w:p>
    <w:tbl>
      <w:tblPr>
        <w:tblW w:w="5146" w:type="pct"/>
        <w:tblCellMar>
          <w:left w:w="70" w:type="dxa"/>
          <w:right w:w="70" w:type="dxa"/>
        </w:tblCellMar>
        <w:tblLook w:val="04A0" w:firstRow="1" w:lastRow="0" w:firstColumn="1" w:lastColumn="0" w:noHBand="0" w:noVBand="1"/>
      </w:tblPr>
      <w:tblGrid>
        <w:gridCol w:w="614"/>
        <w:gridCol w:w="4701"/>
        <w:gridCol w:w="1985"/>
        <w:gridCol w:w="277"/>
        <w:gridCol w:w="1904"/>
      </w:tblGrid>
      <w:tr w:rsidR="00166DA5" w:rsidRPr="00A6699D" w:rsidTr="009A59F5">
        <w:tc>
          <w:tcPr>
            <w:tcW w:w="324" w:type="pct"/>
            <w:tcBorders>
              <w:top w:val="nil"/>
              <w:left w:val="nil"/>
              <w:bottom w:val="nil"/>
              <w:right w:val="nil"/>
            </w:tcBorders>
            <w:shd w:val="clear" w:color="auto" w:fill="auto"/>
            <w:vAlign w:val="center"/>
            <w:hideMark/>
          </w:tcPr>
          <w:p w:rsidR="00166DA5" w:rsidRPr="00A6699D" w:rsidRDefault="00166DA5" w:rsidP="00DF5430">
            <w:pPr>
              <w:jc w:val="center"/>
              <w:rPr>
                <w:b/>
                <w:bCs/>
                <w:color w:val="000000"/>
              </w:rPr>
            </w:pPr>
            <w:r>
              <w:rPr>
                <w:b/>
                <w:bCs/>
                <w:color w:val="000000"/>
              </w:rPr>
              <w:t>Itens</w:t>
            </w:r>
            <w:r w:rsidRPr="00A6699D">
              <w:rPr>
                <w:b/>
                <w:bCs/>
                <w:color w:val="000000"/>
              </w:rPr>
              <w:t> </w:t>
            </w:r>
          </w:p>
        </w:tc>
        <w:tc>
          <w:tcPr>
            <w:tcW w:w="2479" w:type="pct"/>
            <w:tcBorders>
              <w:top w:val="nil"/>
              <w:left w:val="nil"/>
              <w:bottom w:val="nil"/>
              <w:right w:val="nil"/>
            </w:tcBorders>
            <w:shd w:val="clear" w:color="auto" w:fill="auto"/>
            <w:vAlign w:val="center"/>
            <w:hideMark/>
          </w:tcPr>
          <w:p w:rsidR="00166DA5" w:rsidRPr="00A6699D" w:rsidRDefault="00166DA5" w:rsidP="00DF5430">
            <w:pPr>
              <w:jc w:val="center"/>
              <w:rPr>
                <w:b/>
                <w:bCs/>
                <w:color w:val="000000"/>
              </w:rPr>
            </w:pPr>
            <w:r w:rsidRPr="00A6699D">
              <w:rPr>
                <w:b/>
                <w:bCs/>
                <w:color w:val="000000"/>
              </w:rPr>
              <w:t>Contas</w:t>
            </w:r>
          </w:p>
        </w:tc>
        <w:tc>
          <w:tcPr>
            <w:tcW w:w="1047" w:type="pct"/>
            <w:tcBorders>
              <w:top w:val="nil"/>
              <w:left w:val="nil"/>
              <w:bottom w:val="single" w:sz="4" w:space="0" w:color="auto"/>
              <w:right w:val="nil"/>
            </w:tcBorders>
            <w:shd w:val="clear" w:color="auto" w:fill="auto"/>
            <w:vAlign w:val="center"/>
            <w:hideMark/>
          </w:tcPr>
          <w:p w:rsidR="00166DA5" w:rsidRPr="00A6699D" w:rsidRDefault="00166DA5" w:rsidP="00DF5430">
            <w:pPr>
              <w:jc w:val="center"/>
              <w:rPr>
                <w:b/>
                <w:bCs/>
                <w:color w:val="000000"/>
              </w:rPr>
            </w:pPr>
            <w:r w:rsidRPr="00A6699D">
              <w:rPr>
                <w:b/>
                <w:bCs/>
                <w:color w:val="000000"/>
              </w:rPr>
              <w:t>Saldo em 31/12/2017</w:t>
            </w:r>
          </w:p>
        </w:tc>
        <w:tc>
          <w:tcPr>
            <w:tcW w:w="146" w:type="pct"/>
            <w:tcBorders>
              <w:top w:val="nil"/>
              <w:left w:val="nil"/>
              <w:bottom w:val="nil"/>
              <w:right w:val="nil"/>
            </w:tcBorders>
            <w:shd w:val="clear" w:color="auto" w:fill="auto"/>
            <w:vAlign w:val="center"/>
            <w:hideMark/>
          </w:tcPr>
          <w:p w:rsidR="00166DA5" w:rsidRPr="00A6699D" w:rsidRDefault="00166DA5" w:rsidP="00DF5430">
            <w:pPr>
              <w:jc w:val="center"/>
              <w:rPr>
                <w:b/>
                <w:bCs/>
                <w:color w:val="000000"/>
              </w:rPr>
            </w:pPr>
            <w:r w:rsidRPr="00A6699D">
              <w:rPr>
                <w:b/>
                <w:bCs/>
                <w:color w:val="000000"/>
              </w:rPr>
              <w:t> </w:t>
            </w:r>
          </w:p>
        </w:tc>
        <w:tc>
          <w:tcPr>
            <w:tcW w:w="1005" w:type="pct"/>
            <w:tcBorders>
              <w:top w:val="nil"/>
              <w:left w:val="nil"/>
              <w:bottom w:val="single" w:sz="4" w:space="0" w:color="auto"/>
              <w:right w:val="nil"/>
            </w:tcBorders>
            <w:shd w:val="clear" w:color="auto" w:fill="auto"/>
            <w:vAlign w:val="center"/>
            <w:hideMark/>
          </w:tcPr>
          <w:p w:rsidR="00166DA5" w:rsidRPr="00A6699D" w:rsidRDefault="00166DA5" w:rsidP="00DF5430">
            <w:pPr>
              <w:jc w:val="center"/>
              <w:rPr>
                <w:b/>
                <w:bCs/>
                <w:color w:val="000000"/>
              </w:rPr>
            </w:pPr>
            <w:r w:rsidRPr="00A6699D">
              <w:rPr>
                <w:b/>
                <w:bCs/>
                <w:color w:val="000000"/>
              </w:rPr>
              <w:t>Saldo em 31/12/2016</w:t>
            </w:r>
          </w:p>
        </w:tc>
      </w:tr>
      <w:tr w:rsidR="00166DA5" w:rsidRPr="00A6699D" w:rsidTr="009A59F5">
        <w:tc>
          <w:tcPr>
            <w:tcW w:w="324" w:type="pct"/>
            <w:tcBorders>
              <w:top w:val="nil"/>
              <w:left w:val="nil"/>
              <w:bottom w:val="nil"/>
              <w:right w:val="nil"/>
            </w:tcBorders>
            <w:shd w:val="clear" w:color="auto" w:fill="auto"/>
            <w:vAlign w:val="center"/>
            <w:hideMark/>
          </w:tcPr>
          <w:p w:rsidR="00166DA5" w:rsidRPr="00A6699D" w:rsidRDefault="00166DA5" w:rsidP="00DF5430">
            <w:pPr>
              <w:jc w:val="center"/>
              <w:rPr>
                <w:color w:val="000000"/>
                <w:sz w:val="18"/>
                <w:szCs w:val="18"/>
              </w:rPr>
            </w:pPr>
            <w:r>
              <w:rPr>
                <w:color w:val="000000"/>
                <w:sz w:val="18"/>
                <w:szCs w:val="18"/>
              </w:rPr>
              <w:t>a</w:t>
            </w:r>
          </w:p>
        </w:tc>
        <w:tc>
          <w:tcPr>
            <w:tcW w:w="2479" w:type="pct"/>
            <w:tcBorders>
              <w:top w:val="nil"/>
              <w:left w:val="nil"/>
              <w:bottom w:val="nil"/>
              <w:right w:val="nil"/>
            </w:tcBorders>
            <w:shd w:val="clear" w:color="auto" w:fill="auto"/>
            <w:vAlign w:val="center"/>
            <w:hideMark/>
          </w:tcPr>
          <w:p w:rsidR="00166DA5" w:rsidRPr="00A6699D" w:rsidRDefault="00166DA5" w:rsidP="00DF5430">
            <w:pPr>
              <w:jc w:val="both"/>
              <w:rPr>
                <w:color w:val="000000"/>
                <w:sz w:val="18"/>
                <w:szCs w:val="18"/>
              </w:rPr>
            </w:pPr>
            <w:r w:rsidRPr="00A6699D">
              <w:rPr>
                <w:color w:val="000000"/>
                <w:sz w:val="18"/>
                <w:szCs w:val="18"/>
              </w:rPr>
              <w:t>Subvenções e Doações para Investimentos</w:t>
            </w:r>
          </w:p>
        </w:tc>
        <w:tc>
          <w:tcPr>
            <w:tcW w:w="1047"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w:t>
            </w:r>
          </w:p>
        </w:tc>
        <w:tc>
          <w:tcPr>
            <w:tcW w:w="146"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 </w:t>
            </w:r>
          </w:p>
        </w:tc>
        <w:tc>
          <w:tcPr>
            <w:tcW w:w="1005"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11.188</w:t>
            </w:r>
          </w:p>
        </w:tc>
      </w:tr>
      <w:tr w:rsidR="00166DA5" w:rsidRPr="00A6699D" w:rsidTr="009A59F5">
        <w:tc>
          <w:tcPr>
            <w:tcW w:w="324" w:type="pct"/>
            <w:tcBorders>
              <w:top w:val="nil"/>
              <w:left w:val="nil"/>
              <w:bottom w:val="nil"/>
              <w:right w:val="nil"/>
            </w:tcBorders>
            <w:shd w:val="clear" w:color="auto" w:fill="auto"/>
            <w:vAlign w:val="center"/>
            <w:hideMark/>
          </w:tcPr>
          <w:p w:rsidR="00166DA5" w:rsidRPr="00A6699D" w:rsidRDefault="00166DA5" w:rsidP="00DF5430">
            <w:pPr>
              <w:jc w:val="center"/>
              <w:rPr>
                <w:color w:val="000000"/>
                <w:sz w:val="18"/>
                <w:szCs w:val="18"/>
              </w:rPr>
            </w:pPr>
            <w:r>
              <w:rPr>
                <w:color w:val="000000"/>
                <w:sz w:val="18"/>
                <w:szCs w:val="18"/>
              </w:rPr>
              <w:t>a</w:t>
            </w:r>
          </w:p>
        </w:tc>
        <w:tc>
          <w:tcPr>
            <w:tcW w:w="2479" w:type="pct"/>
            <w:tcBorders>
              <w:top w:val="nil"/>
              <w:left w:val="nil"/>
              <w:bottom w:val="nil"/>
              <w:right w:val="nil"/>
            </w:tcBorders>
            <w:shd w:val="clear" w:color="auto" w:fill="auto"/>
            <w:vAlign w:val="center"/>
            <w:hideMark/>
          </w:tcPr>
          <w:p w:rsidR="00166DA5" w:rsidRPr="00A6699D" w:rsidRDefault="00166DA5" w:rsidP="00DF5430">
            <w:pPr>
              <w:jc w:val="both"/>
              <w:rPr>
                <w:color w:val="000000"/>
                <w:sz w:val="18"/>
                <w:szCs w:val="18"/>
              </w:rPr>
            </w:pPr>
            <w:r w:rsidRPr="00A6699D">
              <w:rPr>
                <w:color w:val="000000"/>
                <w:sz w:val="18"/>
                <w:szCs w:val="18"/>
              </w:rPr>
              <w:t>Receita Diferida</w:t>
            </w:r>
          </w:p>
        </w:tc>
        <w:tc>
          <w:tcPr>
            <w:tcW w:w="1047"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w:t>
            </w:r>
          </w:p>
        </w:tc>
        <w:tc>
          <w:tcPr>
            <w:tcW w:w="146"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 </w:t>
            </w:r>
          </w:p>
        </w:tc>
        <w:tc>
          <w:tcPr>
            <w:tcW w:w="1005"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331.427</w:t>
            </w:r>
          </w:p>
        </w:tc>
      </w:tr>
      <w:tr w:rsidR="00166DA5" w:rsidRPr="00A6699D" w:rsidTr="009A59F5">
        <w:tc>
          <w:tcPr>
            <w:tcW w:w="324" w:type="pct"/>
            <w:tcBorders>
              <w:top w:val="nil"/>
              <w:left w:val="nil"/>
              <w:bottom w:val="nil"/>
              <w:right w:val="nil"/>
            </w:tcBorders>
            <w:shd w:val="clear" w:color="auto" w:fill="auto"/>
            <w:vAlign w:val="center"/>
            <w:hideMark/>
          </w:tcPr>
          <w:p w:rsidR="00166DA5" w:rsidRPr="00A6699D" w:rsidRDefault="00166DA5" w:rsidP="00DF5430">
            <w:pPr>
              <w:jc w:val="center"/>
              <w:rPr>
                <w:color w:val="000000"/>
                <w:sz w:val="18"/>
                <w:szCs w:val="18"/>
              </w:rPr>
            </w:pPr>
            <w:r>
              <w:rPr>
                <w:color w:val="000000"/>
                <w:sz w:val="18"/>
                <w:szCs w:val="18"/>
              </w:rPr>
              <w:t>a</w:t>
            </w:r>
          </w:p>
        </w:tc>
        <w:tc>
          <w:tcPr>
            <w:tcW w:w="2479" w:type="pct"/>
            <w:tcBorders>
              <w:top w:val="nil"/>
              <w:left w:val="nil"/>
              <w:bottom w:val="nil"/>
              <w:right w:val="nil"/>
            </w:tcBorders>
            <w:shd w:val="clear" w:color="auto" w:fill="auto"/>
            <w:vAlign w:val="center"/>
            <w:hideMark/>
          </w:tcPr>
          <w:p w:rsidR="00166DA5" w:rsidRPr="00A6699D" w:rsidRDefault="00166DA5" w:rsidP="00DF5430">
            <w:pPr>
              <w:jc w:val="both"/>
              <w:rPr>
                <w:color w:val="000000"/>
                <w:sz w:val="18"/>
                <w:szCs w:val="18"/>
              </w:rPr>
            </w:pPr>
            <w:r w:rsidRPr="00A6699D">
              <w:rPr>
                <w:color w:val="000000"/>
                <w:sz w:val="18"/>
                <w:szCs w:val="18"/>
              </w:rPr>
              <w:t>AFAC/ PNC</w:t>
            </w:r>
          </w:p>
        </w:tc>
        <w:tc>
          <w:tcPr>
            <w:tcW w:w="1047"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327.989</w:t>
            </w:r>
          </w:p>
        </w:tc>
        <w:tc>
          <w:tcPr>
            <w:tcW w:w="146"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 </w:t>
            </w:r>
          </w:p>
        </w:tc>
        <w:tc>
          <w:tcPr>
            <w:tcW w:w="1005"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w:t>
            </w:r>
          </w:p>
        </w:tc>
      </w:tr>
      <w:tr w:rsidR="00166DA5" w:rsidRPr="00A6699D" w:rsidTr="009A59F5">
        <w:tc>
          <w:tcPr>
            <w:tcW w:w="324" w:type="pct"/>
            <w:tcBorders>
              <w:top w:val="nil"/>
              <w:left w:val="nil"/>
              <w:bottom w:val="nil"/>
              <w:right w:val="nil"/>
            </w:tcBorders>
            <w:shd w:val="clear" w:color="auto" w:fill="auto"/>
            <w:vAlign w:val="center"/>
            <w:hideMark/>
          </w:tcPr>
          <w:p w:rsidR="00166DA5" w:rsidRPr="00A6699D" w:rsidRDefault="00166DA5" w:rsidP="00DF5430">
            <w:pPr>
              <w:jc w:val="center"/>
              <w:rPr>
                <w:color w:val="000000"/>
                <w:sz w:val="18"/>
                <w:szCs w:val="18"/>
              </w:rPr>
            </w:pPr>
            <w:r>
              <w:rPr>
                <w:color w:val="000000"/>
                <w:sz w:val="18"/>
                <w:szCs w:val="18"/>
              </w:rPr>
              <w:t>a</w:t>
            </w:r>
          </w:p>
        </w:tc>
        <w:tc>
          <w:tcPr>
            <w:tcW w:w="2479" w:type="pct"/>
            <w:tcBorders>
              <w:top w:val="nil"/>
              <w:left w:val="nil"/>
              <w:bottom w:val="nil"/>
              <w:right w:val="nil"/>
            </w:tcBorders>
            <w:shd w:val="clear" w:color="auto" w:fill="auto"/>
            <w:vAlign w:val="center"/>
            <w:hideMark/>
          </w:tcPr>
          <w:p w:rsidR="00166DA5" w:rsidRPr="00A6699D" w:rsidRDefault="00166DA5" w:rsidP="00DF5430">
            <w:pPr>
              <w:jc w:val="both"/>
              <w:rPr>
                <w:color w:val="000000"/>
                <w:sz w:val="18"/>
                <w:szCs w:val="18"/>
              </w:rPr>
            </w:pPr>
            <w:r w:rsidRPr="00A6699D">
              <w:rPr>
                <w:color w:val="000000"/>
                <w:sz w:val="18"/>
                <w:szCs w:val="18"/>
              </w:rPr>
              <w:t>Receita / Resultado do Exercício de 2017</w:t>
            </w:r>
          </w:p>
        </w:tc>
        <w:tc>
          <w:tcPr>
            <w:tcW w:w="1047"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14.626</w:t>
            </w:r>
          </w:p>
        </w:tc>
        <w:tc>
          <w:tcPr>
            <w:tcW w:w="146"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 </w:t>
            </w:r>
          </w:p>
        </w:tc>
        <w:tc>
          <w:tcPr>
            <w:tcW w:w="1005"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w:t>
            </w:r>
          </w:p>
        </w:tc>
      </w:tr>
      <w:tr w:rsidR="00166DA5" w:rsidRPr="00A6699D" w:rsidTr="009A59F5">
        <w:tc>
          <w:tcPr>
            <w:tcW w:w="324" w:type="pct"/>
            <w:tcBorders>
              <w:top w:val="nil"/>
              <w:left w:val="nil"/>
              <w:bottom w:val="nil"/>
              <w:right w:val="nil"/>
            </w:tcBorders>
            <w:shd w:val="clear" w:color="auto" w:fill="auto"/>
            <w:vAlign w:val="center"/>
            <w:hideMark/>
          </w:tcPr>
          <w:p w:rsidR="00166DA5" w:rsidRPr="00A6699D" w:rsidRDefault="00166DA5" w:rsidP="00DF5430">
            <w:pPr>
              <w:jc w:val="center"/>
              <w:rPr>
                <w:color w:val="000000"/>
                <w:sz w:val="18"/>
                <w:szCs w:val="18"/>
              </w:rPr>
            </w:pPr>
            <w:r>
              <w:rPr>
                <w:color w:val="000000"/>
                <w:sz w:val="18"/>
                <w:szCs w:val="18"/>
              </w:rPr>
              <w:t>b</w:t>
            </w:r>
          </w:p>
        </w:tc>
        <w:tc>
          <w:tcPr>
            <w:tcW w:w="2479" w:type="pct"/>
            <w:tcBorders>
              <w:top w:val="nil"/>
              <w:left w:val="nil"/>
              <w:bottom w:val="nil"/>
              <w:right w:val="nil"/>
            </w:tcBorders>
            <w:shd w:val="clear" w:color="auto" w:fill="auto"/>
            <w:vAlign w:val="center"/>
            <w:hideMark/>
          </w:tcPr>
          <w:p w:rsidR="00166DA5" w:rsidRPr="00A6699D" w:rsidRDefault="00166DA5" w:rsidP="00DF5430">
            <w:pPr>
              <w:jc w:val="both"/>
              <w:rPr>
                <w:color w:val="000000"/>
                <w:sz w:val="18"/>
                <w:szCs w:val="18"/>
              </w:rPr>
            </w:pPr>
            <w:r w:rsidRPr="00A6699D">
              <w:rPr>
                <w:color w:val="000000"/>
                <w:sz w:val="18"/>
                <w:szCs w:val="18"/>
              </w:rPr>
              <w:t>Custo Diferido</w:t>
            </w:r>
          </w:p>
        </w:tc>
        <w:tc>
          <w:tcPr>
            <w:tcW w:w="1047"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w:t>
            </w:r>
          </w:p>
        </w:tc>
        <w:tc>
          <w:tcPr>
            <w:tcW w:w="146"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 </w:t>
            </w:r>
          </w:p>
        </w:tc>
        <w:tc>
          <w:tcPr>
            <w:tcW w:w="1005"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34.278</w:t>
            </w:r>
          </w:p>
        </w:tc>
      </w:tr>
      <w:tr w:rsidR="00166DA5" w:rsidRPr="00A6699D" w:rsidTr="009A59F5">
        <w:tc>
          <w:tcPr>
            <w:tcW w:w="324" w:type="pct"/>
            <w:tcBorders>
              <w:top w:val="nil"/>
              <w:left w:val="nil"/>
              <w:bottom w:val="nil"/>
              <w:right w:val="nil"/>
            </w:tcBorders>
            <w:shd w:val="clear" w:color="auto" w:fill="auto"/>
            <w:vAlign w:val="center"/>
            <w:hideMark/>
          </w:tcPr>
          <w:p w:rsidR="00166DA5" w:rsidRPr="00A6699D" w:rsidRDefault="00166DA5" w:rsidP="00DF5430">
            <w:pPr>
              <w:jc w:val="center"/>
              <w:rPr>
                <w:color w:val="000000"/>
                <w:sz w:val="18"/>
                <w:szCs w:val="18"/>
              </w:rPr>
            </w:pPr>
            <w:r>
              <w:rPr>
                <w:color w:val="000000"/>
                <w:sz w:val="18"/>
                <w:szCs w:val="18"/>
              </w:rPr>
              <w:t>b</w:t>
            </w:r>
          </w:p>
        </w:tc>
        <w:tc>
          <w:tcPr>
            <w:tcW w:w="2479" w:type="pct"/>
            <w:tcBorders>
              <w:top w:val="nil"/>
              <w:left w:val="nil"/>
              <w:bottom w:val="nil"/>
              <w:right w:val="nil"/>
            </w:tcBorders>
            <w:shd w:val="clear" w:color="auto" w:fill="auto"/>
            <w:vAlign w:val="center"/>
            <w:hideMark/>
          </w:tcPr>
          <w:p w:rsidR="00166DA5" w:rsidRPr="00A6699D" w:rsidRDefault="00166DA5" w:rsidP="00DF5430">
            <w:pPr>
              <w:jc w:val="both"/>
              <w:rPr>
                <w:color w:val="000000"/>
                <w:sz w:val="18"/>
                <w:szCs w:val="18"/>
              </w:rPr>
            </w:pPr>
            <w:r w:rsidRPr="00A6699D">
              <w:rPr>
                <w:color w:val="000000"/>
                <w:sz w:val="18"/>
                <w:szCs w:val="18"/>
              </w:rPr>
              <w:t>Despesa/ Resultado do Exercício de 2017</w:t>
            </w:r>
          </w:p>
        </w:tc>
        <w:tc>
          <w:tcPr>
            <w:tcW w:w="1047"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34.278</w:t>
            </w:r>
          </w:p>
        </w:tc>
        <w:tc>
          <w:tcPr>
            <w:tcW w:w="146"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 </w:t>
            </w:r>
          </w:p>
        </w:tc>
        <w:tc>
          <w:tcPr>
            <w:tcW w:w="1005"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w:t>
            </w:r>
          </w:p>
        </w:tc>
      </w:tr>
      <w:tr w:rsidR="00166DA5" w:rsidRPr="00A6699D" w:rsidTr="009A59F5">
        <w:tc>
          <w:tcPr>
            <w:tcW w:w="324" w:type="pct"/>
            <w:tcBorders>
              <w:top w:val="nil"/>
              <w:left w:val="nil"/>
              <w:bottom w:val="nil"/>
              <w:right w:val="nil"/>
            </w:tcBorders>
            <w:shd w:val="clear" w:color="auto" w:fill="auto"/>
            <w:vAlign w:val="center"/>
            <w:hideMark/>
          </w:tcPr>
          <w:p w:rsidR="00166DA5" w:rsidRPr="00A6699D" w:rsidRDefault="00166DA5" w:rsidP="00DF5430">
            <w:pPr>
              <w:jc w:val="center"/>
              <w:rPr>
                <w:color w:val="000000"/>
                <w:sz w:val="18"/>
                <w:szCs w:val="18"/>
              </w:rPr>
            </w:pPr>
            <w:r>
              <w:rPr>
                <w:color w:val="000000"/>
                <w:sz w:val="18"/>
                <w:szCs w:val="18"/>
              </w:rPr>
              <w:t>c</w:t>
            </w:r>
          </w:p>
        </w:tc>
        <w:tc>
          <w:tcPr>
            <w:tcW w:w="2479" w:type="pct"/>
            <w:tcBorders>
              <w:top w:val="nil"/>
              <w:left w:val="nil"/>
              <w:bottom w:val="nil"/>
              <w:right w:val="nil"/>
            </w:tcBorders>
            <w:shd w:val="clear" w:color="auto" w:fill="auto"/>
            <w:vAlign w:val="center"/>
            <w:hideMark/>
          </w:tcPr>
          <w:p w:rsidR="00166DA5" w:rsidRPr="00A6699D" w:rsidRDefault="00166DA5" w:rsidP="00DF5430">
            <w:pPr>
              <w:jc w:val="both"/>
              <w:rPr>
                <w:color w:val="000000"/>
                <w:sz w:val="18"/>
                <w:szCs w:val="18"/>
              </w:rPr>
            </w:pPr>
            <w:r w:rsidRPr="00A6699D">
              <w:rPr>
                <w:color w:val="000000"/>
                <w:sz w:val="18"/>
                <w:szCs w:val="18"/>
              </w:rPr>
              <w:t>Correção pela Taxa SELIC s/ AFAC/PNC “C”</w:t>
            </w:r>
          </w:p>
        </w:tc>
        <w:tc>
          <w:tcPr>
            <w:tcW w:w="1047"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127.102</w:t>
            </w:r>
          </w:p>
        </w:tc>
        <w:tc>
          <w:tcPr>
            <w:tcW w:w="146"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 </w:t>
            </w:r>
          </w:p>
        </w:tc>
        <w:tc>
          <w:tcPr>
            <w:tcW w:w="1005"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w:t>
            </w:r>
          </w:p>
        </w:tc>
      </w:tr>
      <w:tr w:rsidR="00166DA5" w:rsidRPr="00A6699D" w:rsidTr="009A59F5">
        <w:tc>
          <w:tcPr>
            <w:tcW w:w="324" w:type="pct"/>
            <w:tcBorders>
              <w:top w:val="nil"/>
              <w:left w:val="nil"/>
              <w:bottom w:val="nil"/>
              <w:right w:val="nil"/>
            </w:tcBorders>
            <w:shd w:val="clear" w:color="auto" w:fill="auto"/>
            <w:vAlign w:val="center"/>
            <w:hideMark/>
          </w:tcPr>
          <w:p w:rsidR="00166DA5" w:rsidRPr="00A6699D" w:rsidRDefault="00166DA5" w:rsidP="00DF5430">
            <w:pPr>
              <w:jc w:val="center"/>
              <w:rPr>
                <w:color w:val="000000"/>
                <w:sz w:val="18"/>
                <w:szCs w:val="18"/>
              </w:rPr>
            </w:pPr>
            <w:r>
              <w:rPr>
                <w:color w:val="000000"/>
                <w:sz w:val="18"/>
                <w:szCs w:val="18"/>
              </w:rPr>
              <w:t>c</w:t>
            </w:r>
          </w:p>
        </w:tc>
        <w:tc>
          <w:tcPr>
            <w:tcW w:w="2479" w:type="pct"/>
            <w:tcBorders>
              <w:top w:val="nil"/>
              <w:left w:val="nil"/>
              <w:bottom w:val="nil"/>
              <w:right w:val="nil"/>
            </w:tcBorders>
            <w:shd w:val="clear" w:color="auto" w:fill="auto"/>
            <w:vAlign w:val="center"/>
            <w:hideMark/>
          </w:tcPr>
          <w:p w:rsidR="00166DA5" w:rsidRPr="00A6699D" w:rsidRDefault="00166DA5" w:rsidP="00DF5430">
            <w:pPr>
              <w:jc w:val="both"/>
              <w:rPr>
                <w:color w:val="000000"/>
                <w:sz w:val="18"/>
                <w:szCs w:val="18"/>
              </w:rPr>
            </w:pPr>
            <w:r w:rsidRPr="00A6699D">
              <w:rPr>
                <w:color w:val="000000"/>
                <w:sz w:val="18"/>
                <w:szCs w:val="18"/>
              </w:rPr>
              <w:t>Despesa/Resultado do Exercício de 2017 “D”</w:t>
            </w:r>
          </w:p>
        </w:tc>
        <w:tc>
          <w:tcPr>
            <w:tcW w:w="1047"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127.102</w:t>
            </w:r>
          </w:p>
        </w:tc>
        <w:tc>
          <w:tcPr>
            <w:tcW w:w="146"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 </w:t>
            </w:r>
          </w:p>
        </w:tc>
        <w:tc>
          <w:tcPr>
            <w:tcW w:w="1005"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w:t>
            </w:r>
          </w:p>
        </w:tc>
      </w:tr>
      <w:tr w:rsidR="00166DA5" w:rsidRPr="00A6699D" w:rsidTr="009A59F5">
        <w:tc>
          <w:tcPr>
            <w:tcW w:w="324" w:type="pct"/>
            <w:tcBorders>
              <w:top w:val="nil"/>
              <w:left w:val="nil"/>
              <w:bottom w:val="nil"/>
              <w:right w:val="nil"/>
            </w:tcBorders>
            <w:shd w:val="clear" w:color="auto" w:fill="auto"/>
            <w:vAlign w:val="center"/>
            <w:hideMark/>
          </w:tcPr>
          <w:p w:rsidR="00166DA5" w:rsidRPr="00A6699D" w:rsidRDefault="00166DA5" w:rsidP="00DF5430">
            <w:pPr>
              <w:jc w:val="center"/>
              <w:rPr>
                <w:color w:val="000000"/>
                <w:sz w:val="18"/>
                <w:szCs w:val="18"/>
              </w:rPr>
            </w:pPr>
            <w:r>
              <w:rPr>
                <w:color w:val="000000"/>
                <w:sz w:val="18"/>
                <w:szCs w:val="18"/>
              </w:rPr>
              <w:t>d</w:t>
            </w:r>
          </w:p>
        </w:tc>
        <w:tc>
          <w:tcPr>
            <w:tcW w:w="2479" w:type="pct"/>
            <w:tcBorders>
              <w:top w:val="nil"/>
              <w:left w:val="nil"/>
              <w:bottom w:val="nil"/>
              <w:right w:val="nil"/>
            </w:tcBorders>
            <w:shd w:val="clear" w:color="auto" w:fill="auto"/>
            <w:vAlign w:val="center"/>
            <w:hideMark/>
          </w:tcPr>
          <w:p w:rsidR="00166DA5" w:rsidRPr="00A6699D" w:rsidRDefault="00166DA5" w:rsidP="00DF5430">
            <w:pPr>
              <w:jc w:val="both"/>
              <w:rPr>
                <w:color w:val="000000"/>
                <w:sz w:val="18"/>
                <w:szCs w:val="18"/>
              </w:rPr>
            </w:pPr>
            <w:r w:rsidRPr="00A6699D">
              <w:rPr>
                <w:color w:val="000000"/>
                <w:sz w:val="18"/>
                <w:szCs w:val="18"/>
              </w:rPr>
              <w:t>Repasses a partir de 01/01/2017 &gt; AFAC/PL</w:t>
            </w:r>
          </w:p>
        </w:tc>
        <w:tc>
          <w:tcPr>
            <w:tcW w:w="1047"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165.273</w:t>
            </w:r>
          </w:p>
        </w:tc>
        <w:tc>
          <w:tcPr>
            <w:tcW w:w="146"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 </w:t>
            </w:r>
          </w:p>
        </w:tc>
        <w:tc>
          <w:tcPr>
            <w:tcW w:w="1005" w:type="pct"/>
            <w:tcBorders>
              <w:top w:val="nil"/>
              <w:left w:val="nil"/>
              <w:bottom w:val="nil"/>
              <w:right w:val="nil"/>
            </w:tcBorders>
            <w:shd w:val="clear" w:color="auto" w:fill="auto"/>
            <w:vAlign w:val="center"/>
            <w:hideMark/>
          </w:tcPr>
          <w:p w:rsidR="00166DA5" w:rsidRPr="00A6699D" w:rsidRDefault="00166DA5" w:rsidP="00DF5430">
            <w:pPr>
              <w:jc w:val="right"/>
              <w:rPr>
                <w:color w:val="000000"/>
                <w:sz w:val="18"/>
                <w:szCs w:val="18"/>
              </w:rPr>
            </w:pPr>
            <w:r w:rsidRPr="00A6699D">
              <w:rPr>
                <w:color w:val="000000"/>
                <w:sz w:val="18"/>
                <w:szCs w:val="18"/>
              </w:rPr>
              <w:t>-</w:t>
            </w:r>
          </w:p>
        </w:tc>
      </w:tr>
    </w:tbl>
    <w:p w:rsidR="00166DA5" w:rsidRDefault="00166DA5" w:rsidP="00166DA5">
      <w:pPr>
        <w:jc w:val="both"/>
      </w:pPr>
    </w:p>
    <w:p w:rsidR="00854257" w:rsidRDefault="00F64405" w:rsidP="00854257">
      <w:pPr>
        <w:jc w:val="both"/>
      </w:pPr>
      <w:r>
        <w:t>Para adequar os registros contábeis à</w:t>
      </w:r>
      <w:r w:rsidR="006C198A">
        <w:t xml:space="preserve"> mu</w:t>
      </w:r>
      <w:r w:rsidR="00661B17">
        <w:t>dança de</w:t>
      </w:r>
      <w:r w:rsidR="00A63E89">
        <w:t xml:space="preserve"> critério </w:t>
      </w:r>
      <w:r>
        <w:t>citada na</w:t>
      </w:r>
      <w:r w:rsidR="00854257" w:rsidRPr="00986313">
        <w:t xml:space="preserve"> Nota 0</w:t>
      </w:r>
      <w:r w:rsidR="00854257">
        <w:t>2</w:t>
      </w:r>
      <w:r w:rsidR="00854257" w:rsidRPr="00986313">
        <w:t>, letra “b”</w:t>
      </w:r>
      <w:r w:rsidR="006C198A">
        <w:t xml:space="preserve">, foram realizados os seguintes </w:t>
      </w:r>
      <w:r w:rsidR="00A32166">
        <w:t>ajustes</w:t>
      </w:r>
      <w:r w:rsidR="006C198A">
        <w:t>:</w:t>
      </w:r>
    </w:p>
    <w:p w:rsidR="00854257" w:rsidRDefault="00854257" w:rsidP="008602D8">
      <w:pPr>
        <w:jc w:val="both"/>
        <w:rPr>
          <w:b/>
        </w:rPr>
      </w:pPr>
    </w:p>
    <w:p w:rsidR="00514427" w:rsidRDefault="006C198A" w:rsidP="008602D8">
      <w:pPr>
        <w:jc w:val="both"/>
        <w:rPr>
          <w:b/>
        </w:rPr>
      </w:pPr>
      <w:r>
        <w:t>(a</w:t>
      </w:r>
      <w:r w:rsidR="00514427">
        <w:t>) O</w:t>
      </w:r>
      <w:r w:rsidR="00514427" w:rsidRPr="0088116E">
        <w:t xml:space="preserve"> saldo </w:t>
      </w:r>
      <w:r w:rsidR="00A63E89">
        <w:t>em 31/12/2016 d</w:t>
      </w:r>
      <w:r w:rsidR="00514427">
        <w:t>as contas de Subvenções</w:t>
      </w:r>
      <w:r w:rsidR="0077691E">
        <w:t xml:space="preserve"> </w:t>
      </w:r>
      <w:r w:rsidR="00514427">
        <w:t>e Receita Diferida</w:t>
      </w:r>
      <w:r w:rsidR="00F52F18">
        <w:t>,</w:t>
      </w:r>
      <w:r w:rsidR="00514427">
        <w:t xml:space="preserve"> </w:t>
      </w:r>
      <w:r w:rsidR="00661B17">
        <w:t xml:space="preserve">de </w:t>
      </w:r>
      <w:r w:rsidR="00F52F18">
        <w:t>R$ 11.188</w:t>
      </w:r>
      <w:r w:rsidR="00104128">
        <w:t xml:space="preserve"> </w:t>
      </w:r>
      <w:r w:rsidR="00F52F18">
        <w:t xml:space="preserve">e </w:t>
      </w:r>
      <w:r w:rsidR="00514427">
        <w:t>R$ 331.427,</w:t>
      </w:r>
      <w:r w:rsidR="00F52F18">
        <w:t xml:space="preserve"> respectivamente, </w:t>
      </w:r>
      <w:r w:rsidR="00514427" w:rsidRPr="0088116E">
        <w:t>foi</w:t>
      </w:r>
      <w:r w:rsidR="00514427">
        <w:t xml:space="preserve"> transferido para as seguintes contas: </w:t>
      </w:r>
      <w:r>
        <w:t xml:space="preserve">R$ 327.989 </w:t>
      </w:r>
      <w:r w:rsidR="0077691E">
        <w:t xml:space="preserve">para a conta </w:t>
      </w:r>
      <w:r>
        <w:t xml:space="preserve">de </w:t>
      </w:r>
      <w:r w:rsidR="0077691E">
        <w:t>Adiantamento para Futuro Aumento de Capital (</w:t>
      </w:r>
      <w:r w:rsidR="00514427">
        <w:t>AFAC</w:t>
      </w:r>
      <w:r w:rsidR="0077691E">
        <w:t>)</w:t>
      </w:r>
      <w:r w:rsidR="00514427">
        <w:t xml:space="preserve"> no Passivo Não Circulante e </w:t>
      </w:r>
      <w:r>
        <w:t>R$ 14.626 e</w:t>
      </w:r>
      <w:r w:rsidR="00514427">
        <w:t xml:space="preserve"> Receita / Resultado do Exercício de 2017.</w:t>
      </w:r>
    </w:p>
    <w:p w:rsidR="00514427" w:rsidRDefault="00514427" w:rsidP="008602D8">
      <w:pPr>
        <w:jc w:val="both"/>
      </w:pPr>
    </w:p>
    <w:p w:rsidR="00514427" w:rsidRDefault="00514427" w:rsidP="008602D8">
      <w:pPr>
        <w:jc w:val="both"/>
      </w:pPr>
      <w:r>
        <w:t>(</w:t>
      </w:r>
      <w:r w:rsidR="006C198A">
        <w:t>b</w:t>
      </w:r>
      <w:r>
        <w:t xml:space="preserve">) </w:t>
      </w:r>
      <w:r w:rsidRPr="0088116E">
        <w:t xml:space="preserve">O </w:t>
      </w:r>
      <w:r w:rsidR="00A63E89">
        <w:t>saldo d</w:t>
      </w:r>
      <w:r>
        <w:t>a</w:t>
      </w:r>
      <w:r w:rsidRPr="0088116E">
        <w:t xml:space="preserve"> conta de Custo Diferido em </w:t>
      </w:r>
      <w:r>
        <w:t>31/12/2016 que</w:t>
      </w:r>
      <w:r w:rsidRPr="0088116E">
        <w:t xml:space="preserve"> era de R$ </w:t>
      </w:r>
      <w:r>
        <w:t>34.278, foi revertido para conta de Despesa do Exercício de 2017</w:t>
      </w:r>
      <w:r w:rsidRPr="0088116E">
        <w:t>.</w:t>
      </w:r>
    </w:p>
    <w:p w:rsidR="00514427" w:rsidRDefault="00514427" w:rsidP="008602D8">
      <w:pPr>
        <w:jc w:val="both"/>
      </w:pPr>
    </w:p>
    <w:p w:rsidR="00482B93" w:rsidRDefault="00482B93" w:rsidP="00482B93">
      <w:pPr>
        <w:pStyle w:val="PargrafodaLista"/>
        <w:ind w:left="-4"/>
        <w:jc w:val="both"/>
      </w:pPr>
      <w:r>
        <w:lastRenderedPageBreak/>
        <w:t xml:space="preserve">(c) </w:t>
      </w:r>
      <w:r w:rsidR="00514427">
        <w:t>O valor de</w:t>
      </w:r>
      <w:r w:rsidR="00F52F18">
        <w:t xml:space="preserve"> R$ </w:t>
      </w:r>
      <w:r w:rsidR="00363ED7">
        <w:t>127.102</w:t>
      </w:r>
      <w:r w:rsidR="00F52F18">
        <w:t xml:space="preserve"> </w:t>
      </w:r>
      <w:r w:rsidR="00575CEA">
        <w:t>refere-se</w:t>
      </w:r>
      <w:r w:rsidR="00F52F18">
        <w:t xml:space="preserve"> à</w:t>
      </w:r>
      <w:r>
        <w:t xml:space="preserve"> correção</w:t>
      </w:r>
      <w:r w:rsidR="00575CEA">
        <w:t xml:space="preserve"> do AFAC/PNC</w:t>
      </w:r>
      <w:r>
        <w:t xml:space="preserve"> pela </w:t>
      </w:r>
      <w:r w:rsidR="00A63E89">
        <w:t xml:space="preserve">Taxa </w:t>
      </w:r>
      <w:r>
        <w:t>SELIC</w:t>
      </w:r>
      <w:r w:rsidR="00A63E89">
        <w:t xml:space="preserve"> </w:t>
      </w:r>
      <w:r w:rsidR="00575CEA">
        <w:t>e</w:t>
      </w:r>
      <w:r>
        <w:t xml:space="preserve"> foi registrado em Despesa </w:t>
      </w:r>
      <w:r w:rsidR="00004524">
        <w:t xml:space="preserve">Financeira </w:t>
      </w:r>
      <w:r>
        <w:t>do Exercício de 2017.</w:t>
      </w:r>
    </w:p>
    <w:p w:rsidR="00514427" w:rsidRDefault="00514427" w:rsidP="008602D8">
      <w:pPr>
        <w:jc w:val="both"/>
      </w:pPr>
    </w:p>
    <w:p w:rsidR="00B3213B" w:rsidRDefault="00465E82" w:rsidP="00465E82">
      <w:pPr>
        <w:pStyle w:val="PargrafodaLista"/>
        <w:ind w:left="-4"/>
        <w:jc w:val="both"/>
      </w:pPr>
      <w:r>
        <w:t xml:space="preserve">(d) </w:t>
      </w:r>
      <w:r w:rsidR="00854257">
        <w:t>A partir de 01/0</w:t>
      </w:r>
      <w:r w:rsidR="00043C55">
        <w:t>1</w:t>
      </w:r>
      <w:r w:rsidR="00854257">
        <w:t>/2017</w:t>
      </w:r>
      <w:r w:rsidR="00AF0D6F">
        <w:t xml:space="preserve">, os repasses </w:t>
      </w:r>
      <w:r w:rsidR="00575CEA">
        <w:t xml:space="preserve">recebidos </w:t>
      </w:r>
      <w:r w:rsidR="00AF0D6F">
        <w:t>para investimentos, foram</w:t>
      </w:r>
      <w:r w:rsidR="00854257">
        <w:t xml:space="preserve"> registrado</w:t>
      </w:r>
      <w:r w:rsidR="00935A31">
        <w:t>s</w:t>
      </w:r>
      <w:r w:rsidR="00854257">
        <w:t xml:space="preserve"> em conta de Adiantamento para Futuro Aumento de Capital</w:t>
      </w:r>
      <w:r w:rsidR="00935A31">
        <w:t xml:space="preserve"> (AFAC)</w:t>
      </w:r>
      <w:r w:rsidR="00615230">
        <w:t xml:space="preserve"> no Patrimônio Líquido</w:t>
      </w:r>
      <w:r w:rsidR="0083077F">
        <w:t xml:space="preserve"> e</w:t>
      </w:r>
      <w:r w:rsidR="00854257" w:rsidRPr="00615230">
        <w:t xml:space="preserve"> totaliza</w:t>
      </w:r>
      <w:r w:rsidR="00DB42F1">
        <w:t>m</w:t>
      </w:r>
      <w:r w:rsidR="00854257" w:rsidRPr="00615230">
        <w:t xml:space="preserve"> R$ </w:t>
      </w:r>
      <w:r w:rsidR="00A1017C">
        <w:t>165.</w:t>
      </w:r>
      <w:r w:rsidR="0083077F">
        <w:t>273</w:t>
      </w:r>
      <w:r w:rsidR="00615230" w:rsidRPr="00615230">
        <w:t xml:space="preserve"> em 31/12/2017.</w:t>
      </w:r>
    </w:p>
    <w:p w:rsidR="00AF0D6F" w:rsidRPr="00615230" w:rsidRDefault="00AF0D6F" w:rsidP="00AF0D6F">
      <w:pPr>
        <w:pStyle w:val="PargrafodaLista"/>
        <w:ind w:left="-4"/>
        <w:jc w:val="both"/>
      </w:pPr>
    </w:p>
    <w:p w:rsidR="00DE6E86" w:rsidRPr="0088116E" w:rsidRDefault="00DE6E86" w:rsidP="008602D8">
      <w:pPr>
        <w:jc w:val="both"/>
      </w:pPr>
    </w:p>
    <w:p w:rsidR="00B20F98" w:rsidRPr="00CD0813" w:rsidRDefault="008602D8" w:rsidP="00F27C83">
      <w:pPr>
        <w:pStyle w:val="Ttulo"/>
        <w:outlineLvl w:val="0"/>
      </w:pPr>
      <w:bookmarkStart w:id="42" w:name="_Ref466466096"/>
      <w:bookmarkStart w:id="43" w:name="_Ref466472246"/>
      <w:bookmarkStart w:id="44" w:name="_Ref476905221"/>
      <w:bookmarkStart w:id="45" w:name="_Toc512497278"/>
      <w:r w:rsidRPr="00CD0813">
        <w:t>Re</w:t>
      </w:r>
      <w:r w:rsidR="00455E06" w:rsidRPr="00CD0813">
        <w:t>ceita Diferida Líquida</w:t>
      </w:r>
      <w:bookmarkEnd w:id="42"/>
      <w:bookmarkEnd w:id="43"/>
      <w:bookmarkEnd w:id="44"/>
      <w:bookmarkEnd w:id="45"/>
      <w:r w:rsidR="00B20F98" w:rsidRPr="00CD0813">
        <w:t xml:space="preserve"> </w:t>
      </w:r>
    </w:p>
    <w:p w:rsidR="00B20F98" w:rsidRPr="00FD7B48" w:rsidRDefault="00B20F98" w:rsidP="00B20F98">
      <w:pPr>
        <w:jc w:val="both"/>
        <w:rPr>
          <w:b/>
        </w:rPr>
      </w:pPr>
    </w:p>
    <w:tbl>
      <w:tblPr>
        <w:tblW w:w="9162" w:type="dxa"/>
        <w:tblInd w:w="-17" w:type="dxa"/>
        <w:tblLayout w:type="fixed"/>
        <w:tblCellMar>
          <w:left w:w="0" w:type="dxa"/>
          <w:right w:w="0" w:type="dxa"/>
        </w:tblCellMar>
        <w:tblLook w:val="0000" w:firstRow="0" w:lastRow="0" w:firstColumn="0" w:lastColumn="0" w:noHBand="0" w:noVBand="0"/>
      </w:tblPr>
      <w:tblGrid>
        <w:gridCol w:w="5797"/>
        <w:gridCol w:w="1402"/>
        <w:gridCol w:w="281"/>
        <w:gridCol w:w="1682"/>
      </w:tblGrid>
      <w:tr w:rsidR="00FD7B48" w:rsidRPr="00DE6E86" w:rsidTr="00E060DF">
        <w:trPr>
          <w:trHeight w:val="255"/>
        </w:trPr>
        <w:tc>
          <w:tcPr>
            <w:tcW w:w="5797" w:type="dxa"/>
            <w:vAlign w:val="bottom"/>
          </w:tcPr>
          <w:p w:rsidR="00E060DF" w:rsidRPr="00DE6E86" w:rsidRDefault="00E060DF" w:rsidP="00FB3FD0">
            <w:pPr>
              <w:pStyle w:val="NormalWeb"/>
              <w:widowControl w:val="0"/>
              <w:spacing w:before="0" w:after="0" w:line="230" w:lineRule="auto"/>
              <w:rPr>
                <w:sz w:val="18"/>
                <w:szCs w:val="18"/>
                <w:lang w:val="pt-BR"/>
              </w:rPr>
            </w:pPr>
          </w:p>
        </w:tc>
        <w:tc>
          <w:tcPr>
            <w:tcW w:w="1402" w:type="dxa"/>
            <w:tcBorders>
              <w:bottom w:val="single" w:sz="4" w:space="0" w:color="auto"/>
            </w:tcBorders>
            <w:vAlign w:val="bottom"/>
          </w:tcPr>
          <w:p w:rsidR="00E060DF" w:rsidRPr="00DE6E86" w:rsidRDefault="00E060DF" w:rsidP="005651A6">
            <w:pPr>
              <w:widowControl w:val="0"/>
              <w:suppressLineNumbers/>
              <w:suppressAutoHyphens/>
              <w:spacing w:line="230" w:lineRule="auto"/>
              <w:jc w:val="center"/>
              <w:rPr>
                <w:b/>
                <w:sz w:val="18"/>
                <w:szCs w:val="18"/>
              </w:rPr>
            </w:pPr>
            <w:r w:rsidRPr="00DE6E86">
              <w:rPr>
                <w:b/>
                <w:sz w:val="18"/>
                <w:szCs w:val="18"/>
              </w:rPr>
              <w:t xml:space="preserve">       </w:t>
            </w:r>
            <w:r w:rsidR="00B635B3" w:rsidRPr="00DE6E86">
              <w:rPr>
                <w:b/>
                <w:sz w:val="18"/>
                <w:szCs w:val="18"/>
              </w:rPr>
              <w:t>31/12/201</w:t>
            </w:r>
            <w:r w:rsidR="00826DB2" w:rsidRPr="00DE6E86">
              <w:rPr>
                <w:b/>
                <w:sz w:val="18"/>
                <w:szCs w:val="18"/>
              </w:rPr>
              <w:t>7</w:t>
            </w:r>
          </w:p>
        </w:tc>
        <w:tc>
          <w:tcPr>
            <w:tcW w:w="281" w:type="dxa"/>
            <w:vAlign w:val="bottom"/>
          </w:tcPr>
          <w:p w:rsidR="00E060DF" w:rsidRPr="00DE6E86" w:rsidRDefault="00E060DF" w:rsidP="005651A6">
            <w:pPr>
              <w:widowControl w:val="0"/>
              <w:suppressLineNumbers/>
              <w:suppressAutoHyphens/>
              <w:spacing w:line="230" w:lineRule="auto"/>
              <w:rPr>
                <w:b/>
                <w:sz w:val="18"/>
                <w:szCs w:val="18"/>
              </w:rPr>
            </w:pPr>
          </w:p>
        </w:tc>
        <w:tc>
          <w:tcPr>
            <w:tcW w:w="1682" w:type="dxa"/>
            <w:tcBorders>
              <w:bottom w:val="single" w:sz="4" w:space="0" w:color="auto"/>
            </w:tcBorders>
            <w:vAlign w:val="bottom"/>
          </w:tcPr>
          <w:p w:rsidR="00E060DF" w:rsidRPr="00DE6E86" w:rsidRDefault="00B635B3" w:rsidP="00680A93">
            <w:pPr>
              <w:widowControl w:val="0"/>
              <w:suppressLineNumbers/>
              <w:suppressAutoHyphens/>
              <w:spacing w:line="230" w:lineRule="auto"/>
              <w:jc w:val="right"/>
              <w:rPr>
                <w:b/>
                <w:sz w:val="18"/>
                <w:szCs w:val="18"/>
              </w:rPr>
            </w:pPr>
            <w:r w:rsidRPr="00DE6E86">
              <w:rPr>
                <w:b/>
                <w:sz w:val="18"/>
                <w:szCs w:val="18"/>
              </w:rPr>
              <w:t>31/12/201</w:t>
            </w:r>
            <w:r w:rsidR="00680A93" w:rsidRPr="00DE6E86">
              <w:rPr>
                <w:b/>
                <w:sz w:val="18"/>
                <w:szCs w:val="18"/>
              </w:rPr>
              <w:t>6</w:t>
            </w:r>
          </w:p>
        </w:tc>
      </w:tr>
      <w:tr w:rsidR="00FD7B48" w:rsidRPr="00DE6E86" w:rsidTr="00E060DF">
        <w:trPr>
          <w:trHeight w:val="255"/>
        </w:trPr>
        <w:tc>
          <w:tcPr>
            <w:tcW w:w="5797" w:type="dxa"/>
            <w:vAlign w:val="bottom"/>
          </w:tcPr>
          <w:p w:rsidR="00925888" w:rsidRPr="00DE6E86" w:rsidRDefault="00925888" w:rsidP="00FB3FD0">
            <w:pPr>
              <w:pStyle w:val="NormalWeb"/>
              <w:widowControl w:val="0"/>
              <w:spacing w:before="0" w:after="0" w:line="230" w:lineRule="auto"/>
              <w:rPr>
                <w:sz w:val="18"/>
                <w:szCs w:val="18"/>
                <w:lang w:val="pt-BR"/>
              </w:rPr>
            </w:pPr>
            <w:r w:rsidRPr="00DE6E86">
              <w:rPr>
                <w:sz w:val="18"/>
                <w:szCs w:val="18"/>
                <w:lang w:val="pt-BR"/>
              </w:rPr>
              <w:t>Receita Diferida</w:t>
            </w:r>
          </w:p>
        </w:tc>
        <w:tc>
          <w:tcPr>
            <w:tcW w:w="1402" w:type="dxa"/>
            <w:tcBorders>
              <w:top w:val="single" w:sz="4" w:space="0" w:color="auto"/>
            </w:tcBorders>
            <w:vAlign w:val="bottom"/>
          </w:tcPr>
          <w:p w:rsidR="00925888" w:rsidRPr="00DE6E86" w:rsidRDefault="00925888" w:rsidP="00FB3FD0">
            <w:pPr>
              <w:pStyle w:val="NormalWeb"/>
              <w:widowControl w:val="0"/>
              <w:spacing w:before="0" w:after="0" w:line="230" w:lineRule="auto"/>
              <w:ind w:right="6"/>
              <w:jc w:val="right"/>
              <w:rPr>
                <w:sz w:val="18"/>
                <w:szCs w:val="18"/>
                <w:lang w:val="pt-BR"/>
              </w:rPr>
            </w:pPr>
          </w:p>
        </w:tc>
        <w:tc>
          <w:tcPr>
            <w:tcW w:w="281" w:type="dxa"/>
            <w:vAlign w:val="bottom"/>
          </w:tcPr>
          <w:p w:rsidR="00925888" w:rsidRPr="00DE6E86" w:rsidRDefault="00925888" w:rsidP="00FB3FD0">
            <w:pPr>
              <w:pStyle w:val="NormalWeb"/>
              <w:widowControl w:val="0"/>
              <w:spacing w:before="0" w:after="0" w:line="230" w:lineRule="auto"/>
              <w:rPr>
                <w:sz w:val="18"/>
                <w:szCs w:val="18"/>
                <w:lang w:val="pt-BR"/>
              </w:rPr>
            </w:pPr>
          </w:p>
        </w:tc>
        <w:tc>
          <w:tcPr>
            <w:tcW w:w="1682" w:type="dxa"/>
            <w:tcBorders>
              <w:top w:val="single" w:sz="4" w:space="0" w:color="auto"/>
            </w:tcBorders>
            <w:vAlign w:val="bottom"/>
          </w:tcPr>
          <w:p w:rsidR="00925888" w:rsidRPr="00DE6E86" w:rsidRDefault="00925888" w:rsidP="00FB3FD0">
            <w:pPr>
              <w:pStyle w:val="NormalWeb"/>
              <w:widowControl w:val="0"/>
              <w:spacing w:before="0" w:after="0" w:line="230" w:lineRule="auto"/>
              <w:ind w:right="6"/>
              <w:jc w:val="right"/>
              <w:rPr>
                <w:sz w:val="18"/>
                <w:szCs w:val="18"/>
                <w:lang w:val="pt-BR"/>
              </w:rPr>
            </w:pPr>
          </w:p>
        </w:tc>
      </w:tr>
      <w:tr w:rsidR="00FD7B48" w:rsidRPr="00DE6E86" w:rsidTr="00E060DF">
        <w:trPr>
          <w:trHeight w:val="255"/>
        </w:trPr>
        <w:tc>
          <w:tcPr>
            <w:tcW w:w="5797" w:type="dxa"/>
            <w:vAlign w:val="bottom"/>
          </w:tcPr>
          <w:p w:rsidR="001E222E" w:rsidRPr="00DE6E86" w:rsidRDefault="001E222E" w:rsidP="00925888">
            <w:pPr>
              <w:pStyle w:val="NormalWeb"/>
              <w:widowControl w:val="0"/>
              <w:spacing w:before="0" w:after="0" w:line="230" w:lineRule="auto"/>
              <w:rPr>
                <w:sz w:val="18"/>
                <w:szCs w:val="18"/>
                <w:lang w:val="pt-BR"/>
              </w:rPr>
            </w:pPr>
            <w:r w:rsidRPr="00DE6E86">
              <w:rPr>
                <w:sz w:val="18"/>
                <w:szCs w:val="18"/>
                <w:lang w:val="pt-BR"/>
              </w:rPr>
              <w:t xml:space="preserve">   Saldo Inicial</w:t>
            </w:r>
          </w:p>
        </w:tc>
        <w:tc>
          <w:tcPr>
            <w:tcW w:w="1402" w:type="dxa"/>
            <w:vAlign w:val="center"/>
          </w:tcPr>
          <w:p w:rsidR="001E222E" w:rsidRPr="00DE6E86" w:rsidRDefault="00826DB2" w:rsidP="00C17A2E">
            <w:pPr>
              <w:jc w:val="right"/>
              <w:rPr>
                <w:sz w:val="18"/>
                <w:szCs w:val="18"/>
              </w:rPr>
            </w:pPr>
            <w:r w:rsidRPr="00DE6E86">
              <w:rPr>
                <w:sz w:val="18"/>
                <w:szCs w:val="18"/>
              </w:rPr>
              <w:t>-</w:t>
            </w:r>
          </w:p>
        </w:tc>
        <w:tc>
          <w:tcPr>
            <w:tcW w:w="281" w:type="dxa"/>
            <w:vAlign w:val="bottom"/>
          </w:tcPr>
          <w:p w:rsidR="001E222E" w:rsidRPr="00DE6E86" w:rsidRDefault="001E222E" w:rsidP="00FB3FD0">
            <w:pPr>
              <w:pStyle w:val="NormalWeb"/>
              <w:widowControl w:val="0"/>
              <w:spacing w:before="0" w:after="0" w:line="230" w:lineRule="auto"/>
              <w:ind w:right="6"/>
              <w:jc w:val="right"/>
              <w:rPr>
                <w:sz w:val="18"/>
                <w:szCs w:val="18"/>
                <w:lang w:val="pt-BR"/>
              </w:rPr>
            </w:pPr>
          </w:p>
        </w:tc>
        <w:tc>
          <w:tcPr>
            <w:tcW w:w="1682" w:type="dxa"/>
            <w:vAlign w:val="center"/>
          </w:tcPr>
          <w:p w:rsidR="001E222E" w:rsidRPr="00DE6E86" w:rsidRDefault="00680A93">
            <w:pPr>
              <w:jc w:val="right"/>
              <w:rPr>
                <w:sz w:val="18"/>
                <w:szCs w:val="18"/>
              </w:rPr>
            </w:pPr>
            <w:r w:rsidRPr="00DE6E86">
              <w:rPr>
                <w:sz w:val="18"/>
                <w:szCs w:val="18"/>
              </w:rPr>
              <w:t>203.648</w:t>
            </w:r>
          </w:p>
        </w:tc>
      </w:tr>
      <w:tr w:rsidR="00FD7B48" w:rsidRPr="00DE6E86" w:rsidTr="00E060DF">
        <w:trPr>
          <w:trHeight w:val="255"/>
        </w:trPr>
        <w:tc>
          <w:tcPr>
            <w:tcW w:w="5797" w:type="dxa"/>
            <w:vAlign w:val="bottom"/>
          </w:tcPr>
          <w:p w:rsidR="001E222E" w:rsidRPr="00DE6E86" w:rsidRDefault="001E222E" w:rsidP="00925888">
            <w:pPr>
              <w:pStyle w:val="NormalWeb"/>
              <w:widowControl w:val="0"/>
              <w:spacing w:before="0" w:after="0" w:line="230" w:lineRule="auto"/>
              <w:rPr>
                <w:sz w:val="18"/>
                <w:szCs w:val="18"/>
                <w:lang w:val="pt-BR"/>
              </w:rPr>
            </w:pPr>
            <w:r w:rsidRPr="00DE6E86">
              <w:rPr>
                <w:sz w:val="18"/>
                <w:szCs w:val="18"/>
                <w:lang w:val="pt-BR"/>
              </w:rPr>
              <w:t xml:space="preserve">   Aquisições</w:t>
            </w:r>
          </w:p>
        </w:tc>
        <w:tc>
          <w:tcPr>
            <w:tcW w:w="1402" w:type="dxa"/>
            <w:vAlign w:val="center"/>
          </w:tcPr>
          <w:p w:rsidR="001E222E" w:rsidRPr="00DE6E86" w:rsidRDefault="00826DB2">
            <w:pPr>
              <w:jc w:val="right"/>
              <w:rPr>
                <w:sz w:val="18"/>
                <w:szCs w:val="18"/>
              </w:rPr>
            </w:pPr>
            <w:r w:rsidRPr="00DE6E86">
              <w:rPr>
                <w:sz w:val="18"/>
                <w:szCs w:val="18"/>
              </w:rPr>
              <w:t>-</w:t>
            </w:r>
          </w:p>
        </w:tc>
        <w:tc>
          <w:tcPr>
            <w:tcW w:w="281" w:type="dxa"/>
            <w:vAlign w:val="bottom"/>
          </w:tcPr>
          <w:p w:rsidR="001E222E" w:rsidRPr="00DE6E86" w:rsidRDefault="001E222E" w:rsidP="00FB3FD0">
            <w:pPr>
              <w:pStyle w:val="NormalWeb"/>
              <w:widowControl w:val="0"/>
              <w:spacing w:before="0" w:after="0" w:line="230" w:lineRule="auto"/>
              <w:ind w:right="6"/>
              <w:jc w:val="right"/>
              <w:rPr>
                <w:sz w:val="18"/>
                <w:szCs w:val="18"/>
                <w:lang w:val="pt-BR"/>
              </w:rPr>
            </w:pPr>
          </w:p>
        </w:tc>
        <w:tc>
          <w:tcPr>
            <w:tcW w:w="1682" w:type="dxa"/>
            <w:vAlign w:val="center"/>
          </w:tcPr>
          <w:p w:rsidR="001E222E" w:rsidRPr="00DE6E86" w:rsidRDefault="00680A93" w:rsidP="00D060B7">
            <w:pPr>
              <w:jc w:val="right"/>
              <w:rPr>
                <w:sz w:val="18"/>
                <w:szCs w:val="18"/>
              </w:rPr>
            </w:pPr>
            <w:r w:rsidRPr="00DE6E86">
              <w:rPr>
                <w:sz w:val="18"/>
                <w:szCs w:val="18"/>
              </w:rPr>
              <w:t>127.779</w:t>
            </w:r>
          </w:p>
        </w:tc>
      </w:tr>
      <w:tr w:rsidR="00FD7B48" w:rsidRPr="00DE6E86" w:rsidTr="00E060DF">
        <w:trPr>
          <w:trHeight w:val="229"/>
        </w:trPr>
        <w:tc>
          <w:tcPr>
            <w:tcW w:w="5797" w:type="dxa"/>
            <w:vAlign w:val="bottom"/>
          </w:tcPr>
          <w:p w:rsidR="00925888" w:rsidRPr="00DE6E86" w:rsidRDefault="00925888" w:rsidP="00FB3FD0">
            <w:pPr>
              <w:pStyle w:val="NormalWeb"/>
              <w:widowControl w:val="0"/>
              <w:spacing w:before="0" w:after="0"/>
              <w:rPr>
                <w:b/>
                <w:sz w:val="18"/>
                <w:szCs w:val="18"/>
                <w:lang w:val="pt-BR"/>
              </w:rPr>
            </w:pPr>
            <w:r w:rsidRPr="00DE6E86">
              <w:rPr>
                <w:b/>
                <w:sz w:val="18"/>
                <w:szCs w:val="18"/>
                <w:lang w:val="pt-BR"/>
              </w:rPr>
              <w:t>Saldo da Receita Diferida</w:t>
            </w:r>
          </w:p>
        </w:tc>
        <w:tc>
          <w:tcPr>
            <w:tcW w:w="1402" w:type="dxa"/>
            <w:tcBorders>
              <w:bottom w:val="single" w:sz="6" w:space="0" w:color="auto"/>
            </w:tcBorders>
            <w:vAlign w:val="bottom"/>
          </w:tcPr>
          <w:p w:rsidR="00925888" w:rsidRPr="00DE6E86" w:rsidRDefault="00826DB2" w:rsidP="000F0712">
            <w:pPr>
              <w:jc w:val="right"/>
              <w:rPr>
                <w:b/>
                <w:sz w:val="18"/>
                <w:szCs w:val="18"/>
              </w:rPr>
            </w:pPr>
            <w:r w:rsidRPr="00DE6E86">
              <w:rPr>
                <w:b/>
                <w:bCs/>
                <w:sz w:val="18"/>
                <w:szCs w:val="18"/>
              </w:rPr>
              <w:t>-</w:t>
            </w:r>
          </w:p>
        </w:tc>
        <w:tc>
          <w:tcPr>
            <w:tcW w:w="281" w:type="dxa"/>
            <w:vAlign w:val="bottom"/>
          </w:tcPr>
          <w:p w:rsidR="00925888" w:rsidRPr="00DE6E86" w:rsidRDefault="00925888" w:rsidP="00FB3FD0">
            <w:pPr>
              <w:pStyle w:val="NormalWeb"/>
              <w:widowControl w:val="0"/>
              <w:spacing w:before="0" w:after="0"/>
              <w:rPr>
                <w:b/>
                <w:sz w:val="18"/>
                <w:szCs w:val="18"/>
                <w:lang w:val="pt-BR"/>
              </w:rPr>
            </w:pPr>
          </w:p>
        </w:tc>
        <w:tc>
          <w:tcPr>
            <w:tcW w:w="1682" w:type="dxa"/>
            <w:tcBorders>
              <w:bottom w:val="single" w:sz="6" w:space="0" w:color="auto"/>
            </w:tcBorders>
            <w:vAlign w:val="bottom"/>
          </w:tcPr>
          <w:p w:rsidR="00925888" w:rsidRPr="00DE6E86" w:rsidRDefault="00680A93" w:rsidP="001E222E">
            <w:pPr>
              <w:jc w:val="right"/>
              <w:rPr>
                <w:b/>
                <w:sz w:val="18"/>
                <w:szCs w:val="18"/>
              </w:rPr>
            </w:pPr>
            <w:r w:rsidRPr="00DE6E86">
              <w:rPr>
                <w:b/>
                <w:bCs/>
                <w:sz w:val="18"/>
                <w:szCs w:val="18"/>
              </w:rPr>
              <w:t>331.427</w:t>
            </w:r>
          </w:p>
        </w:tc>
      </w:tr>
      <w:tr w:rsidR="00FD7B48" w:rsidRPr="00DE6E86" w:rsidTr="00AA1D46">
        <w:trPr>
          <w:trHeight w:val="229"/>
        </w:trPr>
        <w:tc>
          <w:tcPr>
            <w:tcW w:w="5797" w:type="dxa"/>
            <w:vAlign w:val="bottom"/>
          </w:tcPr>
          <w:p w:rsidR="00AA1D46" w:rsidRPr="00DE6E86" w:rsidRDefault="00AA1D46" w:rsidP="00FB3FD0">
            <w:pPr>
              <w:pStyle w:val="NormalWeb"/>
              <w:widowControl w:val="0"/>
              <w:spacing w:before="0" w:after="0"/>
              <w:rPr>
                <w:sz w:val="18"/>
                <w:szCs w:val="18"/>
                <w:lang w:val="pt-BR"/>
              </w:rPr>
            </w:pPr>
            <w:r w:rsidRPr="00DE6E86">
              <w:rPr>
                <w:sz w:val="18"/>
                <w:szCs w:val="18"/>
                <w:lang w:val="pt-BR"/>
              </w:rPr>
              <w:t xml:space="preserve">   Saldo Inicial</w:t>
            </w:r>
          </w:p>
        </w:tc>
        <w:tc>
          <w:tcPr>
            <w:tcW w:w="1402" w:type="dxa"/>
            <w:vAlign w:val="center"/>
          </w:tcPr>
          <w:p w:rsidR="00AA1D46" w:rsidRPr="00DE6E86" w:rsidRDefault="00826DB2" w:rsidP="00826DB2">
            <w:pPr>
              <w:jc w:val="right"/>
              <w:rPr>
                <w:sz w:val="18"/>
                <w:szCs w:val="18"/>
              </w:rPr>
            </w:pPr>
            <w:r w:rsidRPr="00DE6E86">
              <w:rPr>
                <w:sz w:val="18"/>
                <w:szCs w:val="18"/>
              </w:rPr>
              <w:t>-</w:t>
            </w:r>
          </w:p>
        </w:tc>
        <w:tc>
          <w:tcPr>
            <w:tcW w:w="281" w:type="dxa"/>
            <w:vAlign w:val="bottom"/>
          </w:tcPr>
          <w:p w:rsidR="00AA1D46" w:rsidRPr="00DE6E86" w:rsidRDefault="00AA1D46" w:rsidP="00E260D4">
            <w:pPr>
              <w:pStyle w:val="NormalWeb"/>
              <w:widowControl w:val="0"/>
              <w:spacing w:before="0" w:after="0" w:line="230" w:lineRule="auto"/>
              <w:ind w:right="6"/>
              <w:jc w:val="right"/>
              <w:rPr>
                <w:sz w:val="18"/>
                <w:szCs w:val="18"/>
                <w:lang w:val="pt-BR"/>
              </w:rPr>
            </w:pPr>
          </w:p>
        </w:tc>
        <w:tc>
          <w:tcPr>
            <w:tcW w:w="1682" w:type="dxa"/>
            <w:vAlign w:val="center"/>
          </w:tcPr>
          <w:p w:rsidR="00AA1D46" w:rsidRPr="00DE6E86" w:rsidRDefault="00AA1D46" w:rsidP="00680A93">
            <w:pPr>
              <w:jc w:val="right"/>
              <w:rPr>
                <w:sz w:val="18"/>
                <w:szCs w:val="18"/>
              </w:rPr>
            </w:pPr>
            <w:r w:rsidRPr="00DE6E86">
              <w:rPr>
                <w:sz w:val="18"/>
                <w:szCs w:val="18"/>
              </w:rPr>
              <w:t>(</w:t>
            </w:r>
            <w:r w:rsidR="00680A93" w:rsidRPr="00DE6E86">
              <w:rPr>
                <w:sz w:val="18"/>
                <w:szCs w:val="18"/>
              </w:rPr>
              <w:t>28.028</w:t>
            </w:r>
            <w:r w:rsidRPr="00DE6E86">
              <w:rPr>
                <w:sz w:val="18"/>
                <w:szCs w:val="18"/>
              </w:rPr>
              <w:t>)</w:t>
            </w:r>
          </w:p>
        </w:tc>
      </w:tr>
      <w:tr w:rsidR="00FD7B48" w:rsidRPr="00DE6E86" w:rsidTr="00AA1D46">
        <w:trPr>
          <w:trHeight w:val="229"/>
        </w:trPr>
        <w:tc>
          <w:tcPr>
            <w:tcW w:w="5797" w:type="dxa"/>
            <w:vAlign w:val="bottom"/>
          </w:tcPr>
          <w:p w:rsidR="00F5175D" w:rsidRPr="00DE6E86" w:rsidRDefault="00F5175D" w:rsidP="00FB3FD0">
            <w:pPr>
              <w:pStyle w:val="NormalWeb"/>
              <w:widowControl w:val="0"/>
              <w:spacing w:before="0" w:after="0"/>
              <w:rPr>
                <w:sz w:val="18"/>
                <w:szCs w:val="18"/>
                <w:lang w:val="pt-BR"/>
              </w:rPr>
            </w:pPr>
            <w:r w:rsidRPr="00DE6E86">
              <w:rPr>
                <w:sz w:val="18"/>
                <w:szCs w:val="18"/>
                <w:lang w:val="pt-BR"/>
              </w:rPr>
              <w:t xml:space="preserve">   Transferência para o Resultado</w:t>
            </w:r>
          </w:p>
        </w:tc>
        <w:tc>
          <w:tcPr>
            <w:tcW w:w="1402" w:type="dxa"/>
            <w:tcBorders>
              <w:bottom w:val="single" w:sz="4" w:space="0" w:color="auto"/>
            </w:tcBorders>
            <w:vAlign w:val="center"/>
          </w:tcPr>
          <w:p w:rsidR="00F5175D" w:rsidRPr="00DE6E86" w:rsidRDefault="00826DB2" w:rsidP="000F0712">
            <w:pPr>
              <w:jc w:val="right"/>
              <w:rPr>
                <w:sz w:val="18"/>
                <w:szCs w:val="18"/>
              </w:rPr>
            </w:pPr>
            <w:r w:rsidRPr="00DE6E86">
              <w:rPr>
                <w:sz w:val="18"/>
                <w:szCs w:val="18"/>
              </w:rPr>
              <w:t>-</w:t>
            </w:r>
          </w:p>
        </w:tc>
        <w:tc>
          <w:tcPr>
            <w:tcW w:w="281" w:type="dxa"/>
            <w:vAlign w:val="bottom"/>
          </w:tcPr>
          <w:p w:rsidR="00F5175D" w:rsidRPr="00DE6E86" w:rsidRDefault="00F5175D" w:rsidP="00E260D4">
            <w:pPr>
              <w:pStyle w:val="NormalWeb"/>
              <w:widowControl w:val="0"/>
              <w:spacing w:before="0" w:after="0" w:line="230" w:lineRule="auto"/>
              <w:ind w:right="6"/>
              <w:jc w:val="right"/>
              <w:rPr>
                <w:sz w:val="18"/>
                <w:szCs w:val="18"/>
                <w:lang w:val="pt-BR"/>
              </w:rPr>
            </w:pPr>
          </w:p>
        </w:tc>
        <w:tc>
          <w:tcPr>
            <w:tcW w:w="1682" w:type="dxa"/>
            <w:tcBorders>
              <w:bottom w:val="single" w:sz="4" w:space="0" w:color="auto"/>
            </w:tcBorders>
            <w:vAlign w:val="center"/>
          </w:tcPr>
          <w:p w:rsidR="00F5175D" w:rsidRPr="00DE6E86" w:rsidRDefault="00F5175D" w:rsidP="00680A93">
            <w:pPr>
              <w:jc w:val="right"/>
              <w:rPr>
                <w:sz w:val="18"/>
                <w:szCs w:val="18"/>
              </w:rPr>
            </w:pPr>
            <w:r w:rsidRPr="00DE6E86">
              <w:rPr>
                <w:sz w:val="18"/>
                <w:szCs w:val="18"/>
              </w:rPr>
              <w:t>(</w:t>
            </w:r>
            <w:r w:rsidR="00C17A2E" w:rsidRPr="00DE6E86">
              <w:rPr>
                <w:sz w:val="18"/>
                <w:szCs w:val="18"/>
              </w:rPr>
              <w:t>6.</w:t>
            </w:r>
            <w:r w:rsidR="00680A93" w:rsidRPr="00DE6E86">
              <w:rPr>
                <w:sz w:val="18"/>
                <w:szCs w:val="18"/>
              </w:rPr>
              <w:t>251</w:t>
            </w:r>
            <w:r w:rsidRPr="00DE6E86">
              <w:rPr>
                <w:sz w:val="18"/>
                <w:szCs w:val="18"/>
              </w:rPr>
              <w:t>)</w:t>
            </w:r>
          </w:p>
        </w:tc>
      </w:tr>
      <w:tr w:rsidR="00FD7B48" w:rsidRPr="00DE6E86" w:rsidTr="00F5175D">
        <w:trPr>
          <w:trHeight w:val="229"/>
        </w:trPr>
        <w:tc>
          <w:tcPr>
            <w:tcW w:w="5797" w:type="dxa"/>
            <w:vAlign w:val="bottom"/>
          </w:tcPr>
          <w:p w:rsidR="00F5175D" w:rsidRPr="00DE6E86" w:rsidRDefault="00F5175D" w:rsidP="00FB3FD0">
            <w:pPr>
              <w:pStyle w:val="NormalWeb"/>
              <w:widowControl w:val="0"/>
              <w:spacing w:before="0" w:after="0"/>
              <w:rPr>
                <w:b/>
                <w:sz w:val="18"/>
                <w:szCs w:val="18"/>
                <w:lang w:val="pt-BR"/>
              </w:rPr>
            </w:pPr>
            <w:r w:rsidRPr="00DE6E86">
              <w:rPr>
                <w:b/>
                <w:sz w:val="18"/>
                <w:szCs w:val="18"/>
                <w:lang w:val="pt-BR"/>
              </w:rPr>
              <w:t>Saldo de Custo Diferido</w:t>
            </w:r>
          </w:p>
        </w:tc>
        <w:tc>
          <w:tcPr>
            <w:tcW w:w="1402" w:type="dxa"/>
            <w:tcBorders>
              <w:bottom w:val="single" w:sz="4" w:space="0" w:color="auto"/>
            </w:tcBorders>
            <w:vAlign w:val="bottom"/>
          </w:tcPr>
          <w:p w:rsidR="00F5175D" w:rsidRPr="00DE6E86" w:rsidRDefault="00826DB2" w:rsidP="00826DB2">
            <w:pPr>
              <w:jc w:val="right"/>
              <w:rPr>
                <w:b/>
                <w:bCs/>
                <w:sz w:val="18"/>
                <w:szCs w:val="18"/>
              </w:rPr>
            </w:pPr>
            <w:r w:rsidRPr="00DE6E86">
              <w:rPr>
                <w:b/>
                <w:bCs/>
                <w:sz w:val="18"/>
                <w:szCs w:val="18"/>
              </w:rPr>
              <w:t>-</w:t>
            </w:r>
          </w:p>
        </w:tc>
        <w:tc>
          <w:tcPr>
            <w:tcW w:w="281" w:type="dxa"/>
            <w:vAlign w:val="bottom"/>
          </w:tcPr>
          <w:p w:rsidR="00F5175D" w:rsidRPr="00DE6E86" w:rsidRDefault="00F5175D" w:rsidP="00F5175D">
            <w:pPr>
              <w:pStyle w:val="NormalWeb"/>
              <w:widowControl w:val="0"/>
              <w:spacing w:before="0" w:after="0"/>
              <w:jc w:val="right"/>
              <w:rPr>
                <w:b/>
                <w:sz w:val="18"/>
                <w:szCs w:val="18"/>
                <w:lang w:val="pt-BR"/>
              </w:rPr>
            </w:pPr>
          </w:p>
        </w:tc>
        <w:tc>
          <w:tcPr>
            <w:tcW w:w="1682" w:type="dxa"/>
            <w:tcBorders>
              <w:bottom w:val="single" w:sz="4" w:space="0" w:color="auto"/>
            </w:tcBorders>
            <w:vAlign w:val="bottom"/>
          </w:tcPr>
          <w:p w:rsidR="00F5175D" w:rsidRPr="00DE6E86" w:rsidRDefault="00F5175D" w:rsidP="00680A93">
            <w:pPr>
              <w:jc w:val="right"/>
              <w:rPr>
                <w:b/>
                <w:bCs/>
                <w:sz w:val="18"/>
                <w:szCs w:val="18"/>
              </w:rPr>
            </w:pPr>
            <w:r w:rsidRPr="00DE6E86">
              <w:rPr>
                <w:b/>
                <w:bCs/>
                <w:sz w:val="18"/>
                <w:szCs w:val="18"/>
              </w:rPr>
              <w:t>(</w:t>
            </w:r>
            <w:r w:rsidR="00680A93" w:rsidRPr="00DE6E86">
              <w:rPr>
                <w:b/>
                <w:bCs/>
                <w:sz w:val="18"/>
                <w:szCs w:val="18"/>
              </w:rPr>
              <w:t>34.279</w:t>
            </w:r>
            <w:r w:rsidRPr="00DE6E86">
              <w:rPr>
                <w:b/>
                <w:bCs/>
                <w:sz w:val="18"/>
                <w:szCs w:val="18"/>
              </w:rPr>
              <w:t>)</w:t>
            </w:r>
          </w:p>
        </w:tc>
      </w:tr>
      <w:tr w:rsidR="00FD7B48" w:rsidRPr="00DE6E86" w:rsidTr="00F5175D">
        <w:trPr>
          <w:trHeight w:val="229"/>
        </w:trPr>
        <w:tc>
          <w:tcPr>
            <w:tcW w:w="5797" w:type="dxa"/>
            <w:vAlign w:val="bottom"/>
          </w:tcPr>
          <w:p w:rsidR="00F5175D" w:rsidRPr="00DE6E86" w:rsidRDefault="00F5175D" w:rsidP="00FB3FD0">
            <w:pPr>
              <w:pStyle w:val="NormalWeb"/>
              <w:widowControl w:val="0"/>
              <w:spacing w:before="0" w:after="0"/>
              <w:rPr>
                <w:sz w:val="18"/>
                <w:szCs w:val="18"/>
                <w:lang w:val="pt-BR"/>
              </w:rPr>
            </w:pPr>
          </w:p>
        </w:tc>
        <w:tc>
          <w:tcPr>
            <w:tcW w:w="1402" w:type="dxa"/>
            <w:vMerge w:val="restart"/>
            <w:tcBorders>
              <w:top w:val="single" w:sz="4" w:space="0" w:color="auto"/>
            </w:tcBorders>
            <w:vAlign w:val="bottom"/>
          </w:tcPr>
          <w:p w:rsidR="00F5175D" w:rsidRPr="00DE6E86" w:rsidRDefault="00826DB2" w:rsidP="00DF5430">
            <w:pPr>
              <w:rPr>
                <w:b/>
                <w:bCs/>
                <w:sz w:val="18"/>
                <w:szCs w:val="18"/>
              </w:rPr>
            </w:pPr>
            <w:r w:rsidRPr="00DE6E86">
              <w:rPr>
                <w:b/>
                <w:bCs/>
                <w:sz w:val="18"/>
                <w:szCs w:val="18"/>
              </w:rPr>
              <w:t>-</w:t>
            </w:r>
          </w:p>
        </w:tc>
        <w:tc>
          <w:tcPr>
            <w:tcW w:w="281" w:type="dxa"/>
            <w:vAlign w:val="bottom"/>
          </w:tcPr>
          <w:p w:rsidR="00F5175D" w:rsidRPr="00DE6E86" w:rsidRDefault="00F5175D" w:rsidP="00F5175D">
            <w:pPr>
              <w:pStyle w:val="NormalWeb"/>
              <w:widowControl w:val="0"/>
              <w:spacing w:before="0" w:after="0"/>
              <w:jc w:val="right"/>
              <w:rPr>
                <w:b/>
                <w:sz w:val="18"/>
                <w:szCs w:val="18"/>
                <w:lang w:val="pt-BR"/>
              </w:rPr>
            </w:pPr>
          </w:p>
        </w:tc>
        <w:tc>
          <w:tcPr>
            <w:tcW w:w="1682" w:type="dxa"/>
            <w:vMerge w:val="restart"/>
            <w:tcBorders>
              <w:top w:val="single" w:sz="4" w:space="0" w:color="auto"/>
            </w:tcBorders>
            <w:vAlign w:val="bottom"/>
          </w:tcPr>
          <w:p w:rsidR="00F5175D" w:rsidRPr="00DE6E86" w:rsidRDefault="00680A93" w:rsidP="00F5175D">
            <w:pPr>
              <w:jc w:val="right"/>
              <w:rPr>
                <w:b/>
                <w:bCs/>
                <w:sz w:val="18"/>
                <w:szCs w:val="18"/>
              </w:rPr>
            </w:pPr>
            <w:r w:rsidRPr="00DE6E86">
              <w:rPr>
                <w:b/>
                <w:bCs/>
                <w:sz w:val="18"/>
                <w:szCs w:val="18"/>
              </w:rPr>
              <w:t>297.148</w:t>
            </w:r>
          </w:p>
        </w:tc>
      </w:tr>
      <w:tr w:rsidR="00FD7B48" w:rsidRPr="00DE6E86" w:rsidTr="00E060DF">
        <w:trPr>
          <w:trHeight w:val="229"/>
        </w:trPr>
        <w:tc>
          <w:tcPr>
            <w:tcW w:w="5797" w:type="dxa"/>
            <w:vAlign w:val="bottom"/>
          </w:tcPr>
          <w:p w:rsidR="00925888" w:rsidRPr="00DE6E86" w:rsidRDefault="00925888" w:rsidP="00925888">
            <w:pPr>
              <w:pStyle w:val="NormalWeb"/>
              <w:widowControl w:val="0"/>
              <w:spacing w:before="0" w:after="0"/>
              <w:rPr>
                <w:b/>
                <w:sz w:val="18"/>
                <w:szCs w:val="18"/>
                <w:lang w:val="pt-BR"/>
              </w:rPr>
            </w:pPr>
            <w:r w:rsidRPr="00DE6E86">
              <w:rPr>
                <w:b/>
                <w:sz w:val="18"/>
                <w:szCs w:val="18"/>
                <w:lang w:val="pt-BR"/>
              </w:rPr>
              <w:t>Total da Receita Diferida Líquida</w:t>
            </w:r>
          </w:p>
        </w:tc>
        <w:tc>
          <w:tcPr>
            <w:tcW w:w="1402" w:type="dxa"/>
            <w:vMerge/>
            <w:tcBorders>
              <w:bottom w:val="double" w:sz="4" w:space="0" w:color="auto"/>
            </w:tcBorders>
            <w:vAlign w:val="bottom"/>
          </w:tcPr>
          <w:p w:rsidR="00925888" w:rsidRPr="00DE6E86" w:rsidRDefault="00925888" w:rsidP="00FB3FD0">
            <w:pPr>
              <w:pStyle w:val="NormalWeb"/>
              <w:widowControl w:val="0"/>
              <w:spacing w:before="0" w:after="0"/>
              <w:ind w:right="6"/>
              <w:jc w:val="right"/>
              <w:rPr>
                <w:b/>
                <w:sz w:val="18"/>
                <w:szCs w:val="18"/>
                <w:lang w:val="pt-BR"/>
              </w:rPr>
            </w:pPr>
          </w:p>
        </w:tc>
        <w:tc>
          <w:tcPr>
            <w:tcW w:w="281" w:type="dxa"/>
            <w:vAlign w:val="bottom"/>
          </w:tcPr>
          <w:p w:rsidR="00925888" w:rsidRPr="00DE6E86" w:rsidRDefault="00925888" w:rsidP="00FB3FD0">
            <w:pPr>
              <w:pStyle w:val="NormalWeb"/>
              <w:widowControl w:val="0"/>
              <w:spacing w:before="0" w:after="0"/>
              <w:rPr>
                <w:b/>
                <w:sz w:val="18"/>
                <w:szCs w:val="18"/>
                <w:lang w:val="pt-BR"/>
              </w:rPr>
            </w:pPr>
          </w:p>
        </w:tc>
        <w:tc>
          <w:tcPr>
            <w:tcW w:w="1682" w:type="dxa"/>
            <w:vMerge/>
            <w:tcBorders>
              <w:bottom w:val="double" w:sz="4" w:space="0" w:color="auto"/>
            </w:tcBorders>
            <w:vAlign w:val="bottom"/>
          </w:tcPr>
          <w:p w:rsidR="00925888" w:rsidRPr="00DE6E86" w:rsidRDefault="00925888" w:rsidP="00FB3FD0">
            <w:pPr>
              <w:pStyle w:val="NormalWeb"/>
              <w:widowControl w:val="0"/>
              <w:spacing w:before="0" w:after="0"/>
              <w:ind w:right="6"/>
              <w:jc w:val="right"/>
              <w:rPr>
                <w:b/>
                <w:sz w:val="18"/>
                <w:szCs w:val="18"/>
                <w:lang w:val="pt-BR"/>
              </w:rPr>
            </w:pPr>
          </w:p>
        </w:tc>
      </w:tr>
    </w:tbl>
    <w:p w:rsidR="00292760" w:rsidRPr="008E54A9" w:rsidRDefault="00292760" w:rsidP="00B20F98">
      <w:pPr>
        <w:jc w:val="both"/>
      </w:pPr>
    </w:p>
    <w:p w:rsidR="00561782" w:rsidRPr="00FD7B48" w:rsidRDefault="00292760" w:rsidP="00B20F98">
      <w:pPr>
        <w:jc w:val="both"/>
      </w:pPr>
      <w:r w:rsidRPr="008E54A9">
        <w:t xml:space="preserve">A partir de </w:t>
      </w:r>
      <w:r w:rsidR="00072343">
        <w:t>julho</w:t>
      </w:r>
      <w:r w:rsidRPr="008E54A9">
        <w:t xml:space="preserve"> de 2017, devido </w:t>
      </w:r>
      <w:r w:rsidR="00043C55" w:rsidRPr="008E54A9">
        <w:t>à</w:t>
      </w:r>
      <w:r w:rsidRPr="008E54A9">
        <w:t xml:space="preserve"> mudança de critério contábil, ver Nota nº</w:t>
      </w:r>
      <w:r w:rsidR="004A3B41" w:rsidRPr="008E54A9">
        <w:t xml:space="preserve"> 02, letra “b” e Nota nº 14, </w:t>
      </w:r>
      <w:r w:rsidR="00375E04">
        <w:t>parte d</w:t>
      </w:r>
      <w:r w:rsidR="004A3B41" w:rsidRPr="008E54A9">
        <w:t xml:space="preserve">o saldo no grupo </w:t>
      </w:r>
      <w:r w:rsidR="001063F2" w:rsidRPr="008E54A9">
        <w:t>de</w:t>
      </w:r>
      <w:r w:rsidR="004A3B41" w:rsidRPr="008E54A9">
        <w:t xml:space="preserve"> Receita Diferida Líquida foi transferido</w:t>
      </w:r>
      <w:r w:rsidR="001063F2" w:rsidRPr="008E54A9">
        <w:t xml:space="preserve"> para </w:t>
      </w:r>
      <w:r w:rsidR="00DF67FA" w:rsidRPr="008E54A9">
        <w:t xml:space="preserve">Adiantamento para Futuro Aumento de Capital </w:t>
      </w:r>
      <w:r w:rsidR="00DF67FA">
        <w:t>(</w:t>
      </w:r>
      <w:r w:rsidR="001063F2" w:rsidRPr="008E54A9">
        <w:t>AFAC</w:t>
      </w:r>
      <w:r w:rsidR="00DF67FA">
        <w:t>)</w:t>
      </w:r>
      <w:r w:rsidR="004A3B41" w:rsidRPr="008E54A9">
        <w:t xml:space="preserve"> </w:t>
      </w:r>
      <w:r w:rsidR="00375E04">
        <w:t>no Passivo não Circulante e parte</w:t>
      </w:r>
      <w:r w:rsidR="004A3B41" w:rsidRPr="008E54A9">
        <w:t xml:space="preserve"> revertido para resultado do exercício</w:t>
      </w:r>
      <w:r w:rsidR="00BD1666">
        <w:t>, ver Nota nº 14</w:t>
      </w:r>
      <w:r w:rsidR="00375E04">
        <w:t>.</w:t>
      </w:r>
      <w:r w:rsidR="004A3B41" w:rsidRPr="008E54A9">
        <w:t xml:space="preserve"> </w:t>
      </w:r>
    </w:p>
    <w:p w:rsidR="002A48C7" w:rsidRDefault="002A48C7" w:rsidP="00B20F98">
      <w:pPr>
        <w:jc w:val="both"/>
      </w:pPr>
    </w:p>
    <w:p w:rsidR="009A59F5" w:rsidRPr="00FD7B48" w:rsidRDefault="009A59F5" w:rsidP="00B20F98">
      <w:pPr>
        <w:jc w:val="both"/>
      </w:pPr>
    </w:p>
    <w:p w:rsidR="00376772" w:rsidRPr="00BB282C" w:rsidRDefault="00376772" w:rsidP="00376772">
      <w:pPr>
        <w:pStyle w:val="Ttulo"/>
        <w:outlineLvl w:val="0"/>
      </w:pPr>
      <w:bookmarkStart w:id="46" w:name="_Toc512497279"/>
      <w:r w:rsidRPr="00BB282C">
        <w:t>Obrigações da Previdência Complementar</w:t>
      </w:r>
      <w:bookmarkEnd w:id="46"/>
      <w:r w:rsidR="006D786C" w:rsidRPr="00BB282C">
        <w:t xml:space="preserve"> </w:t>
      </w:r>
    </w:p>
    <w:p w:rsidR="00376772" w:rsidRPr="006D786C" w:rsidRDefault="00376772" w:rsidP="00376772"/>
    <w:p w:rsidR="006F0038" w:rsidRPr="006D786C" w:rsidRDefault="006F0038" w:rsidP="00BF21BA">
      <w:pPr>
        <w:jc w:val="both"/>
      </w:pPr>
      <w:r w:rsidRPr="006D786C">
        <w:t>O Plano de Benefícios HCPA PREV foi criado em 2009, é patrocinado pelo Hospital de Clínicas, administrado e executado pela BB Previdência – Fundo de Pensão Banco do Brasil, estruturado sob a modalidade de Contribuição Variável (CV), na forma definida pela Resolução MPS/CGPC n</w:t>
      </w:r>
      <w:r w:rsidR="00220279" w:rsidRPr="006D786C">
        <w:t>º</w:t>
      </w:r>
      <w:r w:rsidRPr="006D786C">
        <w:t xml:space="preserve"> 16, de 22 de novembro de 2005, observando ainda que os Benefícios Programados apresentam a conjugação das características das modalidades de Contribuição Definida (CD) e Benefício Definido (BD).</w:t>
      </w:r>
    </w:p>
    <w:p w:rsidR="006F0038" w:rsidRPr="006D786C" w:rsidRDefault="006F0038" w:rsidP="00BF21BA">
      <w:pPr>
        <w:jc w:val="both"/>
      </w:pPr>
    </w:p>
    <w:p w:rsidR="006F0038" w:rsidRPr="006D786C" w:rsidRDefault="006F0038">
      <w:pPr>
        <w:jc w:val="both"/>
      </w:pPr>
      <w:r w:rsidRPr="006D786C">
        <w:t>Assim, observamos características de CD durante a fase de acumulação dos Benefícios Programados, onde o valor desses benefícios a serem concedidos quando da implementação das condições previstas pelos dispositivos regulamentares é conhecido, a posteriori, a partir da transformação do saldo acumulado nos</w:t>
      </w:r>
      <w:r w:rsidR="00D060B7" w:rsidRPr="006D786C">
        <w:t xml:space="preserve"> </w:t>
      </w:r>
      <w:r w:rsidRPr="006D786C">
        <w:t>Fundos</w:t>
      </w:r>
      <w:r w:rsidR="00D060B7" w:rsidRPr="006D786C">
        <w:t xml:space="preserve"> </w:t>
      </w:r>
      <w:r w:rsidRPr="006D786C">
        <w:t>Individua</w:t>
      </w:r>
      <w:r w:rsidR="00BF21BA" w:rsidRPr="006D786C">
        <w:t>l</w:t>
      </w:r>
      <w:r w:rsidR="0091383C" w:rsidRPr="006D786C">
        <w:t xml:space="preserve"> e </w:t>
      </w:r>
      <w:r w:rsidRPr="006D786C">
        <w:t xml:space="preserve">Patrocinado ao longo da vida laborativa, conforme opção do Participante, em função do </w:t>
      </w:r>
      <w:r w:rsidR="00454BA3" w:rsidRPr="006D786C">
        <w:t xml:space="preserve">fator atuarial </w:t>
      </w:r>
      <w:r w:rsidRPr="006D786C">
        <w:t>correspondente às características individuais dos Participantes e o respectivo grupo familiar. A partir de suas concessões, o pagamento destes é garantido vitaliciamente, independente da cobertura patrimonial existente nos saldos individuais, o que lhe atribui, também, características de BD.</w:t>
      </w:r>
    </w:p>
    <w:p w:rsidR="006F0038" w:rsidRPr="006D786C" w:rsidRDefault="006F0038" w:rsidP="00BF21BA">
      <w:pPr>
        <w:jc w:val="both"/>
      </w:pPr>
    </w:p>
    <w:p w:rsidR="006F0038" w:rsidRPr="00660362" w:rsidRDefault="006F0038" w:rsidP="00BF21BA">
      <w:pPr>
        <w:jc w:val="both"/>
      </w:pPr>
      <w:r w:rsidRPr="00660362">
        <w:t>Os mais recentes estudos atuariais do valor presente da obrigação de benefício definido foram realizados em 31 de dezembro de 201</w:t>
      </w:r>
      <w:r w:rsidR="00CD35F9" w:rsidRPr="00660362">
        <w:t>7</w:t>
      </w:r>
      <w:r w:rsidRPr="00660362">
        <w:t xml:space="preserve"> pela</w:t>
      </w:r>
      <w:r w:rsidR="00072343">
        <w:t xml:space="preserve"> </w:t>
      </w:r>
      <w:proofErr w:type="spellStart"/>
      <w:r w:rsidR="00072343">
        <w:t>Mercer</w:t>
      </w:r>
      <w:proofErr w:type="spellEnd"/>
      <w:r w:rsidR="00072343">
        <w:t xml:space="preserve"> </w:t>
      </w:r>
      <w:r w:rsidRPr="00660362">
        <w:t xml:space="preserve"> </w:t>
      </w:r>
      <w:r w:rsidR="00072343">
        <w:t>Gama</w:t>
      </w:r>
      <w:r w:rsidRPr="00660362">
        <w:t xml:space="preserve"> Consultores Associados, membro do Instituto Brasileiro de Atuários. O valor presente da obrigação de benefício definido, o custo do serviço corrente e custo do serviço passado, foram medidos utilizando o método de crédito unitário projetado.</w:t>
      </w:r>
    </w:p>
    <w:p w:rsidR="00DE6E86" w:rsidRDefault="003963BF" w:rsidP="00BF21BA">
      <w:pPr>
        <w:jc w:val="both"/>
      </w:pPr>
      <w:r w:rsidRPr="006D786C">
        <w:t xml:space="preserve"> </w:t>
      </w:r>
    </w:p>
    <w:p w:rsidR="0087569F" w:rsidRPr="006D786C" w:rsidRDefault="0087569F" w:rsidP="00BF21BA">
      <w:pPr>
        <w:jc w:val="both"/>
      </w:pPr>
    </w:p>
    <w:tbl>
      <w:tblPr>
        <w:tblW w:w="4720" w:type="pct"/>
        <w:tblCellMar>
          <w:left w:w="70" w:type="dxa"/>
          <w:right w:w="70" w:type="dxa"/>
        </w:tblCellMar>
        <w:tblLook w:val="04A0" w:firstRow="1" w:lastRow="0" w:firstColumn="1" w:lastColumn="0" w:noHBand="0" w:noVBand="1"/>
      </w:tblPr>
      <w:tblGrid>
        <w:gridCol w:w="5447"/>
        <w:gridCol w:w="1165"/>
        <w:gridCol w:w="261"/>
        <w:gridCol w:w="1823"/>
      </w:tblGrid>
      <w:tr w:rsidR="00660362" w:rsidRPr="00660362" w:rsidTr="00C4258E">
        <w:trPr>
          <w:trHeight w:val="20"/>
        </w:trPr>
        <w:tc>
          <w:tcPr>
            <w:tcW w:w="3802" w:type="pct"/>
            <w:gridSpan w:val="2"/>
            <w:tcBorders>
              <w:top w:val="nil"/>
              <w:left w:val="nil"/>
              <w:bottom w:val="nil"/>
              <w:right w:val="nil"/>
            </w:tcBorders>
            <w:shd w:val="clear" w:color="auto" w:fill="auto"/>
            <w:vAlign w:val="center"/>
            <w:hideMark/>
          </w:tcPr>
          <w:p w:rsidR="00660362" w:rsidRPr="00660362" w:rsidRDefault="00660362" w:rsidP="00660362">
            <w:pPr>
              <w:jc w:val="both"/>
              <w:rPr>
                <w:b/>
                <w:bCs/>
                <w:color w:val="000000"/>
              </w:rPr>
            </w:pPr>
            <w:r w:rsidRPr="00660362">
              <w:rPr>
                <w:b/>
                <w:bCs/>
                <w:color w:val="000000"/>
              </w:rPr>
              <w:t>Principais Premissas Utilizadas na Avaliação Atuarial</w:t>
            </w:r>
          </w:p>
        </w:tc>
        <w:tc>
          <w:tcPr>
            <w:tcW w:w="150" w:type="pct"/>
            <w:tcBorders>
              <w:top w:val="nil"/>
              <w:left w:val="nil"/>
              <w:bottom w:val="nil"/>
              <w:right w:val="nil"/>
            </w:tcBorders>
            <w:shd w:val="clear" w:color="auto" w:fill="auto"/>
            <w:vAlign w:val="center"/>
            <w:hideMark/>
          </w:tcPr>
          <w:p w:rsidR="00660362" w:rsidRPr="00660362" w:rsidRDefault="00660362" w:rsidP="00660362">
            <w:pPr>
              <w:rPr>
                <w:b/>
                <w:bCs/>
                <w:color w:val="000000"/>
              </w:rPr>
            </w:pPr>
          </w:p>
        </w:tc>
        <w:tc>
          <w:tcPr>
            <w:tcW w:w="1048" w:type="pct"/>
            <w:tcBorders>
              <w:top w:val="nil"/>
              <w:left w:val="nil"/>
              <w:bottom w:val="nil"/>
              <w:right w:val="nil"/>
            </w:tcBorders>
            <w:shd w:val="clear" w:color="auto" w:fill="auto"/>
            <w:vAlign w:val="center"/>
            <w:hideMark/>
          </w:tcPr>
          <w:p w:rsidR="00660362" w:rsidRPr="00660362" w:rsidRDefault="00660362" w:rsidP="00660362">
            <w:pPr>
              <w:jc w:val="right"/>
              <w:rPr>
                <w:b/>
                <w:bCs/>
                <w:color w:val="000000"/>
              </w:rPr>
            </w:pPr>
          </w:p>
        </w:tc>
      </w:tr>
      <w:tr w:rsidR="00660362" w:rsidRPr="00660362" w:rsidTr="00C4258E">
        <w:trPr>
          <w:trHeight w:val="20"/>
        </w:trPr>
        <w:tc>
          <w:tcPr>
            <w:tcW w:w="3802" w:type="pct"/>
            <w:gridSpan w:val="2"/>
            <w:tcBorders>
              <w:top w:val="nil"/>
              <w:left w:val="nil"/>
              <w:bottom w:val="nil"/>
              <w:right w:val="nil"/>
            </w:tcBorders>
            <w:shd w:val="clear" w:color="auto" w:fill="auto"/>
            <w:vAlign w:val="center"/>
            <w:hideMark/>
          </w:tcPr>
          <w:p w:rsidR="00660362" w:rsidRPr="00660362" w:rsidRDefault="00660362" w:rsidP="00660362">
            <w:pPr>
              <w:jc w:val="both"/>
              <w:rPr>
                <w:color w:val="000000"/>
              </w:rPr>
            </w:pPr>
          </w:p>
        </w:tc>
        <w:tc>
          <w:tcPr>
            <w:tcW w:w="150"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p>
        </w:tc>
        <w:tc>
          <w:tcPr>
            <w:tcW w:w="1048"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p>
        </w:tc>
      </w:tr>
      <w:tr w:rsidR="00660362" w:rsidRPr="00660362" w:rsidTr="00C4258E">
        <w:trPr>
          <w:trHeight w:val="20"/>
        </w:trPr>
        <w:tc>
          <w:tcPr>
            <w:tcW w:w="3802" w:type="pct"/>
            <w:gridSpan w:val="2"/>
            <w:tcBorders>
              <w:top w:val="nil"/>
              <w:left w:val="nil"/>
              <w:bottom w:val="nil"/>
              <w:right w:val="nil"/>
            </w:tcBorders>
            <w:shd w:val="clear" w:color="auto" w:fill="auto"/>
            <w:vAlign w:val="center"/>
            <w:hideMark/>
          </w:tcPr>
          <w:p w:rsidR="00660362" w:rsidRPr="00660362" w:rsidRDefault="00660362" w:rsidP="00660362">
            <w:pPr>
              <w:jc w:val="both"/>
              <w:rPr>
                <w:color w:val="000000"/>
              </w:rPr>
            </w:pPr>
            <w:r w:rsidRPr="00660362">
              <w:rPr>
                <w:color w:val="000000"/>
              </w:rPr>
              <w:t xml:space="preserve">   Taxa de Juros Atuarial                                                    </w:t>
            </w:r>
          </w:p>
        </w:tc>
        <w:tc>
          <w:tcPr>
            <w:tcW w:w="150"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p>
        </w:tc>
        <w:tc>
          <w:tcPr>
            <w:tcW w:w="1048"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r w:rsidRPr="00660362">
              <w:rPr>
                <w:color w:val="000000"/>
                <w:lang w:val="en-GB"/>
              </w:rPr>
              <w:t>5,38%</w:t>
            </w:r>
          </w:p>
        </w:tc>
      </w:tr>
      <w:tr w:rsidR="00660362" w:rsidRPr="00660362" w:rsidTr="00C4258E">
        <w:trPr>
          <w:trHeight w:val="20"/>
        </w:trPr>
        <w:tc>
          <w:tcPr>
            <w:tcW w:w="3802" w:type="pct"/>
            <w:gridSpan w:val="2"/>
            <w:tcBorders>
              <w:top w:val="nil"/>
              <w:left w:val="nil"/>
              <w:bottom w:val="nil"/>
              <w:right w:val="nil"/>
            </w:tcBorders>
            <w:shd w:val="clear" w:color="auto" w:fill="auto"/>
            <w:vAlign w:val="center"/>
            <w:hideMark/>
          </w:tcPr>
          <w:p w:rsidR="00660362" w:rsidRPr="00660362" w:rsidRDefault="00660362" w:rsidP="00660362">
            <w:pPr>
              <w:jc w:val="both"/>
              <w:rPr>
                <w:color w:val="000000"/>
              </w:rPr>
            </w:pPr>
            <w:r w:rsidRPr="00660362">
              <w:rPr>
                <w:color w:val="000000"/>
              </w:rPr>
              <w:t xml:space="preserve">   Projeção de aumento Real Média dos Salários                </w:t>
            </w:r>
          </w:p>
        </w:tc>
        <w:tc>
          <w:tcPr>
            <w:tcW w:w="150"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r w:rsidRPr="00660362">
              <w:rPr>
                <w:color w:val="000000"/>
              </w:rPr>
              <w:t xml:space="preserve"> </w:t>
            </w:r>
          </w:p>
        </w:tc>
        <w:tc>
          <w:tcPr>
            <w:tcW w:w="1048"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r w:rsidRPr="00660362">
              <w:rPr>
                <w:color w:val="000000"/>
                <w:lang w:val="en-GB"/>
              </w:rPr>
              <w:t>zero</w:t>
            </w:r>
          </w:p>
        </w:tc>
      </w:tr>
      <w:tr w:rsidR="00660362" w:rsidRPr="00660362" w:rsidTr="00C4258E">
        <w:trPr>
          <w:trHeight w:val="20"/>
        </w:trPr>
        <w:tc>
          <w:tcPr>
            <w:tcW w:w="3802" w:type="pct"/>
            <w:gridSpan w:val="2"/>
            <w:tcBorders>
              <w:top w:val="nil"/>
              <w:left w:val="nil"/>
              <w:bottom w:val="nil"/>
              <w:right w:val="nil"/>
            </w:tcBorders>
            <w:shd w:val="clear" w:color="auto" w:fill="auto"/>
            <w:vAlign w:val="center"/>
            <w:hideMark/>
          </w:tcPr>
          <w:p w:rsidR="00660362" w:rsidRPr="00660362" w:rsidRDefault="00660362" w:rsidP="00660362">
            <w:pPr>
              <w:jc w:val="both"/>
              <w:rPr>
                <w:color w:val="000000"/>
              </w:rPr>
            </w:pPr>
            <w:r w:rsidRPr="00660362">
              <w:rPr>
                <w:color w:val="000000"/>
              </w:rPr>
              <w:t xml:space="preserve">   Taxa de Rotatividade                                                      </w:t>
            </w:r>
          </w:p>
        </w:tc>
        <w:tc>
          <w:tcPr>
            <w:tcW w:w="150"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p>
        </w:tc>
        <w:tc>
          <w:tcPr>
            <w:tcW w:w="1048"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r w:rsidRPr="00660362">
              <w:rPr>
                <w:color w:val="000000"/>
                <w:lang w:val="en-GB"/>
              </w:rPr>
              <w:t>2,55%</w:t>
            </w:r>
          </w:p>
        </w:tc>
      </w:tr>
      <w:tr w:rsidR="00660362" w:rsidRPr="00660362" w:rsidTr="00C4258E">
        <w:trPr>
          <w:trHeight w:val="20"/>
        </w:trPr>
        <w:tc>
          <w:tcPr>
            <w:tcW w:w="3802" w:type="pct"/>
            <w:gridSpan w:val="2"/>
            <w:tcBorders>
              <w:top w:val="nil"/>
              <w:left w:val="nil"/>
              <w:bottom w:val="nil"/>
              <w:right w:val="nil"/>
            </w:tcBorders>
            <w:shd w:val="clear" w:color="auto" w:fill="auto"/>
            <w:vAlign w:val="center"/>
            <w:hideMark/>
          </w:tcPr>
          <w:p w:rsidR="00660362" w:rsidRPr="00660362" w:rsidRDefault="00660362" w:rsidP="00660362">
            <w:pPr>
              <w:jc w:val="both"/>
              <w:rPr>
                <w:color w:val="000000"/>
              </w:rPr>
            </w:pPr>
            <w:r w:rsidRPr="00660362">
              <w:rPr>
                <w:color w:val="000000"/>
              </w:rPr>
              <w:t xml:space="preserve">   Indexador de Reajuste dos Benefícios do Plano              </w:t>
            </w:r>
          </w:p>
        </w:tc>
        <w:tc>
          <w:tcPr>
            <w:tcW w:w="150"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p>
        </w:tc>
        <w:tc>
          <w:tcPr>
            <w:tcW w:w="1048"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r w:rsidRPr="00660362">
              <w:rPr>
                <w:color w:val="000000"/>
              </w:rPr>
              <w:t>INPC (IBGE)</w:t>
            </w:r>
          </w:p>
        </w:tc>
      </w:tr>
      <w:tr w:rsidR="00660362" w:rsidRPr="00660362" w:rsidTr="00C4258E">
        <w:trPr>
          <w:trHeight w:val="20"/>
        </w:trPr>
        <w:tc>
          <w:tcPr>
            <w:tcW w:w="3802" w:type="pct"/>
            <w:gridSpan w:val="2"/>
            <w:tcBorders>
              <w:top w:val="nil"/>
              <w:left w:val="nil"/>
              <w:bottom w:val="nil"/>
              <w:right w:val="nil"/>
            </w:tcBorders>
            <w:shd w:val="clear" w:color="auto" w:fill="auto"/>
            <w:vAlign w:val="center"/>
            <w:hideMark/>
          </w:tcPr>
          <w:p w:rsidR="00660362" w:rsidRPr="00660362" w:rsidRDefault="00660362" w:rsidP="00660362">
            <w:pPr>
              <w:jc w:val="both"/>
              <w:rPr>
                <w:color w:val="000000"/>
              </w:rPr>
            </w:pPr>
            <w:r w:rsidRPr="00660362">
              <w:rPr>
                <w:color w:val="000000"/>
              </w:rPr>
              <w:t xml:space="preserve">   Tábua de Mortalidade/Sobrevivência de Ativos             </w:t>
            </w:r>
          </w:p>
        </w:tc>
        <w:tc>
          <w:tcPr>
            <w:tcW w:w="150"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p>
        </w:tc>
        <w:tc>
          <w:tcPr>
            <w:tcW w:w="1048"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r w:rsidRPr="00660362">
              <w:rPr>
                <w:color w:val="000000"/>
              </w:rPr>
              <w:t>AT 2000M(</w:t>
            </w:r>
            <w:proofErr w:type="spellStart"/>
            <w:r w:rsidRPr="00660362">
              <w:rPr>
                <w:color w:val="000000"/>
              </w:rPr>
              <w:t>Basisc</w:t>
            </w:r>
            <w:proofErr w:type="spellEnd"/>
            <w:r w:rsidRPr="00660362">
              <w:rPr>
                <w:color w:val="000000"/>
              </w:rPr>
              <w:t>)</w:t>
            </w:r>
          </w:p>
        </w:tc>
      </w:tr>
      <w:tr w:rsidR="00660362" w:rsidRPr="00660362" w:rsidTr="00C4258E">
        <w:trPr>
          <w:trHeight w:val="20"/>
        </w:trPr>
        <w:tc>
          <w:tcPr>
            <w:tcW w:w="3802" w:type="pct"/>
            <w:gridSpan w:val="2"/>
            <w:tcBorders>
              <w:top w:val="nil"/>
              <w:left w:val="nil"/>
              <w:bottom w:val="nil"/>
              <w:right w:val="nil"/>
            </w:tcBorders>
            <w:shd w:val="clear" w:color="auto" w:fill="auto"/>
            <w:vAlign w:val="center"/>
            <w:hideMark/>
          </w:tcPr>
          <w:p w:rsidR="00660362" w:rsidRPr="00660362" w:rsidRDefault="00660362" w:rsidP="00660362">
            <w:pPr>
              <w:jc w:val="both"/>
              <w:rPr>
                <w:color w:val="000000"/>
              </w:rPr>
            </w:pPr>
            <w:r w:rsidRPr="00660362">
              <w:rPr>
                <w:color w:val="000000"/>
              </w:rPr>
              <w:t xml:space="preserve">   Tábua de Mortalidade/Sobrevivência de Aposentados   </w:t>
            </w:r>
          </w:p>
        </w:tc>
        <w:tc>
          <w:tcPr>
            <w:tcW w:w="150"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p>
        </w:tc>
        <w:tc>
          <w:tcPr>
            <w:tcW w:w="1048"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r w:rsidRPr="00660362">
              <w:rPr>
                <w:color w:val="000000"/>
              </w:rPr>
              <w:t>AT 2000 M (</w:t>
            </w:r>
            <w:proofErr w:type="spellStart"/>
            <w:r w:rsidRPr="00660362">
              <w:rPr>
                <w:color w:val="000000"/>
              </w:rPr>
              <w:t>Basisc</w:t>
            </w:r>
            <w:proofErr w:type="spellEnd"/>
            <w:r w:rsidRPr="00660362">
              <w:rPr>
                <w:color w:val="000000"/>
              </w:rPr>
              <w:t>)</w:t>
            </w:r>
          </w:p>
        </w:tc>
      </w:tr>
      <w:tr w:rsidR="00660362" w:rsidRPr="00660362" w:rsidTr="00C4258E">
        <w:trPr>
          <w:trHeight w:val="20"/>
        </w:trPr>
        <w:tc>
          <w:tcPr>
            <w:tcW w:w="3802" w:type="pct"/>
            <w:gridSpan w:val="2"/>
            <w:tcBorders>
              <w:top w:val="nil"/>
              <w:left w:val="nil"/>
              <w:bottom w:val="nil"/>
              <w:right w:val="nil"/>
            </w:tcBorders>
            <w:shd w:val="clear" w:color="auto" w:fill="auto"/>
            <w:vAlign w:val="center"/>
            <w:hideMark/>
          </w:tcPr>
          <w:p w:rsidR="00660362" w:rsidRPr="00660362" w:rsidRDefault="00660362" w:rsidP="00660362">
            <w:pPr>
              <w:jc w:val="both"/>
              <w:rPr>
                <w:color w:val="000000"/>
              </w:rPr>
            </w:pPr>
            <w:r w:rsidRPr="00660362">
              <w:rPr>
                <w:color w:val="000000"/>
              </w:rPr>
              <w:lastRenderedPageBreak/>
              <w:t xml:space="preserve">   Tábua de Mortalidade/Sobrevivência de Inválidos          </w:t>
            </w:r>
          </w:p>
        </w:tc>
        <w:tc>
          <w:tcPr>
            <w:tcW w:w="150"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p>
        </w:tc>
        <w:tc>
          <w:tcPr>
            <w:tcW w:w="1048"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r w:rsidRPr="00660362">
              <w:rPr>
                <w:color w:val="000000"/>
              </w:rPr>
              <w:t>EX-IAPC</w:t>
            </w:r>
          </w:p>
        </w:tc>
      </w:tr>
      <w:tr w:rsidR="00660362" w:rsidRPr="00660362" w:rsidTr="00C4258E">
        <w:trPr>
          <w:trHeight w:val="20"/>
        </w:trPr>
        <w:tc>
          <w:tcPr>
            <w:tcW w:w="3802" w:type="pct"/>
            <w:gridSpan w:val="2"/>
            <w:tcBorders>
              <w:top w:val="nil"/>
              <w:left w:val="nil"/>
              <w:bottom w:val="nil"/>
              <w:right w:val="nil"/>
            </w:tcBorders>
            <w:shd w:val="clear" w:color="auto" w:fill="auto"/>
            <w:vAlign w:val="center"/>
            <w:hideMark/>
          </w:tcPr>
          <w:p w:rsidR="00660362" w:rsidRPr="00660362" w:rsidRDefault="00660362" w:rsidP="00660362">
            <w:pPr>
              <w:jc w:val="both"/>
              <w:rPr>
                <w:color w:val="000000"/>
              </w:rPr>
            </w:pPr>
            <w:r w:rsidRPr="00660362">
              <w:rPr>
                <w:color w:val="000000"/>
              </w:rPr>
              <w:t xml:space="preserve">   Tábua de Entrada em Invalidez                                    </w:t>
            </w:r>
          </w:p>
        </w:tc>
        <w:tc>
          <w:tcPr>
            <w:tcW w:w="150"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p>
        </w:tc>
        <w:tc>
          <w:tcPr>
            <w:tcW w:w="1048"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r w:rsidRPr="00660362">
              <w:rPr>
                <w:color w:val="000000"/>
              </w:rPr>
              <w:t>TASA 27</w:t>
            </w:r>
          </w:p>
        </w:tc>
      </w:tr>
      <w:tr w:rsidR="00660362" w:rsidRPr="00660362" w:rsidTr="00C4258E">
        <w:trPr>
          <w:trHeight w:val="20"/>
        </w:trPr>
        <w:tc>
          <w:tcPr>
            <w:tcW w:w="3132" w:type="pct"/>
            <w:tcBorders>
              <w:top w:val="nil"/>
              <w:left w:val="nil"/>
              <w:bottom w:val="nil"/>
              <w:right w:val="nil"/>
            </w:tcBorders>
            <w:shd w:val="clear" w:color="auto" w:fill="auto"/>
            <w:vAlign w:val="center"/>
            <w:hideMark/>
          </w:tcPr>
          <w:p w:rsidR="00660362" w:rsidRPr="00660362" w:rsidRDefault="00660362" w:rsidP="00660362">
            <w:pPr>
              <w:rPr>
                <w:b/>
                <w:bCs/>
                <w:color w:val="000000"/>
              </w:rPr>
            </w:pPr>
            <w:r w:rsidRPr="00660362">
              <w:rPr>
                <w:b/>
                <w:bCs/>
                <w:color w:val="000000"/>
              </w:rPr>
              <w:t xml:space="preserve">Status do Fundo e Passivo/Ativo                                    </w:t>
            </w:r>
          </w:p>
        </w:tc>
        <w:tc>
          <w:tcPr>
            <w:tcW w:w="670" w:type="pct"/>
            <w:tcBorders>
              <w:top w:val="nil"/>
              <w:left w:val="nil"/>
              <w:bottom w:val="single" w:sz="8" w:space="0" w:color="auto"/>
              <w:right w:val="nil"/>
            </w:tcBorders>
            <w:shd w:val="clear" w:color="auto" w:fill="auto"/>
            <w:vAlign w:val="center"/>
            <w:hideMark/>
          </w:tcPr>
          <w:p w:rsidR="00660362" w:rsidRPr="00660362" w:rsidRDefault="00660362" w:rsidP="00660362">
            <w:pPr>
              <w:jc w:val="right"/>
              <w:rPr>
                <w:b/>
                <w:bCs/>
                <w:color w:val="000000"/>
              </w:rPr>
            </w:pPr>
            <w:r w:rsidRPr="00660362">
              <w:rPr>
                <w:b/>
                <w:bCs/>
                <w:color w:val="000000"/>
              </w:rPr>
              <w:t>2017</w:t>
            </w:r>
          </w:p>
        </w:tc>
        <w:tc>
          <w:tcPr>
            <w:tcW w:w="150" w:type="pct"/>
            <w:tcBorders>
              <w:top w:val="nil"/>
              <w:left w:val="nil"/>
              <w:bottom w:val="nil"/>
              <w:right w:val="nil"/>
            </w:tcBorders>
            <w:shd w:val="clear" w:color="auto" w:fill="auto"/>
            <w:vAlign w:val="center"/>
            <w:hideMark/>
          </w:tcPr>
          <w:p w:rsidR="00660362" w:rsidRPr="00660362" w:rsidRDefault="00660362" w:rsidP="00660362">
            <w:pPr>
              <w:jc w:val="right"/>
              <w:rPr>
                <w:b/>
                <w:bCs/>
                <w:color w:val="000000"/>
              </w:rPr>
            </w:pPr>
          </w:p>
        </w:tc>
        <w:tc>
          <w:tcPr>
            <w:tcW w:w="1048" w:type="pct"/>
            <w:tcBorders>
              <w:top w:val="nil"/>
              <w:left w:val="nil"/>
              <w:bottom w:val="single" w:sz="8" w:space="0" w:color="auto"/>
              <w:right w:val="nil"/>
            </w:tcBorders>
            <w:shd w:val="clear" w:color="auto" w:fill="auto"/>
            <w:vAlign w:val="center"/>
            <w:hideMark/>
          </w:tcPr>
          <w:p w:rsidR="00660362" w:rsidRPr="00660362" w:rsidRDefault="00660362" w:rsidP="00660362">
            <w:pPr>
              <w:jc w:val="right"/>
              <w:rPr>
                <w:b/>
                <w:bCs/>
                <w:color w:val="000000"/>
              </w:rPr>
            </w:pPr>
            <w:r w:rsidRPr="00660362">
              <w:rPr>
                <w:b/>
                <w:bCs/>
                <w:color w:val="000000"/>
              </w:rPr>
              <w:t>2016</w:t>
            </w:r>
          </w:p>
        </w:tc>
      </w:tr>
      <w:tr w:rsidR="00660362" w:rsidRPr="00660362" w:rsidTr="00C4258E">
        <w:trPr>
          <w:trHeight w:val="20"/>
        </w:trPr>
        <w:tc>
          <w:tcPr>
            <w:tcW w:w="3132" w:type="pct"/>
            <w:tcBorders>
              <w:top w:val="nil"/>
              <w:left w:val="nil"/>
              <w:bottom w:val="nil"/>
              <w:right w:val="nil"/>
            </w:tcBorders>
            <w:shd w:val="clear" w:color="auto" w:fill="auto"/>
            <w:vAlign w:val="center"/>
            <w:hideMark/>
          </w:tcPr>
          <w:p w:rsidR="00660362" w:rsidRPr="00660362" w:rsidRDefault="00660362" w:rsidP="00660362">
            <w:pPr>
              <w:jc w:val="both"/>
              <w:rPr>
                <w:color w:val="000000"/>
              </w:rPr>
            </w:pPr>
            <w:r w:rsidRPr="00660362">
              <w:rPr>
                <w:color w:val="000000"/>
              </w:rPr>
              <w:t xml:space="preserve">   Valor presente da Obrigação Atuarial Líquida               </w:t>
            </w:r>
          </w:p>
        </w:tc>
        <w:tc>
          <w:tcPr>
            <w:tcW w:w="670" w:type="pct"/>
            <w:tcBorders>
              <w:top w:val="nil"/>
              <w:left w:val="nil"/>
              <w:bottom w:val="nil"/>
              <w:right w:val="nil"/>
            </w:tcBorders>
            <w:shd w:val="clear" w:color="auto" w:fill="auto"/>
            <w:vAlign w:val="center"/>
            <w:hideMark/>
          </w:tcPr>
          <w:p w:rsidR="00660362" w:rsidRPr="00660362" w:rsidRDefault="00C4258E" w:rsidP="00660362">
            <w:pPr>
              <w:jc w:val="right"/>
              <w:rPr>
                <w:color w:val="000000"/>
              </w:rPr>
            </w:pPr>
            <w:r>
              <w:rPr>
                <w:color w:val="000000"/>
              </w:rPr>
              <w:t>(</w:t>
            </w:r>
            <w:r w:rsidR="00660362" w:rsidRPr="00660362">
              <w:rPr>
                <w:color w:val="000000"/>
              </w:rPr>
              <w:t>74.475</w:t>
            </w:r>
            <w:r>
              <w:rPr>
                <w:color w:val="000000"/>
              </w:rPr>
              <w:t>)</w:t>
            </w:r>
          </w:p>
        </w:tc>
        <w:tc>
          <w:tcPr>
            <w:tcW w:w="150"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p>
        </w:tc>
        <w:tc>
          <w:tcPr>
            <w:tcW w:w="1048" w:type="pct"/>
            <w:tcBorders>
              <w:top w:val="nil"/>
              <w:left w:val="nil"/>
              <w:bottom w:val="nil"/>
              <w:right w:val="nil"/>
            </w:tcBorders>
            <w:shd w:val="clear" w:color="auto" w:fill="auto"/>
            <w:vAlign w:val="center"/>
            <w:hideMark/>
          </w:tcPr>
          <w:p w:rsidR="00660362" w:rsidRPr="00660362" w:rsidRDefault="00C4258E" w:rsidP="00660362">
            <w:pPr>
              <w:jc w:val="right"/>
              <w:rPr>
                <w:color w:val="000000"/>
              </w:rPr>
            </w:pPr>
            <w:r>
              <w:rPr>
                <w:color w:val="000000"/>
              </w:rPr>
              <w:t>(</w:t>
            </w:r>
            <w:r w:rsidR="00660362" w:rsidRPr="00660362">
              <w:rPr>
                <w:color w:val="000000"/>
              </w:rPr>
              <w:t>59.642</w:t>
            </w:r>
            <w:r>
              <w:rPr>
                <w:color w:val="000000"/>
              </w:rPr>
              <w:t>)</w:t>
            </w:r>
          </w:p>
        </w:tc>
      </w:tr>
      <w:tr w:rsidR="00660362" w:rsidRPr="00660362" w:rsidTr="00C4258E">
        <w:trPr>
          <w:trHeight w:val="20"/>
        </w:trPr>
        <w:tc>
          <w:tcPr>
            <w:tcW w:w="3132" w:type="pct"/>
            <w:tcBorders>
              <w:top w:val="nil"/>
              <w:left w:val="nil"/>
              <w:bottom w:val="nil"/>
              <w:right w:val="nil"/>
            </w:tcBorders>
            <w:shd w:val="clear" w:color="auto" w:fill="auto"/>
            <w:vAlign w:val="center"/>
            <w:hideMark/>
          </w:tcPr>
          <w:p w:rsidR="00660362" w:rsidRPr="00660362" w:rsidRDefault="00660362" w:rsidP="00660362">
            <w:pPr>
              <w:jc w:val="both"/>
              <w:rPr>
                <w:color w:val="000000"/>
              </w:rPr>
            </w:pPr>
            <w:r w:rsidRPr="00660362">
              <w:rPr>
                <w:color w:val="000000"/>
              </w:rPr>
              <w:t xml:space="preserve">   Valor Justo dos Ativos do plano no Final do Período</w:t>
            </w:r>
          </w:p>
        </w:tc>
        <w:tc>
          <w:tcPr>
            <w:tcW w:w="670" w:type="pct"/>
            <w:tcBorders>
              <w:top w:val="nil"/>
              <w:left w:val="nil"/>
              <w:bottom w:val="single" w:sz="8" w:space="0" w:color="auto"/>
              <w:right w:val="nil"/>
            </w:tcBorders>
            <w:shd w:val="clear" w:color="auto" w:fill="auto"/>
            <w:vAlign w:val="center"/>
            <w:hideMark/>
          </w:tcPr>
          <w:p w:rsidR="00660362" w:rsidRPr="00660362" w:rsidRDefault="00660362" w:rsidP="00660362">
            <w:pPr>
              <w:jc w:val="right"/>
              <w:rPr>
                <w:color w:val="000000"/>
              </w:rPr>
            </w:pPr>
            <w:r w:rsidRPr="00660362">
              <w:rPr>
                <w:color w:val="000000"/>
              </w:rPr>
              <w:t>84.285</w:t>
            </w:r>
          </w:p>
        </w:tc>
        <w:tc>
          <w:tcPr>
            <w:tcW w:w="150"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p>
        </w:tc>
        <w:tc>
          <w:tcPr>
            <w:tcW w:w="1048" w:type="pct"/>
            <w:tcBorders>
              <w:top w:val="nil"/>
              <w:left w:val="nil"/>
              <w:bottom w:val="single" w:sz="8" w:space="0" w:color="auto"/>
              <w:right w:val="nil"/>
            </w:tcBorders>
            <w:shd w:val="clear" w:color="auto" w:fill="auto"/>
            <w:vAlign w:val="center"/>
            <w:hideMark/>
          </w:tcPr>
          <w:p w:rsidR="00660362" w:rsidRPr="00660362" w:rsidRDefault="00660362" w:rsidP="00660362">
            <w:pPr>
              <w:jc w:val="right"/>
              <w:rPr>
                <w:color w:val="000000"/>
              </w:rPr>
            </w:pPr>
            <w:r w:rsidRPr="00660362">
              <w:rPr>
                <w:color w:val="000000"/>
              </w:rPr>
              <w:t>63.047</w:t>
            </w:r>
          </w:p>
        </w:tc>
      </w:tr>
      <w:tr w:rsidR="00660362" w:rsidRPr="00660362" w:rsidTr="00C4258E">
        <w:trPr>
          <w:trHeight w:val="20"/>
        </w:trPr>
        <w:tc>
          <w:tcPr>
            <w:tcW w:w="3132" w:type="pct"/>
            <w:tcBorders>
              <w:top w:val="nil"/>
              <w:left w:val="nil"/>
              <w:bottom w:val="nil"/>
              <w:right w:val="nil"/>
            </w:tcBorders>
            <w:shd w:val="clear" w:color="auto" w:fill="auto"/>
            <w:vAlign w:val="center"/>
            <w:hideMark/>
          </w:tcPr>
          <w:p w:rsidR="00660362" w:rsidRPr="00660362" w:rsidRDefault="00660362" w:rsidP="00660362">
            <w:pPr>
              <w:jc w:val="both"/>
              <w:rPr>
                <w:color w:val="000000"/>
              </w:rPr>
            </w:pPr>
            <w:r w:rsidRPr="00660362">
              <w:rPr>
                <w:color w:val="000000"/>
              </w:rPr>
              <w:t xml:space="preserve">   Status do Plano de Benefícios / Superávit                        </w:t>
            </w:r>
          </w:p>
        </w:tc>
        <w:tc>
          <w:tcPr>
            <w:tcW w:w="670" w:type="pct"/>
            <w:tcBorders>
              <w:top w:val="nil"/>
              <w:left w:val="nil"/>
              <w:bottom w:val="double" w:sz="6" w:space="0" w:color="auto"/>
              <w:right w:val="nil"/>
            </w:tcBorders>
            <w:shd w:val="clear" w:color="auto" w:fill="auto"/>
            <w:vAlign w:val="center"/>
            <w:hideMark/>
          </w:tcPr>
          <w:p w:rsidR="00660362" w:rsidRPr="00660362" w:rsidRDefault="00660362" w:rsidP="00660362">
            <w:pPr>
              <w:jc w:val="right"/>
              <w:rPr>
                <w:color w:val="000000"/>
              </w:rPr>
            </w:pPr>
            <w:r w:rsidRPr="00660362">
              <w:rPr>
                <w:color w:val="000000"/>
              </w:rPr>
              <w:t>9.810</w:t>
            </w:r>
          </w:p>
        </w:tc>
        <w:tc>
          <w:tcPr>
            <w:tcW w:w="150" w:type="pct"/>
            <w:tcBorders>
              <w:top w:val="nil"/>
              <w:left w:val="nil"/>
              <w:bottom w:val="nil"/>
              <w:right w:val="nil"/>
            </w:tcBorders>
            <w:shd w:val="clear" w:color="auto" w:fill="auto"/>
            <w:vAlign w:val="center"/>
            <w:hideMark/>
          </w:tcPr>
          <w:p w:rsidR="00660362" w:rsidRPr="00660362" w:rsidRDefault="00660362" w:rsidP="00660362">
            <w:pPr>
              <w:jc w:val="right"/>
              <w:rPr>
                <w:color w:val="000000"/>
              </w:rPr>
            </w:pPr>
          </w:p>
        </w:tc>
        <w:tc>
          <w:tcPr>
            <w:tcW w:w="1048" w:type="pct"/>
            <w:tcBorders>
              <w:top w:val="nil"/>
              <w:left w:val="nil"/>
              <w:bottom w:val="double" w:sz="6" w:space="0" w:color="auto"/>
              <w:right w:val="nil"/>
            </w:tcBorders>
            <w:shd w:val="clear" w:color="auto" w:fill="auto"/>
            <w:vAlign w:val="center"/>
            <w:hideMark/>
          </w:tcPr>
          <w:p w:rsidR="00660362" w:rsidRPr="00660362" w:rsidRDefault="00660362" w:rsidP="00660362">
            <w:pPr>
              <w:jc w:val="right"/>
              <w:rPr>
                <w:color w:val="000000"/>
              </w:rPr>
            </w:pPr>
            <w:r w:rsidRPr="00660362">
              <w:rPr>
                <w:color w:val="000000"/>
              </w:rPr>
              <w:t>3.405</w:t>
            </w:r>
          </w:p>
        </w:tc>
      </w:tr>
    </w:tbl>
    <w:p w:rsidR="00177B1E" w:rsidRPr="00FD7B48" w:rsidRDefault="00177B1E" w:rsidP="00BF21BA">
      <w:pPr>
        <w:jc w:val="both"/>
      </w:pPr>
    </w:p>
    <w:p w:rsidR="00B26D3A" w:rsidRPr="00C4258E" w:rsidRDefault="00B26D3A" w:rsidP="00B26D3A">
      <w:pPr>
        <w:jc w:val="both"/>
      </w:pPr>
      <w:r w:rsidRPr="00C4258E">
        <w:t>Considerando a posição de 31 de dezembro de 201</w:t>
      </w:r>
      <w:r w:rsidR="00C4258E" w:rsidRPr="00C4258E">
        <w:t>7</w:t>
      </w:r>
      <w:r w:rsidRPr="00C4258E">
        <w:t xml:space="preserve"> dos cálculos apresentados pela </w:t>
      </w:r>
      <w:proofErr w:type="spellStart"/>
      <w:r w:rsidR="00394EEC">
        <w:t>Merce</w:t>
      </w:r>
      <w:r w:rsidR="00B11A57">
        <w:t>r</w:t>
      </w:r>
      <w:proofErr w:type="spellEnd"/>
      <w:r w:rsidR="00B11A57">
        <w:t xml:space="preserve"> Gama</w:t>
      </w:r>
      <w:r w:rsidR="00394EEC">
        <w:t>.</w:t>
      </w:r>
      <w:r w:rsidRPr="00C4258E">
        <w:t xml:space="preserve"> </w:t>
      </w:r>
      <w:r w:rsidR="001C5456">
        <w:t>O</w:t>
      </w:r>
      <w:r w:rsidRPr="00C4258E">
        <w:t xml:space="preserve"> Plano </w:t>
      </w:r>
      <w:r w:rsidR="001C5456">
        <w:t>H</w:t>
      </w:r>
      <w:r w:rsidRPr="00C4258E">
        <w:t>C</w:t>
      </w:r>
      <w:r w:rsidR="00B11A57">
        <w:t>PA Previdência apresentou resultado supera</w:t>
      </w:r>
      <w:r w:rsidRPr="00C4258E">
        <w:t>vit</w:t>
      </w:r>
      <w:r w:rsidR="00B11A57">
        <w:t>ário</w:t>
      </w:r>
      <w:r w:rsidR="00C4258E" w:rsidRPr="00C4258E">
        <w:t>.</w:t>
      </w:r>
    </w:p>
    <w:p w:rsidR="003918AA" w:rsidRPr="00FD7B48" w:rsidRDefault="003918AA" w:rsidP="00BF21BA">
      <w:pPr>
        <w:jc w:val="both"/>
      </w:pPr>
    </w:p>
    <w:p w:rsidR="0087569F" w:rsidRPr="00FD7B48" w:rsidRDefault="0087569F" w:rsidP="00BF21BA">
      <w:pPr>
        <w:jc w:val="both"/>
      </w:pPr>
    </w:p>
    <w:p w:rsidR="00376772" w:rsidRPr="00CD0813" w:rsidRDefault="00376772" w:rsidP="00042AE7">
      <w:pPr>
        <w:pStyle w:val="Ttulo"/>
        <w:outlineLvl w:val="0"/>
      </w:pPr>
      <w:bookmarkStart w:id="47" w:name="_Ref466466451"/>
      <w:bookmarkStart w:id="48" w:name="_Toc512497280"/>
      <w:r w:rsidRPr="00CD0813">
        <w:t>Capital Social</w:t>
      </w:r>
      <w:bookmarkEnd w:id="47"/>
      <w:bookmarkEnd w:id="48"/>
    </w:p>
    <w:p w:rsidR="00376772" w:rsidRPr="00FD7B48" w:rsidRDefault="00376772" w:rsidP="0029295A">
      <w:pPr>
        <w:jc w:val="both"/>
      </w:pPr>
    </w:p>
    <w:p w:rsidR="00376772" w:rsidRPr="00FD7B48" w:rsidRDefault="00376772" w:rsidP="00BF21BA">
      <w:pPr>
        <w:jc w:val="both"/>
      </w:pPr>
      <w:r w:rsidRPr="00FD7B48">
        <w:t xml:space="preserve">O Capital Social pertence integralmente a União Federal. O último aumento de capital ocorreu em 13 de junho de 2012, com a incorporação dos lucros acumulados apresentados nas </w:t>
      </w:r>
      <w:r w:rsidR="00416B8B" w:rsidRPr="00FD7B48">
        <w:t>Demonstrações Financeiras</w:t>
      </w:r>
      <w:r w:rsidRPr="00FD7B48">
        <w:t xml:space="preserve"> encerradas em 31 de dezembro de 2011 e autorizados pelo Ministério da Fazenda.</w:t>
      </w:r>
      <w:r w:rsidR="00BF21BA" w:rsidRPr="00FD7B48">
        <w:t xml:space="preserve"> </w:t>
      </w:r>
      <w:r w:rsidRPr="00FD7B48">
        <w:t xml:space="preserve">Não houve evolução do Capital nos </w:t>
      </w:r>
      <w:r w:rsidR="004B5AE6" w:rsidRPr="00FD7B48">
        <w:t>quatro</w:t>
      </w:r>
      <w:r w:rsidRPr="00FD7B48">
        <w:t xml:space="preserve"> últimos exercícios</w:t>
      </w:r>
      <w:r w:rsidR="00BF21BA" w:rsidRPr="00FD7B48">
        <w:t xml:space="preserve">. </w:t>
      </w:r>
    </w:p>
    <w:p w:rsidR="00BF21BA" w:rsidRDefault="00BF21BA" w:rsidP="00BF21BA">
      <w:pPr>
        <w:jc w:val="both"/>
      </w:pPr>
    </w:p>
    <w:p w:rsidR="009A59F5" w:rsidRPr="00FD7B48" w:rsidRDefault="009A59F5" w:rsidP="00BF21BA">
      <w:pPr>
        <w:jc w:val="both"/>
      </w:pPr>
    </w:p>
    <w:p w:rsidR="00376772" w:rsidRPr="00CD0813" w:rsidRDefault="00042AE7" w:rsidP="00042AE7">
      <w:pPr>
        <w:pStyle w:val="Ttulo"/>
        <w:outlineLvl w:val="0"/>
      </w:pPr>
      <w:bookmarkStart w:id="49" w:name="_Ref466466463"/>
      <w:bookmarkStart w:id="50" w:name="_Toc512497281"/>
      <w:r w:rsidRPr="00CD0813">
        <w:t>Ajuste</w:t>
      </w:r>
      <w:r w:rsidR="00376772" w:rsidRPr="00CD0813">
        <w:t xml:space="preserve"> de Avaliação Patrimonial</w:t>
      </w:r>
      <w:bookmarkEnd w:id="49"/>
      <w:bookmarkEnd w:id="50"/>
    </w:p>
    <w:p w:rsidR="00376772" w:rsidRPr="00FD7B48" w:rsidRDefault="00376772" w:rsidP="0029295A">
      <w:pPr>
        <w:jc w:val="both"/>
      </w:pPr>
    </w:p>
    <w:p w:rsidR="00376772" w:rsidRDefault="00376772" w:rsidP="0029295A">
      <w:pPr>
        <w:jc w:val="both"/>
      </w:pPr>
      <w:r w:rsidRPr="00FD7B48">
        <w:t>A partir da competência 2010, na medida em que os bens objeto do ajuste de avaliação patrimonial estão sendo realizados, ou seja, depreciados, amortizados ou baixados em contrapartida do resultado, simultaneamente, os respectivos valores são transferidos dessa conta para conta de Lucros ou Prejuízos Acumulados.</w:t>
      </w:r>
    </w:p>
    <w:p w:rsidR="006874C1" w:rsidRPr="00FD7B48" w:rsidRDefault="006874C1" w:rsidP="0029295A">
      <w:pPr>
        <w:jc w:val="both"/>
      </w:pPr>
    </w:p>
    <w:tbl>
      <w:tblPr>
        <w:tblW w:w="9162" w:type="dxa"/>
        <w:tblInd w:w="-17" w:type="dxa"/>
        <w:tblLayout w:type="fixed"/>
        <w:tblCellMar>
          <w:left w:w="0" w:type="dxa"/>
          <w:right w:w="0" w:type="dxa"/>
        </w:tblCellMar>
        <w:tblLook w:val="0000" w:firstRow="0" w:lastRow="0" w:firstColumn="0" w:lastColumn="0" w:noHBand="0" w:noVBand="0"/>
      </w:tblPr>
      <w:tblGrid>
        <w:gridCol w:w="5797"/>
        <w:gridCol w:w="1402"/>
        <w:gridCol w:w="281"/>
        <w:gridCol w:w="1682"/>
      </w:tblGrid>
      <w:tr w:rsidR="00FD7B48" w:rsidRPr="00DE6E86" w:rsidTr="00A942EF">
        <w:trPr>
          <w:trHeight w:val="229"/>
        </w:trPr>
        <w:tc>
          <w:tcPr>
            <w:tcW w:w="5797" w:type="dxa"/>
            <w:vAlign w:val="bottom"/>
          </w:tcPr>
          <w:p w:rsidR="00A942EF" w:rsidRPr="00DE6E86" w:rsidRDefault="00A942EF" w:rsidP="00A942EF">
            <w:pPr>
              <w:pStyle w:val="NormalWeb"/>
              <w:widowControl w:val="0"/>
              <w:spacing w:before="0" w:after="0"/>
              <w:rPr>
                <w:sz w:val="18"/>
                <w:szCs w:val="18"/>
                <w:lang w:val="pt-BR"/>
              </w:rPr>
            </w:pPr>
          </w:p>
        </w:tc>
        <w:tc>
          <w:tcPr>
            <w:tcW w:w="1402" w:type="dxa"/>
            <w:tcBorders>
              <w:bottom w:val="single" w:sz="4" w:space="0" w:color="auto"/>
            </w:tcBorders>
            <w:vAlign w:val="bottom"/>
          </w:tcPr>
          <w:p w:rsidR="00A942EF" w:rsidRPr="00DE6E86" w:rsidRDefault="00A942EF" w:rsidP="00A51D3F">
            <w:pPr>
              <w:widowControl w:val="0"/>
              <w:suppressLineNumbers/>
              <w:suppressAutoHyphens/>
              <w:spacing w:line="230" w:lineRule="auto"/>
              <w:jc w:val="center"/>
              <w:rPr>
                <w:b/>
                <w:sz w:val="18"/>
                <w:szCs w:val="18"/>
              </w:rPr>
            </w:pPr>
            <w:r w:rsidRPr="00DE6E86">
              <w:rPr>
                <w:b/>
                <w:sz w:val="18"/>
                <w:szCs w:val="18"/>
              </w:rPr>
              <w:t xml:space="preserve">       </w:t>
            </w:r>
            <w:r w:rsidR="00B635B3" w:rsidRPr="00DE6E86">
              <w:rPr>
                <w:b/>
                <w:sz w:val="18"/>
                <w:szCs w:val="18"/>
              </w:rPr>
              <w:t>31/12/201</w:t>
            </w:r>
            <w:r w:rsidR="00A51D3F" w:rsidRPr="00DE6E86">
              <w:rPr>
                <w:b/>
                <w:sz w:val="18"/>
                <w:szCs w:val="18"/>
              </w:rPr>
              <w:t>7</w:t>
            </w:r>
          </w:p>
        </w:tc>
        <w:tc>
          <w:tcPr>
            <w:tcW w:w="281" w:type="dxa"/>
            <w:vAlign w:val="bottom"/>
          </w:tcPr>
          <w:p w:rsidR="00A942EF" w:rsidRPr="00DE6E86" w:rsidRDefault="00A942EF" w:rsidP="00A942EF">
            <w:pPr>
              <w:widowControl w:val="0"/>
              <w:suppressLineNumbers/>
              <w:suppressAutoHyphens/>
              <w:spacing w:line="230" w:lineRule="auto"/>
              <w:rPr>
                <w:b/>
                <w:sz w:val="18"/>
                <w:szCs w:val="18"/>
              </w:rPr>
            </w:pPr>
          </w:p>
        </w:tc>
        <w:tc>
          <w:tcPr>
            <w:tcW w:w="1682" w:type="dxa"/>
            <w:tcBorders>
              <w:bottom w:val="single" w:sz="4" w:space="0" w:color="auto"/>
            </w:tcBorders>
            <w:vAlign w:val="bottom"/>
          </w:tcPr>
          <w:p w:rsidR="00A942EF" w:rsidRPr="00DE6E86" w:rsidRDefault="00B635B3" w:rsidP="00A51D3F">
            <w:pPr>
              <w:widowControl w:val="0"/>
              <w:suppressLineNumbers/>
              <w:suppressAutoHyphens/>
              <w:spacing w:line="230" w:lineRule="auto"/>
              <w:jc w:val="right"/>
              <w:rPr>
                <w:b/>
                <w:sz w:val="18"/>
                <w:szCs w:val="18"/>
              </w:rPr>
            </w:pPr>
            <w:r w:rsidRPr="00DE6E86">
              <w:rPr>
                <w:b/>
                <w:sz w:val="18"/>
                <w:szCs w:val="18"/>
              </w:rPr>
              <w:t>31/12/201</w:t>
            </w:r>
            <w:r w:rsidR="00A51D3F" w:rsidRPr="00DE6E86">
              <w:rPr>
                <w:b/>
                <w:sz w:val="18"/>
                <w:szCs w:val="18"/>
              </w:rPr>
              <w:t>6</w:t>
            </w:r>
          </w:p>
        </w:tc>
      </w:tr>
      <w:tr w:rsidR="00FD7B48" w:rsidRPr="00DE6E86" w:rsidTr="00A942EF">
        <w:trPr>
          <w:trHeight w:val="229"/>
        </w:trPr>
        <w:tc>
          <w:tcPr>
            <w:tcW w:w="5797" w:type="dxa"/>
            <w:vAlign w:val="center"/>
          </w:tcPr>
          <w:p w:rsidR="00A942EF" w:rsidRPr="00DE6E86" w:rsidRDefault="00A51D3F" w:rsidP="00A942EF">
            <w:pPr>
              <w:jc w:val="both"/>
              <w:rPr>
                <w:sz w:val="18"/>
                <w:szCs w:val="18"/>
              </w:rPr>
            </w:pPr>
            <w:r w:rsidRPr="00DE6E86">
              <w:rPr>
                <w:sz w:val="18"/>
                <w:szCs w:val="18"/>
              </w:rPr>
              <w:t xml:space="preserve">   </w:t>
            </w:r>
            <w:r w:rsidR="00A942EF" w:rsidRPr="00DE6E86">
              <w:rPr>
                <w:sz w:val="18"/>
                <w:szCs w:val="18"/>
              </w:rPr>
              <w:t>Saldo Inicial em 01 de janeiro</w:t>
            </w:r>
          </w:p>
        </w:tc>
        <w:tc>
          <w:tcPr>
            <w:tcW w:w="1402" w:type="dxa"/>
            <w:tcBorders>
              <w:top w:val="single" w:sz="4" w:space="0" w:color="auto"/>
            </w:tcBorders>
            <w:vAlign w:val="bottom"/>
          </w:tcPr>
          <w:p w:rsidR="00A942EF" w:rsidRPr="00DE6E86" w:rsidRDefault="00A942EF" w:rsidP="00815726">
            <w:pPr>
              <w:pStyle w:val="NormalWeb"/>
              <w:widowControl w:val="0"/>
              <w:spacing w:before="0" w:after="0" w:line="230" w:lineRule="auto"/>
              <w:jc w:val="right"/>
              <w:rPr>
                <w:sz w:val="18"/>
                <w:szCs w:val="18"/>
                <w:lang w:val="pt-BR"/>
              </w:rPr>
            </w:pPr>
            <w:r w:rsidRPr="00DE6E86">
              <w:rPr>
                <w:sz w:val="18"/>
                <w:szCs w:val="18"/>
                <w:lang w:val="pt-BR"/>
              </w:rPr>
              <w:t>(</w:t>
            </w:r>
            <w:r w:rsidR="00A51D3F" w:rsidRPr="00DE6E86">
              <w:rPr>
                <w:sz w:val="18"/>
                <w:szCs w:val="18"/>
                <w:lang w:val="pt-BR"/>
              </w:rPr>
              <w:t>18</w:t>
            </w:r>
            <w:r w:rsidR="00592B7A" w:rsidRPr="00DE6E86">
              <w:rPr>
                <w:sz w:val="18"/>
                <w:szCs w:val="18"/>
                <w:lang w:val="pt-BR"/>
              </w:rPr>
              <w:t>.</w:t>
            </w:r>
            <w:r w:rsidR="00A51D3F" w:rsidRPr="00DE6E86">
              <w:rPr>
                <w:sz w:val="18"/>
                <w:szCs w:val="18"/>
                <w:lang w:val="pt-BR"/>
              </w:rPr>
              <w:t>173</w:t>
            </w:r>
            <w:r w:rsidRPr="00DE6E86">
              <w:rPr>
                <w:sz w:val="18"/>
                <w:szCs w:val="18"/>
                <w:lang w:val="pt-BR"/>
              </w:rPr>
              <w:t>)</w:t>
            </w:r>
          </w:p>
        </w:tc>
        <w:tc>
          <w:tcPr>
            <w:tcW w:w="281" w:type="dxa"/>
            <w:vAlign w:val="bottom"/>
          </w:tcPr>
          <w:p w:rsidR="00A942EF" w:rsidRPr="00DE6E86" w:rsidRDefault="00A942EF" w:rsidP="00815726">
            <w:pPr>
              <w:pStyle w:val="NormalWeb"/>
              <w:widowControl w:val="0"/>
              <w:spacing w:before="0" w:after="0" w:line="230" w:lineRule="auto"/>
              <w:ind w:right="6"/>
              <w:jc w:val="right"/>
              <w:rPr>
                <w:sz w:val="18"/>
                <w:szCs w:val="18"/>
                <w:lang w:val="pt-BR"/>
              </w:rPr>
            </w:pPr>
          </w:p>
        </w:tc>
        <w:tc>
          <w:tcPr>
            <w:tcW w:w="1682" w:type="dxa"/>
            <w:tcBorders>
              <w:top w:val="single" w:sz="4" w:space="0" w:color="auto"/>
            </w:tcBorders>
            <w:vAlign w:val="bottom"/>
          </w:tcPr>
          <w:p w:rsidR="00A942EF" w:rsidRPr="00DE6E86" w:rsidRDefault="00A51D3F" w:rsidP="00815726">
            <w:pPr>
              <w:pStyle w:val="NormalWeb"/>
              <w:widowControl w:val="0"/>
              <w:spacing w:before="0" w:after="0" w:line="230" w:lineRule="auto"/>
              <w:jc w:val="right"/>
              <w:rPr>
                <w:sz w:val="18"/>
                <w:szCs w:val="18"/>
                <w:lang w:val="pt-BR"/>
              </w:rPr>
            </w:pPr>
            <w:r w:rsidRPr="00DE6E86">
              <w:rPr>
                <w:sz w:val="18"/>
                <w:szCs w:val="18"/>
                <w:lang w:val="pt-BR"/>
              </w:rPr>
              <w:t>(16.854</w:t>
            </w:r>
            <w:r w:rsidR="00A942EF" w:rsidRPr="00DE6E86">
              <w:rPr>
                <w:sz w:val="18"/>
                <w:szCs w:val="18"/>
                <w:lang w:val="pt-BR"/>
              </w:rPr>
              <w:t>)</w:t>
            </w:r>
          </w:p>
        </w:tc>
      </w:tr>
      <w:tr w:rsidR="00FD7B48" w:rsidRPr="00DE6E86" w:rsidTr="00A942EF">
        <w:trPr>
          <w:trHeight w:val="229"/>
        </w:trPr>
        <w:tc>
          <w:tcPr>
            <w:tcW w:w="5797" w:type="dxa"/>
            <w:vAlign w:val="center"/>
          </w:tcPr>
          <w:p w:rsidR="00A942EF" w:rsidRPr="00DE6E86" w:rsidRDefault="00A942EF" w:rsidP="008F00D0">
            <w:pPr>
              <w:jc w:val="both"/>
              <w:rPr>
                <w:sz w:val="18"/>
                <w:szCs w:val="18"/>
              </w:rPr>
            </w:pPr>
            <w:r w:rsidRPr="00DE6E86">
              <w:rPr>
                <w:sz w:val="18"/>
                <w:szCs w:val="18"/>
              </w:rPr>
              <w:t xml:space="preserve">   Recomposição pela Baixa</w:t>
            </w:r>
            <w:r w:rsidR="008F00D0" w:rsidRPr="00DE6E86">
              <w:rPr>
                <w:sz w:val="18"/>
                <w:szCs w:val="18"/>
              </w:rPr>
              <w:t xml:space="preserve"> ou Depreciação</w:t>
            </w:r>
            <w:r w:rsidRPr="00DE6E86">
              <w:rPr>
                <w:sz w:val="18"/>
                <w:szCs w:val="18"/>
              </w:rPr>
              <w:t xml:space="preserve"> de Bens</w:t>
            </w:r>
            <w:r w:rsidR="008F00D0" w:rsidRPr="00DE6E86">
              <w:rPr>
                <w:sz w:val="18"/>
                <w:szCs w:val="18"/>
              </w:rPr>
              <w:t xml:space="preserve"> </w:t>
            </w:r>
          </w:p>
        </w:tc>
        <w:tc>
          <w:tcPr>
            <w:tcW w:w="1402" w:type="dxa"/>
            <w:vAlign w:val="bottom"/>
          </w:tcPr>
          <w:p w:rsidR="00A942EF" w:rsidRPr="00DE6E86" w:rsidRDefault="008F00D0" w:rsidP="00815726">
            <w:pPr>
              <w:pStyle w:val="NormalWeb"/>
              <w:widowControl w:val="0"/>
              <w:spacing w:before="0" w:after="0" w:line="230" w:lineRule="auto"/>
              <w:ind w:right="6"/>
              <w:jc w:val="right"/>
              <w:rPr>
                <w:sz w:val="18"/>
                <w:szCs w:val="18"/>
                <w:lang w:val="pt-BR"/>
              </w:rPr>
            </w:pPr>
            <w:r w:rsidRPr="00DE6E86">
              <w:rPr>
                <w:sz w:val="18"/>
                <w:szCs w:val="18"/>
                <w:lang w:val="pt-BR"/>
              </w:rPr>
              <w:t xml:space="preserve">               (1.</w:t>
            </w:r>
            <w:r w:rsidR="00A51D3F" w:rsidRPr="00DE6E86">
              <w:rPr>
                <w:sz w:val="18"/>
                <w:szCs w:val="18"/>
                <w:lang w:val="pt-BR"/>
              </w:rPr>
              <w:t>199</w:t>
            </w:r>
            <w:r w:rsidRPr="00DE6E86">
              <w:rPr>
                <w:sz w:val="18"/>
                <w:szCs w:val="18"/>
                <w:lang w:val="pt-BR"/>
              </w:rPr>
              <w:t>)</w:t>
            </w:r>
          </w:p>
        </w:tc>
        <w:tc>
          <w:tcPr>
            <w:tcW w:w="281" w:type="dxa"/>
            <w:vAlign w:val="bottom"/>
          </w:tcPr>
          <w:p w:rsidR="00A942EF" w:rsidRPr="00DE6E86" w:rsidRDefault="00A942EF" w:rsidP="00815726">
            <w:pPr>
              <w:pStyle w:val="NormalWeb"/>
              <w:widowControl w:val="0"/>
              <w:spacing w:before="0" w:after="0" w:line="230" w:lineRule="auto"/>
              <w:ind w:right="6"/>
              <w:jc w:val="right"/>
              <w:rPr>
                <w:sz w:val="18"/>
                <w:szCs w:val="18"/>
                <w:lang w:val="pt-BR"/>
              </w:rPr>
            </w:pPr>
          </w:p>
        </w:tc>
        <w:tc>
          <w:tcPr>
            <w:tcW w:w="1682" w:type="dxa"/>
            <w:vAlign w:val="bottom"/>
          </w:tcPr>
          <w:p w:rsidR="00A942EF" w:rsidRPr="00DE6E86" w:rsidRDefault="00A51D3F" w:rsidP="00815726">
            <w:pPr>
              <w:pStyle w:val="NormalWeb"/>
              <w:widowControl w:val="0"/>
              <w:spacing w:before="0" w:after="0" w:line="230" w:lineRule="auto"/>
              <w:ind w:right="6"/>
              <w:jc w:val="right"/>
              <w:rPr>
                <w:sz w:val="18"/>
                <w:szCs w:val="18"/>
                <w:lang w:val="pt-BR"/>
              </w:rPr>
            </w:pPr>
            <w:r w:rsidRPr="00DE6E86">
              <w:rPr>
                <w:sz w:val="18"/>
                <w:szCs w:val="18"/>
                <w:lang w:val="pt-BR"/>
              </w:rPr>
              <w:t xml:space="preserve">                   (1.319</w:t>
            </w:r>
            <w:r w:rsidR="008F00D0" w:rsidRPr="00DE6E86">
              <w:rPr>
                <w:sz w:val="18"/>
                <w:szCs w:val="18"/>
                <w:lang w:val="pt-BR"/>
              </w:rPr>
              <w:t>)</w:t>
            </w:r>
          </w:p>
        </w:tc>
      </w:tr>
      <w:tr w:rsidR="00A51D3F" w:rsidRPr="00DE6E86" w:rsidTr="00A942EF">
        <w:trPr>
          <w:trHeight w:val="229"/>
        </w:trPr>
        <w:tc>
          <w:tcPr>
            <w:tcW w:w="5797" w:type="dxa"/>
            <w:vAlign w:val="center"/>
          </w:tcPr>
          <w:p w:rsidR="00A51D3F" w:rsidRPr="00DE6E86" w:rsidRDefault="00E5193F" w:rsidP="008F00D0">
            <w:pPr>
              <w:jc w:val="both"/>
              <w:rPr>
                <w:sz w:val="18"/>
                <w:szCs w:val="18"/>
              </w:rPr>
            </w:pPr>
            <w:r w:rsidRPr="00DE6E86">
              <w:rPr>
                <w:sz w:val="18"/>
                <w:szCs w:val="18"/>
              </w:rPr>
              <w:t xml:space="preserve">   Reversão de Menos-</w:t>
            </w:r>
            <w:r w:rsidR="00A51D3F" w:rsidRPr="00DE6E86">
              <w:rPr>
                <w:sz w:val="18"/>
                <w:szCs w:val="18"/>
              </w:rPr>
              <w:t xml:space="preserve">Valia </w:t>
            </w:r>
          </w:p>
        </w:tc>
        <w:tc>
          <w:tcPr>
            <w:tcW w:w="1402" w:type="dxa"/>
            <w:vAlign w:val="bottom"/>
          </w:tcPr>
          <w:p w:rsidR="00A51D3F" w:rsidRPr="00DE6E86" w:rsidRDefault="00A51D3F" w:rsidP="00815726">
            <w:pPr>
              <w:pStyle w:val="NormalWeb"/>
              <w:widowControl w:val="0"/>
              <w:spacing w:before="0" w:after="0" w:line="230" w:lineRule="auto"/>
              <w:ind w:right="6"/>
              <w:jc w:val="right"/>
              <w:rPr>
                <w:sz w:val="18"/>
                <w:szCs w:val="18"/>
                <w:lang w:val="pt-BR"/>
              </w:rPr>
            </w:pPr>
            <w:r w:rsidRPr="00DE6E86">
              <w:rPr>
                <w:sz w:val="18"/>
                <w:szCs w:val="18"/>
                <w:lang w:val="pt-BR"/>
              </w:rPr>
              <w:t xml:space="preserve">               2.772</w:t>
            </w:r>
          </w:p>
        </w:tc>
        <w:tc>
          <w:tcPr>
            <w:tcW w:w="281" w:type="dxa"/>
            <w:vAlign w:val="bottom"/>
          </w:tcPr>
          <w:p w:rsidR="00A51D3F" w:rsidRPr="00DE6E86" w:rsidRDefault="00A51D3F" w:rsidP="00815726">
            <w:pPr>
              <w:pStyle w:val="NormalWeb"/>
              <w:widowControl w:val="0"/>
              <w:spacing w:before="0" w:after="0" w:line="230" w:lineRule="auto"/>
              <w:ind w:right="6"/>
              <w:jc w:val="right"/>
              <w:rPr>
                <w:sz w:val="18"/>
                <w:szCs w:val="18"/>
                <w:lang w:val="pt-BR"/>
              </w:rPr>
            </w:pPr>
          </w:p>
        </w:tc>
        <w:tc>
          <w:tcPr>
            <w:tcW w:w="1682" w:type="dxa"/>
            <w:vAlign w:val="bottom"/>
          </w:tcPr>
          <w:p w:rsidR="00A51D3F" w:rsidRPr="00DE6E86" w:rsidRDefault="001763E2" w:rsidP="00815726">
            <w:pPr>
              <w:pStyle w:val="NormalWeb"/>
              <w:widowControl w:val="0"/>
              <w:spacing w:before="0" w:after="0" w:line="230" w:lineRule="auto"/>
              <w:ind w:right="6"/>
              <w:jc w:val="right"/>
              <w:rPr>
                <w:sz w:val="18"/>
                <w:szCs w:val="18"/>
                <w:lang w:val="pt-BR"/>
              </w:rPr>
            </w:pPr>
            <w:r w:rsidRPr="00DE6E86">
              <w:rPr>
                <w:sz w:val="18"/>
                <w:szCs w:val="18"/>
                <w:lang w:val="pt-BR"/>
              </w:rPr>
              <w:t xml:space="preserve">             -</w:t>
            </w:r>
          </w:p>
        </w:tc>
      </w:tr>
      <w:tr w:rsidR="00FD7B48" w:rsidRPr="00DE6E86" w:rsidTr="00A942EF">
        <w:trPr>
          <w:trHeight w:val="229"/>
        </w:trPr>
        <w:tc>
          <w:tcPr>
            <w:tcW w:w="5797" w:type="dxa"/>
            <w:vAlign w:val="center"/>
          </w:tcPr>
          <w:p w:rsidR="00A942EF" w:rsidRPr="00DE6E86" w:rsidRDefault="00A942EF" w:rsidP="00207ECD">
            <w:pPr>
              <w:jc w:val="both"/>
              <w:rPr>
                <w:sz w:val="18"/>
                <w:szCs w:val="18"/>
              </w:rPr>
            </w:pPr>
            <w:r w:rsidRPr="00DE6E86">
              <w:rPr>
                <w:sz w:val="18"/>
                <w:szCs w:val="18"/>
              </w:rPr>
              <w:t xml:space="preserve">   Saldo em </w:t>
            </w:r>
            <w:r w:rsidR="00673379" w:rsidRPr="00DE6E86">
              <w:rPr>
                <w:sz w:val="18"/>
                <w:szCs w:val="18"/>
              </w:rPr>
              <w:t>31 de d</w:t>
            </w:r>
            <w:r w:rsidR="00207ECD" w:rsidRPr="00DE6E86">
              <w:rPr>
                <w:sz w:val="18"/>
                <w:szCs w:val="18"/>
              </w:rPr>
              <w:t>ezembro</w:t>
            </w:r>
          </w:p>
        </w:tc>
        <w:tc>
          <w:tcPr>
            <w:tcW w:w="1402" w:type="dxa"/>
            <w:tcBorders>
              <w:top w:val="single" w:sz="4" w:space="0" w:color="auto"/>
              <w:bottom w:val="double" w:sz="4" w:space="0" w:color="auto"/>
            </w:tcBorders>
            <w:vAlign w:val="bottom"/>
          </w:tcPr>
          <w:p w:rsidR="00A942EF" w:rsidRPr="00DE6E86" w:rsidRDefault="00A942EF" w:rsidP="00815726">
            <w:pPr>
              <w:pStyle w:val="NormalWeb"/>
              <w:widowControl w:val="0"/>
              <w:spacing w:before="0" w:after="0" w:line="230" w:lineRule="auto"/>
              <w:ind w:right="6"/>
              <w:jc w:val="right"/>
              <w:rPr>
                <w:sz w:val="18"/>
                <w:szCs w:val="18"/>
                <w:lang w:val="pt-BR"/>
              </w:rPr>
            </w:pPr>
            <w:r w:rsidRPr="00DE6E86">
              <w:rPr>
                <w:sz w:val="18"/>
                <w:szCs w:val="18"/>
                <w:lang w:val="pt-BR"/>
              </w:rPr>
              <w:t>(</w:t>
            </w:r>
            <w:r w:rsidR="00A51D3F" w:rsidRPr="00DE6E86">
              <w:rPr>
                <w:sz w:val="18"/>
                <w:szCs w:val="18"/>
                <w:lang w:val="pt-BR"/>
              </w:rPr>
              <w:t>16.600</w:t>
            </w:r>
            <w:r w:rsidRPr="00DE6E86">
              <w:rPr>
                <w:sz w:val="18"/>
                <w:szCs w:val="18"/>
                <w:lang w:val="pt-BR"/>
              </w:rPr>
              <w:t>)</w:t>
            </w:r>
          </w:p>
        </w:tc>
        <w:tc>
          <w:tcPr>
            <w:tcW w:w="281" w:type="dxa"/>
            <w:vAlign w:val="bottom"/>
          </w:tcPr>
          <w:p w:rsidR="00A942EF" w:rsidRPr="00DE6E86" w:rsidRDefault="00A942EF" w:rsidP="00815726">
            <w:pPr>
              <w:pStyle w:val="NormalWeb"/>
              <w:widowControl w:val="0"/>
              <w:spacing w:before="0" w:after="0" w:line="230" w:lineRule="auto"/>
              <w:ind w:right="6"/>
              <w:jc w:val="right"/>
              <w:rPr>
                <w:sz w:val="18"/>
                <w:szCs w:val="18"/>
                <w:lang w:val="pt-BR"/>
              </w:rPr>
            </w:pPr>
          </w:p>
        </w:tc>
        <w:tc>
          <w:tcPr>
            <w:tcW w:w="1682" w:type="dxa"/>
            <w:tcBorders>
              <w:top w:val="single" w:sz="4" w:space="0" w:color="auto"/>
              <w:bottom w:val="double" w:sz="4" w:space="0" w:color="auto"/>
            </w:tcBorders>
            <w:vAlign w:val="bottom"/>
          </w:tcPr>
          <w:p w:rsidR="00A942EF" w:rsidRPr="00DE6E86" w:rsidRDefault="00A942EF" w:rsidP="00815726">
            <w:pPr>
              <w:pStyle w:val="NormalWeb"/>
              <w:widowControl w:val="0"/>
              <w:spacing w:before="0" w:after="0" w:line="230" w:lineRule="auto"/>
              <w:ind w:right="6"/>
              <w:jc w:val="right"/>
              <w:rPr>
                <w:sz w:val="18"/>
                <w:szCs w:val="18"/>
                <w:lang w:val="pt-BR"/>
              </w:rPr>
            </w:pPr>
            <w:r w:rsidRPr="00DE6E86">
              <w:rPr>
                <w:sz w:val="18"/>
                <w:szCs w:val="18"/>
                <w:lang w:val="pt-BR"/>
              </w:rPr>
              <w:t>(</w:t>
            </w:r>
            <w:r w:rsidR="005B7636" w:rsidRPr="00DE6E86">
              <w:rPr>
                <w:sz w:val="18"/>
                <w:szCs w:val="18"/>
                <w:lang w:val="pt-BR"/>
              </w:rPr>
              <w:t>1</w:t>
            </w:r>
            <w:r w:rsidR="00A51D3F" w:rsidRPr="00DE6E86">
              <w:rPr>
                <w:sz w:val="18"/>
                <w:szCs w:val="18"/>
                <w:lang w:val="pt-BR"/>
              </w:rPr>
              <w:t>8.173</w:t>
            </w:r>
            <w:r w:rsidRPr="00DE6E86">
              <w:rPr>
                <w:sz w:val="18"/>
                <w:szCs w:val="18"/>
                <w:lang w:val="pt-BR"/>
              </w:rPr>
              <w:t>)</w:t>
            </w:r>
          </w:p>
        </w:tc>
      </w:tr>
    </w:tbl>
    <w:p w:rsidR="00A942EF" w:rsidRDefault="00A942EF" w:rsidP="0029295A">
      <w:pPr>
        <w:jc w:val="both"/>
      </w:pPr>
    </w:p>
    <w:p w:rsidR="00FB33F0" w:rsidRPr="00685DFF" w:rsidRDefault="00185CAD" w:rsidP="00FB33F0">
      <w:pPr>
        <w:jc w:val="both"/>
      </w:pPr>
      <w:r w:rsidRPr="00685DFF">
        <w:t>O</w:t>
      </w:r>
      <w:r w:rsidR="00666C8E" w:rsidRPr="00685DFF">
        <w:t xml:space="preserve"> do valor</w:t>
      </w:r>
      <w:r w:rsidR="00FB33F0" w:rsidRPr="00685DFF">
        <w:t xml:space="preserve"> </w:t>
      </w:r>
      <w:r w:rsidR="00300FE5" w:rsidRPr="00685DFF">
        <w:t xml:space="preserve">de R$ 2.772 refere-se </w:t>
      </w:r>
      <w:r w:rsidR="00E5193F">
        <w:t>à</w:t>
      </w:r>
      <w:r w:rsidR="00666C8E" w:rsidRPr="00685DFF">
        <w:t xml:space="preserve"> reversão</w:t>
      </w:r>
      <w:r w:rsidR="00DE43CE">
        <w:t xml:space="preserve"> do valor de</w:t>
      </w:r>
      <w:r w:rsidR="00300FE5" w:rsidRPr="00685DFF">
        <w:t xml:space="preserve"> menos</w:t>
      </w:r>
      <w:r w:rsidR="00DE43CE">
        <w:t>-</w:t>
      </w:r>
      <w:r w:rsidR="00300FE5" w:rsidRPr="00685DFF">
        <w:t xml:space="preserve">valia </w:t>
      </w:r>
      <w:r w:rsidR="00C94C2A">
        <w:t xml:space="preserve">(reavaliação) </w:t>
      </w:r>
      <w:r w:rsidR="00300FE5" w:rsidRPr="00685DFF">
        <w:t>incidente sobre bens</w:t>
      </w:r>
      <w:r w:rsidRPr="00685DFF">
        <w:t xml:space="preserve"> patrimoniais</w:t>
      </w:r>
      <w:r w:rsidR="00300FE5" w:rsidRPr="00685DFF">
        <w:t xml:space="preserve"> </w:t>
      </w:r>
      <w:r w:rsidR="00A30CF6">
        <w:t xml:space="preserve">com </w:t>
      </w:r>
      <w:r w:rsidR="00300FE5" w:rsidRPr="00685DFF">
        <w:t>saldo</w:t>
      </w:r>
      <w:r w:rsidR="00220707">
        <w:t xml:space="preserve"> </w:t>
      </w:r>
      <w:r w:rsidR="00666C8E" w:rsidRPr="00685DFF">
        <w:t>residual</w:t>
      </w:r>
      <w:r w:rsidR="00220707">
        <w:t xml:space="preserve"> em 2010,</w:t>
      </w:r>
      <w:r w:rsidR="00666C8E" w:rsidRPr="00685DFF">
        <w:t xml:space="preserve"> </w:t>
      </w:r>
      <w:r w:rsidR="00300FE5" w:rsidRPr="00685DFF">
        <w:t xml:space="preserve">insuficiente para o </w:t>
      </w:r>
      <w:r w:rsidR="00DE43CE">
        <w:t>seu</w:t>
      </w:r>
      <w:r w:rsidR="00300FE5" w:rsidRPr="00685DFF">
        <w:t xml:space="preserve"> registrado. Este ajuste recompôs o</w:t>
      </w:r>
      <w:r w:rsidR="00FB33F0" w:rsidRPr="00685DFF">
        <w:t xml:space="preserve"> saldo</w:t>
      </w:r>
      <w:r w:rsidR="00300FE5" w:rsidRPr="00685DFF">
        <w:t xml:space="preserve"> do I</w:t>
      </w:r>
      <w:r w:rsidR="00FB33F0" w:rsidRPr="00685DFF">
        <w:t>mobilizado e da Reserva de Reavaliação</w:t>
      </w:r>
      <w:r w:rsidR="00300FE5" w:rsidRPr="00685DFF">
        <w:t xml:space="preserve"> </w:t>
      </w:r>
      <w:r w:rsidR="00C203C0">
        <w:t>no</w:t>
      </w:r>
      <w:r w:rsidR="00300FE5" w:rsidRPr="00685DFF">
        <w:t xml:space="preserve"> P</w:t>
      </w:r>
      <w:r w:rsidR="00C203C0">
        <w:t>atrimônio Líquido</w:t>
      </w:r>
      <w:r w:rsidR="00300FE5" w:rsidRPr="00685DFF">
        <w:t>.</w:t>
      </w:r>
    </w:p>
    <w:p w:rsidR="00FB33F0" w:rsidRDefault="00FB33F0" w:rsidP="0029295A">
      <w:pPr>
        <w:jc w:val="both"/>
      </w:pPr>
    </w:p>
    <w:p w:rsidR="007812D6" w:rsidRPr="00FD7B48" w:rsidRDefault="007812D6" w:rsidP="0029295A">
      <w:pPr>
        <w:jc w:val="both"/>
      </w:pPr>
    </w:p>
    <w:p w:rsidR="00376772" w:rsidRPr="00CD0813" w:rsidRDefault="00376772" w:rsidP="00042AE7">
      <w:pPr>
        <w:pStyle w:val="Ttulo"/>
        <w:outlineLvl w:val="0"/>
      </w:pPr>
      <w:bookmarkStart w:id="51" w:name="_Ref466466477"/>
      <w:bookmarkStart w:id="52" w:name="_Toc512497282"/>
      <w:r w:rsidRPr="00CD0813">
        <w:t>Reservas de Retenção do</w:t>
      </w:r>
      <w:r w:rsidR="00BB105C" w:rsidRPr="00CD0813">
        <w:t>s</w:t>
      </w:r>
      <w:r w:rsidRPr="00CD0813">
        <w:t xml:space="preserve"> Luc</w:t>
      </w:r>
      <w:bookmarkEnd w:id="51"/>
      <w:r w:rsidR="00023411" w:rsidRPr="00CD0813">
        <w:t xml:space="preserve">ros </w:t>
      </w:r>
      <w:r w:rsidR="001708BF" w:rsidRPr="00CD0813">
        <w:t>e Prejuízos Acumulados</w:t>
      </w:r>
      <w:bookmarkEnd w:id="52"/>
      <w:r w:rsidR="00023411" w:rsidRPr="00CD0813">
        <w:t xml:space="preserve"> </w:t>
      </w:r>
    </w:p>
    <w:p w:rsidR="00376772" w:rsidRPr="00FD7B48" w:rsidRDefault="00376772" w:rsidP="0029295A">
      <w:pPr>
        <w:jc w:val="both"/>
      </w:pPr>
    </w:p>
    <w:tbl>
      <w:tblPr>
        <w:tblW w:w="9089" w:type="dxa"/>
        <w:tblInd w:w="-17" w:type="dxa"/>
        <w:tblLayout w:type="fixed"/>
        <w:tblCellMar>
          <w:left w:w="0" w:type="dxa"/>
          <w:right w:w="0" w:type="dxa"/>
        </w:tblCellMar>
        <w:tblLook w:val="0000" w:firstRow="0" w:lastRow="0" w:firstColumn="0" w:lastColumn="0" w:noHBand="0" w:noVBand="0"/>
      </w:tblPr>
      <w:tblGrid>
        <w:gridCol w:w="5797"/>
        <w:gridCol w:w="1591"/>
        <w:gridCol w:w="281"/>
        <w:gridCol w:w="1420"/>
      </w:tblGrid>
      <w:tr w:rsidR="00FD7B48" w:rsidRPr="00DE6E86" w:rsidTr="00D922BD">
        <w:trPr>
          <w:trHeight w:val="229"/>
        </w:trPr>
        <w:tc>
          <w:tcPr>
            <w:tcW w:w="5797" w:type="dxa"/>
            <w:vAlign w:val="bottom"/>
          </w:tcPr>
          <w:p w:rsidR="009014CC" w:rsidRPr="00DE6E86" w:rsidRDefault="009014CC" w:rsidP="00220279">
            <w:pPr>
              <w:pStyle w:val="NormalWeb"/>
              <w:widowControl w:val="0"/>
              <w:spacing w:before="0" w:after="0"/>
              <w:rPr>
                <w:sz w:val="18"/>
                <w:szCs w:val="18"/>
                <w:lang w:val="pt-BR"/>
              </w:rPr>
            </w:pPr>
          </w:p>
        </w:tc>
        <w:tc>
          <w:tcPr>
            <w:tcW w:w="1591" w:type="dxa"/>
            <w:tcBorders>
              <w:bottom w:val="single" w:sz="4" w:space="0" w:color="auto"/>
            </w:tcBorders>
            <w:vAlign w:val="bottom"/>
          </w:tcPr>
          <w:p w:rsidR="009014CC" w:rsidRPr="00DE6E86" w:rsidRDefault="009014CC" w:rsidP="00220279">
            <w:pPr>
              <w:widowControl w:val="0"/>
              <w:suppressLineNumbers/>
              <w:suppressAutoHyphens/>
              <w:spacing w:line="230" w:lineRule="auto"/>
              <w:jc w:val="center"/>
              <w:rPr>
                <w:b/>
                <w:sz w:val="18"/>
                <w:szCs w:val="18"/>
              </w:rPr>
            </w:pPr>
            <w:r w:rsidRPr="00DE6E86">
              <w:rPr>
                <w:b/>
                <w:sz w:val="18"/>
                <w:szCs w:val="18"/>
              </w:rPr>
              <w:t xml:space="preserve">       </w:t>
            </w:r>
            <w:r w:rsidR="00B635B3" w:rsidRPr="00DE6E86">
              <w:rPr>
                <w:b/>
                <w:sz w:val="18"/>
                <w:szCs w:val="18"/>
              </w:rPr>
              <w:t>31/12/201</w:t>
            </w:r>
            <w:r w:rsidR="003626DF" w:rsidRPr="00DE6E86">
              <w:rPr>
                <w:b/>
                <w:sz w:val="18"/>
                <w:szCs w:val="18"/>
              </w:rPr>
              <w:t>7</w:t>
            </w:r>
          </w:p>
        </w:tc>
        <w:tc>
          <w:tcPr>
            <w:tcW w:w="281" w:type="dxa"/>
            <w:vAlign w:val="bottom"/>
          </w:tcPr>
          <w:p w:rsidR="009014CC" w:rsidRPr="00DE6E86" w:rsidRDefault="009014CC" w:rsidP="00220279">
            <w:pPr>
              <w:widowControl w:val="0"/>
              <w:suppressLineNumbers/>
              <w:suppressAutoHyphens/>
              <w:spacing w:line="230" w:lineRule="auto"/>
              <w:rPr>
                <w:b/>
                <w:sz w:val="18"/>
                <w:szCs w:val="18"/>
              </w:rPr>
            </w:pPr>
          </w:p>
        </w:tc>
        <w:tc>
          <w:tcPr>
            <w:tcW w:w="1420" w:type="dxa"/>
            <w:tcBorders>
              <w:bottom w:val="single" w:sz="4" w:space="0" w:color="auto"/>
            </w:tcBorders>
            <w:vAlign w:val="bottom"/>
          </w:tcPr>
          <w:p w:rsidR="009014CC" w:rsidRPr="00DE6E86" w:rsidRDefault="00B635B3" w:rsidP="002145BC">
            <w:pPr>
              <w:widowControl w:val="0"/>
              <w:suppressLineNumbers/>
              <w:suppressAutoHyphens/>
              <w:spacing w:line="230" w:lineRule="auto"/>
              <w:jc w:val="right"/>
              <w:rPr>
                <w:b/>
                <w:sz w:val="18"/>
                <w:szCs w:val="18"/>
              </w:rPr>
            </w:pPr>
            <w:r w:rsidRPr="00DE6E86">
              <w:rPr>
                <w:b/>
                <w:sz w:val="18"/>
                <w:szCs w:val="18"/>
              </w:rPr>
              <w:t>31/12/201</w:t>
            </w:r>
            <w:r w:rsidR="002145BC" w:rsidRPr="00DE6E86">
              <w:rPr>
                <w:b/>
                <w:sz w:val="18"/>
                <w:szCs w:val="18"/>
              </w:rPr>
              <w:t>6</w:t>
            </w:r>
          </w:p>
        </w:tc>
      </w:tr>
      <w:tr w:rsidR="00FD7B48" w:rsidRPr="00DE6E86" w:rsidTr="00D922BD">
        <w:trPr>
          <w:trHeight w:val="229"/>
        </w:trPr>
        <w:tc>
          <w:tcPr>
            <w:tcW w:w="5797" w:type="dxa"/>
            <w:vAlign w:val="center"/>
          </w:tcPr>
          <w:p w:rsidR="009014CC" w:rsidRPr="00DE6E86" w:rsidRDefault="009014CC" w:rsidP="00384D87">
            <w:pPr>
              <w:jc w:val="both"/>
              <w:rPr>
                <w:sz w:val="18"/>
                <w:szCs w:val="18"/>
              </w:rPr>
            </w:pPr>
            <w:r w:rsidRPr="00DE6E86">
              <w:rPr>
                <w:sz w:val="18"/>
                <w:szCs w:val="18"/>
              </w:rPr>
              <w:t xml:space="preserve">   Saldo</w:t>
            </w:r>
            <w:r w:rsidR="00384D87">
              <w:rPr>
                <w:sz w:val="18"/>
                <w:szCs w:val="18"/>
              </w:rPr>
              <w:t xml:space="preserve"> da Reserva de Lucros</w:t>
            </w:r>
            <w:r w:rsidRPr="00DE6E86">
              <w:rPr>
                <w:sz w:val="18"/>
                <w:szCs w:val="18"/>
              </w:rPr>
              <w:t xml:space="preserve"> em 01 de janeiro</w:t>
            </w:r>
            <w:r w:rsidR="00384D87">
              <w:rPr>
                <w:sz w:val="18"/>
                <w:szCs w:val="18"/>
              </w:rPr>
              <w:t xml:space="preserve"> </w:t>
            </w:r>
          </w:p>
        </w:tc>
        <w:tc>
          <w:tcPr>
            <w:tcW w:w="1591" w:type="dxa"/>
            <w:tcBorders>
              <w:top w:val="single" w:sz="4" w:space="0" w:color="auto"/>
            </w:tcBorders>
            <w:vAlign w:val="center"/>
          </w:tcPr>
          <w:p w:rsidR="009014CC" w:rsidRPr="00DE6E86" w:rsidRDefault="003626DF" w:rsidP="005A19B4">
            <w:pPr>
              <w:jc w:val="right"/>
              <w:rPr>
                <w:sz w:val="18"/>
                <w:szCs w:val="18"/>
              </w:rPr>
            </w:pPr>
            <w:r w:rsidRPr="00DE6E86">
              <w:rPr>
                <w:sz w:val="18"/>
                <w:szCs w:val="18"/>
              </w:rPr>
              <w:t>21.522</w:t>
            </w:r>
          </w:p>
        </w:tc>
        <w:tc>
          <w:tcPr>
            <w:tcW w:w="281" w:type="dxa"/>
            <w:vAlign w:val="bottom"/>
          </w:tcPr>
          <w:p w:rsidR="009014CC" w:rsidRPr="00DE6E86" w:rsidRDefault="009014CC" w:rsidP="00220279">
            <w:pPr>
              <w:pStyle w:val="NormalWeb"/>
              <w:widowControl w:val="0"/>
              <w:spacing w:before="0" w:after="0" w:line="230" w:lineRule="auto"/>
              <w:ind w:right="6"/>
              <w:jc w:val="right"/>
              <w:rPr>
                <w:sz w:val="18"/>
                <w:szCs w:val="18"/>
                <w:lang w:val="pt-BR"/>
              </w:rPr>
            </w:pPr>
          </w:p>
        </w:tc>
        <w:tc>
          <w:tcPr>
            <w:tcW w:w="1420" w:type="dxa"/>
            <w:tcBorders>
              <w:top w:val="single" w:sz="4" w:space="0" w:color="auto"/>
            </w:tcBorders>
          </w:tcPr>
          <w:p w:rsidR="009014CC" w:rsidRPr="00DE6E86" w:rsidRDefault="002145BC" w:rsidP="00BA1C4E">
            <w:pPr>
              <w:jc w:val="right"/>
              <w:rPr>
                <w:sz w:val="18"/>
                <w:szCs w:val="18"/>
              </w:rPr>
            </w:pPr>
            <w:r w:rsidRPr="00DE6E86">
              <w:rPr>
                <w:sz w:val="18"/>
                <w:szCs w:val="18"/>
              </w:rPr>
              <w:t>23.555</w:t>
            </w:r>
          </w:p>
        </w:tc>
      </w:tr>
      <w:tr w:rsidR="00FD7B48" w:rsidRPr="00DE6E86" w:rsidTr="00D922BD">
        <w:trPr>
          <w:trHeight w:val="229"/>
        </w:trPr>
        <w:tc>
          <w:tcPr>
            <w:tcW w:w="5797" w:type="dxa"/>
            <w:vAlign w:val="center"/>
          </w:tcPr>
          <w:p w:rsidR="009014CC" w:rsidRPr="00DE6E86" w:rsidRDefault="009014CC" w:rsidP="00371298">
            <w:pPr>
              <w:jc w:val="both"/>
              <w:rPr>
                <w:sz w:val="18"/>
                <w:szCs w:val="18"/>
              </w:rPr>
            </w:pPr>
            <w:r w:rsidRPr="00DE6E86">
              <w:rPr>
                <w:sz w:val="18"/>
                <w:szCs w:val="18"/>
              </w:rPr>
              <w:t xml:space="preserve">   Resultado do Período Findo em </w:t>
            </w:r>
            <w:r w:rsidR="00371298" w:rsidRPr="00DE6E86">
              <w:rPr>
                <w:sz w:val="18"/>
                <w:szCs w:val="18"/>
              </w:rPr>
              <w:t>31</w:t>
            </w:r>
            <w:r w:rsidRPr="00DE6E86">
              <w:rPr>
                <w:sz w:val="18"/>
                <w:szCs w:val="18"/>
              </w:rPr>
              <w:t xml:space="preserve"> de </w:t>
            </w:r>
            <w:r w:rsidR="00371298" w:rsidRPr="00DE6E86">
              <w:rPr>
                <w:sz w:val="18"/>
                <w:szCs w:val="18"/>
              </w:rPr>
              <w:t>Dezembro</w:t>
            </w:r>
          </w:p>
        </w:tc>
        <w:tc>
          <w:tcPr>
            <w:tcW w:w="1591" w:type="dxa"/>
            <w:tcBorders>
              <w:bottom w:val="single" w:sz="4" w:space="0" w:color="auto"/>
            </w:tcBorders>
            <w:vAlign w:val="center"/>
          </w:tcPr>
          <w:p w:rsidR="009014CC" w:rsidRPr="00DE6E86" w:rsidRDefault="0098316C" w:rsidP="00860C23">
            <w:pPr>
              <w:jc w:val="right"/>
              <w:rPr>
                <w:sz w:val="18"/>
                <w:szCs w:val="18"/>
              </w:rPr>
            </w:pPr>
            <w:r w:rsidRPr="00DE6E86">
              <w:rPr>
                <w:sz w:val="18"/>
                <w:szCs w:val="18"/>
              </w:rPr>
              <w:t>(</w:t>
            </w:r>
            <w:r w:rsidR="00D922BD">
              <w:rPr>
                <w:sz w:val="18"/>
                <w:szCs w:val="18"/>
              </w:rPr>
              <w:t>124.142</w:t>
            </w:r>
            <w:r w:rsidR="000E64BF" w:rsidRPr="00DE6E86">
              <w:rPr>
                <w:sz w:val="18"/>
                <w:szCs w:val="18"/>
              </w:rPr>
              <w:t>)</w:t>
            </w:r>
          </w:p>
        </w:tc>
        <w:tc>
          <w:tcPr>
            <w:tcW w:w="281" w:type="dxa"/>
            <w:vAlign w:val="bottom"/>
          </w:tcPr>
          <w:p w:rsidR="009014CC" w:rsidRPr="00DE6E86" w:rsidRDefault="009014CC" w:rsidP="00220279">
            <w:pPr>
              <w:pStyle w:val="NormalWeb"/>
              <w:widowControl w:val="0"/>
              <w:spacing w:before="0" w:after="0" w:line="230" w:lineRule="auto"/>
              <w:ind w:right="6"/>
              <w:jc w:val="right"/>
              <w:rPr>
                <w:sz w:val="18"/>
                <w:szCs w:val="18"/>
                <w:lang w:val="pt-BR"/>
              </w:rPr>
            </w:pPr>
          </w:p>
        </w:tc>
        <w:tc>
          <w:tcPr>
            <w:tcW w:w="1420" w:type="dxa"/>
            <w:tcBorders>
              <w:bottom w:val="single" w:sz="4" w:space="0" w:color="auto"/>
            </w:tcBorders>
          </w:tcPr>
          <w:p w:rsidR="009014CC" w:rsidRPr="00DE6E86" w:rsidRDefault="00BA1C4E" w:rsidP="002145BC">
            <w:pPr>
              <w:jc w:val="right"/>
              <w:rPr>
                <w:sz w:val="18"/>
                <w:szCs w:val="18"/>
              </w:rPr>
            </w:pPr>
            <w:r w:rsidRPr="00DE6E86">
              <w:rPr>
                <w:sz w:val="18"/>
                <w:szCs w:val="18"/>
              </w:rPr>
              <w:t>(</w:t>
            </w:r>
            <w:r w:rsidR="002145BC" w:rsidRPr="00DE6E86">
              <w:rPr>
                <w:sz w:val="18"/>
                <w:szCs w:val="18"/>
              </w:rPr>
              <w:t>3</w:t>
            </w:r>
            <w:r w:rsidRPr="00DE6E86">
              <w:rPr>
                <w:sz w:val="18"/>
                <w:szCs w:val="18"/>
              </w:rPr>
              <w:t>.</w:t>
            </w:r>
            <w:r w:rsidR="002145BC" w:rsidRPr="00DE6E86">
              <w:rPr>
                <w:sz w:val="18"/>
                <w:szCs w:val="18"/>
              </w:rPr>
              <w:t>765</w:t>
            </w:r>
            <w:r w:rsidRPr="00DE6E86">
              <w:rPr>
                <w:sz w:val="18"/>
                <w:szCs w:val="18"/>
              </w:rPr>
              <w:t>)</w:t>
            </w:r>
          </w:p>
        </w:tc>
      </w:tr>
      <w:tr w:rsidR="00384D87" w:rsidRPr="00384D87" w:rsidTr="00D922BD">
        <w:trPr>
          <w:trHeight w:val="229"/>
        </w:trPr>
        <w:tc>
          <w:tcPr>
            <w:tcW w:w="5797" w:type="dxa"/>
            <w:vAlign w:val="center"/>
          </w:tcPr>
          <w:p w:rsidR="00384D87" w:rsidRPr="00384D87" w:rsidRDefault="00384D87" w:rsidP="00384D87">
            <w:pPr>
              <w:jc w:val="both"/>
              <w:rPr>
                <w:b/>
                <w:sz w:val="18"/>
                <w:szCs w:val="18"/>
              </w:rPr>
            </w:pPr>
            <w:r w:rsidRPr="00384D87">
              <w:rPr>
                <w:b/>
                <w:sz w:val="18"/>
                <w:szCs w:val="18"/>
              </w:rPr>
              <w:t xml:space="preserve">   Absorção do Prejuízo do Exercício na Reserva de Lucros</w:t>
            </w:r>
          </w:p>
        </w:tc>
        <w:tc>
          <w:tcPr>
            <w:tcW w:w="1591" w:type="dxa"/>
            <w:tcBorders>
              <w:top w:val="single" w:sz="4" w:space="0" w:color="auto"/>
            </w:tcBorders>
            <w:vAlign w:val="center"/>
          </w:tcPr>
          <w:p w:rsidR="00384D87" w:rsidRPr="00384D87" w:rsidRDefault="00384D87" w:rsidP="00D60C76">
            <w:pPr>
              <w:jc w:val="right"/>
              <w:rPr>
                <w:b/>
                <w:sz w:val="18"/>
                <w:szCs w:val="18"/>
              </w:rPr>
            </w:pPr>
            <w:r w:rsidRPr="00384D87">
              <w:rPr>
                <w:b/>
                <w:sz w:val="18"/>
                <w:szCs w:val="18"/>
              </w:rPr>
              <w:t>(102.6</w:t>
            </w:r>
            <w:r w:rsidR="00D60C76">
              <w:rPr>
                <w:b/>
                <w:sz w:val="18"/>
                <w:szCs w:val="18"/>
              </w:rPr>
              <w:t>20</w:t>
            </w:r>
            <w:r w:rsidRPr="00384D87">
              <w:rPr>
                <w:b/>
                <w:sz w:val="18"/>
                <w:szCs w:val="18"/>
              </w:rPr>
              <w:t>)</w:t>
            </w:r>
          </w:p>
        </w:tc>
        <w:tc>
          <w:tcPr>
            <w:tcW w:w="281" w:type="dxa"/>
            <w:vAlign w:val="bottom"/>
          </w:tcPr>
          <w:p w:rsidR="00384D87" w:rsidRPr="00384D87" w:rsidRDefault="00384D87" w:rsidP="00220279">
            <w:pPr>
              <w:pStyle w:val="NormalWeb"/>
              <w:widowControl w:val="0"/>
              <w:spacing w:before="0" w:after="0" w:line="230" w:lineRule="auto"/>
              <w:ind w:right="6"/>
              <w:jc w:val="right"/>
              <w:rPr>
                <w:b/>
                <w:sz w:val="18"/>
                <w:szCs w:val="18"/>
                <w:lang w:val="pt-BR"/>
              </w:rPr>
            </w:pPr>
          </w:p>
        </w:tc>
        <w:tc>
          <w:tcPr>
            <w:tcW w:w="1420" w:type="dxa"/>
            <w:tcBorders>
              <w:top w:val="single" w:sz="4" w:space="0" w:color="auto"/>
            </w:tcBorders>
          </w:tcPr>
          <w:p w:rsidR="00384D87" w:rsidRPr="00384D87" w:rsidRDefault="00384D87" w:rsidP="00BA1C4E">
            <w:pPr>
              <w:jc w:val="right"/>
              <w:rPr>
                <w:b/>
                <w:sz w:val="18"/>
                <w:szCs w:val="18"/>
              </w:rPr>
            </w:pPr>
            <w:r w:rsidRPr="00384D87">
              <w:rPr>
                <w:b/>
                <w:sz w:val="18"/>
                <w:szCs w:val="18"/>
              </w:rPr>
              <w:t>19.790</w:t>
            </w:r>
          </w:p>
        </w:tc>
      </w:tr>
      <w:tr w:rsidR="00FD7B48" w:rsidRPr="00DE6E86" w:rsidTr="00D922BD">
        <w:trPr>
          <w:trHeight w:val="229"/>
        </w:trPr>
        <w:tc>
          <w:tcPr>
            <w:tcW w:w="5797" w:type="dxa"/>
            <w:vAlign w:val="center"/>
          </w:tcPr>
          <w:p w:rsidR="009014CC" w:rsidRPr="00DE6E86" w:rsidRDefault="009014CC" w:rsidP="00220279">
            <w:pPr>
              <w:jc w:val="both"/>
              <w:rPr>
                <w:sz w:val="18"/>
                <w:szCs w:val="18"/>
              </w:rPr>
            </w:pPr>
            <w:r w:rsidRPr="00DE6E86">
              <w:rPr>
                <w:sz w:val="18"/>
                <w:szCs w:val="18"/>
              </w:rPr>
              <w:t xml:space="preserve">   Ajuste de </w:t>
            </w:r>
            <w:r w:rsidR="005E0459" w:rsidRPr="00DE6E86">
              <w:rPr>
                <w:sz w:val="18"/>
                <w:szCs w:val="18"/>
              </w:rPr>
              <w:t>E</w:t>
            </w:r>
            <w:r w:rsidRPr="00DE6E86">
              <w:rPr>
                <w:sz w:val="18"/>
                <w:szCs w:val="18"/>
              </w:rPr>
              <w:t xml:space="preserve">xercícios </w:t>
            </w:r>
            <w:r w:rsidR="005E0459" w:rsidRPr="00DE6E86">
              <w:rPr>
                <w:sz w:val="18"/>
                <w:szCs w:val="18"/>
              </w:rPr>
              <w:t>A</w:t>
            </w:r>
            <w:r w:rsidRPr="00DE6E86">
              <w:rPr>
                <w:sz w:val="18"/>
                <w:szCs w:val="18"/>
              </w:rPr>
              <w:t>nteriores</w:t>
            </w:r>
          </w:p>
        </w:tc>
        <w:tc>
          <w:tcPr>
            <w:tcW w:w="1591" w:type="dxa"/>
            <w:vAlign w:val="center"/>
          </w:tcPr>
          <w:p w:rsidR="009014CC" w:rsidRPr="00DE6E86" w:rsidRDefault="00B91A7A" w:rsidP="00B91A7A">
            <w:pPr>
              <w:jc w:val="right"/>
              <w:rPr>
                <w:sz w:val="18"/>
                <w:szCs w:val="18"/>
              </w:rPr>
            </w:pPr>
            <w:r w:rsidRPr="00DE6E86">
              <w:rPr>
                <w:sz w:val="18"/>
                <w:szCs w:val="18"/>
              </w:rPr>
              <w:t>-</w:t>
            </w:r>
          </w:p>
        </w:tc>
        <w:tc>
          <w:tcPr>
            <w:tcW w:w="281" w:type="dxa"/>
            <w:vAlign w:val="bottom"/>
          </w:tcPr>
          <w:p w:rsidR="009014CC" w:rsidRPr="00DE6E86" w:rsidRDefault="009014CC" w:rsidP="00220279">
            <w:pPr>
              <w:pStyle w:val="NormalWeb"/>
              <w:widowControl w:val="0"/>
              <w:spacing w:before="0" w:after="0" w:line="230" w:lineRule="auto"/>
              <w:ind w:right="6"/>
              <w:jc w:val="right"/>
              <w:rPr>
                <w:sz w:val="18"/>
                <w:szCs w:val="18"/>
                <w:lang w:val="pt-BR"/>
              </w:rPr>
            </w:pPr>
          </w:p>
        </w:tc>
        <w:tc>
          <w:tcPr>
            <w:tcW w:w="1420" w:type="dxa"/>
          </w:tcPr>
          <w:p w:rsidR="009014CC" w:rsidRPr="00DE6E86" w:rsidRDefault="002145BC" w:rsidP="00BA1C4E">
            <w:pPr>
              <w:jc w:val="right"/>
              <w:rPr>
                <w:sz w:val="18"/>
                <w:szCs w:val="18"/>
              </w:rPr>
            </w:pPr>
            <w:r w:rsidRPr="00DE6E86">
              <w:rPr>
                <w:sz w:val="18"/>
                <w:szCs w:val="18"/>
              </w:rPr>
              <w:t>413</w:t>
            </w:r>
          </w:p>
        </w:tc>
      </w:tr>
      <w:tr w:rsidR="00FD7B48" w:rsidRPr="00DE6E86" w:rsidTr="00D922BD">
        <w:trPr>
          <w:trHeight w:val="229"/>
        </w:trPr>
        <w:tc>
          <w:tcPr>
            <w:tcW w:w="5797" w:type="dxa"/>
            <w:vAlign w:val="center"/>
          </w:tcPr>
          <w:p w:rsidR="009014CC" w:rsidRPr="00DE6E86" w:rsidRDefault="009014CC" w:rsidP="00220279">
            <w:pPr>
              <w:jc w:val="both"/>
              <w:rPr>
                <w:sz w:val="18"/>
                <w:szCs w:val="18"/>
              </w:rPr>
            </w:pPr>
            <w:r w:rsidRPr="00DE6E86">
              <w:rPr>
                <w:sz w:val="18"/>
                <w:szCs w:val="18"/>
              </w:rPr>
              <w:t xml:space="preserve">   Recomposição do Patrimônio Líquido </w:t>
            </w:r>
            <w:r w:rsidR="00220279" w:rsidRPr="00DE6E86">
              <w:rPr>
                <w:sz w:val="18"/>
                <w:szCs w:val="18"/>
              </w:rPr>
              <w:t>(custo atribuído)</w:t>
            </w:r>
          </w:p>
        </w:tc>
        <w:tc>
          <w:tcPr>
            <w:tcW w:w="1591" w:type="dxa"/>
            <w:tcBorders>
              <w:bottom w:val="single" w:sz="4" w:space="0" w:color="auto"/>
            </w:tcBorders>
            <w:shd w:val="clear" w:color="auto" w:fill="auto"/>
            <w:vAlign w:val="center"/>
          </w:tcPr>
          <w:p w:rsidR="009014CC" w:rsidRPr="00DE6E86" w:rsidRDefault="008673D6" w:rsidP="00D922BD">
            <w:pPr>
              <w:jc w:val="right"/>
              <w:rPr>
                <w:sz w:val="18"/>
                <w:szCs w:val="18"/>
              </w:rPr>
            </w:pPr>
            <w:r w:rsidRPr="00DE6E86">
              <w:rPr>
                <w:sz w:val="18"/>
                <w:szCs w:val="18"/>
              </w:rPr>
              <w:t xml:space="preserve">                </w:t>
            </w:r>
            <w:r w:rsidR="00C54FDE" w:rsidRPr="00DE6E86">
              <w:rPr>
                <w:sz w:val="18"/>
                <w:szCs w:val="18"/>
              </w:rPr>
              <w:t>1.199</w:t>
            </w:r>
          </w:p>
        </w:tc>
        <w:tc>
          <w:tcPr>
            <w:tcW w:w="281" w:type="dxa"/>
            <w:shd w:val="clear" w:color="auto" w:fill="auto"/>
            <w:vAlign w:val="bottom"/>
          </w:tcPr>
          <w:p w:rsidR="009014CC" w:rsidRPr="00DE6E86" w:rsidRDefault="009014CC" w:rsidP="00220279">
            <w:pPr>
              <w:pStyle w:val="NormalWeb"/>
              <w:widowControl w:val="0"/>
              <w:spacing w:before="0" w:after="0" w:line="230" w:lineRule="auto"/>
              <w:ind w:right="6"/>
              <w:jc w:val="right"/>
              <w:rPr>
                <w:sz w:val="18"/>
                <w:szCs w:val="18"/>
                <w:lang w:val="pt-BR"/>
              </w:rPr>
            </w:pPr>
          </w:p>
        </w:tc>
        <w:tc>
          <w:tcPr>
            <w:tcW w:w="1420" w:type="dxa"/>
            <w:tcBorders>
              <w:bottom w:val="single" w:sz="4" w:space="0" w:color="auto"/>
            </w:tcBorders>
          </w:tcPr>
          <w:p w:rsidR="009014CC" w:rsidRPr="00DE6E86" w:rsidRDefault="002145BC" w:rsidP="00220279">
            <w:pPr>
              <w:jc w:val="right"/>
              <w:rPr>
                <w:sz w:val="18"/>
                <w:szCs w:val="18"/>
              </w:rPr>
            </w:pPr>
            <w:r w:rsidRPr="00DE6E86">
              <w:rPr>
                <w:sz w:val="18"/>
                <w:szCs w:val="18"/>
              </w:rPr>
              <w:t>1.319</w:t>
            </w:r>
          </w:p>
        </w:tc>
      </w:tr>
      <w:tr w:rsidR="00384D87" w:rsidRPr="00384D87" w:rsidTr="00D922BD">
        <w:trPr>
          <w:trHeight w:val="229"/>
        </w:trPr>
        <w:tc>
          <w:tcPr>
            <w:tcW w:w="5797" w:type="dxa"/>
            <w:vAlign w:val="center"/>
          </w:tcPr>
          <w:p w:rsidR="00384D87" w:rsidRPr="00384D87" w:rsidRDefault="00384D87" w:rsidP="00384D87">
            <w:pPr>
              <w:jc w:val="both"/>
              <w:rPr>
                <w:b/>
                <w:sz w:val="18"/>
                <w:szCs w:val="18"/>
              </w:rPr>
            </w:pPr>
            <w:r>
              <w:rPr>
                <w:b/>
                <w:sz w:val="18"/>
                <w:szCs w:val="18"/>
              </w:rPr>
              <w:t xml:space="preserve">   Reserva de Lucros Acumulad</w:t>
            </w:r>
            <w:r w:rsidR="007764E8">
              <w:rPr>
                <w:b/>
                <w:sz w:val="18"/>
                <w:szCs w:val="18"/>
              </w:rPr>
              <w:t>os</w:t>
            </w:r>
          </w:p>
        </w:tc>
        <w:tc>
          <w:tcPr>
            <w:tcW w:w="1591" w:type="dxa"/>
            <w:tcBorders>
              <w:top w:val="single" w:sz="4" w:space="0" w:color="auto"/>
            </w:tcBorders>
            <w:vAlign w:val="center"/>
          </w:tcPr>
          <w:p w:rsidR="00384D87" w:rsidRPr="00384D87" w:rsidRDefault="00384D87" w:rsidP="00860C23">
            <w:pPr>
              <w:jc w:val="right"/>
              <w:rPr>
                <w:b/>
                <w:sz w:val="18"/>
                <w:szCs w:val="18"/>
              </w:rPr>
            </w:pPr>
            <w:r>
              <w:rPr>
                <w:b/>
                <w:sz w:val="18"/>
                <w:szCs w:val="18"/>
              </w:rPr>
              <w:t>-</w:t>
            </w:r>
          </w:p>
        </w:tc>
        <w:tc>
          <w:tcPr>
            <w:tcW w:w="281" w:type="dxa"/>
            <w:vAlign w:val="bottom"/>
          </w:tcPr>
          <w:p w:rsidR="00384D87" w:rsidRPr="00384D87" w:rsidRDefault="00384D87" w:rsidP="00384D87">
            <w:pPr>
              <w:pStyle w:val="NormalWeb"/>
              <w:widowControl w:val="0"/>
              <w:spacing w:before="0" w:after="0"/>
              <w:jc w:val="center"/>
              <w:rPr>
                <w:b/>
                <w:sz w:val="18"/>
                <w:szCs w:val="18"/>
                <w:lang w:val="pt-BR"/>
              </w:rPr>
            </w:pPr>
          </w:p>
        </w:tc>
        <w:tc>
          <w:tcPr>
            <w:tcW w:w="1420" w:type="dxa"/>
            <w:tcBorders>
              <w:top w:val="single" w:sz="4" w:space="0" w:color="auto"/>
            </w:tcBorders>
          </w:tcPr>
          <w:p w:rsidR="00384D87" w:rsidRPr="00384D87" w:rsidRDefault="00384D87" w:rsidP="00220279">
            <w:pPr>
              <w:jc w:val="right"/>
              <w:rPr>
                <w:b/>
                <w:sz w:val="18"/>
                <w:szCs w:val="18"/>
              </w:rPr>
            </w:pPr>
            <w:r>
              <w:rPr>
                <w:b/>
                <w:sz w:val="18"/>
                <w:szCs w:val="18"/>
              </w:rPr>
              <w:t>21.522</w:t>
            </w:r>
          </w:p>
        </w:tc>
      </w:tr>
      <w:tr w:rsidR="00FD7B48" w:rsidRPr="00384D87" w:rsidTr="00D922BD">
        <w:trPr>
          <w:trHeight w:val="229"/>
        </w:trPr>
        <w:tc>
          <w:tcPr>
            <w:tcW w:w="5797" w:type="dxa"/>
            <w:vAlign w:val="center"/>
          </w:tcPr>
          <w:p w:rsidR="009014CC" w:rsidRPr="00384D87" w:rsidRDefault="009014CC" w:rsidP="00384D87">
            <w:pPr>
              <w:jc w:val="both"/>
              <w:rPr>
                <w:b/>
                <w:sz w:val="18"/>
                <w:szCs w:val="18"/>
              </w:rPr>
            </w:pPr>
            <w:r w:rsidRPr="00384D87">
              <w:rPr>
                <w:b/>
                <w:sz w:val="18"/>
                <w:szCs w:val="18"/>
              </w:rPr>
              <w:t xml:space="preserve">   </w:t>
            </w:r>
            <w:r w:rsidR="00384D87" w:rsidRPr="00384D87">
              <w:rPr>
                <w:b/>
                <w:sz w:val="18"/>
                <w:szCs w:val="18"/>
              </w:rPr>
              <w:t xml:space="preserve">Prejuízos Acumulados </w:t>
            </w:r>
          </w:p>
        </w:tc>
        <w:tc>
          <w:tcPr>
            <w:tcW w:w="1591" w:type="dxa"/>
            <w:tcBorders>
              <w:bottom w:val="double" w:sz="4" w:space="0" w:color="auto"/>
            </w:tcBorders>
            <w:vAlign w:val="center"/>
          </w:tcPr>
          <w:p w:rsidR="009014CC" w:rsidRPr="00384D87" w:rsidRDefault="00B91A7A" w:rsidP="00860C23">
            <w:pPr>
              <w:jc w:val="right"/>
              <w:rPr>
                <w:b/>
                <w:sz w:val="18"/>
                <w:szCs w:val="18"/>
              </w:rPr>
            </w:pPr>
            <w:r w:rsidRPr="00384D87">
              <w:rPr>
                <w:b/>
                <w:sz w:val="18"/>
                <w:szCs w:val="18"/>
              </w:rPr>
              <w:t>(</w:t>
            </w:r>
            <w:r w:rsidR="00860C23" w:rsidRPr="00384D87">
              <w:rPr>
                <w:b/>
                <w:sz w:val="18"/>
                <w:szCs w:val="18"/>
              </w:rPr>
              <w:t>101.419</w:t>
            </w:r>
            <w:r w:rsidRPr="00384D87">
              <w:rPr>
                <w:b/>
                <w:sz w:val="18"/>
                <w:szCs w:val="18"/>
              </w:rPr>
              <w:t>)</w:t>
            </w:r>
          </w:p>
        </w:tc>
        <w:tc>
          <w:tcPr>
            <w:tcW w:w="281" w:type="dxa"/>
            <w:vAlign w:val="bottom"/>
          </w:tcPr>
          <w:p w:rsidR="009014CC" w:rsidRPr="00384D87" w:rsidRDefault="009014CC" w:rsidP="00220279">
            <w:pPr>
              <w:pStyle w:val="NormalWeb"/>
              <w:widowControl w:val="0"/>
              <w:spacing w:before="0" w:after="0"/>
              <w:jc w:val="right"/>
              <w:rPr>
                <w:b/>
                <w:sz w:val="18"/>
                <w:szCs w:val="18"/>
                <w:lang w:val="pt-BR"/>
              </w:rPr>
            </w:pPr>
          </w:p>
        </w:tc>
        <w:tc>
          <w:tcPr>
            <w:tcW w:w="1420" w:type="dxa"/>
            <w:tcBorders>
              <w:bottom w:val="double" w:sz="4" w:space="0" w:color="auto"/>
            </w:tcBorders>
          </w:tcPr>
          <w:p w:rsidR="009014CC" w:rsidRPr="00384D87" w:rsidRDefault="00384D87" w:rsidP="00220279">
            <w:pPr>
              <w:jc w:val="right"/>
              <w:rPr>
                <w:b/>
                <w:sz w:val="18"/>
                <w:szCs w:val="18"/>
              </w:rPr>
            </w:pPr>
            <w:r>
              <w:rPr>
                <w:b/>
                <w:sz w:val="18"/>
                <w:szCs w:val="18"/>
              </w:rPr>
              <w:t xml:space="preserve"> - </w:t>
            </w:r>
          </w:p>
        </w:tc>
      </w:tr>
    </w:tbl>
    <w:p w:rsidR="00C97917" w:rsidRDefault="00C97917" w:rsidP="0029295A">
      <w:pPr>
        <w:jc w:val="both"/>
      </w:pPr>
    </w:p>
    <w:p w:rsidR="00376772" w:rsidRDefault="00EB254F" w:rsidP="0029295A">
      <w:pPr>
        <w:jc w:val="both"/>
      </w:pPr>
      <w:r>
        <w:t>O</w:t>
      </w:r>
      <w:r w:rsidR="001708BF" w:rsidRPr="004C3633">
        <w:t xml:space="preserve"> saldo em 31/12/2016</w:t>
      </w:r>
      <w:r w:rsidR="00B31687" w:rsidRPr="004C3633">
        <w:t xml:space="preserve"> no valor de R$ 21.522</w:t>
      </w:r>
      <w:r>
        <w:t xml:space="preserve"> é composto </w:t>
      </w:r>
      <w:r w:rsidR="00B5662C">
        <w:t>pelos</w:t>
      </w:r>
      <w:r w:rsidR="00376772" w:rsidRPr="004C3633">
        <w:t xml:space="preserve"> </w:t>
      </w:r>
      <w:r w:rsidR="00B5662C">
        <w:t>r</w:t>
      </w:r>
      <w:r w:rsidR="00376772" w:rsidRPr="004C3633">
        <w:t xml:space="preserve">esultados apurados </w:t>
      </w:r>
      <w:r w:rsidR="005E0459">
        <w:t>n</w:t>
      </w:r>
      <w:r w:rsidR="00B5662C">
        <w:t>o</w:t>
      </w:r>
      <w:r w:rsidR="00D7435F">
        <w:t>s</w:t>
      </w:r>
      <w:r w:rsidR="004740B2" w:rsidRPr="004C3633">
        <w:t xml:space="preserve"> exercício</w:t>
      </w:r>
      <w:r w:rsidR="005E0459">
        <w:t>s</w:t>
      </w:r>
      <w:r w:rsidR="004740B2" w:rsidRPr="004C3633">
        <w:t xml:space="preserve"> de 2012 a</w:t>
      </w:r>
      <w:r w:rsidR="00376772" w:rsidRPr="004C3633">
        <w:t xml:space="preserve"> </w:t>
      </w:r>
      <w:r w:rsidR="004740B2" w:rsidRPr="004C3633">
        <w:t>2016,</w:t>
      </w:r>
      <w:r w:rsidR="00B5662C">
        <w:t xml:space="preserve"> </w:t>
      </w:r>
      <w:r w:rsidR="008E518C">
        <w:t>os quais</w:t>
      </w:r>
      <w:r w:rsidR="00B5662C">
        <w:t xml:space="preserve"> </w:t>
      </w:r>
      <w:r w:rsidR="004740B2" w:rsidRPr="004C3633">
        <w:t>foram</w:t>
      </w:r>
      <w:r w:rsidR="00376772" w:rsidRPr="004C3633">
        <w:t xml:space="preserve"> transferidos para</w:t>
      </w:r>
      <w:r w:rsidR="00C20B6B" w:rsidRPr="004C3633">
        <w:t xml:space="preserve"> </w:t>
      </w:r>
      <w:r w:rsidR="00376772" w:rsidRPr="004C3633">
        <w:t>Reserva de Retenção do Lucro</w:t>
      </w:r>
      <w:r w:rsidR="008E518C">
        <w:t xml:space="preserve"> atendendo o dis</w:t>
      </w:r>
      <w:r w:rsidR="008E518C" w:rsidRPr="007404C4">
        <w:t xml:space="preserve">posto </w:t>
      </w:r>
      <w:r w:rsidR="005E0459">
        <w:t>n</w:t>
      </w:r>
      <w:r w:rsidR="008E518C" w:rsidRPr="007404C4">
        <w:t>a Lei</w:t>
      </w:r>
      <w:r w:rsidR="007404C4" w:rsidRPr="007404C4">
        <w:t xml:space="preserve"> 11.638/07</w:t>
      </w:r>
      <w:r w:rsidR="00B2678E" w:rsidRPr="007404C4">
        <w:t>.</w:t>
      </w:r>
    </w:p>
    <w:p w:rsidR="003B3211" w:rsidRDefault="000448C2" w:rsidP="00BF7F2B">
      <w:pPr>
        <w:jc w:val="both"/>
      </w:pPr>
      <w:r>
        <w:t> </w:t>
      </w:r>
      <w:bookmarkStart w:id="53" w:name="_Ref466466508"/>
      <w:bookmarkStart w:id="54" w:name="_Ref466472487"/>
    </w:p>
    <w:p w:rsidR="00ED4D37" w:rsidRDefault="00ED4D37">
      <w:bookmarkStart w:id="55" w:name="_Ref476905292"/>
      <w:bookmarkStart w:id="56" w:name="_Toc512497283"/>
      <w:r>
        <w:rPr>
          <w:b/>
        </w:rPr>
        <w:br w:type="page"/>
      </w:r>
    </w:p>
    <w:p w:rsidR="00B20F98" w:rsidRDefault="00455E06" w:rsidP="00F27C83">
      <w:pPr>
        <w:pStyle w:val="Ttulo"/>
        <w:outlineLvl w:val="0"/>
      </w:pPr>
      <w:r w:rsidRPr="00FD7B48">
        <w:lastRenderedPageBreak/>
        <w:t>Receita Operacional Líquida</w:t>
      </w:r>
      <w:bookmarkEnd w:id="53"/>
      <w:bookmarkEnd w:id="54"/>
      <w:bookmarkEnd w:id="55"/>
      <w:bookmarkEnd w:id="56"/>
    </w:p>
    <w:tbl>
      <w:tblPr>
        <w:tblW w:w="5000" w:type="pct"/>
        <w:tblCellMar>
          <w:left w:w="70" w:type="dxa"/>
          <w:right w:w="70" w:type="dxa"/>
        </w:tblCellMar>
        <w:tblLook w:val="04A0" w:firstRow="1" w:lastRow="0" w:firstColumn="1" w:lastColumn="0" w:noHBand="0" w:noVBand="1"/>
      </w:tblPr>
      <w:tblGrid>
        <w:gridCol w:w="5063"/>
        <w:gridCol w:w="2209"/>
        <w:gridCol w:w="243"/>
        <w:gridCol w:w="1697"/>
      </w:tblGrid>
      <w:tr w:rsidR="00CD0813" w:rsidRPr="00DE6E86" w:rsidTr="00CD0813">
        <w:trPr>
          <w:trHeight w:val="20"/>
        </w:trPr>
        <w:tc>
          <w:tcPr>
            <w:tcW w:w="2748" w:type="pct"/>
            <w:tcBorders>
              <w:top w:val="nil"/>
              <w:left w:val="nil"/>
              <w:bottom w:val="nil"/>
              <w:right w:val="nil"/>
            </w:tcBorders>
            <w:shd w:val="clear" w:color="000000" w:fill="FFFFFF"/>
            <w:vAlign w:val="center"/>
            <w:hideMark/>
          </w:tcPr>
          <w:p w:rsidR="00093A03" w:rsidRDefault="00093A03" w:rsidP="00CD0813">
            <w:pPr>
              <w:rPr>
                <w:color w:val="000000"/>
                <w:sz w:val="18"/>
                <w:szCs w:val="18"/>
              </w:rPr>
            </w:pPr>
            <w:bookmarkStart w:id="57" w:name="_Ref466466536"/>
            <w:bookmarkStart w:id="58" w:name="_Ref466466548"/>
            <w:bookmarkStart w:id="59" w:name="_Ref466472624"/>
          </w:p>
          <w:p w:rsidR="00CD0813" w:rsidRPr="00DE6E86" w:rsidRDefault="00CD0813" w:rsidP="00CD0813">
            <w:pPr>
              <w:rPr>
                <w:color w:val="000000"/>
                <w:sz w:val="18"/>
                <w:szCs w:val="18"/>
              </w:rPr>
            </w:pPr>
            <w:r w:rsidRPr="00DE6E86">
              <w:rPr>
                <w:color w:val="000000"/>
                <w:sz w:val="18"/>
                <w:szCs w:val="18"/>
              </w:rPr>
              <w:t> </w:t>
            </w:r>
          </w:p>
        </w:tc>
        <w:tc>
          <w:tcPr>
            <w:tcW w:w="1199" w:type="pct"/>
            <w:tcBorders>
              <w:top w:val="nil"/>
              <w:left w:val="nil"/>
              <w:bottom w:val="single" w:sz="8" w:space="0" w:color="auto"/>
              <w:right w:val="nil"/>
            </w:tcBorders>
            <w:shd w:val="clear" w:color="000000" w:fill="FFFFFF"/>
            <w:vAlign w:val="center"/>
            <w:hideMark/>
          </w:tcPr>
          <w:p w:rsidR="00CD0813" w:rsidRPr="00DE6E86" w:rsidRDefault="00CD0813" w:rsidP="00CD0813">
            <w:pPr>
              <w:jc w:val="right"/>
              <w:rPr>
                <w:b/>
                <w:bCs/>
                <w:color w:val="000000"/>
                <w:sz w:val="18"/>
                <w:szCs w:val="18"/>
              </w:rPr>
            </w:pPr>
            <w:r w:rsidRPr="00DE6E86">
              <w:rPr>
                <w:b/>
                <w:bCs/>
                <w:color w:val="000000"/>
                <w:sz w:val="18"/>
                <w:szCs w:val="18"/>
              </w:rPr>
              <w:t>31/12/2017</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b/>
                <w:bCs/>
                <w:color w:val="000000"/>
                <w:sz w:val="18"/>
                <w:szCs w:val="18"/>
              </w:rPr>
            </w:pPr>
            <w:r w:rsidRPr="00DE6E86">
              <w:rPr>
                <w:b/>
                <w:bCs/>
                <w:color w:val="000000"/>
                <w:sz w:val="18"/>
                <w:szCs w:val="18"/>
              </w:rPr>
              <w:t> </w:t>
            </w:r>
          </w:p>
        </w:tc>
        <w:tc>
          <w:tcPr>
            <w:tcW w:w="921" w:type="pct"/>
            <w:tcBorders>
              <w:top w:val="nil"/>
              <w:left w:val="nil"/>
              <w:bottom w:val="single" w:sz="8" w:space="0" w:color="auto"/>
              <w:right w:val="nil"/>
            </w:tcBorders>
            <w:shd w:val="clear" w:color="000000" w:fill="FFFFFF"/>
            <w:vAlign w:val="center"/>
            <w:hideMark/>
          </w:tcPr>
          <w:p w:rsidR="00CD0813" w:rsidRPr="00DE6E86" w:rsidRDefault="00CD0813" w:rsidP="00CD0813">
            <w:pPr>
              <w:jc w:val="right"/>
              <w:rPr>
                <w:b/>
                <w:bCs/>
                <w:color w:val="000000"/>
                <w:sz w:val="18"/>
                <w:szCs w:val="18"/>
              </w:rPr>
            </w:pPr>
            <w:r w:rsidRPr="00DE6E86">
              <w:rPr>
                <w:b/>
                <w:bCs/>
                <w:color w:val="000000"/>
                <w:sz w:val="18"/>
                <w:szCs w:val="18"/>
              </w:rPr>
              <w:t>31/12/2016</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Serviços Prestados</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xml:space="preserve">   SUS</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163.537 </w:t>
            </w:r>
          </w:p>
        </w:tc>
        <w:tc>
          <w:tcPr>
            <w:tcW w:w="132"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171.368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xml:space="preserve">   Convênios, Particulares e Pesquisa</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59.327 </w:t>
            </w:r>
          </w:p>
        </w:tc>
        <w:tc>
          <w:tcPr>
            <w:tcW w:w="132"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53.414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1199" w:type="pct"/>
            <w:tcBorders>
              <w:top w:val="single" w:sz="8" w:space="0" w:color="auto"/>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single" w:sz="8" w:space="0" w:color="auto"/>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b/>
                <w:bCs/>
                <w:color w:val="000000"/>
                <w:sz w:val="18"/>
                <w:szCs w:val="18"/>
              </w:rPr>
            </w:pPr>
            <w:r w:rsidRPr="00DE6E86">
              <w:rPr>
                <w:b/>
                <w:bCs/>
                <w:color w:val="000000"/>
                <w:sz w:val="18"/>
                <w:szCs w:val="18"/>
              </w:rPr>
              <w:t>Total de Serviços Prestados</w:t>
            </w:r>
          </w:p>
        </w:tc>
        <w:tc>
          <w:tcPr>
            <w:tcW w:w="1199" w:type="pct"/>
            <w:tcBorders>
              <w:top w:val="nil"/>
              <w:left w:val="nil"/>
              <w:bottom w:val="single" w:sz="8" w:space="0" w:color="auto"/>
              <w:right w:val="nil"/>
            </w:tcBorders>
            <w:shd w:val="clear" w:color="000000" w:fill="FFFFFF"/>
            <w:vAlign w:val="center"/>
            <w:hideMark/>
          </w:tcPr>
          <w:p w:rsidR="00CD0813" w:rsidRPr="00DE6E86" w:rsidRDefault="00CD0813" w:rsidP="00CD0813">
            <w:pPr>
              <w:jc w:val="right"/>
              <w:rPr>
                <w:b/>
                <w:bCs/>
                <w:color w:val="000000"/>
                <w:sz w:val="18"/>
                <w:szCs w:val="18"/>
              </w:rPr>
            </w:pPr>
            <w:r w:rsidRPr="00DE6E86">
              <w:rPr>
                <w:b/>
                <w:bCs/>
                <w:color w:val="000000"/>
                <w:sz w:val="18"/>
                <w:szCs w:val="18"/>
              </w:rPr>
              <w:t xml:space="preserve">               222.864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b/>
                <w:bCs/>
                <w:color w:val="000000"/>
                <w:sz w:val="18"/>
                <w:szCs w:val="18"/>
              </w:rPr>
            </w:pPr>
            <w:r w:rsidRPr="00DE6E86">
              <w:rPr>
                <w:b/>
                <w:bCs/>
                <w:color w:val="000000"/>
                <w:sz w:val="18"/>
                <w:szCs w:val="18"/>
              </w:rPr>
              <w:t> </w:t>
            </w:r>
          </w:p>
        </w:tc>
        <w:tc>
          <w:tcPr>
            <w:tcW w:w="921" w:type="pct"/>
            <w:tcBorders>
              <w:top w:val="nil"/>
              <w:left w:val="nil"/>
              <w:bottom w:val="single" w:sz="8" w:space="0" w:color="auto"/>
              <w:right w:val="nil"/>
            </w:tcBorders>
            <w:shd w:val="clear" w:color="000000" w:fill="FFFFFF"/>
            <w:vAlign w:val="center"/>
            <w:hideMark/>
          </w:tcPr>
          <w:p w:rsidR="00CD0813" w:rsidRPr="00DE6E86" w:rsidRDefault="00CD0813" w:rsidP="00CD0813">
            <w:pPr>
              <w:jc w:val="right"/>
              <w:rPr>
                <w:b/>
                <w:bCs/>
                <w:color w:val="000000"/>
                <w:sz w:val="18"/>
                <w:szCs w:val="18"/>
              </w:rPr>
            </w:pPr>
            <w:r w:rsidRPr="00DE6E86">
              <w:rPr>
                <w:b/>
                <w:bCs/>
                <w:color w:val="000000"/>
                <w:sz w:val="18"/>
                <w:szCs w:val="18"/>
              </w:rPr>
              <w:t xml:space="preserve">        224.782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Repasses Recebidos</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xml:space="preserve">   Repasses Recebidos</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1.245.728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1.105.348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xml:space="preserve">   Repasses de Apropriações a Receber</w:t>
            </w:r>
          </w:p>
        </w:tc>
        <w:tc>
          <w:tcPr>
            <w:tcW w:w="1199" w:type="pct"/>
            <w:tcBorders>
              <w:top w:val="nil"/>
              <w:left w:val="nil"/>
              <w:bottom w:val="nil"/>
              <w:right w:val="nil"/>
            </w:tcBorders>
            <w:shd w:val="clear" w:color="000000" w:fill="FFFFFF"/>
            <w:vAlign w:val="center"/>
            <w:hideMark/>
          </w:tcPr>
          <w:p w:rsidR="00CD0813" w:rsidRPr="00DE6E86" w:rsidRDefault="00CD0813" w:rsidP="00C20B6B">
            <w:pPr>
              <w:jc w:val="right"/>
              <w:rPr>
                <w:color w:val="000000"/>
                <w:sz w:val="18"/>
                <w:szCs w:val="18"/>
              </w:rPr>
            </w:pPr>
            <w:r w:rsidRPr="00DE6E86">
              <w:rPr>
                <w:color w:val="000000"/>
                <w:sz w:val="18"/>
                <w:szCs w:val="18"/>
              </w:rPr>
              <w:t xml:space="preserve">                   </w:t>
            </w:r>
            <w:r w:rsidR="00C20B6B" w:rsidRPr="00DE6E86">
              <w:rPr>
                <w:color w:val="000000"/>
                <w:sz w:val="18"/>
                <w:szCs w:val="18"/>
              </w:rPr>
              <w:t>47.696</w:t>
            </w:r>
            <w:r w:rsidRPr="00DE6E86">
              <w:rPr>
                <w:color w:val="000000"/>
                <w:sz w:val="18"/>
                <w:szCs w:val="18"/>
              </w:rPr>
              <w:t xml:space="preserve">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31.491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b/>
                <w:bCs/>
                <w:color w:val="000000"/>
                <w:sz w:val="18"/>
                <w:szCs w:val="18"/>
              </w:rPr>
            </w:pPr>
            <w:r w:rsidRPr="00DE6E86">
              <w:rPr>
                <w:b/>
                <w:bCs/>
                <w:color w:val="000000"/>
                <w:sz w:val="18"/>
                <w:szCs w:val="18"/>
              </w:rPr>
              <w:t>Total de Repasses Recebidos</w:t>
            </w:r>
          </w:p>
        </w:tc>
        <w:tc>
          <w:tcPr>
            <w:tcW w:w="1199" w:type="pct"/>
            <w:tcBorders>
              <w:top w:val="nil"/>
              <w:left w:val="nil"/>
              <w:bottom w:val="single" w:sz="8" w:space="0" w:color="auto"/>
              <w:right w:val="nil"/>
            </w:tcBorders>
            <w:shd w:val="clear" w:color="000000" w:fill="FFFFFF"/>
            <w:vAlign w:val="center"/>
            <w:hideMark/>
          </w:tcPr>
          <w:p w:rsidR="00CD0813" w:rsidRPr="00DE6E86" w:rsidRDefault="00CD0813" w:rsidP="00C4258E">
            <w:pPr>
              <w:jc w:val="right"/>
              <w:rPr>
                <w:b/>
                <w:bCs/>
                <w:color w:val="000000"/>
                <w:sz w:val="18"/>
                <w:szCs w:val="18"/>
              </w:rPr>
            </w:pPr>
            <w:r w:rsidRPr="00DE6E86">
              <w:rPr>
                <w:b/>
                <w:bCs/>
                <w:color w:val="000000"/>
                <w:sz w:val="18"/>
                <w:szCs w:val="18"/>
              </w:rPr>
              <w:t xml:space="preserve">            1.293.</w:t>
            </w:r>
            <w:r w:rsidR="00C20B6B" w:rsidRPr="00DE6E86">
              <w:rPr>
                <w:b/>
                <w:bCs/>
                <w:color w:val="000000"/>
                <w:sz w:val="18"/>
                <w:szCs w:val="18"/>
              </w:rPr>
              <w:t>42</w:t>
            </w:r>
            <w:r w:rsidR="00C4258E">
              <w:rPr>
                <w:b/>
                <w:bCs/>
                <w:color w:val="000000"/>
                <w:sz w:val="18"/>
                <w:szCs w:val="18"/>
              </w:rPr>
              <w:t>4</w:t>
            </w:r>
            <w:r w:rsidRPr="00DE6E86">
              <w:rPr>
                <w:b/>
                <w:bCs/>
                <w:color w:val="000000"/>
                <w:sz w:val="18"/>
                <w:szCs w:val="18"/>
              </w:rPr>
              <w:t xml:space="preserve">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b/>
                <w:bCs/>
                <w:color w:val="000000"/>
                <w:sz w:val="18"/>
                <w:szCs w:val="18"/>
              </w:rPr>
            </w:pPr>
            <w:r w:rsidRPr="00DE6E86">
              <w:rPr>
                <w:b/>
                <w:bCs/>
                <w:color w:val="000000"/>
                <w:sz w:val="18"/>
                <w:szCs w:val="18"/>
              </w:rPr>
              <w:t> </w:t>
            </w:r>
          </w:p>
        </w:tc>
        <w:tc>
          <w:tcPr>
            <w:tcW w:w="921" w:type="pct"/>
            <w:tcBorders>
              <w:top w:val="nil"/>
              <w:left w:val="nil"/>
              <w:bottom w:val="single" w:sz="8" w:space="0" w:color="auto"/>
              <w:right w:val="nil"/>
            </w:tcBorders>
            <w:shd w:val="clear" w:color="000000" w:fill="FFFFFF"/>
            <w:vAlign w:val="center"/>
            <w:hideMark/>
          </w:tcPr>
          <w:p w:rsidR="00CD0813" w:rsidRPr="00DE6E86" w:rsidRDefault="00CD0813" w:rsidP="00CD0813">
            <w:pPr>
              <w:jc w:val="right"/>
              <w:rPr>
                <w:b/>
                <w:bCs/>
                <w:color w:val="000000"/>
                <w:sz w:val="18"/>
                <w:szCs w:val="18"/>
              </w:rPr>
            </w:pPr>
            <w:r w:rsidRPr="00DE6E86">
              <w:rPr>
                <w:b/>
                <w:bCs/>
                <w:color w:val="000000"/>
                <w:sz w:val="18"/>
                <w:szCs w:val="18"/>
              </w:rPr>
              <w:t xml:space="preserve">     1.136.839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1199" w:type="pct"/>
            <w:vMerge w:val="restart"/>
            <w:tcBorders>
              <w:top w:val="nil"/>
              <w:left w:val="nil"/>
              <w:bottom w:val="single" w:sz="8" w:space="0" w:color="000000"/>
              <w:right w:val="nil"/>
            </w:tcBorders>
            <w:shd w:val="clear" w:color="000000" w:fill="FFFFFF"/>
            <w:vAlign w:val="center"/>
            <w:hideMark/>
          </w:tcPr>
          <w:p w:rsidR="00CD0813" w:rsidRPr="00DE6E86" w:rsidRDefault="00CD0813" w:rsidP="00C20B6B">
            <w:pPr>
              <w:jc w:val="right"/>
              <w:rPr>
                <w:b/>
                <w:bCs/>
                <w:color w:val="000000"/>
                <w:sz w:val="18"/>
                <w:szCs w:val="18"/>
              </w:rPr>
            </w:pPr>
            <w:r w:rsidRPr="00DE6E86">
              <w:rPr>
                <w:b/>
                <w:bCs/>
                <w:color w:val="000000"/>
                <w:sz w:val="18"/>
                <w:szCs w:val="18"/>
              </w:rPr>
              <w:t xml:space="preserve">            1.516.</w:t>
            </w:r>
            <w:r w:rsidR="00C4258E">
              <w:rPr>
                <w:b/>
                <w:bCs/>
                <w:color w:val="000000"/>
                <w:sz w:val="18"/>
                <w:szCs w:val="18"/>
              </w:rPr>
              <w:t>288</w:t>
            </w:r>
            <w:r w:rsidRPr="00DE6E86">
              <w:rPr>
                <w:b/>
                <w:bCs/>
                <w:color w:val="000000"/>
                <w:sz w:val="18"/>
                <w:szCs w:val="18"/>
              </w:rPr>
              <w:t xml:space="preserve">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b/>
                <w:bCs/>
                <w:color w:val="000000"/>
                <w:sz w:val="18"/>
                <w:szCs w:val="18"/>
              </w:rPr>
            </w:pPr>
            <w:r w:rsidRPr="00DE6E86">
              <w:rPr>
                <w:b/>
                <w:bCs/>
                <w:color w:val="000000"/>
                <w:sz w:val="18"/>
                <w:szCs w:val="18"/>
              </w:rPr>
              <w:t> </w:t>
            </w:r>
          </w:p>
        </w:tc>
        <w:tc>
          <w:tcPr>
            <w:tcW w:w="921" w:type="pct"/>
            <w:vMerge w:val="restart"/>
            <w:tcBorders>
              <w:top w:val="nil"/>
              <w:left w:val="nil"/>
              <w:bottom w:val="single" w:sz="8" w:space="0" w:color="000000"/>
              <w:right w:val="nil"/>
            </w:tcBorders>
            <w:shd w:val="clear" w:color="000000" w:fill="FFFFFF"/>
            <w:vAlign w:val="center"/>
            <w:hideMark/>
          </w:tcPr>
          <w:p w:rsidR="00CD0813" w:rsidRPr="00DE6E86" w:rsidRDefault="00CD0813" w:rsidP="00CD0813">
            <w:pPr>
              <w:jc w:val="right"/>
              <w:rPr>
                <w:b/>
                <w:bCs/>
                <w:color w:val="000000"/>
                <w:sz w:val="18"/>
                <w:szCs w:val="18"/>
              </w:rPr>
            </w:pPr>
            <w:r w:rsidRPr="00DE6E86">
              <w:rPr>
                <w:b/>
                <w:bCs/>
                <w:color w:val="000000"/>
                <w:sz w:val="18"/>
                <w:szCs w:val="18"/>
              </w:rPr>
              <w:t xml:space="preserve">     1.361.621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b/>
                <w:bCs/>
                <w:color w:val="000000"/>
                <w:sz w:val="18"/>
                <w:szCs w:val="18"/>
              </w:rPr>
            </w:pPr>
            <w:r w:rsidRPr="00DE6E86">
              <w:rPr>
                <w:b/>
                <w:bCs/>
                <w:color w:val="000000"/>
                <w:sz w:val="18"/>
                <w:szCs w:val="18"/>
              </w:rPr>
              <w:t>Total da Receita Bruta</w:t>
            </w:r>
          </w:p>
        </w:tc>
        <w:tc>
          <w:tcPr>
            <w:tcW w:w="1199" w:type="pct"/>
            <w:vMerge/>
            <w:tcBorders>
              <w:top w:val="nil"/>
              <w:left w:val="nil"/>
              <w:bottom w:val="single" w:sz="8" w:space="0" w:color="000000"/>
              <w:right w:val="nil"/>
            </w:tcBorders>
            <w:vAlign w:val="center"/>
            <w:hideMark/>
          </w:tcPr>
          <w:p w:rsidR="00CD0813" w:rsidRPr="00DE6E86" w:rsidRDefault="00CD0813" w:rsidP="00CD0813">
            <w:pPr>
              <w:rPr>
                <w:b/>
                <w:bCs/>
                <w:color w:val="000000"/>
                <w:sz w:val="18"/>
                <w:szCs w:val="18"/>
              </w:rPr>
            </w:pPr>
          </w:p>
        </w:tc>
        <w:tc>
          <w:tcPr>
            <w:tcW w:w="132" w:type="pct"/>
            <w:tcBorders>
              <w:top w:val="nil"/>
              <w:left w:val="nil"/>
              <w:bottom w:val="nil"/>
              <w:right w:val="nil"/>
            </w:tcBorders>
            <w:shd w:val="clear" w:color="000000" w:fill="FFFFFF"/>
            <w:vAlign w:val="center"/>
            <w:hideMark/>
          </w:tcPr>
          <w:p w:rsidR="00CD0813" w:rsidRPr="00DE6E86" w:rsidRDefault="00CD0813" w:rsidP="00CD0813">
            <w:pPr>
              <w:rPr>
                <w:b/>
                <w:bCs/>
                <w:color w:val="000000"/>
                <w:sz w:val="18"/>
                <w:szCs w:val="18"/>
              </w:rPr>
            </w:pPr>
            <w:r w:rsidRPr="00DE6E86">
              <w:rPr>
                <w:b/>
                <w:bCs/>
                <w:color w:val="000000"/>
                <w:sz w:val="18"/>
                <w:szCs w:val="18"/>
              </w:rPr>
              <w:t> </w:t>
            </w:r>
          </w:p>
        </w:tc>
        <w:tc>
          <w:tcPr>
            <w:tcW w:w="921" w:type="pct"/>
            <w:vMerge/>
            <w:tcBorders>
              <w:top w:val="nil"/>
              <w:left w:val="nil"/>
              <w:bottom w:val="single" w:sz="8" w:space="0" w:color="000000"/>
              <w:right w:val="nil"/>
            </w:tcBorders>
            <w:vAlign w:val="center"/>
            <w:hideMark/>
          </w:tcPr>
          <w:p w:rsidR="00CD0813" w:rsidRPr="00DE6E86" w:rsidRDefault="00CD0813" w:rsidP="00CD0813">
            <w:pPr>
              <w:rPr>
                <w:b/>
                <w:bCs/>
                <w:color w:val="000000"/>
                <w:sz w:val="18"/>
                <w:szCs w:val="18"/>
              </w:rPr>
            </w:pP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xml:space="preserve">Ajustes da Receita </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xml:space="preserve">   Receita de Diferido (Reversão da Subvenção)</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(620)</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6.680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xml:space="preserve">   Subvenções e Doações Governamentais</w:t>
            </w:r>
            <w:r w:rsidR="001B67BC">
              <w:rPr>
                <w:color w:val="000000"/>
                <w:sz w:val="18"/>
                <w:szCs w:val="18"/>
              </w:rPr>
              <w:t xml:space="preserve"> (AFAC)</w:t>
            </w:r>
          </w:p>
        </w:tc>
        <w:tc>
          <w:tcPr>
            <w:tcW w:w="1199" w:type="pct"/>
            <w:tcBorders>
              <w:top w:val="nil"/>
              <w:left w:val="nil"/>
              <w:bottom w:val="nil"/>
              <w:right w:val="nil"/>
            </w:tcBorders>
            <w:shd w:val="clear" w:color="000000" w:fill="FFFFFF"/>
            <w:vAlign w:val="center"/>
            <w:hideMark/>
          </w:tcPr>
          <w:p w:rsidR="00CD0813" w:rsidRPr="00DE6E86" w:rsidRDefault="00C20B6B" w:rsidP="00C20B6B">
            <w:pPr>
              <w:jc w:val="right"/>
              <w:rPr>
                <w:color w:val="000000"/>
                <w:sz w:val="18"/>
                <w:szCs w:val="18"/>
              </w:rPr>
            </w:pPr>
            <w:r w:rsidRPr="00DE6E86">
              <w:rPr>
                <w:color w:val="000000"/>
                <w:sz w:val="18"/>
                <w:szCs w:val="18"/>
              </w:rPr>
              <w:t xml:space="preserve">                (165.273</w:t>
            </w:r>
            <w:r w:rsidR="00CD0813" w:rsidRPr="00DE6E86">
              <w:rPr>
                <w:color w:val="000000"/>
                <w:sz w:val="18"/>
                <w:szCs w:val="18"/>
              </w:rPr>
              <w:t>)</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(133.437)</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xml:space="preserve">   Repasse Concedido</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(1.494)</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(456)</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b/>
                <w:bCs/>
                <w:color w:val="000000"/>
                <w:sz w:val="18"/>
                <w:szCs w:val="18"/>
              </w:rPr>
            </w:pPr>
            <w:r w:rsidRPr="00DE6E86">
              <w:rPr>
                <w:b/>
                <w:bCs/>
                <w:color w:val="000000"/>
                <w:sz w:val="18"/>
                <w:szCs w:val="18"/>
              </w:rPr>
              <w:t>Total de Ajustes da Receita</w:t>
            </w:r>
          </w:p>
        </w:tc>
        <w:tc>
          <w:tcPr>
            <w:tcW w:w="1199" w:type="pct"/>
            <w:tcBorders>
              <w:top w:val="nil"/>
              <w:left w:val="nil"/>
              <w:bottom w:val="single" w:sz="8" w:space="0" w:color="auto"/>
              <w:right w:val="nil"/>
            </w:tcBorders>
            <w:shd w:val="clear" w:color="000000" w:fill="FFFFFF"/>
            <w:vAlign w:val="center"/>
            <w:hideMark/>
          </w:tcPr>
          <w:p w:rsidR="00CD0813" w:rsidRPr="00DE6E86" w:rsidRDefault="00CD0813" w:rsidP="00C20B6B">
            <w:pPr>
              <w:jc w:val="right"/>
              <w:rPr>
                <w:b/>
                <w:bCs/>
                <w:color w:val="000000"/>
                <w:sz w:val="18"/>
                <w:szCs w:val="18"/>
              </w:rPr>
            </w:pPr>
            <w:r w:rsidRPr="00DE6E86">
              <w:rPr>
                <w:b/>
                <w:bCs/>
                <w:color w:val="000000"/>
                <w:sz w:val="18"/>
                <w:szCs w:val="18"/>
              </w:rPr>
              <w:t xml:space="preserve">              (167.</w:t>
            </w:r>
            <w:r w:rsidR="00C20B6B" w:rsidRPr="00DE6E86">
              <w:rPr>
                <w:b/>
                <w:bCs/>
                <w:color w:val="000000"/>
                <w:sz w:val="18"/>
                <w:szCs w:val="18"/>
              </w:rPr>
              <w:t>387</w:t>
            </w:r>
            <w:r w:rsidRPr="00DE6E86">
              <w:rPr>
                <w:b/>
                <w:bCs/>
                <w:color w:val="000000"/>
                <w:sz w:val="18"/>
                <w:szCs w:val="18"/>
              </w:rPr>
              <w:t>)</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b/>
                <w:bCs/>
                <w:color w:val="000000"/>
                <w:sz w:val="18"/>
                <w:szCs w:val="18"/>
              </w:rPr>
            </w:pPr>
            <w:r w:rsidRPr="00DE6E86">
              <w:rPr>
                <w:b/>
                <w:bCs/>
                <w:color w:val="000000"/>
                <w:sz w:val="18"/>
                <w:szCs w:val="18"/>
              </w:rPr>
              <w:t> </w:t>
            </w:r>
          </w:p>
        </w:tc>
        <w:tc>
          <w:tcPr>
            <w:tcW w:w="921" w:type="pct"/>
            <w:tcBorders>
              <w:top w:val="nil"/>
              <w:left w:val="nil"/>
              <w:bottom w:val="single" w:sz="8" w:space="0" w:color="auto"/>
              <w:right w:val="nil"/>
            </w:tcBorders>
            <w:shd w:val="clear" w:color="000000" w:fill="FFFFFF"/>
            <w:vAlign w:val="center"/>
            <w:hideMark/>
          </w:tcPr>
          <w:p w:rsidR="00CD0813" w:rsidRPr="00DE6E86" w:rsidRDefault="00CD0813" w:rsidP="00CD0813">
            <w:pPr>
              <w:jc w:val="right"/>
              <w:rPr>
                <w:b/>
                <w:bCs/>
                <w:color w:val="000000"/>
                <w:sz w:val="18"/>
                <w:szCs w:val="18"/>
              </w:rPr>
            </w:pPr>
            <w:r w:rsidRPr="00DE6E86">
              <w:rPr>
                <w:b/>
                <w:bCs/>
                <w:color w:val="000000"/>
                <w:sz w:val="18"/>
                <w:szCs w:val="18"/>
              </w:rPr>
              <w:t xml:space="preserve">      (127.213)</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xml:space="preserve">Deduções da Receita Bruta </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xml:space="preserve">   PIS sobre Faturamento</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(389)</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(348)</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xml:space="preserve">   COFINS sobre Faturamento</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(1.795)</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(1.607)</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xml:space="preserve">   Glosas e Abatimentos</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xml:space="preserve">                 (32)</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b/>
                <w:bCs/>
                <w:color w:val="000000"/>
                <w:sz w:val="18"/>
                <w:szCs w:val="18"/>
              </w:rPr>
            </w:pPr>
            <w:r w:rsidRPr="00DE6E86">
              <w:rPr>
                <w:b/>
                <w:bCs/>
                <w:color w:val="000000"/>
                <w:sz w:val="18"/>
                <w:szCs w:val="18"/>
              </w:rPr>
              <w:t>Total das Deduções da Receita Bruta</w:t>
            </w:r>
          </w:p>
        </w:tc>
        <w:tc>
          <w:tcPr>
            <w:tcW w:w="1199" w:type="pct"/>
            <w:tcBorders>
              <w:top w:val="nil"/>
              <w:left w:val="nil"/>
              <w:bottom w:val="single" w:sz="8" w:space="0" w:color="auto"/>
              <w:right w:val="nil"/>
            </w:tcBorders>
            <w:shd w:val="clear" w:color="000000" w:fill="FFFFFF"/>
            <w:vAlign w:val="center"/>
            <w:hideMark/>
          </w:tcPr>
          <w:p w:rsidR="00CD0813" w:rsidRPr="00DE6E86" w:rsidRDefault="00CD0813" w:rsidP="00CD0813">
            <w:pPr>
              <w:jc w:val="right"/>
              <w:rPr>
                <w:b/>
                <w:bCs/>
                <w:color w:val="000000"/>
                <w:sz w:val="18"/>
                <w:szCs w:val="18"/>
              </w:rPr>
            </w:pPr>
            <w:r w:rsidRPr="00DE6E86">
              <w:rPr>
                <w:b/>
                <w:bCs/>
                <w:color w:val="000000"/>
                <w:sz w:val="18"/>
                <w:szCs w:val="18"/>
              </w:rPr>
              <w:t xml:space="preserve">                  (2.184)</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b/>
                <w:bCs/>
                <w:color w:val="000000"/>
                <w:sz w:val="18"/>
                <w:szCs w:val="18"/>
              </w:rPr>
            </w:pPr>
            <w:r w:rsidRPr="00DE6E86">
              <w:rPr>
                <w:b/>
                <w:bCs/>
                <w:color w:val="000000"/>
                <w:sz w:val="18"/>
                <w:szCs w:val="18"/>
              </w:rPr>
              <w:t> </w:t>
            </w:r>
          </w:p>
        </w:tc>
        <w:tc>
          <w:tcPr>
            <w:tcW w:w="921" w:type="pct"/>
            <w:tcBorders>
              <w:top w:val="nil"/>
              <w:left w:val="nil"/>
              <w:bottom w:val="single" w:sz="8" w:space="0" w:color="auto"/>
              <w:right w:val="nil"/>
            </w:tcBorders>
            <w:shd w:val="clear" w:color="000000" w:fill="FFFFFF"/>
            <w:vAlign w:val="center"/>
            <w:hideMark/>
          </w:tcPr>
          <w:p w:rsidR="00CD0813" w:rsidRPr="00DE6E86" w:rsidRDefault="00CD0813" w:rsidP="00CD0813">
            <w:pPr>
              <w:jc w:val="right"/>
              <w:rPr>
                <w:b/>
                <w:bCs/>
                <w:color w:val="000000"/>
                <w:sz w:val="18"/>
                <w:szCs w:val="18"/>
              </w:rPr>
            </w:pPr>
            <w:r w:rsidRPr="00DE6E86">
              <w:rPr>
                <w:b/>
                <w:bCs/>
                <w:color w:val="000000"/>
                <w:sz w:val="18"/>
                <w:szCs w:val="18"/>
              </w:rPr>
              <w:t xml:space="preserve">           (1.987)</w:t>
            </w:r>
          </w:p>
        </w:tc>
      </w:tr>
      <w:tr w:rsidR="00CD0813" w:rsidRPr="00DE6E86" w:rsidTr="00CD0813">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1199"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color w:val="000000"/>
                <w:sz w:val="18"/>
                <w:szCs w:val="18"/>
              </w:rPr>
            </w:pPr>
            <w:r w:rsidRPr="00DE6E86">
              <w:rPr>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color w:val="000000"/>
                <w:sz w:val="18"/>
                <w:szCs w:val="18"/>
              </w:rPr>
            </w:pPr>
            <w:r w:rsidRPr="00DE6E86">
              <w:rPr>
                <w:color w:val="000000"/>
                <w:sz w:val="18"/>
                <w:szCs w:val="18"/>
              </w:rPr>
              <w:t> </w:t>
            </w:r>
          </w:p>
        </w:tc>
      </w:tr>
      <w:tr w:rsidR="00CD0813" w:rsidRPr="00DE6E86" w:rsidTr="00C97917">
        <w:trPr>
          <w:trHeight w:val="20"/>
        </w:trPr>
        <w:tc>
          <w:tcPr>
            <w:tcW w:w="2748" w:type="pct"/>
            <w:tcBorders>
              <w:top w:val="nil"/>
              <w:left w:val="nil"/>
              <w:bottom w:val="nil"/>
              <w:right w:val="nil"/>
            </w:tcBorders>
            <w:shd w:val="clear" w:color="000000" w:fill="FFFFFF"/>
            <w:vAlign w:val="center"/>
            <w:hideMark/>
          </w:tcPr>
          <w:p w:rsidR="00CD0813" w:rsidRPr="00DE6E86" w:rsidRDefault="00CD0813" w:rsidP="00CD0813">
            <w:pPr>
              <w:rPr>
                <w:b/>
                <w:bCs/>
                <w:color w:val="000000"/>
                <w:sz w:val="18"/>
                <w:szCs w:val="18"/>
              </w:rPr>
            </w:pPr>
            <w:r w:rsidRPr="00DE6E86">
              <w:rPr>
                <w:b/>
                <w:bCs/>
                <w:color w:val="000000"/>
                <w:sz w:val="18"/>
                <w:szCs w:val="18"/>
              </w:rPr>
              <w:t>Receita Líquida Operacional</w:t>
            </w:r>
          </w:p>
        </w:tc>
        <w:tc>
          <w:tcPr>
            <w:tcW w:w="1199" w:type="pct"/>
            <w:tcBorders>
              <w:top w:val="nil"/>
              <w:left w:val="nil"/>
              <w:bottom w:val="nil"/>
              <w:right w:val="nil"/>
            </w:tcBorders>
            <w:shd w:val="clear" w:color="000000" w:fill="FFFFFF"/>
            <w:vAlign w:val="center"/>
            <w:hideMark/>
          </w:tcPr>
          <w:p w:rsidR="00CD0813" w:rsidRPr="00DE6E86" w:rsidRDefault="00CD0813" w:rsidP="00C20B6B">
            <w:pPr>
              <w:jc w:val="right"/>
              <w:rPr>
                <w:b/>
                <w:bCs/>
                <w:color w:val="000000"/>
                <w:sz w:val="18"/>
                <w:szCs w:val="18"/>
              </w:rPr>
            </w:pPr>
            <w:r w:rsidRPr="00DE6E86">
              <w:rPr>
                <w:b/>
                <w:bCs/>
                <w:color w:val="000000"/>
                <w:sz w:val="18"/>
                <w:szCs w:val="18"/>
              </w:rPr>
              <w:t xml:space="preserve">            1.346.</w:t>
            </w:r>
            <w:r w:rsidR="00C20B6B" w:rsidRPr="00DE6E86">
              <w:rPr>
                <w:b/>
                <w:bCs/>
                <w:color w:val="000000"/>
                <w:sz w:val="18"/>
                <w:szCs w:val="18"/>
              </w:rPr>
              <w:t>717</w:t>
            </w:r>
            <w:r w:rsidRPr="00DE6E86">
              <w:rPr>
                <w:b/>
                <w:bCs/>
                <w:color w:val="000000"/>
                <w:sz w:val="18"/>
                <w:szCs w:val="18"/>
              </w:rPr>
              <w:t xml:space="preserve"> </w:t>
            </w:r>
          </w:p>
        </w:tc>
        <w:tc>
          <w:tcPr>
            <w:tcW w:w="132" w:type="pct"/>
            <w:tcBorders>
              <w:top w:val="nil"/>
              <w:left w:val="nil"/>
              <w:bottom w:val="nil"/>
              <w:right w:val="nil"/>
            </w:tcBorders>
            <w:shd w:val="clear" w:color="000000" w:fill="FFFFFF"/>
            <w:vAlign w:val="center"/>
            <w:hideMark/>
          </w:tcPr>
          <w:p w:rsidR="00CD0813" w:rsidRPr="00DE6E86" w:rsidRDefault="00CD0813" w:rsidP="00CD0813">
            <w:pPr>
              <w:rPr>
                <w:b/>
                <w:bCs/>
                <w:color w:val="000000"/>
                <w:sz w:val="18"/>
                <w:szCs w:val="18"/>
              </w:rPr>
            </w:pPr>
            <w:r w:rsidRPr="00DE6E86">
              <w:rPr>
                <w:b/>
                <w:bCs/>
                <w:color w:val="000000"/>
                <w:sz w:val="18"/>
                <w:szCs w:val="18"/>
              </w:rPr>
              <w:t> </w:t>
            </w:r>
          </w:p>
        </w:tc>
        <w:tc>
          <w:tcPr>
            <w:tcW w:w="921" w:type="pct"/>
            <w:tcBorders>
              <w:top w:val="nil"/>
              <w:left w:val="nil"/>
              <w:bottom w:val="nil"/>
              <w:right w:val="nil"/>
            </w:tcBorders>
            <w:shd w:val="clear" w:color="000000" w:fill="FFFFFF"/>
            <w:vAlign w:val="center"/>
            <w:hideMark/>
          </w:tcPr>
          <w:p w:rsidR="00CD0813" w:rsidRPr="00DE6E86" w:rsidRDefault="00CD0813" w:rsidP="00CD0813">
            <w:pPr>
              <w:jc w:val="right"/>
              <w:rPr>
                <w:b/>
                <w:bCs/>
                <w:color w:val="000000"/>
                <w:sz w:val="18"/>
                <w:szCs w:val="18"/>
              </w:rPr>
            </w:pPr>
            <w:r w:rsidRPr="00DE6E86">
              <w:rPr>
                <w:b/>
                <w:bCs/>
                <w:color w:val="000000"/>
                <w:sz w:val="18"/>
                <w:szCs w:val="18"/>
              </w:rPr>
              <w:t xml:space="preserve">     1.232.421 </w:t>
            </w:r>
          </w:p>
        </w:tc>
      </w:tr>
    </w:tbl>
    <w:p w:rsidR="00ED4D37" w:rsidRDefault="00ED4D37" w:rsidP="00ED4D37">
      <w:pPr>
        <w:pStyle w:val="Ttulo"/>
        <w:numPr>
          <w:ilvl w:val="0"/>
          <w:numId w:val="0"/>
        </w:numPr>
        <w:outlineLvl w:val="0"/>
      </w:pPr>
      <w:bookmarkStart w:id="60" w:name="_Ref476905318"/>
      <w:bookmarkStart w:id="61" w:name="_Toc512497284"/>
    </w:p>
    <w:p w:rsidR="00ED4D37" w:rsidRDefault="00ED4D37">
      <w:pPr>
        <w:rPr>
          <w:b/>
        </w:rPr>
      </w:pPr>
      <w:r>
        <w:br w:type="page"/>
      </w:r>
    </w:p>
    <w:p w:rsidR="00B20F98" w:rsidRDefault="00BB282C" w:rsidP="00C97917">
      <w:pPr>
        <w:pStyle w:val="Ttulo"/>
        <w:outlineLvl w:val="0"/>
      </w:pPr>
      <w:r>
        <w:lastRenderedPageBreak/>
        <w:t>C</w:t>
      </w:r>
      <w:r w:rsidR="00455E06" w:rsidRPr="00C7135E">
        <w:t>ustos dos Serviços e Despesas Administrativas por Natureza</w:t>
      </w:r>
      <w:bookmarkEnd w:id="57"/>
      <w:bookmarkEnd w:id="58"/>
      <w:bookmarkEnd w:id="59"/>
      <w:bookmarkEnd w:id="60"/>
      <w:bookmarkEnd w:id="61"/>
      <w:r w:rsidR="000E3107" w:rsidRPr="00C7135E">
        <w:t xml:space="preserve"> </w:t>
      </w:r>
    </w:p>
    <w:p w:rsidR="00104128" w:rsidRPr="00104128" w:rsidRDefault="00104128" w:rsidP="00104128"/>
    <w:tbl>
      <w:tblPr>
        <w:tblW w:w="5000" w:type="pct"/>
        <w:tblCellMar>
          <w:left w:w="70" w:type="dxa"/>
          <w:right w:w="70" w:type="dxa"/>
        </w:tblCellMar>
        <w:tblLook w:val="04A0" w:firstRow="1" w:lastRow="0" w:firstColumn="1" w:lastColumn="0" w:noHBand="0" w:noVBand="1"/>
      </w:tblPr>
      <w:tblGrid>
        <w:gridCol w:w="2974"/>
        <w:gridCol w:w="205"/>
        <w:gridCol w:w="1441"/>
        <w:gridCol w:w="205"/>
        <w:gridCol w:w="1853"/>
        <w:gridCol w:w="205"/>
        <w:gridCol w:w="1063"/>
        <w:gridCol w:w="205"/>
        <w:gridCol w:w="1061"/>
      </w:tblGrid>
      <w:tr w:rsidR="00C7135E" w:rsidRPr="00DE6E86" w:rsidTr="0092590D">
        <w:trPr>
          <w:trHeight w:val="20"/>
        </w:trPr>
        <w:tc>
          <w:tcPr>
            <w:tcW w:w="1614" w:type="pct"/>
            <w:tcBorders>
              <w:top w:val="nil"/>
              <w:left w:val="nil"/>
              <w:bottom w:val="nil"/>
              <w:right w:val="nil"/>
            </w:tcBorders>
            <w:shd w:val="clear" w:color="000000" w:fill="FFFFFF"/>
            <w:vAlign w:val="center"/>
            <w:hideMark/>
          </w:tcPr>
          <w:p w:rsidR="00C7135E" w:rsidRPr="00DE6E86" w:rsidRDefault="00C7135E" w:rsidP="00C7135E">
            <w:pPr>
              <w:rPr>
                <w:color w:val="000000"/>
                <w:sz w:val="18"/>
                <w:szCs w:val="18"/>
              </w:rPr>
            </w:pPr>
            <w:r w:rsidRPr="00DE6E86">
              <w:rPr>
                <w:color w:val="000000"/>
                <w:sz w:val="18"/>
                <w:szCs w:val="18"/>
              </w:rPr>
              <w:t> </w:t>
            </w:r>
          </w:p>
        </w:tc>
        <w:tc>
          <w:tcPr>
            <w:tcW w:w="111"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111"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1006"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111"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577" w:type="pct"/>
            <w:tcBorders>
              <w:top w:val="nil"/>
              <w:left w:val="nil"/>
              <w:bottom w:val="single" w:sz="8" w:space="0" w:color="auto"/>
              <w:right w:val="nil"/>
            </w:tcBorders>
            <w:shd w:val="clear" w:color="000000" w:fill="FFFFFF"/>
            <w:vAlign w:val="center"/>
            <w:hideMark/>
          </w:tcPr>
          <w:p w:rsidR="00C7135E" w:rsidRPr="00DE6E86" w:rsidRDefault="00C7135E" w:rsidP="00C7135E">
            <w:pPr>
              <w:jc w:val="center"/>
              <w:rPr>
                <w:b/>
                <w:bCs/>
                <w:color w:val="000000"/>
                <w:sz w:val="18"/>
                <w:szCs w:val="18"/>
              </w:rPr>
            </w:pPr>
            <w:r w:rsidRPr="00DE6E86">
              <w:rPr>
                <w:b/>
                <w:bCs/>
                <w:color w:val="000000"/>
                <w:sz w:val="18"/>
                <w:szCs w:val="18"/>
              </w:rPr>
              <w:t>31/12/2017</w:t>
            </w:r>
          </w:p>
        </w:tc>
        <w:tc>
          <w:tcPr>
            <w:tcW w:w="111" w:type="pct"/>
            <w:tcBorders>
              <w:top w:val="nil"/>
              <w:left w:val="nil"/>
              <w:bottom w:val="nil"/>
              <w:right w:val="nil"/>
            </w:tcBorders>
            <w:shd w:val="clear" w:color="000000" w:fill="FFFFFF"/>
            <w:vAlign w:val="center"/>
            <w:hideMark/>
          </w:tcPr>
          <w:p w:rsidR="00C7135E" w:rsidRPr="00DE6E86" w:rsidRDefault="00C7135E" w:rsidP="00C7135E">
            <w:pPr>
              <w:rPr>
                <w:b/>
                <w:bCs/>
                <w:color w:val="000000"/>
                <w:sz w:val="18"/>
                <w:szCs w:val="18"/>
              </w:rPr>
            </w:pPr>
            <w:r w:rsidRPr="00DE6E86">
              <w:rPr>
                <w:b/>
                <w:bCs/>
                <w:color w:val="000000"/>
                <w:sz w:val="18"/>
                <w:szCs w:val="18"/>
              </w:rPr>
              <w:t> </w:t>
            </w:r>
          </w:p>
        </w:tc>
        <w:tc>
          <w:tcPr>
            <w:tcW w:w="576" w:type="pct"/>
            <w:tcBorders>
              <w:top w:val="nil"/>
              <w:left w:val="nil"/>
              <w:bottom w:val="single" w:sz="8" w:space="0" w:color="auto"/>
              <w:right w:val="nil"/>
            </w:tcBorders>
            <w:shd w:val="clear" w:color="000000" w:fill="FFFFFF"/>
            <w:vAlign w:val="center"/>
            <w:hideMark/>
          </w:tcPr>
          <w:p w:rsidR="00C7135E" w:rsidRPr="00DE6E86" w:rsidRDefault="00C7135E" w:rsidP="00C7135E">
            <w:pPr>
              <w:jc w:val="right"/>
              <w:rPr>
                <w:b/>
                <w:bCs/>
                <w:color w:val="000000"/>
                <w:sz w:val="18"/>
                <w:szCs w:val="18"/>
              </w:rPr>
            </w:pPr>
            <w:r w:rsidRPr="00DE6E86">
              <w:rPr>
                <w:b/>
                <w:bCs/>
                <w:color w:val="000000"/>
                <w:sz w:val="18"/>
                <w:szCs w:val="18"/>
              </w:rPr>
              <w:t>31/12/2016</w:t>
            </w:r>
          </w:p>
        </w:tc>
      </w:tr>
      <w:tr w:rsidR="00C7135E" w:rsidRPr="00DE6E86" w:rsidTr="0092590D">
        <w:trPr>
          <w:trHeight w:val="20"/>
        </w:trPr>
        <w:tc>
          <w:tcPr>
            <w:tcW w:w="1614" w:type="pct"/>
            <w:tcBorders>
              <w:top w:val="nil"/>
              <w:left w:val="nil"/>
              <w:bottom w:val="nil"/>
              <w:right w:val="nil"/>
            </w:tcBorders>
            <w:shd w:val="clear" w:color="000000" w:fill="FFFFFF"/>
            <w:vAlign w:val="center"/>
            <w:hideMark/>
          </w:tcPr>
          <w:p w:rsidR="00C7135E" w:rsidRPr="00DE6E86" w:rsidRDefault="00C7135E" w:rsidP="00C7135E">
            <w:pPr>
              <w:rPr>
                <w:color w:val="000000"/>
                <w:sz w:val="18"/>
                <w:szCs w:val="18"/>
              </w:rPr>
            </w:pPr>
            <w:r w:rsidRPr="00DE6E86">
              <w:rPr>
                <w:color w:val="000000"/>
                <w:sz w:val="18"/>
                <w:szCs w:val="18"/>
              </w:rPr>
              <w:t> </w:t>
            </w:r>
          </w:p>
        </w:tc>
        <w:tc>
          <w:tcPr>
            <w:tcW w:w="111"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782" w:type="pct"/>
            <w:tcBorders>
              <w:top w:val="nil"/>
              <w:left w:val="nil"/>
              <w:bottom w:val="single" w:sz="8" w:space="0" w:color="auto"/>
              <w:right w:val="nil"/>
            </w:tcBorders>
            <w:shd w:val="clear" w:color="000000" w:fill="FFFFFF"/>
            <w:vAlign w:val="center"/>
            <w:hideMark/>
          </w:tcPr>
          <w:p w:rsidR="00C7135E" w:rsidRPr="00DE6E86" w:rsidRDefault="00C7135E" w:rsidP="00C7135E">
            <w:pPr>
              <w:jc w:val="right"/>
              <w:rPr>
                <w:b/>
                <w:bCs/>
                <w:color w:val="000000"/>
                <w:sz w:val="18"/>
                <w:szCs w:val="18"/>
              </w:rPr>
            </w:pPr>
            <w:r w:rsidRPr="00DE6E86">
              <w:rPr>
                <w:b/>
                <w:bCs/>
                <w:color w:val="000000"/>
                <w:sz w:val="18"/>
                <w:szCs w:val="18"/>
              </w:rPr>
              <w:t>Custo dos    Serviços</w:t>
            </w:r>
          </w:p>
        </w:tc>
        <w:tc>
          <w:tcPr>
            <w:tcW w:w="111" w:type="pct"/>
            <w:tcBorders>
              <w:top w:val="nil"/>
              <w:left w:val="nil"/>
              <w:bottom w:val="nil"/>
              <w:right w:val="nil"/>
            </w:tcBorders>
            <w:shd w:val="clear" w:color="000000" w:fill="FFFFFF"/>
            <w:vAlign w:val="center"/>
            <w:hideMark/>
          </w:tcPr>
          <w:p w:rsidR="00C7135E" w:rsidRPr="00DE6E86" w:rsidRDefault="00C7135E" w:rsidP="00C7135E">
            <w:pPr>
              <w:jc w:val="right"/>
              <w:rPr>
                <w:b/>
                <w:bCs/>
                <w:color w:val="000000"/>
                <w:sz w:val="18"/>
                <w:szCs w:val="18"/>
              </w:rPr>
            </w:pPr>
            <w:r w:rsidRPr="00DE6E86">
              <w:rPr>
                <w:b/>
                <w:bCs/>
                <w:color w:val="000000"/>
                <w:sz w:val="18"/>
                <w:szCs w:val="18"/>
              </w:rPr>
              <w:t> </w:t>
            </w:r>
          </w:p>
        </w:tc>
        <w:tc>
          <w:tcPr>
            <w:tcW w:w="1006" w:type="pct"/>
            <w:tcBorders>
              <w:top w:val="nil"/>
              <w:left w:val="nil"/>
              <w:bottom w:val="single" w:sz="8" w:space="0" w:color="auto"/>
              <w:right w:val="nil"/>
            </w:tcBorders>
            <w:shd w:val="clear" w:color="000000" w:fill="FFFFFF"/>
            <w:vAlign w:val="center"/>
            <w:hideMark/>
          </w:tcPr>
          <w:p w:rsidR="00C7135E" w:rsidRPr="00DE6E86" w:rsidRDefault="00C7135E" w:rsidP="00C7135E">
            <w:pPr>
              <w:jc w:val="right"/>
              <w:rPr>
                <w:b/>
                <w:bCs/>
                <w:color w:val="000000"/>
                <w:sz w:val="18"/>
                <w:szCs w:val="18"/>
              </w:rPr>
            </w:pPr>
            <w:r w:rsidRPr="00DE6E86">
              <w:rPr>
                <w:b/>
                <w:bCs/>
                <w:color w:val="000000"/>
                <w:sz w:val="18"/>
                <w:szCs w:val="18"/>
              </w:rPr>
              <w:t>Despesas Administrativas</w:t>
            </w:r>
          </w:p>
        </w:tc>
        <w:tc>
          <w:tcPr>
            <w:tcW w:w="111" w:type="pct"/>
            <w:tcBorders>
              <w:top w:val="nil"/>
              <w:left w:val="nil"/>
              <w:bottom w:val="nil"/>
              <w:right w:val="nil"/>
            </w:tcBorders>
            <w:shd w:val="clear" w:color="000000" w:fill="FFFFFF"/>
            <w:vAlign w:val="center"/>
            <w:hideMark/>
          </w:tcPr>
          <w:p w:rsidR="00C7135E" w:rsidRPr="00DE6E86" w:rsidRDefault="00C7135E" w:rsidP="00C7135E">
            <w:pPr>
              <w:jc w:val="right"/>
              <w:rPr>
                <w:b/>
                <w:bCs/>
                <w:color w:val="000000"/>
                <w:sz w:val="18"/>
                <w:szCs w:val="18"/>
              </w:rPr>
            </w:pPr>
            <w:r w:rsidRPr="00DE6E86">
              <w:rPr>
                <w:b/>
                <w:bCs/>
                <w:color w:val="000000"/>
                <w:sz w:val="18"/>
                <w:szCs w:val="18"/>
              </w:rPr>
              <w:t> </w:t>
            </w:r>
          </w:p>
        </w:tc>
        <w:tc>
          <w:tcPr>
            <w:tcW w:w="577" w:type="pct"/>
            <w:tcBorders>
              <w:top w:val="nil"/>
              <w:left w:val="nil"/>
              <w:bottom w:val="single" w:sz="8" w:space="0" w:color="auto"/>
              <w:right w:val="nil"/>
            </w:tcBorders>
            <w:shd w:val="clear" w:color="000000" w:fill="FFFFFF"/>
            <w:vAlign w:val="center"/>
            <w:hideMark/>
          </w:tcPr>
          <w:p w:rsidR="00C7135E" w:rsidRPr="00DE6E86" w:rsidRDefault="00C7135E" w:rsidP="00C7135E">
            <w:pPr>
              <w:jc w:val="right"/>
              <w:rPr>
                <w:b/>
                <w:bCs/>
                <w:color w:val="000000"/>
                <w:sz w:val="18"/>
                <w:szCs w:val="18"/>
              </w:rPr>
            </w:pPr>
            <w:r w:rsidRPr="00DE6E86">
              <w:rPr>
                <w:b/>
                <w:bCs/>
                <w:color w:val="000000"/>
                <w:sz w:val="18"/>
                <w:szCs w:val="18"/>
              </w:rPr>
              <w:t>Total</w:t>
            </w:r>
          </w:p>
        </w:tc>
        <w:tc>
          <w:tcPr>
            <w:tcW w:w="111" w:type="pct"/>
            <w:tcBorders>
              <w:top w:val="nil"/>
              <w:left w:val="nil"/>
              <w:bottom w:val="nil"/>
              <w:right w:val="nil"/>
            </w:tcBorders>
            <w:shd w:val="clear" w:color="000000" w:fill="FFFFFF"/>
            <w:vAlign w:val="center"/>
            <w:hideMark/>
          </w:tcPr>
          <w:p w:rsidR="00C7135E" w:rsidRPr="00DE6E86" w:rsidRDefault="00C7135E" w:rsidP="00C7135E">
            <w:pPr>
              <w:jc w:val="right"/>
              <w:rPr>
                <w:b/>
                <w:bCs/>
                <w:color w:val="000000"/>
                <w:sz w:val="18"/>
                <w:szCs w:val="18"/>
              </w:rPr>
            </w:pPr>
            <w:r w:rsidRPr="00DE6E86">
              <w:rPr>
                <w:b/>
                <w:bCs/>
                <w:color w:val="000000"/>
                <w:sz w:val="18"/>
                <w:szCs w:val="18"/>
              </w:rPr>
              <w:t> </w:t>
            </w:r>
          </w:p>
        </w:tc>
        <w:tc>
          <w:tcPr>
            <w:tcW w:w="576" w:type="pct"/>
            <w:tcBorders>
              <w:top w:val="nil"/>
              <w:left w:val="nil"/>
              <w:bottom w:val="single" w:sz="8" w:space="0" w:color="auto"/>
              <w:right w:val="nil"/>
            </w:tcBorders>
            <w:shd w:val="clear" w:color="000000" w:fill="FFFFFF"/>
            <w:vAlign w:val="center"/>
            <w:hideMark/>
          </w:tcPr>
          <w:p w:rsidR="00C7135E" w:rsidRPr="00DE6E86" w:rsidRDefault="00C7135E" w:rsidP="00C7135E">
            <w:pPr>
              <w:jc w:val="right"/>
              <w:rPr>
                <w:b/>
                <w:bCs/>
                <w:color w:val="000000"/>
                <w:sz w:val="18"/>
                <w:szCs w:val="18"/>
              </w:rPr>
            </w:pPr>
            <w:r w:rsidRPr="00DE6E86">
              <w:rPr>
                <w:b/>
                <w:bCs/>
                <w:color w:val="000000"/>
                <w:sz w:val="18"/>
                <w:szCs w:val="18"/>
              </w:rPr>
              <w:t>Total</w:t>
            </w:r>
          </w:p>
        </w:tc>
      </w:tr>
      <w:tr w:rsidR="00C7135E" w:rsidRPr="00DE6E86" w:rsidTr="0092590D">
        <w:trPr>
          <w:trHeight w:val="20"/>
        </w:trPr>
        <w:tc>
          <w:tcPr>
            <w:tcW w:w="1614" w:type="pct"/>
            <w:tcBorders>
              <w:top w:val="nil"/>
              <w:left w:val="nil"/>
              <w:bottom w:val="nil"/>
              <w:right w:val="nil"/>
            </w:tcBorders>
            <w:shd w:val="clear" w:color="000000" w:fill="FFFFFF"/>
            <w:vAlign w:val="center"/>
            <w:hideMark/>
          </w:tcPr>
          <w:p w:rsidR="00C7135E" w:rsidRPr="00DE6E86" w:rsidRDefault="00C7135E" w:rsidP="00C7135E">
            <w:pPr>
              <w:rPr>
                <w:color w:val="000000"/>
                <w:sz w:val="18"/>
                <w:szCs w:val="18"/>
              </w:rPr>
            </w:pPr>
            <w:r w:rsidRPr="00DE6E86">
              <w:rPr>
                <w:color w:val="000000"/>
                <w:sz w:val="18"/>
                <w:szCs w:val="18"/>
              </w:rPr>
              <w:t> </w:t>
            </w:r>
          </w:p>
        </w:tc>
        <w:tc>
          <w:tcPr>
            <w:tcW w:w="111"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111"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1006"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111"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577"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111"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Salários e Encargos</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740.099</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179.393</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919.492</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825.280</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 xml:space="preserve">Bolsas Residentes </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24.955</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6.049</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31.004</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28.958</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 xml:space="preserve">Sentenças </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4.063</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985</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5.048</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14.577</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Benefícios de Pessoal</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61.923</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15.010</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76.933</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69.151</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Consumo de Materiais</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108.864</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26.388</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135.252</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142.762</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Depreciações/Amortizações</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18.033</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4.372</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22.405</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22.855</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E00181" w:rsidP="00C7135E">
            <w:pPr>
              <w:rPr>
                <w:color w:val="000000"/>
                <w:sz w:val="18"/>
                <w:szCs w:val="18"/>
              </w:rPr>
            </w:pPr>
            <w:r>
              <w:rPr>
                <w:color w:val="000000"/>
                <w:sz w:val="18"/>
                <w:szCs w:val="18"/>
              </w:rPr>
              <w:t>Serviço de Terceiros</w:t>
            </w:r>
            <w:r w:rsidR="00B34539" w:rsidRPr="00DE6E86">
              <w:rPr>
                <w:color w:val="000000"/>
                <w:sz w:val="18"/>
                <w:szCs w:val="18"/>
              </w:rPr>
              <w:t xml:space="preserve"> </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6.379</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1.547</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7.926</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7.338</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Consultoria/Serviços PF</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9.672</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2.345</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12.017</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11.139</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E00181" w:rsidP="00C7135E">
            <w:pPr>
              <w:rPr>
                <w:color w:val="000000"/>
                <w:sz w:val="18"/>
                <w:szCs w:val="18"/>
              </w:rPr>
            </w:pPr>
            <w:r>
              <w:rPr>
                <w:color w:val="000000"/>
                <w:sz w:val="18"/>
                <w:szCs w:val="18"/>
              </w:rPr>
              <w:t>Auxílio a Pesquisa/</w:t>
            </w:r>
            <w:r w:rsidR="00B34539" w:rsidRPr="00DE6E86">
              <w:rPr>
                <w:color w:val="000000"/>
                <w:sz w:val="18"/>
                <w:szCs w:val="18"/>
              </w:rPr>
              <w:t xml:space="preserve">Fundação de Apoio </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22.391</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5.427</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27.818</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26.821</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Loc./Manutenção Bens Móveis</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8.703</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2.109</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10.812</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9.512</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Loc./Manutenção Proc. Dados</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12.978</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3.146</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16.124</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6.047</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Loc./Manutenção Bens Imóveis</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2.559</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620</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3.179</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20.421</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Energia Elétrica, Água e Telefone</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13.722</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3.326</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17.048</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18.843</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Serviço de Controle Ambiental</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888</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215</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1.103</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1.201</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Seleção e Treinamento</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2.719</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659</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3.378</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3.750</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E00181">
            <w:pPr>
              <w:rPr>
                <w:color w:val="000000"/>
                <w:sz w:val="18"/>
                <w:szCs w:val="18"/>
              </w:rPr>
            </w:pPr>
            <w:r w:rsidRPr="00DE6E86">
              <w:rPr>
                <w:color w:val="000000"/>
                <w:sz w:val="18"/>
                <w:szCs w:val="18"/>
              </w:rPr>
              <w:t xml:space="preserve">Serviços </w:t>
            </w:r>
            <w:r w:rsidR="00E00181">
              <w:rPr>
                <w:color w:val="000000"/>
                <w:sz w:val="18"/>
                <w:szCs w:val="18"/>
              </w:rPr>
              <w:t>Laboratoriais</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5.612</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1.360</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6.972</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1.644</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 xml:space="preserve">Serviços de Publicidade </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357</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87</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444</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738</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 xml:space="preserve">Serviços de Cópias e Reprodução </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2.335</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566</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2.901</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2.405</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 xml:space="preserve">Despesas com </w:t>
            </w:r>
            <w:r w:rsidR="00B900D1">
              <w:rPr>
                <w:color w:val="000000"/>
                <w:sz w:val="18"/>
                <w:szCs w:val="18"/>
              </w:rPr>
              <w:t>Transporte/</w:t>
            </w:r>
            <w:r w:rsidRPr="00DE6E86">
              <w:rPr>
                <w:color w:val="000000"/>
                <w:sz w:val="18"/>
                <w:szCs w:val="18"/>
              </w:rPr>
              <w:t>Frete</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570</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137</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707</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1.917</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900D1" w:rsidP="00C7135E">
            <w:pPr>
              <w:rPr>
                <w:color w:val="000000"/>
                <w:sz w:val="18"/>
                <w:szCs w:val="18"/>
              </w:rPr>
            </w:pPr>
            <w:r>
              <w:rPr>
                <w:color w:val="000000"/>
                <w:sz w:val="18"/>
                <w:szCs w:val="18"/>
              </w:rPr>
              <w:t>Assinaturas/Seguros/Anuidades</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1.502</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363</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1.865</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2.631</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 xml:space="preserve">(-) Incorporações Bens </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(190)</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(46)</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(236)</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(1.440)</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 Produção Estoque e Permanente</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single" w:sz="4" w:space="0" w:color="auto"/>
              <w:right w:val="nil"/>
            </w:tcBorders>
            <w:shd w:val="clear" w:color="000000" w:fill="FFFFFF"/>
            <w:vAlign w:val="center"/>
            <w:hideMark/>
          </w:tcPr>
          <w:p w:rsidR="00B34539" w:rsidRDefault="00B34539">
            <w:pPr>
              <w:jc w:val="right"/>
              <w:rPr>
                <w:color w:val="000000"/>
                <w:sz w:val="18"/>
                <w:szCs w:val="18"/>
              </w:rPr>
            </w:pPr>
            <w:r>
              <w:rPr>
                <w:color w:val="000000"/>
                <w:sz w:val="18"/>
                <w:szCs w:val="18"/>
              </w:rPr>
              <w:t>(1.344)</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single" w:sz="4" w:space="0" w:color="auto"/>
              <w:right w:val="nil"/>
            </w:tcBorders>
            <w:shd w:val="clear" w:color="000000" w:fill="FFFFFF"/>
            <w:vAlign w:val="center"/>
            <w:hideMark/>
          </w:tcPr>
          <w:p w:rsidR="00B34539" w:rsidRDefault="00B34539">
            <w:pPr>
              <w:jc w:val="right"/>
              <w:rPr>
                <w:color w:val="000000"/>
                <w:sz w:val="18"/>
                <w:szCs w:val="18"/>
              </w:rPr>
            </w:pPr>
            <w:r>
              <w:rPr>
                <w:color w:val="000000"/>
                <w:sz w:val="18"/>
                <w:szCs w:val="18"/>
              </w:rPr>
              <w:t>(326)</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single" w:sz="4" w:space="0" w:color="auto"/>
              <w:right w:val="nil"/>
            </w:tcBorders>
            <w:shd w:val="clear" w:color="000000" w:fill="FFFFFF"/>
            <w:vAlign w:val="center"/>
            <w:hideMark/>
          </w:tcPr>
          <w:p w:rsidR="00B34539" w:rsidRDefault="00B34539">
            <w:pPr>
              <w:jc w:val="right"/>
              <w:rPr>
                <w:color w:val="000000"/>
                <w:sz w:val="18"/>
                <w:szCs w:val="18"/>
              </w:rPr>
            </w:pPr>
            <w:r>
              <w:rPr>
                <w:color w:val="000000"/>
                <w:sz w:val="18"/>
                <w:szCs w:val="18"/>
              </w:rPr>
              <w:t>(1.670)</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single" w:sz="4" w:space="0" w:color="auto"/>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(1.861)</w:t>
            </w:r>
          </w:p>
        </w:tc>
      </w:tr>
      <w:tr w:rsidR="00C7135E" w:rsidRPr="00DE6E86" w:rsidTr="0092590D">
        <w:trPr>
          <w:trHeight w:val="20"/>
        </w:trPr>
        <w:tc>
          <w:tcPr>
            <w:tcW w:w="1614" w:type="pct"/>
            <w:tcBorders>
              <w:top w:val="nil"/>
              <w:left w:val="nil"/>
              <w:bottom w:val="nil"/>
              <w:right w:val="nil"/>
            </w:tcBorders>
            <w:shd w:val="clear" w:color="000000" w:fill="FFFFFF"/>
            <w:vAlign w:val="center"/>
          </w:tcPr>
          <w:p w:rsidR="00C7135E" w:rsidRPr="00DE6E86" w:rsidRDefault="00C7135E" w:rsidP="00C7135E">
            <w:pPr>
              <w:rPr>
                <w:color w:val="000000"/>
                <w:sz w:val="18"/>
                <w:szCs w:val="18"/>
              </w:rPr>
            </w:pPr>
          </w:p>
        </w:tc>
        <w:tc>
          <w:tcPr>
            <w:tcW w:w="111" w:type="pct"/>
            <w:tcBorders>
              <w:top w:val="nil"/>
              <w:left w:val="nil"/>
              <w:bottom w:val="nil"/>
              <w:right w:val="nil"/>
            </w:tcBorders>
            <w:shd w:val="clear" w:color="000000" w:fill="FFFFFF"/>
            <w:vAlign w:val="center"/>
          </w:tcPr>
          <w:p w:rsidR="00C7135E" w:rsidRPr="00DE6E86" w:rsidRDefault="00C7135E" w:rsidP="00C7135E">
            <w:pPr>
              <w:jc w:val="right"/>
              <w:rPr>
                <w:color w:val="000000"/>
                <w:sz w:val="18"/>
                <w:szCs w:val="18"/>
              </w:rPr>
            </w:pPr>
          </w:p>
        </w:tc>
        <w:tc>
          <w:tcPr>
            <w:tcW w:w="782" w:type="pct"/>
            <w:tcBorders>
              <w:top w:val="single" w:sz="4" w:space="0" w:color="auto"/>
              <w:left w:val="nil"/>
              <w:bottom w:val="nil"/>
              <w:right w:val="nil"/>
            </w:tcBorders>
            <w:shd w:val="clear" w:color="000000" w:fill="FFFFFF"/>
            <w:vAlign w:val="center"/>
          </w:tcPr>
          <w:p w:rsidR="00C7135E" w:rsidRPr="00DE6E86" w:rsidRDefault="00C7135E" w:rsidP="00C7135E">
            <w:pPr>
              <w:jc w:val="right"/>
              <w:rPr>
                <w:color w:val="000000"/>
                <w:sz w:val="18"/>
                <w:szCs w:val="18"/>
              </w:rPr>
            </w:pPr>
          </w:p>
        </w:tc>
        <w:tc>
          <w:tcPr>
            <w:tcW w:w="111" w:type="pct"/>
            <w:tcBorders>
              <w:top w:val="nil"/>
              <w:left w:val="nil"/>
              <w:bottom w:val="nil"/>
              <w:right w:val="nil"/>
            </w:tcBorders>
            <w:shd w:val="clear" w:color="000000" w:fill="FFFFFF"/>
            <w:vAlign w:val="center"/>
          </w:tcPr>
          <w:p w:rsidR="00C7135E" w:rsidRPr="00DE6E86" w:rsidRDefault="00C7135E" w:rsidP="00C7135E">
            <w:pPr>
              <w:jc w:val="right"/>
              <w:rPr>
                <w:color w:val="000000"/>
                <w:sz w:val="18"/>
                <w:szCs w:val="18"/>
              </w:rPr>
            </w:pPr>
          </w:p>
        </w:tc>
        <w:tc>
          <w:tcPr>
            <w:tcW w:w="1006" w:type="pct"/>
            <w:tcBorders>
              <w:top w:val="single" w:sz="4" w:space="0" w:color="auto"/>
              <w:left w:val="nil"/>
              <w:bottom w:val="nil"/>
              <w:right w:val="nil"/>
            </w:tcBorders>
            <w:shd w:val="clear" w:color="000000" w:fill="FFFFFF"/>
            <w:vAlign w:val="center"/>
          </w:tcPr>
          <w:p w:rsidR="00C7135E" w:rsidRPr="00DE6E86" w:rsidRDefault="00C7135E" w:rsidP="00C7135E">
            <w:pPr>
              <w:jc w:val="right"/>
              <w:rPr>
                <w:color w:val="000000"/>
                <w:sz w:val="18"/>
                <w:szCs w:val="18"/>
              </w:rPr>
            </w:pPr>
          </w:p>
        </w:tc>
        <w:tc>
          <w:tcPr>
            <w:tcW w:w="111" w:type="pct"/>
            <w:tcBorders>
              <w:top w:val="nil"/>
              <w:left w:val="nil"/>
              <w:bottom w:val="nil"/>
              <w:right w:val="nil"/>
            </w:tcBorders>
            <w:shd w:val="clear" w:color="000000" w:fill="FFFFFF"/>
            <w:vAlign w:val="center"/>
          </w:tcPr>
          <w:p w:rsidR="00C7135E" w:rsidRPr="00DE6E86" w:rsidRDefault="00C7135E" w:rsidP="00C7135E">
            <w:pPr>
              <w:jc w:val="right"/>
              <w:rPr>
                <w:color w:val="000000"/>
                <w:sz w:val="18"/>
                <w:szCs w:val="18"/>
              </w:rPr>
            </w:pPr>
          </w:p>
        </w:tc>
        <w:tc>
          <w:tcPr>
            <w:tcW w:w="577" w:type="pct"/>
            <w:tcBorders>
              <w:top w:val="nil"/>
              <w:left w:val="nil"/>
              <w:bottom w:val="nil"/>
              <w:right w:val="nil"/>
            </w:tcBorders>
            <w:shd w:val="clear" w:color="000000" w:fill="FFFFFF"/>
            <w:vAlign w:val="center"/>
          </w:tcPr>
          <w:p w:rsidR="00C7135E" w:rsidRPr="00DE6E86" w:rsidRDefault="00C7135E" w:rsidP="00C7135E">
            <w:pPr>
              <w:jc w:val="right"/>
              <w:rPr>
                <w:color w:val="000000"/>
                <w:sz w:val="18"/>
                <w:szCs w:val="18"/>
              </w:rPr>
            </w:pPr>
          </w:p>
        </w:tc>
        <w:tc>
          <w:tcPr>
            <w:tcW w:w="111" w:type="pct"/>
            <w:tcBorders>
              <w:top w:val="nil"/>
              <w:left w:val="nil"/>
              <w:bottom w:val="nil"/>
              <w:right w:val="nil"/>
            </w:tcBorders>
            <w:shd w:val="clear" w:color="000000" w:fill="FFFFFF"/>
            <w:vAlign w:val="center"/>
          </w:tcPr>
          <w:p w:rsidR="00C7135E" w:rsidRPr="00DE6E86" w:rsidRDefault="00C7135E" w:rsidP="00C7135E">
            <w:pPr>
              <w:jc w:val="right"/>
              <w:rPr>
                <w:color w:val="000000"/>
                <w:sz w:val="18"/>
                <w:szCs w:val="18"/>
              </w:rPr>
            </w:pPr>
          </w:p>
        </w:tc>
        <w:tc>
          <w:tcPr>
            <w:tcW w:w="576" w:type="pct"/>
            <w:tcBorders>
              <w:top w:val="nil"/>
              <w:left w:val="nil"/>
              <w:bottom w:val="nil"/>
              <w:right w:val="nil"/>
            </w:tcBorders>
            <w:shd w:val="clear" w:color="000000" w:fill="FFFFFF"/>
            <w:vAlign w:val="center"/>
          </w:tcPr>
          <w:p w:rsidR="00C7135E" w:rsidRPr="00DE6E86" w:rsidRDefault="00C7135E" w:rsidP="00C7135E">
            <w:pPr>
              <w:jc w:val="right"/>
              <w:rPr>
                <w:color w:val="000000"/>
                <w:sz w:val="18"/>
                <w:szCs w:val="18"/>
              </w:rPr>
            </w:pPr>
          </w:p>
        </w:tc>
      </w:tr>
      <w:tr w:rsidR="00C7135E" w:rsidRPr="00B34539" w:rsidTr="0092590D">
        <w:trPr>
          <w:trHeight w:val="20"/>
        </w:trPr>
        <w:tc>
          <w:tcPr>
            <w:tcW w:w="1614" w:type="pct"/>
            <w:tcBorders>
              <w:top w:val="nil"/>
              <w:left w:val="nil"/>
              <w:bottom w:val="nil"/>
              <w:right w:val="nil"/>
            </w:tcBorders>
            <w:shd w:val="clear" w:color="000000" w:fill="FFFFFF"/>
            <w:vAlign w:val="center"/>
            <w:hideMark/>
          </w:tcPr>
          <w:p w:rsidR="00C7135E" w:rsidRPr="00B34539" w:rsidRDefault="00C7135E" w:rsidP="00C7135E">
            <w:pPr>
              <w:rPr>
                <w:b/>
                <w:bCs/>
                <w:color w:val="000000"/>
                <w:sz w:val="18"/>
                <w:szCs w:val="18"/>
              </w:rPr>
            </w:pPr>
            <w:r w:rsidRPr="00B34539">
              <w:rPr>
                <w:b/>
                <w:bCs/>
                <w:color w:val="000000"/>
                <w:sz w:val="18"/>
                <w:szCs w:val="18"/>
              </w:rPr>
              <w:t>Subtotais</w:t>
            </w:r>
          </w:p>
        </w:tc>
        <w:tc>
          <w:tcPr>
            <w:tcW w:w="111" w:type="pct"/>
            <w:tcBorders>
              <w:top w:val="nil"/>
              <w:left w:val="nil"/>
              <w:bottom w:val="nil"/>
              <w:right w:val="nil"/>
            </w:tcBorders>
            <w:shd w:val="clear" w:color="000000" w:fill="FFFFFF"/>
            <w:vAlign w:val="center"/>
            <w:hideMark/>
          </w:tcPr>
          <w:p w:rsidR="00C7135E" w:rsidRPr="00B34539" w:rsidRDefault="00C7135E" w:rsidP="00C7135E">
            <w:pPr>
              <w:jc w:val="right"/>
              <w:rPr>
                <w:b/>
                <w:bCs/>
                <w:color w:val="000000"/>
                <w:sz w:val="18"/>
                <w:szCs w:val="18"/>
              </w:rPr>
            </w:pPr>
            <w:r w:rsidRPr="00B34539">
              <w:rPr>
                <w:b/>
                <w:bCs/>
                <w:color w:val="000000"/>
                <w:sz w:val="18"/>
                <w:szCs w:val="18"/>
              </w:rPr>
              <w:t> </w:t>
            </w:r>
          </w:p>
        </w:tc>
        <w:tc>
          <w:tcPr>
            <w:tcW w:w="782" w:type="pct"/>
            <w:tcBorders>
              <w:top w:val="nil"/>
              <w:left w:val="nil"/>
              <w:bottom w:val="nil"/>
              <w:right w:val="nil"/>
            </w:tcBorders>
            <w:shd w:val="clear" w:color="000000" w:fill="FFFFFF"/>
            <w:vAlign w:val="center"/>
            <w:hideMark/>
          </w:tcPr>
          <w:p w:rsidR="00C7135E" w:rsidRPr="00B34539" w:rsidRDefault="00C7135E" w:rsidP="00C7135E">
            <w:pPr>
              <w:jc w:val="right"/>
              <w:rPr>
                <w:b/>
                <w:color w:val="000000"/>
                <w:sz w:val="18"/>
                <w:szCs w:val="18"/>
              </w:rPr>
            </w:pPr>
            <w:r w:rsidRPr="00B34539">
              <w:rPr>
                <w:b/>
                <w:color w:val="000000"/>
                <w:sz w:val="18"/>
                <w:szCs w:val="18"/>
              </w:rPr>
              <w:t>1.046.790</w:t>
            </w:r>
          </w:p>
        </w:tc>
        <w:tc>
          <w:tcPr>
            <w:tcW w:w="111" w:type="pct"/>
            <w:tcBorders>
              <w:top w:val="nil"/>
              <w:left w:val="nil"/>
              <w:bottom w:val="nil"/>
              <w:right w:val="nil"/>
            </w:tcBorders>
            <w:shd w:val="clear" w:color="000000" w:fill="FFFFFF"/>
            <w:vAlign w:val="center"/>
            <w:hideMark/>
          </w:tcPr>
          <w:p w:rsidR="00C7135E" w:rsidRPr="00B34539" w:rsidRDefault="00C7135E" w:rsidP="00C7135E">
            <w:pPr>
              <w:jc w:val="right"/>
              <w:rPr>
                <w:b/>
                <w:bCs/>
                <w:color w:val="000000"/>
                <w:sz w:val="18"/>
                <w:szCs w:val="18"/>
              </w:rPr>
            </w:pPr>
            <w:r w:rsidRPr="00B34539">
              <w:rPr>
                <w:b/>
                <w:bCs/>
                <w:color w:val="000000"/>
                <w:sz w:val="18"/>
                <w:szCs w:val="18"/>
              </w:rPr>
              <w:t> </w:t>
            </w:r>
          </w:p>
        </w:tc>
        <w:tc>
          <w:tcPr>
            <w:tcW w:w="1006" w:type="pct"/>
            <w:tcBorders>
              <w:top w:val="nil"/>
              <w:left w:val="nil"/>
              <w:bottom w:val="nil"/>
              <w:right w:val="nil"/>
            </w:tcBorders>
            <w:shd w:val="clear" w:color="000000" w:fill="FFFFFF"/>
            <w:vAlign w:val="center"/>
            <w:hideMark/>
          </w:tcPr>
          <w:p w:rsidR="00C7135E" w:rsidRPr="00B34539" w:rsidRDefault="00C7135E" w:rsidP="00C7135E">
            <w:pPr>
              <w:jc w:val="right"/>
              <w:rPr>
                <w:b/>
                <w:color w:val="000000"/>
                <w:sz w:val="18"/>
                <w:szCs w:val="18"/>
              </w:rPr>
            </w:pPr>
            <w:r w:rsidRPr="00B34539">
              <w:rPr>
                <w:b/>
                <w:color w:val="000000"/>
                <w:sz w:val="18"/>
                <w:szCs w:val="18"/>
              </w:rPr>
              <w:t>253.732</w:t>
            </w:r>
          </w:p>
        </w:tc>
        <w:tc>
          <w:tcPr>
            <w:tcW w:w="111" w:type="pct"/>
            <w:tcBorders>
              <w:top w:val="nil"/>
              <w:left w:val="nil"/>
              <w:bottom w:val="nil"/>
              <w:right w:val="nil"/>
            </w:tcBorders>
            <w:shd w:val="clear" w:color="000000" w:fill="FFFFFF"/>
            <w:vAlign w:val="center"/>
            <w:hideMark/>
          </w:tcPr>
          <w:p w:rsidR="00C7135E" w:rsidRPr="00B34539" w:rsidRDefault="00C7135E" w:rsidP="00C7135E">
            <w:pPr>
              <w:jc w:val="right"/>
              <w:rPr>
                <w:b/>
                <w:bCs/>
                <w:color w:val="000000"/>
                <w:sz w:val="18"/>
                <w:szCs w:val="18"/>
              </w:rPr>
            </w:pPr>
            <w:r w:rsidRPr="00B34539">
              <w:rPr>
                <w:b/>
                <w:bCs/>
                <w:color w:val="000000"/>
                <w:sz w:val="18"/>
                <w:szCs w:val="18"/>
              </w:rPr>
              <w:t> </w:t>
            </w:r>
          </w:p>
        </w:tc>
        <w:tc>
          <w:tcPr>
            <w:tcW w:w="577" w:type="pct"/>
            <w:tcBorders>
              <w:top w:val="nil"/>
              <w:left w:val="nil"/>
              <w:bottom w:val="nil"/>
              <w:right w:val="nil"/>
            </w:tcBorders>
            <w:shd w:val="clear" w:color="000000" w:fill="FFFFFF"/>
            <w:vAlign w:val="center"/>
            <w:hideMark/>
          </w:tcPr>
          <w:p w:rsidR="00C7135E" w:rsidRPr="00B34539" w:rsidRDefault="00C7135E" w:rsidP="00B34539">
            <w:pPr>
              <w:jc w:val="right"/>
              <w:rPr>
                <w:b/>
                <w:color w:val="000000"/>
                <w:sz w:val="18"/>
                <w:szCs w:val="18"/>
              </w:rPr>
            </w:pPr>
            <w:r w:rsidRPr="00B34539">
              <w:rPr>
                <w:b/>
                <w:color w:val="000000"/>
                <w:sz w:val="18"/>
                <w:szCs w:val="18"/>
              </w:rPr>
              <w:t>1.300.52</w:t>
            </w:r>
            <w:r w:rsidR="00B34539" w:rsidRPr="00B34539">
              <w:rPr>
                <w:b/>
                <w:color w:val="000000"/>
                <w:sz w:val="18"/>
                <w:szCs w:val="18"/>
              </w:rPr>
              <w:t>2</w:t>
            </w:r>
          </w:p>
        </w:tc>
        <w:tc>
          <w:tcPr>
            <w:tcW w:w="111" w:type="pct"/>
            <w:tcBorders>
              <w:top w:val="nil"/>
              <w:left w:val="nil"/>
              <w:bottom w:val="nil"/>
              <w:right w:val="nil"/>
            </w:tcBorders>
            <w:shd w:val="clear" w:color="000000" w:fill="FFFFFF"/>
            <w:vAlign w:val="center"/>
            <w:hideMark/>
          </w:tcPr>
          <w:p w:rsidR="00C7135E" w:rsidRPr="00B34539" w:rsidRDefault="00C7135E" w:rsidP="00C7135E">
            <w:pPr>
              <w:jc w:val="right"/>
              <w:rPr>
                <w:b/>
                <w:bCs/>
                <w:color w:val="000000"/>
                <w:sz w:val="18"/>
                <w:szCs w:val="18"/>
              </w:rPr>
            </w:pPr>
            <w:r w:rsidRPr="00B34539">
              <w:rPr>
                <w:b/>
                <w:bCs/>
                <w:color w:val="000000"/>
                <w:sz w:val="18"/>
                <w:szCs w:val="18"/>
              </w:rPr>
              <w:t> </w:t>
            </w:r>
          </w:p>
        </w:tc>
        <w:tc>
          <w:tcPr>
            <w:tcW w:w="576" w:type="pct"/>
            <w:tcBorders>
              <w:top w:val="nil"/>
              <w:left w:val="nil"/>
              <w:bottom w:val="nil"/>
              <w:right w:val="nil"/>
            </w:tcBorders>
            <w:shd w:val="clear" w:color="000000" w:fill="FFFFFF"/>
            <w:vAlign w:val="center"/>
            <w:hideMark/>
          </w:tcPr>
          <w:p w:rsidR="00C7135E" w:rsidRPr="00B34539" w:rsidRDefault="00C7135E" w:rsidP="00C7135E">
            <w:pPr>
              <w:jc w:val="right"/>
              <w:rPr>
                <w:b/>
                <w:bCs/>
                <w:color w:val="000000"/>
                <w:sz w:val="18"/>
                <w:szCs w:val="18"/>
              </w:rPr>
            </w:pPr>
            <w:r w:rsidRPr="00B34539">
              <w:rPr>
                <w:b/>
                <w:bCs/>
                <w:color w:val="000000"/>
                <w:sz w:val="18"/>
                <w:szCs w:val="18"/>
              </w:rPr>
              <w:t>1.214.689</w:t>
            </w:r>
          </w:p>
        </w:tc>
      </w:tr>
      <w:tr w:rsidR="00C7135E" w:rsidRPr="00DE6E86" w:rsidTr="0092590D">
        <w:trPr>
          <w:trHeight w:val="20"/>
        </w:trPr>
        <w:tc>
          <w:tcPr>
            <w:tcW w:w="1614" w:type="pct"/>
            <w:tcBorders>
              <w:top w:val="nil"/>
              <w:left w:val="nil"/>
              <w:bottom w:val="nil"/>
              <w:right w:val="nil"/>
            </w:tcBorders>
            <w:shd w:val="clear" w:color="000000" w:fill="FFFFFF"/>
            <w:vAlign w:val="center"/>
            <w:hideMark/>
          </w:tcPr>
          <w:p w:rsidR="00C7135E" w:rsidRPr="00DE6E86" w:rsidRDefault="00C7135E" w:rsidP="00C7135E">
            <w:pPr>
              <w:rPr>
                <w:color w:val="000000"/>
                <w:sz w:val="18"/>
                <w:szCs w:val="18"/>
              </w:rPr>
            </w:pPr>
            <w:r w:rsidRPr="00DE6E86">
              <w:rPr>
                <w:color w:val="000000"/>
                <w:sz w:val="18"/>
                <w:szCs w:val="18"/>
              </w:rPr>
              <w:t> </w:t>
            </w:r>
          </w:p>
        </w:tc>
        <w:tc>
          <w:tcPr>
            <w:tcW w:w="111"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782" w:type="pct"/>
            <w:tcBorders>
              <w:top w:val="single" w:sz="8" w:space="0" w:color="auto"/>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111"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1006" w:type="pct"/>
            <w:tcBorders>
              <w:top w:val="single" w:sz="8" w:space="0" w:color="auto"/>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111"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577" w:type="pct"/>
            <w:tcBorders>
              <w:top w:val="single" w:sz="8" w:space="0" w:color="auto"/>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111" w:type="pct"/>
            <w:tcBorders>
              <w:top w:val="nil"/>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c>
          <w:tcPr>
            <w:tcW w:w="576" w:type="pct"/>
            <w:tcBorders>
              <w:top w:val="single" w:sz="8" w:space="0" w:color="auto"/>
              <w:left w:val="nil"/>
              <w:bottom w:val="nil"/>
              <w:right w:val="nil"/>
            </w:tcBorders>
            <w:shd w:val="clear" w:color="000000" w:fill="FFFFFF"/>
            <w:vAlign w:val="center"/>
            <w:hideMark/>
          </w:tcPr>
          <w:p w:rsidR="00C7135E" w:rsidRPr="00DE6E86" w:rsidRDefault="00C7135E" w:rsidP="00C7135E">
            <w:pPr>
              <w:jc w:val="right"/>
              <w:rPr>
                <w:color w:val="000000"/>
                <w:sz w:val="18"/>
                <w:szCs w:val="18"/>
              </w:rPr>
            </w:pPr>
            <w:r w:rsidRPr="00DE6E86">
              <w:rPr>
                <w:color w:val="000000"/>
                <w:sz w:val="18"/>
                <w:szCs w:val="18"/>
              </w:rPr>
              <w:t> </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Apropriação para Férias</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7.590</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1.840</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9.430</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3.798</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Apropriação para Licença Especial</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4.036</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978</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5.014</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5.619</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Provisão para Contingências</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single" w:sz="4" w:space="0" w:color="auto"/>
              <w:right w:val="nil"/>
            </w:tcBorders>
            <w:shd w:val="clear" w:color="000000" w:fill="FFFFFF"/>
            <w:vAlign w:val="center"/>
            <w:hideMark/>
          </w:tcPr>
          <w:p w:rsidR="00B34539" w:rsidRDefault="00B34539">
            <w:pPr>
              <w:jc w:val="right"/>
              <w:rPr>
                <w:color w:val="000000"/>
                <w:sz w:val="18"/>
                <w:szCs w:val="18"/>
              </w:rPr>
            </w:pPr>
            <w:r>
              <w:rPr>
                <w:color w:val="000000"/>
                <w:sz w:val="18"/>
                <w:szCs w:val="18"/>
              </w:rPr>
              <w:t>26.764</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single" w:sz="4" w:space="0" w:color="auto"/>
              <w:right w:val="nil"/>
            </w:tcBorders>
            <w:shd w:val="clear" w:color="000000" w:fill="FFFFFF"/>
            <w:vAlign w:val="center"/>
            <w:hideMark/>
          </w:tcPr>
          <w:p w:rsidR="00B34539" w:rsidRDefault="00B34539">
            <w:pPr>
              <w:jc w:val="right"/>
              <w:rPr>
                <w:color w:val="000000"/>
                <w:sz w:val="18"/>
                <w:szCs w:val="18"/>
              </w:rPr>
            </w:pPr>
            <w:r>
              <w:rPr>
                <w:color w:val="000000"/>
                <w:sz w:val="18"/>
                <w:szCs w:val="18"/>
              </w:rPr>
              <w:t>6.487</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single" w:sz="4" w:space="0" w:color="auto"/>
              <w:right w:val="nil"/>
            </w:tcBorders>
            <w:shd w:val="clear" w:color="000000" w:fill="FFFFFF"/>
            <w:vAlign w:val="center"/>
            <w:hideMark/>
          </w:tcPr>
          <w:p w:rsidR="00B34539" w:rsidRDefault="00B34539">
            <w:pPr>
              <w:jc w:val="right"/>
              <w:rPr>
                <w:color w:val="000000"/>
                <w:sz w:val="18"/>
                <w:szCs w:val="18"/>
              </w:rPr>
            </w:pPr>
            <w:r>
              <w:rPr>
                <w:color w:val="000000"/>
                <w:sz w:val="18"/>
                <w:szCs w:val="18"/>
              </w:rPr>
              <w:t>33.251</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single" w:sz="4" w:space="0" w:color="auto"/>
              <w:right w:val="nil"/>
            </w:tcBorders>
            <w:shd w:val="clear" w:color="auto" w:fill="auto"/>
            <w:vAlign w:val="center"/>
            <w:hideMark/>
          </w:tcPr>
          <w:p w:rsidR="00B34539" w:rsidRPr="00DE6E86" w:rsidRDefault="00B34539" w:rsidP="00C7135E">
            <w:pPr>
              <w:jc w:val="right"/>
              <w:rPr>
                <w:color w:val="000000"/>
                <w:sz w:val="18"/>
                <w:szCs w:val="18"/>
              </w:rPr>
            </w:pPr>
            <w:r w:rsidRPr="00DE6E86">
              <w:rPr>
                <w:color w:val="000000"/>
                <w:sz w:val="18"/>
                <w:szCs w:val="18"/>
              </w:rPr>
              <w:t>22.074</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 </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single" w:sz="4" w:space="0" w:color="auto"/>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single" w:sz="4" w:space="0" w:color="auto"/>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b/>
                <w:bCs/>
                <w:color w:val="000000"/>
                <w:sz w:val="18"/>
                <w:szCs w:val="18"/>
              </w:rPr>
            </w:pPr>
            <w:r w:rsidRPr="00DE6E86">
              <w:rPr>
                <w:b/>
                <w:bCs/>
                <w:color w:val="000000"/>
                <w:sz w:val="18"/>
                <w:szCs w:val="18"/>
              </w:rPr>
              <w:t>Provisões e Apropriações</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b/>
                <w:bCs/>
                <w:color w:val="000000"/>
                <w:sz w:val="18"/>
                <w:szCs w:val="18"/>
              </w:rPr>
            </w:pPr>
            <w:r w:rsidRPr="00DE6E86">
              <w:rPr>
                <w:b/>
                <w:bCs/>
                <w:color w:val="000000"/>
                <w:sz w:val="18"/>
                <w:szCs w:val="18"/>
              </w:rPr>
              <w:t> </w:t>
            </w:r>
          </w:p>
        </w:tc>
        <w:tc>
          <w:tcPr>
            <w:tcW w:w="782" w:type="pct"/>
            <w:tcBorders>
              <w:top w:val="nil"/>
              <w:left w:val="nil"/>
              <w:bottom w:val="single" w:sz="8" w:space="0" w:color="auto"/>
              <w:right w:val="nil"/>
            </w:tcBorders>
            <w:shd w:val="clear" w:color="000000" w:fill="FFFFFF"/>
            <w:vAlign w:val="center"/>
            <w:hideMark/>
          </w:tcPr>
          <w:p w:rsidR="00B34539" w:rsidRDefault="00B34539">
            <w:pPr>
              <w:jc w:val="right"/>
              <w:rPr>
                <w:b/>
                <w:bCs/>
                <w:color w:val="000000"/>
                <w:sz w:val="18"/>
                <w:szCs w:val="18"/>
              </w:rPr>
            </w:pPr>
            <w:r>
              <w:rPr>
                <w:b/>
                <w:bCs/>
                <w:color w:val="000000"/>
                <w:sz w:val="18"/>
                <w:szCs w:val="18"/>
              </w:rPr>
              <w:t>38.390</w:t>
            </w:r>
          </w:p>
        </w:tc>
        <w:tc>
          <w:tcPr>
            <w:tcW w:w="111" w:type="pct"/>
            <w:tcBorders>
              <w:top w:val="nil"/>
              <w:left w:val="nil"/>
              <w:bottom w:val="nil"/>
              <w:right w:val="nil"/>
            </w:tcBorders>
            <w:shd w:val="clear" w:color="000000" w:fill="FFFFFF"/>
            <w:vAlign w:val="center"/>
            <w:hideMark/>
          </w:tcPr>
          <w:p w:rsidR="00B34539" w:rsidRDefault="00B34539">
            <w:pPr>
              <w:jc w:val="right"/>
              <w:rPr>
                <w:b/>
                <w:bCs/>
                <w:color w:val="000000"/>
                <w:sz w:val="18"/>
                <w:szCs w:val="18"/>
              </w:rPr>
            </w:pPr>
            <w:r>
              <w:rPr>
                <w:b/>
                <w:bCs/>
                <w:color w:val="000000"/>
                <w:sz w:val="18"/>
                <w:szCs w:val="18"/>
              </w:rPr>
              <w:t> </w:t>
            </w:r>
          </w:p>
        </w:tc>
        <w:tc>
          <w:tcPr>
            <w:tcW w:w="1006" w:type="pct"/>
            <w:tcBorders>
              <w:top w:val="nil"/>
              <w:left w:val="nil"/>
              <w:bottom w:val="single" w:sz="8" w:space="0" w:color="auto"/>
              <w:right w:val="nil"/>
            </w:tcBorders>
            <w:shd w:val="clear" w:color="000000" w:fill="FFFFFF"/>
            <w:vAlign w:val="center"/>
            <w:hideMark/>
          </w:tcPr>
          <w:p w:rsidR="00B34539" w:rsidRDefault="00B34539">
            <w:pPr>
              <w:jc w:val="right"/>
              <w:rPr>
                <w:b/>
                <w:bCs/>
                <w:color w:val="000000"/>
                <w:sz w:val="18"/>
                <w:szCs w:val="18"/>
              </w:rPr>
            </w:pPr>
            <w:r>
              <w:rPr>
                <w:b/>
                <w:bCs/>
                <w:color w:val="000000"/>
                <w:sz w:val="18"/>
                <w:szCs w:val="18"/>
              </w:rPr>
              <w:t>9.305</w:t>
            </w:r>
          </w:p>
        </w:tc>
        <w:tc>
          <w:tcPr>
            <w:tcW w:w="111" w:type="pct"/>
            <w:tcBorders>
              <w:top w:val="nil"/>
              <w:left w:val="nil"/>
              <w:bottom w:val="nil"/>
              <w:right w:val="nil"/>
            </w:tcBorders>
            <w:shd w:val="clear" w:color="000000" w:fill="FFFFFF"/>
            <w:vAlign w:val="center"/>
            <w:hideMark/>
          </w:tcPr>
          <w:p w:rsidR="00B34539" w:rsidRDefault="00B34539">
            <w:pPr>
              <w:jc w:val="right"/>
              <w:rPr>
                <w:b/>
                <w:bCs/>
                <w:color w:val="000000"/>
                <w:sz w:val="18"/>
                <w:szCs w:val="18"/>
              </w:rPr>
            </w:pPr>
            <w:r>
              <w:rPr>
                <w:b/>
                <w:bCs/>
                <w:color w:val="000000"/>
                <w:sz w:val="18"/>
                <w:szCs w:val="18"/>
              </w:rPr>
              <w:t> </w:t>
            </w:r>
          </w:p>
        </w:tc>
        <w:tc>
          <w:tcPr>
            <w:tcW w:w="577" w:type="pct"/>
            <w:tcBorders>
              <w:top w:val="nil"/>
              <w:left w:val="nil"/>
              <w:bottom w:val="single" w:sz="8" w:space="0" w:color="auto"/>
              <w:right w:val="nil"/>
            </w:tcBorders>
            <w:shd w:val="clear" w:color="000000" w:fill="FFFFFF"/>
            <w:vAlign w:val="center"/>
            <w:hideMark/>
          </w:tcPr>
          <w:p w:rsidR="00B34539" w:rsidRDefault="00B34539">
            <w:pPr>
              <w:jc w:val="right"/>
              <w:rPr>
                <w:b/>
                <w:bCs/>
                <w:color w:val="000000"/>
                <w:sz w:val="18"/>
                <w:szCs w:val="18"/>
              </w:rPr>
            </w:pPr>
            <w:r>
              <w:rPr>
                <w:b/>
                <w:bCs/>
                <w:color w:val="000000"/>
                <w:sz w:val="18"/>
                <w:szCs w:val="18"/>
              </w:rPr>
              <w:t>47.695</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b/>
                <w:bCs/>
                <w:color w:val="000000"/>
                <w:sz w:val="18"/>
                <w:szCs w:val="18"/>
              </w:rPr>
            </w:pPr>
            <w:r w:rsidRPr="00DE6E86">
              <w:rPr>
                <w:b/>
                <w:bCs/>
                <w:color w:val="000000"/>
                <w:sz w:val="18"/>
                <w:szCs w:val="18"/>
              </w:rPr>
              <w:t> </w:t>
            </w:r>
          </w:p>
        </w:tc>
        <w:tc>
          <w:tcPr>
            <w:tcW w:w="576" w:type="pct"/>
            <w:tcBorders>
              <w:top w:val="nil"/>
              <w:left w:val="nil"/>
              <w:bottom w:val="single" w:sz="8" w:space="0" w:color="auto"/>
              <w:right w:val="nil"/>
            </w:tcBorders>
            <w:shd w:val="clear" w:color="000000" w:fill="FFFFFF"/>
            <w:vAlign w:val="center"/>
            <w:hideMark/>
          </w:tcPr>
          <w:p w:rsidR="00B34539" w:rsidRPr="00DE6E86" w:rsidRDefault="00B34539" w:rsidP="00C7135E">
            <w:pPr>
              <w:jc w:val="right"/>
              <w:rPr>
                <w:b/>
                <w:bCs/>
                <w:color w:val="000000"/>
                <w:sz w:val="18"/>
                <w:szCs w:val="18"/>
              </w:rPr>
            </w:pPr>
            <w:r w:rsidRPr="00DE6E86">
              <w:rPr>
                <w:b/>
                <w:bCs/>
                <w:color w:val="000000"/>
                <w:sz w:val="18"/>
                <w:szCs w:val="18"/>
              </w:rPr>
              <w:t>31.491</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color w:val="000000"/>
                <w:sz w:val="18"/>
                <w:szCs w:val="18"/>
              </w:rPr>
            </w:pPr>
            <w:r w:rsidRPr="00DE6E86">
              <w:rPr>
                <w:color w:val="000000"/>
                <w:sz w:val="18"/>
                <w:szCs w:val="18"/>
              </w:rPr>
              <w:t> </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782"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006"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11"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577" w:type="pct"/>
            <w:tcBorders>
              <w:top w:val="nil"/>
              <w:left w:val="nil"/>
              <w:bottom w:val="nil"/>
              <w:right w:val="nil"/>
            </w:tcBorders>
            <w:shd w:val="clear" w:color="000000" w:fill="FFFFFF"/>
            <w:vAlign w:val="center"/>
            <w:hideMark/>
          </w:tcPr>
          <w:p w:rsidR="00B34539" w:rsidRDefault="00B34539">
            <w:pPr>
              <w:jc w:val="right"/>
              <w:rPr>
                <w:color w:val="000000"/>
                <w:sz w:val="18"/>
                <w:szCs w:val="18"/>
              </w:rPr>
            </w:pPr>
            <w:r>
              <w:rPr>
                <w:color w:val="000000"/>
                <w:sz w:val="18"/>
                <w:szCs w:val="18"/>
              </w:rPr>
              <w:t> </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c>
          <w:tcPr>
            <w:tcW w:w="576" w:type="pct"/>
            <w:tcBorders>
              <w:top w:val="nil"/>
              <w:left w:val="nil"/>
              <w:bottom w:val="nil"/>
              <w:right w:val="nil"/>
            </w:tcBorders>
            <w:shd w:val="clear" w:color="000000" w:fill="FFFFFF"/>
            <w:vAlign w:val="center"/>
            <w:hideMark/>
          </w:tcPr>
          <w:p w:rsidR="00B34539" w:rsidRPr="00DE6E86" w:rsidRDefault="00B34539" w:rsidP="00C7135E">
            <w:pPr>
              <w:jc w:val="right"/>
              <w:rPr>
                <w:color w:val="000000"/>
                <w:sz w:val="18"/>
                <w:szCs w:val="18"/>
              </w:rPr>
            </w:pPr>
            <w:r w:rsidRPr="00DE6E86">
              <w:rPr>
                <w:color w:val="000000"/>
                <w:sz w:val="18"/>
                <w:szCs w:val="18"/>
              </w:rPr>
              <w:t> </w:t>
            </w:r>
          </w:p>
        </w:tc>
      </w:tr>
      <w:tr w:rsidR="00B34539" w:rsidRPr="00DE6E86" w:rsidTr="0092590D">
        <w:trPr>
          <w:trHeight w:val="20"/>
        </w:trPr>
        <w:tc>
          <w:tcPr>
            <w:tcW w:w="1614" w:type="pct"/>
            <w:tcBorders>
              <w:top w:val="nil"/>
              <w:left w:val="nil"/>
              <w:bottom w:val="nil"/>
              <w:right w:val="nil"/>
            </w:tcBorders>
            <w:shd w:val="clear" w:color="000000" w:fill="FFFFFF"/>
            <w:vAlign w:val="center"/>
            <w:hideMark/>
          </w:tcPr>
          <w:p w:rsidR="00B34539" w:rsidRPr="00DE6E86" w:rsidRDefault="00B34539" w:rsidP="00C7135E">
            <w:pPr>
              <w:rPr>
                <w:b/>
                <w:bCs/>
                <w:color w:val="000000"/>
                <w:sz w:val="18"/>
                <w:szCs w:val="18"/>
              </w:rPr>
            </w:pPr>
            <w:r w:rsidRPr="00DE6E86">
              <w:rPr>
                <w:b/>
                <w:bCs/>
                <w:color w:val="000000"/>
                <w:sz w:val="18"/>
                <w:szCs w:val="18"/>
              </w:rPr>
              <w:t>Saldo Contábil</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b/>
                <w:bCs/>
                <w:color w:val="000000"/>
                <w:sz w:val="18"/>
                <w:szCs w:val="18"/>
              </w:rPr>
            </w:pPr>
            <w:r w:rsidRPr="00DE6E86">
              <w:rPr>
                <w:b/>
                <w:bCs/>
                <w:color w:val="000000"/>
                <w:sz w:val="18"/>
                <w:szCs w:val="18"/>
              </w:rPr>
              <w:t> </w:t>
            </w:r>
          </w:p>
        </w:tc>
        <w:tc>
          <w:tcPr>
            <w:tcW w:w="782" w:type="pct"/>
            <w:tcBorders>
              <w:top w:val="nil"/>
              <w:left w:val="nil"/>
              <w:bottom w:val="double" w:sz="6" w:space="0" w:color="auto"/>
              <w:right w:val="nil"/>
            </w:tcBorders>
            <w:shd w:val="clear" w:color="000000" w:fill="FFFFFF"/>
            <w:vAlign w:val="center"/>
            <w:hideMark/>
          </w:tcPr>
          <w:p w:rsidR="00B34539" w:rsidRDefault="00B34539">
            <w:pPr>
              <w:jc w:val="right"/>
              <w:rPr>
                <w:b/>
                <w:bCs/>
                <w:color w:val="000000"/>
                <w:sz w:val="18"/>
                <w:szCs w:val="18"/>
              </w:rPr>
            </w:pPr>
            <w:r>
              <w:rPr>
                <w:b/>
                <w:bCs/>
                <w:color w:val="000000"/>
                <w:sz w:val="18"/>
                <w:szCs w:val="18"/>
              </w:rPr>
              <w:t>1.085.180</w:t>
            </w:r>
          </w:p>
        </w:tc>
        <w:tc>
          <w:tcPr>
            <w:tcW w:w="111" w:type="pct"/>
            <w:tcBorders>
              <w:top w:val="nil"/>
              <w:left w:val="nil"/>
              <w:bottom w:val="nil"/>
              <w:right w:val="nil"/>
            </w:tcBorders>
            <w:shd w:val="clear" w:color="000000" w:fill="FFFFFF"/>
            <w:vAlign w:val="center"/>
            <w:hideMark/>
          </w:tcPr>
          <w:p w:rsidR="00B34539" w:rsidRDefault="00B34539">
            <w:pPr>
              <w:jc w:val="right"/>
              <w:rPr>
                <w:b/>
                <w:bCs/>
                <w:color w:val="000000"/>
                <w:sz w:val="18"/>
                <w:szCs w:val="18"/>
              </w:rPr>
            </w:pPr>
            <w:r>
              <w:rPr>
                <w:b/>
                <w:bCs/>
                <w:color w:val="000000"/>
                <w:sz w:val="18"/>
                <w:szCs w:val="18"/>
              </w:rPr>
              <w:t> </w:t>
            </w:r>
          </w:p>
        </w:tc>
        <w:tc>
          <w:tcPr>
            <w:tcW w:w="1006" w:type="pct"/>
            <w:tcBorders>
              <w:top w:val="nil"/>
              <w:left w:val="nil"/>
              <w:bottom w:val="double" w:sz="6" w:space="0" w:color="auto"/>
              <w:right w:val="nil"/>
            </w:tcBorders>
            <w:shd w:val="clear" w:color="000000" w:fill="FFFFFF"/>
            <w:vAlign w:val="center"/>
            <w:hideMark/>
          </w:tcPr>
          <w:p w:rsidR="00B34539" w:rsidRDefault="00B34539">
            <w:pPr>
              <w:jc w:val="right"/>
              <w:rPr>
                <w:b/>
                <w:bCs/>
                <w:color w:val="000000"/>
                <w:sz w:val="18"/>
                <w:szCs w:val="18"/>
              </w:rPr>
            </w:pPr>
            <w:r>
              <w:rPr>
                <w:b/>
                <w:bCs/>
                <w:color w:val="000000"/>
                <w:sz w:val="18"/>
                <w:szCs w:val="18"/>
              </w:rPr>
              <w:t>263.037</w:t>
            </w:r>
          </w:p>
        </w:tc>
        <w:tc>
          <w:tcPr>
            <w:tcW w:w="111" w:type="pct"/>
            <w:tcBorders>
              <w:top w:val="nil"/>
              <w:left w:val="nil"/>
              <w:bottom w:val="nil"/>
              <w:right w:val="nil"/>
            </w:tcBorders>
            <w:shd w:val="clear" w:color="000000" w:fill="FFFFFF"/>
            <w:vAlign w:val="center"/>
            <w:hideMark/>
          </w:tcPr>
          <w:p w:rsidR="00B34539" w:rsidRDefault="00B34539">
            <w:pPr>
              <w:jc w:val="right"/>
              <w:rPr>
                <w:b/>
                <w:bCs/>
                <w:color w:val="000000"/>
                <w:sz w:val="18"/>
                <w:szCs w:val="18"/>
              </w:rPr>
            </w:pPr>
            <w:r>
              <w:rPr>
                <w:b/>
                <w:bCs/>
                <w:color w:val="000000"/>
                <w:sz w:val="18"/>
                <w:szCs w:val="18"/>
              </w:rPr>
              <w:t> </w:t>
            </w:r>
          </w:p>
        </w:tc>
        <w:tc>
          <w:tcPr>
            <w:tcW w:w="577" w:type="pct"/>
            <w:tcBorders>
              <w:top w:val="nil"/>
              <w:left w:val="nil"/>
              <w:bottom w:val="double" w:sz="6" w:space="0" w:color="auto"/>
              <w:right w:val="nil"/>
            </w:tcBorders>
            <w:shd w:val="clear" w:color="000000" w:fill="FFFFFF"/>
            <w:vAlign w:val="center"/>
            <w:hideMark/>
          </w:tcPr>
          <w:p w:rsidR="00B34539" w:rsidRDefault="00B34539">
            <w:pPr>
              <w:jc w:val="right"/>
              <w:rPr>
                <w:b/>
                <w:bCs/>
                <w:color w:val="000000"/>
                <w:sz w:val="18"/>
                <w:szCs w:val="18"/>
              </w:rPr>
            </w:pPr>
            <w:r>
              <w:rPr>
                <w:b/>
                <w:bCs/>
                <w:color w:val="000000"/>
                <w:sz w:val="18"/>
                <w:szCs w:val="18"/>
              </w:rPr>
              <w:t>1.348.217</w:t>
            </w:r>
          </w:p>
        </w:tc>
        <w:tc>
          <w:tcPr>
            <w:tcW w:w="111" w:type="pct"/>
            <w:tcBorders>
              <w:top w:val="nil"/>
              <w:left w:val="nil"/>
              <w:bottom w:val="nil"/>
              <w:right w:val="nil"/>
            </w:tcBorders>
            <w:shd w:val="clear" w:color="000000" w:fill="FFFFFF"/>
            <w:vAlign w:val="center"/>
            <w:hideMark/>
          </w:tcPr>
          <w:p w:rsidR="00B34539" w:rsidRPr="00DE6E86" w:rsidRDefault="00B34539" w:rsidP="00C7135E">
            <w:pPr>
              <w:jc w:val="right"/>
              <w:rPr>
                <w:b/>
                <w:bCs/>
                <w:color w:val="000000"/>
                <w:sz w:val="18"/>
                <w:szCs w:val="18"/>
              </w:rPr>
            </w:pPr>
            <w:r w:rsidRPr="00DE6E86">
              <w:rPr>
                <w:b/>
                <w:bCs/>
                <w:color w:val="000000"/>
                <w:sz w:val="18"/>
                <w:szCs w:val="18"/>
              </w:rPr>
              <w:t> </w:t>
            </w:r>
          </w:p>
        </w:tc>
        <w:tc>
          <w:tcPr>
            <w:tcW w:w="576" w:type="pct"/>
            <w:tcBorders>
              <w:top w:val="nil"/>
              <w:left w:val="nil"/>
              <w:bottom w:val="double" w:sz="6" w:space="0" w:color="auto"/>
              <w:right w:val="nil"/>
            </w:tcBorders>
            <w:shd w:val="clear" w:color="000000" w:fill="FFFFFF"/>
            <w:vAlign w:val="center"/>
            <w:hideMark/>
          </w:tcPr>
          <w:p w:rsidR="00B34539" w:rsidRPr="00DE6E86" w:rsidRDefault="00B34539" w:rsidP="00C7135E">
            <w:pPr>
              <w:jc w:val="right"/>
              <w:rPr>
                <w:b/>
                <w:bCs/>
                <w:color w:val="000000"/>
                <w:sz w:val="18"/>
                <w:szCs w:val="18"/>
              </w:rPr>
            </w:pPr>
            <w:r w:rsidRPr="00DE6E86">
              <w:rPr>
                <w:b/>
                <w:bCs/>
                <w:color w:val="000000"/>
                <w:sz w:val="18"/>
                <w:szCs w:val="18"/>
              </w:rPr>
              <w:t>1.246.180</w:t>
            </w:r>
          </w:p>
        </w:tc>
      </w:tr>
    </w:tbl>
    <w:p w:rsidR="00AA4CC1" w:rsidRPr="00FD7B48" w:rsidRDefault="00AA4CC1" w:rsidP="00B20F98">
      <w:pPr>
        <w:tabs>
          <w:tab w:val="left" w:pos="6570"/>
        </w:tabs>
        <w:jc w:val="both"/>
        <w:rPr>
          <w:b/>
        </w:rPr>
      </w:pPr>
    </w:p>
    <w:p w:rsidR="00B20F98" w:rsidRPr="00FD7B48" w:rsidRDefault="00B20F98" w:rsidP="00524E3E">
      <w:pPr>
        <w:jc w:val="both"/>
      </w:pPr>
      <w:r w:rsidRPr="00FD7B48">
        <w:t>Os custos dos serviços e despesas administrativas foram apropriados compatibiliza</w:t>
      </w:r>
      <w:r w:rsidR="002706FF">
        <w:t>ndo</w:t>
      </w:r>
      <w:r w:rsidRPr="00FD7B48">
        <w:t xml:space="preserve"> os valores contábeis e os valores existentes nos controles elaborados pelo Serviço de Análise e Controle</w:t>
      </w:r>
      <w:r w:rsidR="0035666F">
        <w:t xml:space="preserve"> da Coordenadoria de Gestão Financeira (COFIN)</w:t>
      </w:r>
      <w:r w:rsidR="00C14F20">
        <w:t xml:space="preserve"> ver Nota </w:t>
      </w:r>
      <w:proofErr w:type="gramStart"/>
      <w:r w:rsidR="00C14F20">
        <w:t>2</w:t>
      </w:r>
      <w:proofErr w:type="gramEnd"/>
      <w:r w:rsidR="00C14F20">
        <w:t>, letra “</w:t>
      </w:r>
      <w:r w:rsidR="00115850">
        <w:t>t</w:t>
      </w:r>
      <w:r w:rsidR="00C14F20">
        <w:t>”</w:t>
      </w:r>
      <w:r w:rsidRPr="00FD7B48">
        <w:t>.</w:t>
      </w:r>
    </w:p>
    <w:p w:rsidR="00B20F98" w:rsidRPr="00FD7B48" w:rsidRDefault="00B20F98" w:rsidP="00524E3E">
      <w:pPr>
        <w:jc w:val="both"/>
      </w:pPr>
    </w:p>
    <w:p w:rsidR="00B20F98" w:rsidRDefault="00B20F98" w:rsidP="00524E3E">
      <w:pPr>
        <w:jc w:val="both"/>
      </w:pPr>
      <w:r w:rsidRPr="00FD7B48">
        <w:t>Na determinação do resultado do exercício foram computados os custos e despesas pagos ou incorridos correspondente</w:t>
      </w:r>
      <w:r w:rsidR="008D53D7" w:rsidRPr="00FD7B48">
        <w:t>s</w:t>
      </w:r>
      <w:r w:rsidRPr="00FD7B48">
        <w:t xml:space="preserve"> </w:t>
      </w:r>
      <w:r w:rsidR="0017738F" w:rsidRPr="00FD7B48">
        <w:t>às</w:t>
      </w:r>
      <w:r w:rsidRPr="00FD7B48">
        <w:t xml:space="preserve"> receitas de serviço</w:t>
      </w:r>
      <w:r w:rsidR="005776FA">
        <w:t>s</w:t>
      </w:r>
      <w:r w:rsidRPr="00FD7B48">
        <w:t xml:space="preserve"> reconhecidas no </w:t>
      </w:r>
      <w:r w:rsidR="002F111A">
        <w:t>exercício</w:t>
      </w:r>
      <w:r w:rsidRPr="00FD7B48">
        <w:t>.</w:t>
      </w:r>
    </w:p>
    <w:p w:rsidR="0087569F" w:rsidRDefault="0035666F" w:rsidP="00ED4D37">
      <w:pPr>
        <w:ind w:left="-100"/>
        <w:jc w:val="both"/>
        <w:rPr>
          <w:color w:val="0070C0"/>
        </w:rPr>
      </w:pPr>
      <w:r>
        <w:t xml:space="preserve"> </w:t>
      </w:r>
    </w:p>
    <w:p w:rsidR="0087569F" w:rsidRDefault="0087569F" w:rsidP="006874C1">
      <w:pPr>
        <w:jc w:val="both"/>
        <w:rPr>
          <w:color w:val="0070C0"/>
        </w:rPr>
      </w:pPr>
    </w:p>
    <w:p w:rsidR="00B20F98" w:rsidRPr="005A018C" w:rsidRDefault="00455E06" w:rsidP="00F27C83">
      <w:pPr>
        <w:pStyle w:val="Ttulo"/>
        <w:outlineLvl w:val="0"/>
      </w:pPr>
      <w:bookmarkStart w:id="62" w:name="_Ref466472278"/>
      <w:bookmarkStart w:id="63" w:name="_Toc512497285"/>
      <w:r w:rsidRPr="005A018C">
        <w:t xml:space="preserve">Despesas </w:t>
      </w:r>
      <w:r w:rsidR="002706FF" w:rsidRPr="005A018C">
        <w:t>com</w:t>
      </w:r>
      <w:r w:rsidRPr="005A018C">
        <w:t xml:space="preserve"> Benefícios a Empregados</w:t>
      </w:r>
      <w:bookmarkEnd w:id="62"/>
      <w:bookmarkEnd w:id="63"/>
    </w:p>
    <w:p w:rsidR="00B20F98" w:rsidRPr="00FD7B48" w:rsidRDefault="00B20F98" w:rsidP="00B20F98">
      <w:pPr>
        <w:ind w:left="-200"/>
        <w:jc w:val="both"/>
        <w:rPr>
          <w:b/>
        </w:rPr>
      </w:pPr>
    </w:p>
    <w:tbl>
      <w:tblPr>
        <w:tblW w:w="5000" w:type="pct"/>
        <w:tblCellMar>
          <w:left w:w="70" w:type="dxa"/>
          <w:right w:w="70" w:type="dxa"/>
        </w:tblCellMar>
        <w:tblLook w:val="04A0" w:firstRow="1" w:lastRow="0" w:firstColumn="1" w:lastColumn="0" w:noHBand="0" w:noVBand="1"/>
      </w:tblPr>
      <w:tblGrid>
        <w:gridCol w:w="4078"/>
        <w:gridCol w:w="2355"/>
        <w:gridCol w:w="426"/>
        <w:gridCol w:w="2353"/>
      </w:tblGrid>
      <w:tr w:rsidR="003C1F50" w:rsidRPr="006D6380" w:rsidTr="00B55780">
        <w:trPr>
          <w:trHeight w:val="20"/>
        </w:trPr>
        <w:tc>
          <w:tcPr>
            <w:tcW w:w="2213" w:type="pct"/>
            <w:tcBorders>
              <w:top w:val="nil"/>
              <w:left w:val="nil"/>
              <w:bottom w:val="nil"/>
              <w:right w:val="nil"/>
            </w:tcBorders>
            <w:shd w:val="clear" w:color="auto" w:fill="auto"/>
            <w:noWrap/>
            <w:vAlign w:val="center"/>
            <w:hideMark/>
          </w:tcPr>
          <w:p w:rsidR="003C1F50" w:rsidRPr="006D6380" w:rsidRDefault="003C1F50" w:rsidP="003C1F50">
            <w:pPr>
              <w:rPr>
                <w:color w:val="000000"/>
                <w:sz w:val="18"/>
                <w:szCs w:val="18"/>
              </w:rPr>
            </w:pPr>
          </w:p>
        </w:tc>
        <w:tc>
          <w:tcPr>
            <w:tcW w:w="1278" w:type="pct"/>
            <w:tcBorders>
              <w:top w:val="nil"/>
              <w:left w:val="nil"/>
              <w:bottom w:val="single" w:sz="8" w:space="0" w:color="auto"/>
              <w:right w:val="nil"/>
            </w:tcBorders>
            <w:shd w:val="clear" w:color="auto" w:fill="auto"/>
            <w:vAlign w:val="center"/>
            <w:hideMark/>
          </w:tcPr>
          <w:p w:rsidR="003C1F50" w:rsidRPr="006D6380" w:rsidRDefault="003C1F50" w:rsidP="003C1F50">
            <w:pPr>
              <w:jc w:val="right"/>
              <w:rPr>
                <w:b/>
                <w:bCs/>
                <w:color w:val="000000"/>
                <w:sz w:val="18"/>
                <w:szCs w:val="18"/>
              </w:rPr>
            </w:pPr>
            <w:r w:rsidRPr="006D6380">
              <w:rPr>
                <w:b/>
                <w:bCs/>
                <w:color w:val="000000"/>
                <w:sz w:val="18"/>
                <w:szCs w:val="18"/>
              </w:rPr>
              <w:t>31/12/2017</w:t>
            </w:r>
          </w:p>
        </w:tc>
        <w:tc>
          <w:tcPr>
            <w:tcW w:w="231" w:type="pct"/>
            <w:tcBorders>
              <w:top w:val="nil"/>
              <w:left w:val="nil"/>
              <w:bottom w:val="nil"/>
              <w:right w:val="nil"/>
            </w:tcBorders>
            <w:shd w:val="clear" w:color="auto" w:fill="auto"/>
            <w:vAlign w:val="center"/>
            <w:hideMark/>
          </w:tcPr>
          <w:p w:rsidR="003C1F50" w:rsidRPr="006D6380" w:rsidRDefault="003C1F50" w:rsidP="003C1F50">
            <w:pPr>
              <w:rPr>
                <w:b/>
                <w:bCs/>
                <w:color w:val="000000"/>
                <w:sz w:val="18"/>
                <w:szCs w:val="18"/>
              </w:rPr>
            </w:pPr>
          </w:p>
        </w:tc>
        <w:tc>
          <w:tcPr>
            <w:tcW w:w="1277" w:type="pct"/>
            <w:tcBorders>
              <w:top w:val="nil"/>
              <w:left w:val="nil"/>
              <w:bottom w:val="single" w:sz="8" w:space="0" w:color="auto"/>
              <w:right w:val="nil"/>
            </w:tcBorders>
            <w:shd w:val="clear" w:color="auto" w:fill="auto"/>
            <w:noWrap/>
            <w:vAlign w:val="center"/>
            <w:hideMark/>
          </w:tcPr>
          <w:p w:rsidR="003C1F50" w:rsidRPr="006D6380" w:rsidRDefault="003C1F50" w:rsidP="003C1F50">
            <w:pPr>
              <w:jc w:val="right"/>
              <w:rPr>
                <w:b/>
                <w:bCs/>
                <w:color w:val="000000"/>
                <w:sz w:val="18"/>
                <w:szCs w:val="18"/>
              </w:rPr>
            </w:pPr>
            <w:r w:rsidRPr="006D6380">
              <w:rPr>
                <w:b/>
                <w:bCs/>
                <w:color w:val="000000"/>
                <w:sz w:val="18"/>
                <w:szCs w:val="18"/>
              </w:rPr>
              <w:t>31/12/2016</w:t>
            </w:r>
          </w:p>
        </w:tc>
      </w:tr>
      <w:tr w:rsidR="003C1F50" w:rsidRPr="006D6380" w:rsidTr="00B55780">
        <w:trPr>
          <w:trHeight w:val="20"/>
        </w:trPr>
        <w:tc>
          <w:tcPr>
            <w:tcW w:w="2213" w:type="pct"/>
            <w:tcBorders>
              <w:top w:val="nil"/>
              <w:left w:val="nil"/>
              <w:bottom w:val="nil"/>
              <w:right w:val="nil"/>
            </w:tcBorders>
            <w:shd w:val="clear" w:color="000000" w:fill="FFFFFF"/>
            <w:noWrap/>
            <w:vAlign w:val="center"/>
            <w:hideMark/>
          </w:tcPr>
          <w:p w:rsidR="003C1F50" w:rsidRPr="006D6380" w:rsidRDefault="003C1F50" w:rsidP="003C1F50">
            <w:pPr>
              <w:rPr>
                <w:color w:val="000000"/>
                <w:sz w:val="18"/>
                <w:szCs w:val="18"/>
              </w:rPr>
            </w:pPr>
            <w:r w:rsidRPr="006D6380">
              <w:rPr>
                <w:color w:val="000000"/>
                <w:sz w:val="18"/>
                <w:szCs w:val="18"/>
              </w:rPr>
              <w:t>Auxilio Creche</w:t>
            </w:r>
          </w:p>
        </w:tc>
        <w:tc>
          <w:tcPr>
            <w:tcW w:w="1278" w:type="pct"/>
            <w:tcBorders>
              <w:top w:val="nil"/>
              <w:left w:val="nil"/>
              <w:bottom w:val="nil"/>
              <w:right w:val="nil"/>
            </w:tcBorders>
            <w:shd w:val="clear" w:color="000000" w:fill="FFFFFF"/>
            <w:vAlign w:val="center"/>
            <w:hideMark/>
          </w:tcPr>
          <w:p w:rsidR="003C1F50" w:rsidRPr="006D6380" w:rsidRDefault="003C1F50" w:rsidP="003C1F50">
            <w:pPr>
              <w:jc w:val="right"/>
              <w:rPr>
                <w:color w:val="000000"/>
                <w:sz w:val="18"/>
                <w:szCs w:val="18"/>
              </w:rPr>
            </w:pPr>
            <w:r w:rsidRPr="006D6380">
              <w:rPr>
                <w:color w:val="000000"/>
                <w:sz w:val="18"/>
                <w:szCs w:val="18"/>
              </w:rPr>
              <w:t>1.369</w:t>
            </w:r>
          </w:p>
        </w:tc>
        <w:tc>
          <w:tcPr>
            <w:tcW w:w="231" w:type="pct"/>
            <w:tcBorders>
              <w:top w:val="nil"/>
              <w:left w:val="nil"/>
              <w:bottom w:val="nil"/>
              <w:right w:val="nil"/>
            </w:tcBorders>
            <w:shd w:val="clear" w:color="000000" w:fill="FFFFFF"/>
            <w:vAlign w:val="center"/>
            <w:hideMark/>
          </w:tcPr>
          <w:p w:rsidR="003C1F50" w:rsidRPr="006D6380" w:rsidRDefault="003C1F50" w:rsidP="003C1F50">
            <w:pPr>
              <w:rPr>
                <w:color w:val="000000"/>
                <w:sz w:val="18"/>
                <w:szCs w:val="18"/>
              </w:rPr>
            </w:pPr>
            <w:r w:rsidRPr="006D6380">
              <w:rPr>
                <w:color w:val="000000"/>
                <w:sz w:val="18"/>
                <w:szCs w:val="18"/>
              </w:rPr>
              <w:t> </w:t>
            </w:r>
          </w:p>
        </w:tc>
        <w:tc>
          <w:tcPr>
            <w:tcW w:w="1277" w:type="pct"/>
            <w:tcBorders>
              <w:top w:val="nil"/>
              <w:left w:val="nil"/>
              <w:bottom w:val="nil"/>
              <w:right w:val="nil"/>
            </w:tcBorders>
            <w:shd w:val="clear" w:color="000000" w:fill="FFFFFF"/>
            <w:noWrap/>
            <w:vAlign w:val="center"/>
            <w:hideMark/>
          </w:tcPr>
          <w:p w:rsidR="003C1F50" w:rsidRPr="006D6380" w:rsidRDefault="003C1F50" w:rsidP="003C1F50">
            <w:pPr>
              <w:jc w:val="right"/>
              <w:rPr>
                <w:color w:val="000000"/>
                <w:sz w:val="18"/>
                <w:szCs w:val="18"/>
              </w:rPr>
            </w:pPr>
            <w:r w:rsidRPr="006D6380">
              <w:rPr>
                <w:color w:val="000000"/>
                <w:sz w:val="18"/>
                <w:szCs w:val="18"/>
              </w:rPr>
              <w:t>1.260</w:t>
            </w:r>
          </w:p>
        </w:tc>
      </w:tr>
      <w:tr w:rsidR="003C1F50" w:rsidRPr="006D6380" w:rsidTr="00B55780">
        <w:trPr>
          <w:trHeight w:val="20"/>
        </w:trPr>
        <w:tc>
          <w:tcPr>
            <w:tcW w:w="2213" w:type="pct"/>
            <w:tcBorders>
              <w:top w:val="nil"/>
              <w:left w:val="nil"/>
              <w:bottom w:val="nil"/>
              <w:right w:val="nil"/>
            </w:tcBorders>
            <w:shd w:val="clear" w:color="000000" w:fill="FFFFFF"/>
            <w:noWrap/>
            <w:vAlign w:val="center"/>
            <w:hideMark/>
          </w:tcPr>
          <w:p w:rsidR="003C1F50" w:rsidRPr="006D6380" w:rsidRDefault="003C1F50" w:rsidP="003C1F50">
            <w:pPr>
              <w:rPr>
                <w:color w:val="000000"/>
                <w:sz w:val="18"/>
                <w:szCs w:val="18"/>
              </w:rPr>
            </w:pPr>
            <w:r w:rsidRPr="006D6380">
              <w:rPr>
                <w:color w:val="000000"/>
                <w:sz w:val="18"/>
                <w:szCs w:val="18"/>
              </w:rPr>
              <w:t>Auxilio Alimentação</w:t>
            </w:r>
          </w:p>
        </w:tc>
        <w:tc>
          <w:tcPr>
            <w:tcW w:w="1278" w:type="pct"/>
            <w:tcBorders>
              <w:top w:val="nil"/>
              <w:left w:val="nil"/>
              <w:bottom w:val="nil"/>
              <w:right w:val="nil"/>
            </w:tcBorders>
            <w:shd w:val="clear" w:color="000000" w:fill="FFFFFF"/>
            <w:vAlign w:val="center"/>
            <w:hideMark/>
          </w:tcPr>
          <w:p w:rsidR="003C1F50" w:rsidRPr="006D6380" w:rsidRDefault="003C1F50" w:rsidP="003C1F50">
            <w:pPr>
              <w:jc w:val="right"/>
              <w:rPr>
                <w:color w:val="000000"/>
                <w:sz w:val="18"/>
                <w:szCs w:val="18"/>
              </w:rPr>
            </w:pPr>
            <w:r w:rsidRPr="006D6380">
              <w:rPr>
                <w:color w:val="000000"/>
                <w:sz w:val="18"/>
                <w:szCs w:val="18"/>
              </w:rPr>
              <w:t>32.621</w:t>
            </w:r>
          </w:p>
        </w:tc>
        <w:tc>
          <w:tcPr>
            <w:tcW w:w="231" w:type="pct"/>
            <w:tcBorders>
              <w:top w:val="nil"/>
              <w:left w:val="nil"/>
              <w:bottom w:val="nil"/>
              <w:right w:val="nil"/>
            </w:tcBorders>
            <w:shd w:val="clear" w:color="000000" w:fill="FFFFFF"/>
            <w:vAlign w:val="center"/>
            <w:hideMark/>
          </w:tcPr>
          <w:p w:rsidR="003C1F50" w:rsidRPr="006D6380" w:rsidRDefault="003C1F50" w:rsidP="003C1F50">
            <w:pPr>
              <w:rPr>
                <w:color w:val="000000"/>
                <w:sz w:val="18"/>
                <w:szCs w:val="18"/>
              </w:rPr>
            </w:pPr>
            <w:r w:rsidRPr="006D6380">
              <w:rPr>
                <w:color w:val="000000"/>
                <w:sz w:val="18"/>
                <w:szCs w:val="18"/>
              </w:rPr>
              <w:t> </w:t>
            </w:r>
          </w:p>
        </w:tc>
        <w:tc>
          <w:tcPr>
            <w:tcW w:w="1277" w:type="pct"/>
            <w:tcBorders>
              <w:top w:val="nil"/>
              <w:left w:val="nil"/>
              <w:bottom w:val="nil"/>
              <w:right w:val="nil"/>
            </w:tcBorders>
            <w:shd w:val="clear" w:color="000000" w:fill="FFFFFF"/>
            <w:noWrap/>
            <w:vAlign w:val="center"/>
            <w:hideMark/>
          </w:tcPr>
          <w:p w:rsidR="003C1F50" w:rsidRPr="006D6380" w:rsidRDefault="003C1F50" w:rsidP="003C1F50">
            <w:pPr>
              <w:jc w:val="right"/>
              <w:rPr>
                <w:color w:val="000000"/>
                <w:sz w:val="18"/>
                <w:szCs w:val="18"/>
              </w:rPr>
            </w:pPr>
            <w:r w:rsidRPr="006D6380">
              <w:rPr>
                <w:color w:val="000000"/>
                <w:sz w:val="18"/>
                <w:szCs w:val="18"/>
              </w:rPr>
              <w:t>29.701</w:t>
            </w:r>
          </w:p>
        </w:tc>
      </w:tr>
      <w:tr w:rsidR="003C1F50" w:rsidRPr="006D6380" w:rsidTr="00B55780">
        <w:trPr>
          <w:trHeight w:val="20"/>
        </w:trPr>
        <w:tc>
          <w:tcPr>
            <w:tcW w:w="2213" w:type="pct"/>
            <w:tcBorders>
              <w:top w:val="nil"/>
              <w:left w:val="nil"/>
              <w:bottom w:val="nil"/>
              <w:right w:val="nil"/>
            </w:tcBorders>
            <w:shd w:val="clear" w:color="000000" w:fill="FFFFFF"/>
            <w:noWrap/>
            <w:vAlign w:val="center"/>
            <w:hideMark/>
          </w:tcPr>
          <w:p w:rsidR="003C1F50" w:rsidRPr="006D6380" w:rsidRDefault="003C1F50" w:rsidP="003C1F50">
            <w:pPr>
              <w:rPr>
                <w:color w:val="000000"/>
                <w:sz w:val="18"/>
                <w:szCs w:val="18"/>
              </w:rPr>
            </w:pPr>
            <w:r w:rsidRPr="006D6380">
              <w:rPr>
                <w:color w:val="000000"/>
                <w:sz w:val="18"/>
                <w:szCs w:val="18"/>
              </w:rPr>
              <w:t>Vale Transporte</w:t>
            </w:r>
          </w:p>
        </w:tc>
        <w:tc>
          <w:tcPr>
            <w:tcW w:w="1278" w:type="pct"/>
            <w:tcBorders>
              <w:top w:val="nil"/>
              <w:left w:val="nil"/>
              <w:bottom w:val="nil"/>
              <w:right w:val="nil"/>
            </w:tcBorders>
            <w:shd w:val="clear" w:color="000000" w:fill="FFFFFF"/>
            <w:vAlign w:val="center"/>
            <w:hideMark/>
          </w:tcPr>
          <w:p w:rsidR="003C1F50" w:rsidRPr="006D6380" w:rsidRDefault="003C1F50" w:rsidP="003C1F50">
            <w:pPr>
              <w:jc w:val="right"/>
              <w:rPr>
                <w:color w:val="000000"/>
                <w:sz w:val="18"/>
                <w:szCs w:val="18"/>
              </w:rPr>
            </w:pPr>
            <w:r w:rsidRPr="006D6380">
              <w:rPr>
                <w:color w:val="000000"/>
                <w:sz w:val="18"/>
                <w:szCs w:val="18"/>
              </w:rPr>
              <w:t>2.894</w:t>
            </w:r>
          </w:p>
        </w:tc>
        <w:tc>
          <w:tcPr>
            <w:tcW w:w="231" w:type="pct"/>
            <w:tcBorders>
              <w:top w:val="nil"/>
              <w:left w:val="nil"/>
              <w:bottom w:val="nil"/>
              <w:right w:val="nil"/>
            </w:tcBorders>
            <w:shd w:val="clear" w:color="000000" w:fill="FFFFFF"/>
            <w:vAlign w:val="center"/>
            <w:hideMark/>
          </w:tcPr>
          <w:p w:rsidR="003C1F50" w:rsidRPr="006D6380" w:rsidRDefault="003C1F50" w:rsidP="003C1F50">
            <w:pPr>
              <w:rPr>
                <w:color w:val="000000"/>
                <w:sz w:val="18"/>
                <w:szCs w:val="18"/>
              </w:rPr>
            </w:pPr>
            <w:r w:rsidRPr="006D6380">
              <w:rPr>
                <w:color w:val="000000"/>
                <w:sz w:val="18"/>
                <w:szCs w:val="18"/>
              </w:rPr>
              <w:t> </w:t>
            </w:r>
          </w:p>
        </w:tc>
        <w:tc>
          <w:tcPr>
            <w:tcW w:w="1277" w:type="pct"/>
            <w:tcBorders>
              <w:top w:val="nil"/>
              <w:left w:val="nil"/>
              <w:bottom w:val="nil"/>
              <w:right w:val="nil"/>
            </w:tcBorders>
            <w:shd w:val="clear" w:color="000000" w:fill="FFFFFF"/>
            <w:noWrap/>
            <w:vAlign w:val="center"/>
            <w:hideMark/>
          </w:tcPr>
          <w:p w:rsidR="003C1F50" w:rsidRPr="006D6380" w:rsidRDefault="003C1F50" w:rsidP="003C1F50">
            <w:pPr>
              <w:jc w:val="right"/>
              <w:rPr>
                <w:color w:val="000000"/>
                <w:sz w:val="18"/>
                <w:szCs w:val="18"/>
              </w:rPr>
            </w:pPr>
            <w:r w:rsidRPr="006D6380">
              <w:rPr>
                <w:color w:val="000000"/>
                <w:sz w:val="18"/>
                <w:szCs w:val="18"/>
              </w:rPr>
              <w:t>2.734</w:t>
            </w:r>
          </w:p>
        </w:tc>
      </w:tr>
      <w:tr w:rsidR="00B02271" w:rsidRPr="006D6380" w:rsidTr="003E7C18">
        <w:trPr>
          <w:trHeight w:val="20"/>
        </w:trPr>
        <w:tc>
          <w:tcPr>
            <w:tcW w:w="2213" w:type="pct"/>
            <w:tcBorders>
              <w:top w:val="nil"/>
              <w:left w:val="nil"/>
              <w:bottom w:val="nil"/>
              <w:right w:val="nil"/>
            </w:tcBorders>
            <w:shd w:val="clear" w:color="000000" w:fill="FFFFFF"/>
            <w:noWrap/>
            <w:vAlign w:val="center"/>
            <w:hideMark/>
          </w:tcPr>
          <w:p w:rsidR="003C1F50" w:rsidRPr="006D6380" w:rsidRDefault="003C1F50" w:rsidP="003C1F50">
            <w:pPr>
              <w:rPr>
                <w:sz w:val="18"/>
                <w:szCs w:val="18"/>
              </w:rPr>
            </w:pPr>
            <w:r w:rsidRPr="006D6380">
              <w:rPr>
                <w:sz w:val="18"/>
                <w:szCs w:val="18"/>
              </w:rPr>
              <w:t>Assistência Médica</w:t>
            </w:r>
          </w:p>
        </w:tc>
        <w:tc>
          <w:tcPr>
            <w:tcW w:w="1278" w:type="pct"/>
            <w:tcBorders>
              <w:top w:val="nil"/>
              <w:left w:val="nil"/>
              <w:right w:val="nil"/>
            </w:tcBorders>
            <w:shd w:val="clear" w:color="000000" w:fill="FFFFFF"/>
            <w:vAlign w:val="center"/>
            <w:hideMark/>
          </w:tcPr>
          <w:p w:rsidR="003C1F50" w:rsidRPr="006D6380" w:rsidRDefault="005A018C" w:rsidP="003C1F50">
            <w:pPr>
              <w:jc w:val="right"/>
              <w:rPr>
                <w:sz w:val="18"/>
                <w:szCs w:val="18"/>
              </w:rPr>
            </w:pPr>
            <w:r w:rsidRPr="006D6380">
              <w:rPr>
                <w:sz w:val="18"/>
                <w:szCs w:val="18"/>
              </w:rPr>
              <w:t>13.535</w:t>
            </w:r>
          </w:p>
        </w:tc>
        <w:tc>
          <w:tcPr>
            <w:tcW w:w="231" w:type="pct"/>
            <w:tcBorders>
              <w:top w:val="nil"/>
              <w:left w:val="nil"/>
              <w:bottom w:val="nil"/>
              <w:right w:val="nil"/>
            </w:tcBorders>
            <w:shd w:val="clear" w:color="000000" w:fill="FFFFFF"/>
            <w:vAlign w:val="center"/>
            <w:hideMark/>
          </w:tcPr>
          <w:p w:rsidR="003C1F50" w:rsidRPr="006D6380" w:rsidRDefault="003C1F50" w:rsidP="003C1F50">
            <w:pPr>
              <w:rPr>
                <w:sz w:val="18"/>
                <w:szCs w:val="18"/>
              </w:rPr>
            </w:pPr>
            <w:r w:rsidRPr="006D6380">
              <w:rPr>
                <w:sz w:val="18"/>
                <w:szCs w:val="18"/>
              </w:rPr>
              <w:t> </w:t>
            </w:r>
          </w:p>
        </w:tc>
        <w:tc>
          <w:tcPr>
            <w:tcW w:w="1277" w:type="pct"/>
            <w:tcBorders>
              <w:top w:val="nil"/>
              <w:left w:val="nil"/>
              <w:right w:val="nil"/>
            </w:tcBorders>
            <w:shd w:val="clear" w:color="000000" w:fill="FFFFFF"/>
            <w:noWrap/>
            <w:vAlign w:val="center"/>
            <w:hideMark/>
          </w:tcPr>
          <w:p w:rsidR="003C1F50" w:rsidRPr="006D6380" w:rsidRDefault="003C1F50" w:rsidP="003C1F50">
            <w:pPr>
              <w:jc w:val="right"/>
              <w:rPr>
                <w:sz w:val="18"/>
                <w:szCs w:val="18"/>
              </w:rPr>
            </w:pPr>
            <w:r w:rsidRPr="006D6380">
              <w:rPr>
                <w:sz w:val="18"/>
                <w:szCs w:val="18"/>
              </w:rPr>
              <w:t>10.338</w:t>
            </w:r>
          </w:p>
        </w:tc>
      </w:tr>
      <w:tr w:rsidR="003C1F50" w:rsidRPr="006D6380" w:rsidTr="003E7C18">
        <w:trPr>
          <w:trHeight w:val="20"/>
        </w:trPr>
        <w:tc>
          <w:tcPr>
            <w:tcW w:w="2213" w:type="pct"/>
            <w:tcBorders>
              <w:top w:val="nil"/>
              <w:left w:val="nil"/>
              <w:bottom w:val="nil"/>
              <w:right w:val="nil"/>
            </w:tcBorders>
            <w:shd w:val="clear" w:color="000000" w:fill="FFFFFF"/>
            <w:noWrap/>
            <w:vAlign w:val="center"/>
            <w:hideMark/>
          </w:tcPr>
          <w:p w:rsidR="003C1F50" w:rsidRPr="006D6380" w:rsidRDefault="003C1F50" w:rsidP="003C1F50">
            <w:pPr>
              <w:rPr>
                <w:color w:val="000000"/>
                <w:sz w:val="18"/>
                <w:szCs w:val="18"/>
              </w:rPr>
            </w:pPr>
            <w:r w:rsidRPr="006D6380">
              <w:rPr>
                <w:color w:val="000000"/>
                <w:sz w:val="18"/>
                <w:szCs w:val="18"/>
              </w:rPr>
              <w:t>Previdência Privada</w:t>
            </w:r>
          </w:p>
        </w:tc>
        <w:tc>
          <w:tcPr>
            <w:tcW w:w="1278" w:type="pct"/>
            <w:tcBorders>
              <w:top w:val="nil"/>
              <w:left w:val="nil"/>
              <w:bottom w:val="single" w:sz="4" w:space="0" w:color="auto"/>
              <w:right w:val="nil"/>
            </w:tcBorders>
            <w:shd w:val="clear" w:color="000000" w:fill="FFFFFF"/>
            <w:vAlign w:val="center"/>
            <w:hideMark/>
          </w:tcPr>
          <w:p w:rsidR="003C1F50" w:rsidRPr="006D6380" w:rsidRDefault="005A018C" w:rsidP="00166DA5">
            <w:pPr>
              <w:jc w:val="right"/>
              <w:rPr>
                <w:color w:val="000000"/>
                <w:sz w:val="18"/>
                <w:szCs w:val="18"/>
              </w:rPr>
            </w:pPr>
            <w:r w:rsidRPr="006D6380">
              <w:rPr>
                <w:color w:val="000000"/>
                <w:sz w:val="18"/>
                <w:szCs w:val="18"/>
              </w:rPr>
              <w:t>26.</w:t>
            </w:r>
            <w:r w:rsidR="00166DA5">
              <w:rPr>
                <w:color w:val="000000"/>
                <w:sz w:val="18"/>
                <w:szCs w:val="18"/>
              </w:rPr>
              <w:t>514</w:t>
            </w:r>
          </w:p>
        </w:tc>
        <w:tc>
          <w:tcPr>
            <w:tcW w:w="231" w:type="pct"/>
            <w:tcBorders>
              <w:top w:val="nil"/>
              <w:left w:val="nil"/>
              <w:bottom w:val="nil"/>
              <w:right w:val="nil"/>
            </w:tcBorders>
            <w:shd w:val="clear" w:color="000000" w:fill="FFFFFF"/>
            <w:vAlign w:val="center"/>
            <w:hideMark/>
          </w:tcPr>
          <w:p w:rsidR="003C1F50" w:rsidRPr="006D6380" w:rsidRDefault="003C1F50" w:rsidP="003C1F50">
            <w:pPr>
              <w:rPr>
                <w:color w:val="000000"/>
                <w:sz w:val="18"/>
                <w:szCs w:val="18"/>
              </w:rPr>
            </w:pPr>
            <w:r w:rsidRPr="006D6380">
              <w:rPr>
                <w:color w:val="000000"/>
                <w:sz w:val="18"/>
                <w:szCs w:val="18"/>
              </w:rPr>
              <w:t> </w:t>
            </w:r>
          </w:p>
        </w:tc>
        <w:tc>
          <w:tcPr>
            <w:tcW w:w="1277" w:type="pct"/>
            <w:tcBorders>
              <w:top w:val="nil"/>
              <w:left w:val="nil"/>
              <w:bottom w:val="single" w:sz="4" w:space="0" w:color="auto"/>
              <w:right w:val="nil"/>
            </w:tcBorders>
            <w:shd w:val="clear" w:color="000000" w:fill="FFFFFF"/>
            <w:noWrap/>
            <w:vAlign w:val="center"/>
            <w:hideMark/>
          </w:tcPr>
          <w:p w:rsidR="003C1F50" w:rsidRPr="006D6380" w:rsidRDefault="003C1F50" w:rsidP="003C1F50">
            <w:pPr>
              <w:jc w:val="right"/>
              <w:rPr>
                <w:color w:val="000000"/>
                <w:sz w:val="18"/>
                <w:szCs w:val="18"/>
              </w:rPr>
            </w:pPr>
            <w:r w:rsidRPr="006D6380">
              <w:rPr>
                <w:color w:val="000000"/>
                <w:sz w:val="18"/>
                <w:szCs w:val="18"/>
              </w:rPr>
              <w:t>25.118</w:t>
            </w:r>
          </w:p>
        </w:tc>
      </w:tr>
      <w:tr w:rsidR="003C1F50" w:rsidRPr="006D6380" w:rsidTr="003E7C18">
        <w:trPr>
          <w:trHeight w:val="20"/>
        </w:trPr>
        <w:tc>
          <w:tcPr>
            <w:tcW w:w="2213" w:type="pct"/>
            <w:tcBorders>
              <w:top w:val="nil"/>
              <w:left w:val="nil"/>
              <w:bottom w:val="nil"/>
              <w:right w:val="nil"/>
            </w:tcBorders>
            <w:shd w:val="clear" w:color="000000" w:fill="FFFFFF"/>
            <w:noWrap/>
            <w:vAlign w:val="center"/>
            <w:hideMark/>
          </w:tcPr>
          <w:p w:rsidR="003C1F50" w:rsidRPr="006D6380" w:rsidRDefault="003C1F50" w:rsidP="003C1F50">
            <w:pPr>
              <w:rPr>
                <w:b/>
                <w:bCs/>
                <w:color w:val="000000"/>
                <w:sz w:val="18"/>
                <w:szCs w:val="18"/>
              </w:rPr>
            </w:pPr>
            <w:r w:rsidRPr="006D6380">
              <w:rPr>
                <w:b/>
                <w:bCs/>
                <w:color w:val="000000"/>
                <w:sz w:val="18"/>
                <w:szCs w:val="18"/>
              </w:rPr>
              <w:t xml:space="preserve"> Saldo Contábil</w:t>
            </w:r>
          </w:p>
        </w:tc>
        <w:tc>
          <w:tcPr>
            <w:tcW w:w="1278" w:type="pct"/>
            <w:tcBorders>
              <w:top w:val="single" w:sz="4" w:space="0" w:color="auto"/>
              <w:left w:val="nil"/>
              <w:bottom w:val="double" w:sz="6" w:space="0" w:color="auto"/>
              <w:right w:val="nil"/>
            </w:tcBorders>
            <w:shd w:val="clear" w:color="000000" w:fill="FFFFFF"/>
            <w:noWrap/>
            <w:vAlign w:val="center"/>
            <w:hideMark/>
          </w:tcPr>
          <w:p w:rsidR="003C1F50" w:rsidRPr="006D6380" w:rsidRDefault="005A018C" w:rsidP="00166DA5">
            <w:pPr>
              <w:jc w:val="right"/>
              <w:rPr>
                <w:b/>
                <w:bCs/>
                <w:color w:val="000000"/>
                <w:sz w:val="18"/>
                <w:szCs w:val="18"/>
              </w:rPr>
            </w:pPr>
            <w:r w:rsidRPr="006D6380">
              <w:rPr>
                <w:b/>
                <w:bCs/>
                <w:color w:val="000000"/>
                <w:sz w:val="18"/>
                <w:szCs w:val="18"/>
              </w:rPr>
              <w:t>76.93</w:t>
            </w:r>
            <w:r w:rsidR="00166DA5">
              <w:rPr>
                <w:b/>
                <w:bCs/>
                <w:color w:val="000000"/>
                <w:sz w:val="18"/>
                <w:szCs w:val="18"/>
              </w:rPr>
              <w:t>3</w:t>
            </w:r>
          </w:p>
        </w:tc>
        <w:tc>
          <w:tcPr>
            <w:tcW w:w="231" w:type="pct"/>
            <w:tcBorders>
              <w:top w:val="nil"/>
              <w:left w:val="nil"/>
              <w:bottom w:val="nil"/>
              <w:right w:val="nil"/>
            </w:tcBorders>
            <w:shd w:val="clear" w:color="000000" w:fill="FFFFFF"/>
            <w:vAlign w:val="center"/>
            <w:hideMark/>
          </w:tcPr>
          <w:p w:rsidR="003C1F50" w:rsidRPr="006D6380" w:rsidRDefault="003C1F50" w:rsidP="003C1F50">
            <w:pPr>
              <w:rPr>
                <w:b/>
                <w:bCs/>
                <w:color w:val="000000"/>
                <w:sz w:val="18"/>
                <w:szCs w:val="18"/>
              </w:rPr>
            </w:pPr>
            <w:r w:rsidRPr="006D6380">
              <w:rPr>
                <w:b/>
                <w:bCs/>
                <w:color w:val="000000"/>
                <w:sz w:val="18"/>
                <w:szCs w:val="18"/>
              </w:rPr>
              <w:t> </w:t>
            </w:r>
          </w:p>
        </w:tc>
        <w:tc>
          <w:tcPr>
            <w:tcW w:w="1277" w:type="pct"/>
            <w:tcBorders>
              <w:top w:val="single" w:sz="4" w:space="0" w:color="auto"/>
              <w:left w:val="nil"/>
              <w:bottom w:val="double" w:sz="6" w:space="0" w:color="auto"/>
              <w:right w:val="nil"/>
            </w:tcBorders>
            <w:shd w:val="clear" w:color="000000" w:fill="FFFFFF"/>
            <w:noWrap/>
            <w:vAlign w:val="center"/>
            <w:hideMark/>
          </w:tcPr>
          <w:p w:rsidR="003C1F50" w:rsidRPr="006D6380" w:rsidRDefault="003C1F50" w:rsidP="003C1F50">
            <w:pPr>
              <w:jc w:val="right"/>
              <w:rPr>
                <w:b/>
                <w:bCs/>
                <w:color w:val="000000"/>
                <w:sz w:val="18"/>
                <w:szCs w:val="18"/>
              </w:rPr>
            </w:pPr>
            <w:r w:rsidRPr="006D6380">
              <w:rPr>
                <w:b/>
                <w:bCs/>
                <w:color w:val="000000"/>
                <w:sz w:val="18"/>
                <w:szCs w:val="18"/>
              </w:rPr>
              <w:t>69.151</w:t>
            </w:r>
          </w:p>
        </w:tc>
      </w:tr>
    </w:tbl>
    <w:p w:rsidR="00CB1745" w:rsidRPr="00FD7B48" w:rsidRDefault="00CB1745" w:rsidP="00CB1745">
      <w:pPr>
        <w:tabs>
          <w:tab w:val="left" w:pos="993"/>
        </w:tabs>
        <w:jc w:val="both"/>
        <w:rPr>
          <w:b/>
        </w:rPr>
      </w:pPr>
    </w:p>
    <w:p w:rsidR="00B20F98" w:rsidRPr="00FD7B48" w:rsidRDefault="00B20F98" w:rsidP="00B20F98">
      <w:pPr>
        <w:ind w:left="-100"/>
        <w:jc w:val="both"/>
        <w:rPr>
          <w:b/>
          <w:u w:val="single"/>
        </w:rPr>
      </w:pPr>
      <w:r w:rsidRPr="00FD7B48">
        <w:lastRenderedPageBreak/>
        <w:t>Representa os benefícios a empregados, que são reconhecidos no resultado do período em que ocorre a prestação do serviço do empregado. Como benefício pós-emprego a Instituição oferece plano de</w:t>
      </w:r>
      <w:r w:rsidR="00CB1745" w:rsidRPr="00FD7B48">
        <w:t xml:space="preserve"> previdência privada de</w:t>
      </w:r>
      <w:r w:rsidRPr="00FD7B48">
        <w:t xml:space="preserve"> aposentadoria complementar</w:t>
      </w:r>
      <w:r w:rsidR="00CB1745" w:rsidRPr="00FD7B48">
        <w:t xml:space="preserve">. </w:t>
      </w:r>
    </w:p>
    <w:p w:rsidR="0087569F" w:rsidRDefault="0087569F">
      <w:pPr>
        <w:rPr>
          <w:b/>
          <w:u w:val="single"/>
        </w:rPr>
      </w:pPr>
    </w:p>
    <w:p w:rsidR="00043C55" w:rsidRPr="00FD7B48" w:rsidRDefault="00043C55">
      <w:pPr>
        <w:rPr>
          <w:b/>
          <w:u w:val="single"/>
        </w:rPr>
      </w:pPr>
    </w:p>
    <w:p w:rsidR="00B20F98" w:rsidRPr="00C02E52" w:rsidRDefault="004C7317" w:rsidP="00F27C83">
      <w:pPr>
        <w:pStyle w:val="Ttulo"/>
        <w:outlineLvl w:val="0"/>
      </w:pPr>
      <w:bookmarkStart w:id="64" w:name="_Ref466466681"/>
      <w:bookmarkStart w:id="65" w:name="_Toc512497286"/>
      <w:r w:rsidRPr="00C02E52">
        <w:t>Outras Receitas e Despesas</w:t>
      </w:r>
      <w:bookmarkEnd w:id="64"/>
      <w:bookmarkEnd w:id="65"/>
      <w:r w:rsidRPr="00C02E52">
        <w:t xml:space="preserve"> </w:t>
      </w:r>
    </w:p>
    <w:tbl>
      <w:tblPr>
        <w:tblW w:w="4962" w:type="pct"/>
        <w:tblCellMar>
          <w:left w:w="70" w:type="dxa"/>
          <w:right w:w="70" w:type="dxa"/>
        </w:tblCellMar>
        <w:tblLook w:val="04A0" w:firstRow="1" w:lastRow="0" w:firstColumn="1" w:lastColumn="0" w:noHBand="0" w:noVBand="1"/>
      </w:tblPr>
      <w:tblGrid>
        <w:gridCol w:w="4037"/>
        <w:gridCol w:w="2410"/>
        <w:gridCol w:w="426"/>
        <w:gridCol w:w="2269"/>
      </w:tblGrid>
      <w:tr w:rsidR="00C02E52"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FF0000"/>
                <w:sz w:val="18"/>
                <w:szCs w:val="18"/>
              </w:rPr>
            </w:pPr>
            <w:r w:rsidRPr="00B02271">
              <w:rPr>
                <w:color w:val="FF0000"/>
                <w:sz w:val="18"/>
                <w:szCs w:val="18"/>
              </w:rPr>
              <w:t> </w:t>
            </w:r>
          </w:p>
        </w:tc>
        <w:tc>
          <w:tcPr>
            <w:tcW w:w="1318" w:type="pct"/>
            <w:tcBorders>
              <w:top w:val="nil"/>
              <w:left w:val="nil"/>
              <w:bottom w:val="single" w:sz="8" w:space="0" w:color="auto"/>
              <w:right w:val="nil"/>
            </w:tcBorders>
            <w:shd w:val="clear" w:color="auto" w:fill="auto"/>
            <w:vAlign w:val="center"/>
            <w:hideMark/>
          </w:tcPr>
          <w:p w:rsidR="003C1F50" w:rsidRPr="00B02271" w:rsidRDefault="003C1F50" w:rsidP="003C1F50">
            <w:pPr>
              <w:jc w:val="right"/>
              <w:rPr>
                <w:b/>
                <w:bCs/>
                <w:sz w:val="18"/>
                <w:szCs w:val="18"/>
              </w:rPr>
            </w:pPr>
            <w:r w:rsidRPr="00B02271">
              <w:rPr>
                <w:b/>
                <w:bCs/>
                <w:sz w:val="18"/>
                <w:szCs w:val="18"/>
              </w:rPr>
              <w:t>31/12/2017</w:t>
            </w:r>
          </w:p>
        </w:tc>
        <w:tc>
          <w:tcPr>
            <w:tcW w:w="233" w:type="pct"/>
            <w:tcBorders>
              <w:top w:val="nil"/>
              <w:left w:val="nil"/>
              <w:bottom w:val="nil"/>
              <w:right w:val="nil"/>
            </w:tcBorders>
            <w:shd w:val="clear" w:color="auto" w:fill="auto"/>
            <w:vAlign w:val="center"/>
            <w:hideMark/>
          </w:tcPr>
          <w:p w:rsidR="003C1F50" w:rsidRPr="00B02271" w:rsidRDefault="003C1F50" w:rsidP="003C1F50">
            <w:pPr>
              <w:rPr>
                <w:b/>
                <w:bCs/>
                <w:sz w:val="18"/>
                <w:szCs w:val="18"/>
              </w:rPr>
            </w:pPr>
          </w:p>
        </w:tc>
        <w:tc>
          <w:tcPr>
            <w:tcW w:w="1241" w:type="pct"/>
            <w:tcBorders>
              <w:top w:val="nil"/>
              <w:left w:val="nil"/>
              <w:bottom w:val="single" w:sz="8" w:space="0" w:color="auto"/>
              <w:right w:val="nil"/>
            </w:tcBorders>
            <w:shd w:val="clear" w:color="auto" w:fill="auto"/>
            <w:vAlign w:val="center"/>
            <w:hideMark/>
          </w:tcPr>
          <w:p w:rsidR="003C1F50" w:rsidRPr="00B02271" w:rsidRDefault="003C1F50" w:rsidP="003C1F50">
            <w:pPr>
              <w:jc w:val="right"/>
              <w:rPr>
                <w:b/>
                <w:bCs/>
                <w:sz w:val="18"/>
                <w:szCs w:val="18"/>
              </w:rPr>
            </w:pPr>
            <w:r w:rsidRPr="00B02271">
              <w:rPr>
                <w:b/>
                <w:bCs/>
                <w:sz w:val="18"/>
                <w:szCs w:val="18"/>
              </w:rPr>
              <w:t>31/12/2016</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Outras Receitas</w:t>
            </w:r>
          </w:p>
        </w:tc>
        <w:tc>
          <w:tcPr>
            <w:tcW w:w="1318"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c>
          <w:tcPr>
            <w:tcW w:w="233"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w:t>
            </w:r>
          </w:p>
        </w:tc>
        <w:tc>
          <w:tcPr>
            <w:tcW w:w="1241"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xml:space="preserve">   Alugueis</w:t>
            </w:r>
          </w:p>
        </w:tc>
        <w:tc>
          <w:tcPr>
            <w:tcW w:w="1318"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4.083</w:t>
            </w:r>
          </w:p>
        </w:tc>
        <w:tc>
          <w:tcPr>
            <w:tcW w:w="233"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c>
          <w:tcPr>
            <w:tcW w:w="1241"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3.670</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xml:space="preserve">   Receitas de Leilões </w:t>
            </w:r>
          </w:p>
        </w:tc>
        <w:tc>
          <w:tcPr>
            <w:tcW w:w="1318" w:type="pct"/>
            <w:tcBorders>
              <w:top w:val="nil"/>
              <w:left w:val="nil"/>
              <w:bottom w:val="nil"/>
              <w:right w:val="nil"/>
            </w:tcBorders>
            <w:shd w:val="clear" w:color="auto" w:fill="auto"/>
            <w:vAlign w:val="center"/>
            <w:hideMark/>
          </w:tcPr>
          <w:p w:rsidR="003C1F50" w:rsidRPr="00B02271" w:rsidRDefault="003C1F50" w:rsidP="003C1F50">
            <w:pPr>
              <w:jc w:val="right"/>
              <w:rPr>
                <w:color w:val="000000"/>
                <w:sz w:val="18"/>
                <w:szCs w:val="18"/>
              </w:rPr>
            </w:pPr>
            <w:r w:rsidRPr="00B02271">
              <w:rPr>
                <w:color w:val="000000"/>
                <w:sz w:val="18"/>
                <w:szCs w:val="18"/>
              </w:rPr>
              <w:t>76</w:t>
            </w:r>
          </w:p>
        </w:tc>
        <w:tc>
          <w:tcPr>
            <w:tcW w:w="233"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c>
          <w:tcPr>
            <w:tcW w:w="1241"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48</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xml:space="preserve">   Indenizações e Restituições</w:t>
            </w:r>
            <w:r w:rsidR="001D562F" w:rsidRPr="00B02271">
              <w:rPr>
                <w:color w:val="000000"/>
                <w:sz w:val="18"/>
                <w:szCs w:val="18"/>
              </w:rPr>
              <w:t xml:space="preserve"> (</w:t>
            </w:r>
            <w:r w:rsidR="00EC2D4A" w:rsidRPr="00B02271">
              <w:rPr>
                <w:color w:val="000000"/>
                <w:sz w:val="18"/>
                <w:szCs w:val="18"/>
              </w:rPr>
              <w:t>Previd</w:t>
            </w:r>
            <w:r w:rsidR="001D562F" w:rsidRPr="00B02271">
              <w:rPr>
                <w:color w:val="000000"/>
                <w:sz w:val="18"/>
                <w:szCs w:val="18"/>
              </w:rPr>
              <w:t>ência)</w:t>
            </w:r>
          </w:p>
        </w:tc>
        <w:tc>
          <w:tcPr>
            <w:tcW w:w="1318" w:type="pct"/>
            <w:tcBorders>
              <w:top w:val="nil"/>
              <w:left w:val="nil"/>
              <w:bottom w:val="nil"/>
              <w:right w:val="nil"/>
            </w:tcBorders>
            <w:shd w:val="clear" w:color="000000" w:fill="FFFFFF"/>
            <w:vAlign w:val="center"/>
            <w:hideMark/>
          </w:tcPr>
          <w:p w:rsidR="003C1F50" w:rsidRPr="00B02271" w:rsidRDefault="003C1F50" w:rsidP="00C02E52">
            <w:pPr>
              <w:jc w:val="right"/>
              <w:rPr>
                <w:color w:val="000000"/>
                <w:sz w:val="18"/>
                <w:szCs w:val="18"/>
              </w:rPr>
            </w:pPr>
            <w:r w:rsidRPr="00B02271">
              <w:rPr>
                <w:color w:val="000000"/>
                <w:sz w:val="18"/>
                <w:szCs w:val="18"/>
              </w:rPr>
              <w:t xml:space="preserve">                      13.</w:t>
            </w:r>
            <w:r w:rsidR="00C02E52" w:rsidRPr="00B02271">
              <w:rPr>
                <w:color w:val="000000"/>
                <w:sz w:val="18"/>
                <w:szCs w:val="18"/>
              </w:rPr>
              <w:t>868</w:t>
            </w:r>
            <w:r w:rsidRPr="00B02271">
              <w:rPr>
                <w:color w:val="000000"/>
                <w:sz w:val="18"/>
                <w:szCs w:val="18"/>
              </w:rPr>
              <w:t xml:space="preserve"> </w:t>
            </w:r>
          </w:p>
        </w:tc>
        <w:tc>
          <w:tcPr>
            <w:tcW w:w="233"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c>
          <w:tcPr>
            <w:tcW w:w="1241"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9.899</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xml:space="preserve">   Reversão de PCLD</w:t>
            </w:r>
          </w:p>
        </w:tc>
        <w:tc>
          <w:tcPr>
            <w:tcW w:w="1318"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xml:space="preserve">                        1.347 </w:t>
            </w:r>
          </w:p>
        </w:tc>
        <w:tc>
          <w:tcPr>
            <w:tcW w:w="233"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c>
          <w:tcPr>
            <w:tcW w:w="1241"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736</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xml:space="preserve">  </w:t>
            </w:r>
            <w:r w:rsidR="00361585" w:rsidRPr="00B02271">
              <w:rPr>
                <w:color w:val="000000"/>
                <w:sz w:val="18"/>
                <w:szCs w:val="18"/>
              </w:rPr>
              <w:t xml:space="preserve"> </w:t>
            </w:r>
            <w:r w:rsidRPr="00B02271">
              <w:rPr>
                <w:color w:val="000000"/>
                <w:sz w:val="18"/>
                <w:szCs w:val="18"/>
              </w:rPr>
              <w:t>Reversão Receita Diferida</w:t>
            </w:r>
            <w:r w:rsidR="008C1ABD" w:rsidRPr="00B02271">
              <w:rPr>
                <w:color w:val="000000"/>
                <w:sz w:val="18"/>
                <w:szCs w:val="18"/>
              </w:rPr>
              <w:t xml:space="preserve"> (AFAC)</w:t>
            </w:r>
          </w:p>
        </w:tc>
        <w:tc>
          <w:tcPr>
            <w:tcW w:w="1318"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xml:space="preserve">                      14.626 </w:t>
            </w:r>
          </w:p>
        </w:tc>
        <w:tc>
          <w:tcPr>
            <w:tcW w:w="233"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c>
          <w:tcPr>
            <w:tcW w:w="1241"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xml:space="preserve">   Doações de Estoque e Uso Permanente</w:t>
            </w:r>
          </w:p>
        </w:tc>
        <w:tc>
          <w:tcPr>
            <w:tcW w:w="1318" w:type="pct"/>
            <w:tcBorders>
              <w:top w:val="nil"/>
              <w:left w:val="nil"/>
              <w:bottom w:val="nil"/>
              <w:right w:val="nil"/>
            </w:tcBorders>
            <w:shd w:val="clear" w:color="000000" w:fill="FFFFFF"/>
            <w:vAlign w:val="center"/>
            <w:hideMark/>
          </w:tcPr>
          <w:p w:rsidR="003C1F50" w:rsidRPr="00B02271" w:rsidRDefault="003C1F50" w:rsidP="00C02E52">
            <w:pPr>
              <w:jc w:val="right"/>
              <w:rPr>
                <w:color w:val="000000"/>
                <w:sz w:val="18"/>
                <w:szCs w:val="18"/>
              </w:rPr>
            </w:pPr>
            <w:r w:rsidRPr="00B02271">
              <w:rPr>
                <w:color w:val="000000"/>
                <w:sz w:val="18"/>
                <w:szCs w:val="18"/>
              </w:rPr>
              <w:t>6.</w:t>
            </w:r>
            <w:r w:rsidR="00C02E52" w:rsidRPr="00B02271">
              <w:rPr>
                <w:color w:val="000000"/>
                <w:sz w:val="18"/>
                <w:szCs w:val="18"/>
              </w:rPr>
              <w:t>491</w:t>
            </w:r>
          </w:p>
        </w:tc>
        <w:tc>
          <w:tcPr>
            <w:tcW w:w="233"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c>
          <w:tcPr>
            <w:tcW w:w="1241"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6.573</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w:t>
            </w:r>
          </w:p>
        </w:tc>
        <w:tc>
          <w:tcPr>
            <w:tcW w:w="1318" w:type="pct"/>
            <w:tcBorders>
              <w:top w:val="single" w:sz="8" w:space="0" w:color="auto"/>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c>
          <w:tcPr>
            <w:tcW w:w="233"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w:t>
            </w:r>
          </w:p>
        </w:tc>
        <w:tc>
          <w:tcPr>
            <w:tcW w:w="1241" w:type="pct"/>
            <w:tcBorders>
              <w:top w:val="single" w:sz="8" w:space="0" w:color="auto"/>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Total de Outras Receitas</w:t>
            </w:r>
          </w:p>
        </w:tc>
        <w:tc>
          <w:tcPr>
            <w:tcW w:w="1318" w:type="pct"/>
            <w:tcBorders>
              <w:top w:val="nil"/>
              <w:left w:val="nil"/>
              <w:bottom w:val="single" w:sz="8" w:space="0" w:color="auto"/>
              <w:right w:val="nil"/>
            </w:tcBorders>
            <w:shd w:val="clear" w:color="000000" w:fill="FFFFFF"/>
            <w:vAlign w:val="center"/>
            <w:hideMark/>
          </w:tcPr>
          <w:p w:rsidR="003C1F50" w:rsidRPr="00B02271" w:rsidRDefault="003C1F50" w:rsidP="00C02E52">
            <w:pPr>
              <w:jc w:val="right"/>
              <w:rPr>
                <w:b/>
                <w:bCs/>
                <w:color w:val="000000"/>
                <w:sz w:val="18"/>
                <w:szCs w:val="18"/>
              </w:rPr>
            </w:pPr>
            <w:r w:rsidRPr="00B02271">
              <w:rPr>
                <w:b/>
                <w:bCs/>
                <w:color w:val="000000"/>
                <w:sz w:val="18"/>
                <w:szCs w:val="18"/>
              </w:rPr>
              <w:t>40.</w:t>
            </w:r>
            <w:r w:rsidR="00C02E52" w:rsidRPr="00B02271">
              <w:rPr>
                <w:b/>
                <w:bCs/>
                <w:color w:val="000000"/>
                <w:sz w:val="18"/>
                <w:szCs w:val="18"/>
              </w:rPr>
              <w:t>491</w:t>
            </w:r>
          </w:p>
        </w:tc>
        <w:tc>
          <w:tcPr>
            <w:tcW w:w="233"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w:t>
            </w:r>
          </w:p>
        </w:tc>
        <w:tc>
          <w:tcPr>
            <w:tcW w:w="1241" w:type="pct"/>
            <w:tcBorders>
              <w:top w:val="nil"/>
              <w:left w:val="nil"/>
              <w:bottom w:val="single" w:sz="8" w:space="0" w:color="auto"/>
              <w:right w:val="nil"/>
            </w:tcBorders>
            <w:shd w:val="clear" w:color="000000" w:fill="FFFFFF"/>
            <w:vAlign w:val="center"/>
            <w:hideMark/>
          </w:tcPr>
          <w:p w:rsidR="003C1F50" w:rsidRPr="00B02271" w:rsidRDefault="003C1F50" w:rsidP="003C1F50">
            <w:pPr>
              <w:jc w:val="right"/>
              <w:rPr>
                <w:b/>
                <w:bCs/>
                <w:color w:val="000000"/>
                <w:sz w:val="18"/>
                <w:szCs w:val="18"/>
              </w:rPr>
            </w:pPr>
            <w:r w:rsidRPr="00B02271">
              <w:rPr>
                <w:b/>
                <w:bCs/>
                <w:color w:val="000000"/>
                <w:sz w:val="18"/>
                <w:szCs w:val="18"/>
              </w:rPr>
              <w:t>20.926</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w:t>
            </w:r>
          </w:p>
        </w:tc>
        <w:tc>
          <w:tcPr>
            <w:tcW w:w="1318"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c>
          <w:tcPr>
            <w:tcW w:w="233"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w:t>
            </w:r>
          </w:p>
        </w:tc>
        <w:tc>
          <w:tcPr>
            <w:tcW w:w="1241"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Outras Despesas</w:t>
            </w:r>
          </w:p>
        </w:tc>
        <w:tc>
          <w:tcPr>
            <w:tcW w:w="1318"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c>
          <w:tcPr>
            <w:tcW w:w="233"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w:t>
            </w:r>
          </w:p>
        </w:tc>
        <w:tc>
          <w:tcPr>
            <w:tcW w:w="1241"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r>
      <w:tr w:rsidR="00C02E52"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61585" w:rsidP="003C1F50">
            <w:pPr>
              <w:rPr>
                <w:sz w:val="18"/>
                <w:szCs w:val="18"/>
              </w:rPr>
            </w:pPr>
            <w:r w:rsidRPr="00B02271">
              <w:rPr>
                <w:sz w:val="18"/>
                <w:szCs w:val="18"/>
              </w:rPr>
              <w:t xml:space="preserve">   </w:t>
            </w:r>
            <w:r w:rsidR="003C1F50" w:rsidRPr="00B02271">
              <w:rPr>
                <w:sz w:val="18"/>
                <w:szCs w:val="18"/>
              </w:rPr>
              <w:t>Pensões Indenizatórias e Outros Decréscimos</w:t>
            </w:r>
          </w:p>
        </w:tc>
        <w:tc>
          <w:tcPr>
            <w:tcW w:w="1318" w:type="pct"/>
            <w:tcBorders>
              <w:top w:val="nil"/>
              <w:left w:val="nil"/>
              <w:bottom w:val="nil"/>
              <w:right w:val="nil"/>
            </w:tcBorders>
            <w:shd w:val="clear" w:color="000000" w:fill="FFFFFF"/>
            <w:vAlign w:val="center"/>
            <w:hideMark/>
          </w:tcPr>
          <w:p w:rsidR="003C1F50" w:rsidRPr="00B02271" w:rsidRDefault="001763E2" w:rsidP="00C02E52">
            <w:pPr>
              <w:jc w:val="right"/>
              <w:rPr>
                <w:sz w:val="18"/>
                <w:szCs w:val="18"/>
              </w:rPr>
            </w:pPr>
            <w:r w:rsidRPr="00B02271">
              <w:rPr>
                <w:sz w:val="18"/>
                <w:szCs w:val="18"/>
              </w:rPr>
              <w:t>(</w:t>
            </w:r>
            <w:r w:rsidR="00C02E52" w:rsidRPr="00B02271">
              <w:rPr>
                <w:sz w:val="18"/>
                <w:szCs w:val="18"/>
              </w:rPr>
              <w:t>1.520</w:t>
            </w:r>
            <w:r w:rsidRPr="00B02271">
              <w:rPr>
                <w:sz w:val="18"/>
                <w:szCs w:val="18"/>
              </w:rPr>
              <w:t>)</w:t>
            </w:r>
          </w:p>
        </w:tc>
        <w:tc>
          <w:tcPr>
            <w:tcW w:w="233" w:type="pct"/>
            <w:tcBorders>
              <w:top w:val="nil"/>
              <w:left w:val="nil"/>
              <w:bottom w:val="nil"/>
              <w:right w:val="nil"/>
            </w:tcBorders>
            <w:shd w:val="clear" w:color="000000" w:fill="FFFFFF"/>
            <w:vAlign w:val="center"/>
            <w:hideMark/>
          </w:tcPr>
          <w:p w:rsidR="003C1F50" w:rsidRPr="00B02271" w:rsidRDefault="003C1F50" w:rsidP="003C1F50">
            <w:pPr>
              <w:rPr>
                <w:sz w:val="18"/>
                <w:szCs w:val="18"/>
              </w:rPr>
            </w:pPr>
            <w:r w:rsidRPr="00B02271">
              <w:rPr>
                <w:sz w:val="18"/>
                <w:szCs w:val="18"/>
              </w:rPr>
              <w:t> </w:t>
            </w:r>
          </w:p>
        </w:tc>
        <w:tc>
          <w:tcPr>
            <w:tcW w:w="1241" w:type="pct"/>
            <w:tcBorders>
              <w:top w:val="nil"/>
              <w:left w:val="nil"/>
              <w:bottom w:val="nil"/>
              <w:right w:val="nil"/>
            </w:tcBorders>
            <w:shd w:val="clear" w:color="000000" w:fill="FFFFFF"/>
            <w:vAlign w:val="center"/>
            <w:hideMark/>
          </w:tcPr>
          <w:p w:rsidR="003C1F50" w:rsidRPr="00B02271" w:rsidRDefault="001763E2" w:rsidP="003C1F50">
            <w:pPr>
              <w:jc w:val="right"/>
              <w:rPr>
                <w:sz w:val="18"/>
                <w:szCs w:val="18"/>
              </w:rPr>
            </w:pPr>
            <w:r w:rsidRPr="00B02271">
              <w:rPr>
                <w:sz w:val="18"/>
                <w:szCs w:val="18"/>
              </w:rPr>
              <w:t>(</w:t>
            </w:r>
            <w:r w:rsidR="003C1F50" w:rsidRPr="00B02271">
              <w:rPr>
                <w:sz w:val="18"/>
                <w:szCs w:val="18"/>
              </w:rPr>
              <w:t>6.081</w:t>
            </w:r>
            <w:r w:rsidRPr="00B02271">
              <w:rPr>
                <w:sz w:val="18"/>
                <w:szCs w:val="18"/>
              </w:rPr>
              <w:t>)</w:t>
            </w:r>
          </w:p>
        </w:tc>
      </w:tr>
      <w:tr w:rsidR="00C02E52" w:rsidRPr="00B02271" w:rsidTr="006D6380">
        <w:trPr>
          <w:trHeight w:val="20"/>
        </w:trPr>
        <w:tc>
          <w:tcPr>
            <w:tcW w:w="2208" w:type="pct"/>
            <w:tcBorders>
              <w:top w:val="nil"/>
              <w:left w:val="nil"/>
              <w:bottom w:val="nil"/>
              <w:right w:val="nil"/>
            </w:tcBorders>
            <w:shd w:val="clear" w:color="000000" w:fill="FFFFFF"/>
            <w:vAlign w:val="center"/>
          </w:tcPr>
          <w:p w:rsidR="00C02E52" w:rsidRPr="00B02271" w:rsidRDefault="00C02E52" w:rsidP="003C1F50">
            <w:pPr>
              <w:rPr>
                <w:sz w:val="18"/>
                <w:szCs w:val="18"/>
              </w:rPr>
            </w:pPr>
            <w:r w:rsidRPr="00B02271">
              <w:rPr>
                <w:sz w:val="18"/>
                <w:szCs w:val="18"/>
              </w:rPr>
              <w:t xml:space="preserve">   Reversão Custo Diferido (Subvenções /AFAC)</w:t>
            </w:r>
          </w:p>
        </w:tc>
        <w:tc>
          <w:tcPr>
            <w:tcW w:w="1318" w:type="pct"/>
            <w:tcBorders>
              <w:top w:val="nil"/>
              <w:left w:val="nil"/>
              <w:bottom w:val="nil"/>
              <w:right w:val="nil"/>
            </w:tcBorders>
            <w:shd w:val="clear" w:color="000000" w:fill="FFFFFF"/>
            <w:vAlign w:val="center"/>
          </w:tcPr>
          <w:p w:rsidR="00C02E52" w:rsidRPr="00B02271" w:rsidRDefault="00C02E52" w:rsidP="00C02E52">
            <w:pPr>
              <w:jc w:val="right"/>
              <w:rPr>
                <w:sz w:val="18"/>
                <w:szCs w:val="18"/>
              </w:rPr>
            </w:pPr>
            <w:r w:rsidRPr="00B02271">
              <w:rPr>
                <w:sz w:val="18"/>
                <w:szCs w:val="18"/>
              </w:rPr>
              <w:t>(34.279)</w:t>
            </w:r>
          </w:p>
        </w:tc>
        <w:tc>
          <w:tcPr>
            <w:tcW w:w="233" w:type="pct"/>
            <w:tcBorders>
              <w:top w:val="nil"/>
              <w:left w:val="nil"/>
              <w:bottom w:val="nil"/>
              <w:right w:val="nil"/>
            </w:tcBorders>
            <w:shd w:val="clear" w:color="000000" w:fill="FFFFFF"/>
            <w:vAlign w:val="center"/>
          </w:tcPr>
          <w:p w:rsidR="00C02E52" w:rsidRPr="00B02271" w:rsidRDefault="00C02E52" w:rsidP="003C1F50">
            <w:pPr>
              <w:rPr>
                <w:sz w:val="18"/>
                <w:szCs w:val="18"/>
              </w:rPr>
            </w:pPr>
          </w:p>
        </w:tc>
        <w:tc>
          <w:tcPr>
            <w:tcW w:w="1241" w:type="pct"/>
            <w:tcBorders>
              <w:top w:val="nil"/>
              <w:left w:val="nil"/>
              <w:bottom w:val="nil"/>
              <w:right w:val="nil"/>
            </w:tcBorders>
            <w:shd w:val="clear" w:color="000000" w:fill="FFFFFF"/>
            <w:vAlign w:val="center"/>
          </w:tcPr>
          <w:p w:rsidR="00C02E52" w:rsidRPr="00B02271" w:rsidRDefault="00C02E52" w:rsidP="003C1F50">
            <w:pPr>
              <w:jc w:val="right"/>
              <w:rPr>
                <w:sz w:val="18"/>
                <w:szCs w:val="18"/>
              </w:rPr>
            </w:pPr>
            <w:r w:rsidRPr="00B02271">
              <w:rPr>
                <w:sz w:val="18"/>
                <w:szCs w:val="18"/>
              </w:rPr>
              <w:t>-</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w:t>
            </w:r>
          </w:p>
        </w:tc>
        <w:tc>
          <w:tcPr>
            <w:tcW w:w="1318" w:type="pct"/>
            <w:tcBorders>
              <w:top w:val="single" w:sz="8" w:space="0" w:color="auto"/>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c>
          <w:tcPr>
            <w:tcW w:w="233"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w:t>
            </w:r>
          </w:p>
        </w:tc>
        <w:tc>
          <w:tcPr>
            <w:tcW w:w="1241" w:type="pct"/>
            <w:tcBorders>
              <w:top w:val="single" w:sz="8" w:space="0" w:color="auto"/>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Resultado com Baixa de Bens</w:t>
            </w:r>
          </w:p>
        </w:tc>
        <w:tc>
          <w:tcPr>
            <w:tcW w:w="1318"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c>
          <w:tcPr>
            <w:tcW w:w="233"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w:t>
            </w:r>
          </w:p>
        </w:tc>
        <w:tc>
          <w:tcPr>
            <w:tcW w:w="1241"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xml:space="preserve">   Reversão Depreciação</w:t>
            </w:r>
          </w:p>
        </w:tc>
        <w:tc>
          <w:tcPr>
            <w:tcW w:w="1318"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w:t>
            </w:r>
          </w:p>
        </w:tc>
        <w:tc>
          <w:tcPr>
            <w:tcW w:w="233"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w:t>
            </w:r>
          </w:p>
        </w:tc>
        <w:tc>
          <w:tcPr>
            <w:tcW w:w="1241"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688</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xml:space="preserve">   Valor Bruto de Baixa de Bens </w:t>
            </w:r>
          </w:p>
        </w:tc>
        <w:tc>
          <w:tcPr>
            <w:tcW w:w="1318"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xml:space="preserve">                         (278)</w:t>
            </w:r>
          </w:p>
        </w:tc>
        <w:tc>
          <w:tcPr>
            <w:tcW w:w="233"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w:t>
            </w:r>
          </w:p>
        </w:tc>
        <w:tc>
          <w:tcPr>
            <w:tcW w:w="1241" w:type="pct"/>
            <w:tcBorders>
              <w:top w:val="nil"/>
              <w:left w:val="nil"/>
              <w:bottom w:val="nil"/>
              <w:right w:val="nil"/>
            </w:tcBorders>
            <w:shd w:val="clear" w:color="000000" w:fill="FFFFFF"/>
            <w:vAlign w:val="center"/>
            <w:hideMark/>
          </w:tcPr>
          <w:p w:rsidR="003C1F50" w:rsidRPr="00B02271" w:rsidRDefault="001763E2" w:rsidP="003C1F50">
            <w:pPr>
              <w:jc w:val="right"/>
              <w:rPr>
                <w:color w:val="000000"/>
                <w:sz w:val="18"/>
                <w:szCs w:val="18"/>
              </w:rPr>
            </w:pPr>
            <w:r w:rsidRPr="00B02271">
              <w:rPr>
                <w:color w:val="000000"/>
                <w:sz w:val="18"/>
                <w:szCs w:val="18"/>
              </w:rPr>
              <w:t>(</w:t>
            </w:r>
            <w:r w:rsidR="003C1F50" w:rsidRPr="00B02271">
              <w:rPr>
                <w:color w:val="000000"/>
                <w:sz w:val="18"/>
                <w:szCs w:val="18"/>
              </w:rPr>
              <w:t>2.241</w:t>
            </w:r>
            <w:r w:rsidRPr="00B02271">
              <w:rPr>
                <w:color w:val="000000"/>
                <w:sz w:val="18"/>
                <w:szCs w:val="18"/>
              </w:rPr>
              <w:t>)</w:t>
            </w:r>
          </w:p>
        </w:tc>
      </w:tr>
      <w:tr w:rsidR="003C1F50" w:rsidRPr="00B02271" w:rsidTr="00093A03">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w:t>
            </w:r>
          </w:p>
        </w:tc>
        <w:tc>
          <w:tcPr>
            <w:tcW w:w="1318" w:type="pct"/>
            <w:vMerge w:val="restart"/>
            <w:tcBorders>
              <w:top w:val="single" w:sz="8" w:space="0" w:color="auto"/>
              <w:left w:val="nil"/>
              <w:bottom w:val="single" w:sz="8" w:space="0" w:color="000000"/>
              <w:right w:val="nil"/>
            </w:tcBorders>
            <w:shd w:val="clear" w:color="000000" w:fill="FFFFFF"/>
            <w:vAlign w:val="bottom"/>
            <w:hideMark/>
          </w:tcPr>
          <w:p w:rsidR="003C1F50" w:rsidRPr="00B02271" w:rsidRDefault="003C1F50" w:rsidP="00093A03">
            <w:pPr>
              <w:jc w:val="right"/>
              <w:rPr>
                <w:b/>
                <w:bCs/>
                <w:color w:val="000000"/>
                <w:sz w:val="18"/>
                <w:szCs w:val="18"/>
              </w:rPr>
            </w:pPr>
            <w:r w:rsidRPr="00B02271">
              <w:rPr>
                <w:b/>
                <w:bCs/>
                <w:color w:val="000000"/>
                <w:sz w:val="18"/>
                <w:szCs w:val="18"/>
              </w:rPr>
              <w:t xml:space="preserve">                   (</w:t>
            </w:r>
            <w:r w:rsidR="00C02E52" w:rsidRPr="00B02271">
              <w:rPr>
                <w:b/>
                <w:bCs/>
                <w:color w:val="000000"/>
                <w:sz w:val="18"/>
                <w:szCs w:val="18"/>
              </w:rPr>
              <w:t>36.077</w:t>
            </w:r>
            <w:r w:rsidRPr="00B02271">
              <w:rPr>
                <w:b/>
                <w:bCs/>
                <w:color w:val="000000"/>
                <w:sz w:val="18"/>
                <w:szCs w:val="18"/>
              </w:rPr>
              <w:t>)</w:t>
            </w:r>
          </w:p>
        </w:tc>
        <w:tc>
          <w:tcPr>
            <w:tcW w:w="233"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p>
        </w:tc>
        <w:tc>
          <w:tcPr>
            <w:tcW w:w="1241" w:type="pct"/>
            <w:vMerge w:val="restart"/>
            <w:tcBorders>
              <w:top w:val="single" w:sz="8" w:space="0" w:color="auto"/>
              <w:left w:val="nil"/>
              <w:bottom w:val="single" w:sz="8" w:space="0" w:color="000000"/>
              <w:right w:val="nil"/>
            </w:tcBorders>
            <w:shd w:val="clear" w:color="000000" w:fill="FFFFFF"/>
            <w:vAlign w:val="bottom"/>
            <w:hideMark/>
          </w:tcPr>
          <w:p w:rsidR="003C1F50" w:rsidRPr="00B02271" w:rsidRDefault="001763E2" w:rsidP="00093A03">
            <w:pPr>
              <w:jc w:val="right"/>
              <w:rPr>
                <w:b/>
                <w:bCs/>
                <w:color w:val="000000"/>
                <w:sz w:val="18"/>
                <w:szCs w:val="18"/>
              </w:rPr>
            </w:pPr>
            <w:r w:rsidRPr="00B02271">
              <w:rPr>
                <w:b/>
                <w:bCs/>
                <w:color w:val="000000"/>
                <w:sz w:val="18"/>
                <w:szCs w:val="18"/>
              </w:rPr>
              <w:t>(</w:t>
            </w:r>
            <w:r w:rsidR="003C1F50" w:rsidRPr="00B02271">
              <w:rPr>
                <w:b/>
                <w:bCs/>
                <w:color w:val="000000"/>
                <w:sz w:val="18"/>
                <w:szCs w:val="18"/>
              </w:rPr>
              <w:t>7.634</w:t>
            </w:r>
            <w:r w:rsidRPr="00B02271">
              <w:rPr>
                <w:b/>
                <w:bCs/>
                <w:color w:val="000000"/>
                <w:sz w:val="18"/>
                <w:szCs w:val="18"/>
              </w:rPr>
              <w:t>)</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Baixa de Bens e Outras Despesas</w:t>
            </w:r>
          </w:p>
        </w:tc>
        <w:tc>
          <w:tcPr>
            <w:tcW w:w="1318" w:type="pct"/>
            <w:vMerge/>
            <w:tcBorders>
              <w:top w:val="single" w:sz="8" w:space="0" w:color="auto"/>
              <w:left w:val="nil"/>
              <w:bottom w:val="single" w:sz="8" w:space="0" w:color="000000"/>
              <w:right w:val="nil"/>
            </w:tcBorders>
            <w:vAlign w:val="center"/>
            <w:hideMark/>
          </w:tcPr>
          <w:p w:rsidR="003C1F50" w:rsidRPr="00B02271" w:rsidRDefault="003C1F50" w:rsidP="003C1F50">
            <w:pPr>
              <w:rPr>
                <w:b/>
                <w:bCs/>
                <w:color w:val="000000"/>
                <w:sz w:val="18"/>
                <w:szCs w:val="18"/>
              </w:rPr>
            </w:pPr>
          </w:p>
        </w:tc>
        <w:tc>
          <w:tcPr>
            <w:tcW w:w="233"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p>
        </w:tc>
        <w:tc>
          <w:tcPr>
            <w:tcW w:w="1241" w:type="pct"/>
            <w:vMerge/>
            <w:tcBorders>
              <w:top w:val="single" w:sz="8" w:space="0" w:color="auto"/>
              <w:left w:val="nil"/>
              <w:bottom w:val="single" w:sz="8" w:space="0" w:color="000000"/>
              <w:right w:val="nil"/>
            </w:tcBorders>
            <w:vAlign w:val="center"/>
            <w:hideMark/>
          </w:tcPr>
          <w:p w:rsidR="003C1F50" w:rsidRPr="00B02271" w:rsidRDefault="003C1F50" w:rsidP="003C1F50">
            <w:pPr>
              <w:rPr>
                <w:b/>
                <w:bCs/>
                <w:color w:val="000000"/>
                <w:sz w:val="18"/>
                <w:szCs w:val="18"/>
              </w:rPr>
            </w:pP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w:t>
            </w:r>
          </w:p>
        </w:tc>
        <w:tc>
          <w:tcPr>
            <w:tcW w:w="1318"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c>
          <w:tcPr>
            <w:tcW w:w="233" w:type="pct"/>
            <w:tcBorders>
              <w:top w:val="nil"/>
              <w:left w:val="nil"/>
              <w:bottom w:val="nil"/>
              <w:right w:val="nil"/>
            </w:tcBorders>
            <w:shd w:val="clear" w:color="000000" w:fill="FFFFFF"/>
            <w:vAlign w:val="center"/>
            <w:hideMark/>
          </w:tcPr>
          <w:p w:rsidR="003C1F50" w:rsidRPr="00B02271" w:rsidRDefault="003C1F50" w:rsidP="003C1F50">
            <w:pPr>
              <w:rPr>
                <w:color w:val="000000"/>
                <w:sz w:val="18"/>
                <w:szCs w:val="18"/>
              </w:rPr>
            </w:pPr>
            <w:r w:rsidRPr="00B02271">
              <w:rPr>
                <w:color w:val="000000"/>
                <w:sz w:val="18"/>
                <w:szCs w:val="18"/>
              </w:rPr>
              <w:t> </w:t>
            </w:r>
          </w:p>
        </w:tc>
        <w:tc>
          <w:tcPr>
            <w:tcW w:w="1241" w:type="pct"/>
            <w:tcBorders>
              <w:top w:val="nil"/>
              <w:left w:val="nil"/>
              <w:bottom w:val="nil"/>
              <w:right w:val="nil"/>
            </w:tcBorders>
            <w:shd w:val="clear" w:color="000000" w:fill="FFFFFF"/>
            <w:vAlign w:val="center"/>
            <w:hideMark/>
          </w:tcPr>
          <w:p w:rsidR="003C1F50" w:rsidRPr="00B02271" w:rsidRDefault="003C1F50" w:rsidP="003C1F50">
            <w:pPr>
              <w:jc w:val="right"/>
              <w:rPr>
                <w:color w:val="000000"/>
                <w:sz w:val="18"/>
                <w:szCs w:val="18"/>
              </w:rPr>
            </w:pPr>
            <w:r w:rsidRPr="00B02271">
              <w:rPr>
                <w:color w:val="000000"/>
                <w:sz w:val="18"/>
                <w:szCs w:val="18"/>
              </w:rPr>
              <w:t> </w:t>
            </w:r>
          </w:p>
        </w:tc>
      </w:tr>
      <w:tr w:rsidR="003C1F50" w:rsidRPr="00B02271" w:rsidTr="006D6380">
        <w:trPr>
          <w:trHeight w:val="20"/>
        </w:trPr>
        <w:tc>
          <w:tcPr>
            <w:tcW w:w="2208" w:type="pct"/>
            <w:tcBorders>
              <w:top w:val="nil"/>
              <w:left w:val="nil"/>
              <w:bottom w:val="nil"/>
              <w:right w:val="nil"/>
            </w:tcBorders>
            <w:shd w:val="clear" w:color="000000" w:fill="FFFFFF"/>
            <w:vAlign w:val="center"/>
            <w:hideMark/>
          </w:tcPr>
          <w:p w:rsidR="003C1F50" w:rsidRPr="00B02271" w:rsidRDefault="003C1F50" w:rsidP="003C1F50">
            <w:pPr>
              <w:rPr>
                <w:b/>
                <w:bCs/>
                <w:color w:val="000000"/>
                <w:sz w:val="18"/>
                <w:szCs w:val="18"/>
              </w:rPr>
            </w:pPr>
            <w:r w:rsidRPr="00B02271">
              <w:rPr>
                <w:b/>
                <w:bCs/>
                <w:color w:val="000000"/>
                <w:sz w:val="18"/>
                <w:szCs w:val="18"/>
              </w:rPr>
              <w:t>Saldo de Outras Receitas e Despesas</w:t>
            </w:r>
          </w:p>
        </w:tc>
        <w:tc>
          <w:tcPr>
            <w:tcW w:w="1318" w:type="pct"/>
            <w:tcBorders>
              <w:top w:val="nil"/>
              <w:left w:val="nil"/>
              <w:bottom w:val="double" w:sz="6" w:space="0" w:color="auto"/>
              <w:right w:val="nil"/>
            </w:tcBorders>
            <w:shd w:val="clear" w:color="000000" w:fill="FFFFFF"/>
            <w:vAlign w:val="center"/>
            <w:hideMark/>
          </w:tcPr>
          <w:p w:rsidR="003C1F50" w:rsidRPr="00B02271" w:rsidRDefault="003C1F50" w:rsidP="003C1F50">
            <w:pPr>
              <w:jc w:val="right"/>
              <w:rPr>
                <w:b/>
                <w:bCs/>
                <w:color w:val="000000"/>
                <w:sz w:val="18"/>
                <w:szCs w:val="18"/>
              </w:rPr>
            </w:pPr>
            <w:r w:rsidRPr="00B02271">
              <w:rPr>
                <w:b/>
                <w:bCs/>
                <w:color w:val="000000"/>
                <w:sz w:val="18"/>
                <w:szCs w:val="18"/>
              </w:rPr>
              <w:t xml:space="preserve">                       4.414 </w:t>
            </w:r>
          </w:p>
        </w:tc>
        <w:tc>
          <w:tcPr>
            <w:tcW w:w="233" w:type="pct"/>
            <w:tcBorders>
              <w:top w:val="nil"/>
              <w:left w:val="nil"/>
              <w:bottom w:val="nil"/>
              <w:right w:val="nil"/>
            </w:tcBorders>
            <w:shd w:val="clear" w:color="000000" w:fill="FFFFFF"/>
            <w:vAlign w:val="center"/>
            <w:hideMark/>
          </w:tcPr>
          <w:p w:rsidR="003C1F50" w:rsidRPr="00B02271" w:rsidRDefault="003C1F50" w:rsidP="003C1F50">
            <w:pPr>
              <w:rPr>
                <w:b/>
                <w:bCs/>
                <w:color w:val="000000"/>
                <w:sz w:val="18"/>
                <w:szCs w:val="18"/>
              </w:rPr>
            </w:pPr>
            <w:r w:rsidRPr="00B02271">
              <w:rPr>
                <w:b/>
                <w:bCs/>
                <w:color w:val="000000"/>
                <w:sz w:val="18"/>
                <w:szCs w:val="18"/>
              </w:rPr>
              <w:t> </w:t>
            </w:r>
          </w:p>
        </w:tc>
        <w:tc>
          <w:tcPr>
            <w:tcW w:w="1241" w:type="pct"/>
            <w:tcBorders>
              <w:top w:val="nil"/>
              <w:left w:val="nil"/>
              <w:bottom w:val="double" w:sz="6" w:space="0" w:color="auto"/>
              <w:right w:val="nil"/>
            </w:tcBorders>
            <w:shd w:val="clear" w:color="000000" w:fill="FFFFFF"/>
            <w:vAlign w:val="center"/>
            <w:hideMark/>
          </w:tcPr>
          <w:p w:rsidR="003C1F50" w:rsidRPr="00B02271" w:rsidRDefault="003C1F50" w:rsidP="003C1F50">
            <w:pPr>
              <w:jc w:val="right"/>
              <w:rPr>
                <w:b/>
                <w:bCs/>
                <w:color w:val="000000"/>
                <w:sz w:val="18"/>
                <w:szCs w:val="18"/>
              </w:rPr>
            </w:pPr>
            <w:r w:rsidRPr="00B02271">
              <w:rPr>
                <w:b/>
                <w:bCs/>
                <w:color w:val="000000"/>
                <w:sz w:val="18"/>
                <w:szCs w:val="18"/>
              </w:rPr>
              <w:t>13.292</w:t>
            </w:r>
          </w:p>
        </w:tc>
      </w:tr>
    </w:tbl>
    <w:p w:rsidR="001F6FE2" w:rsidRDefault="001F6FE2" w:rsidP="008F2A4E">
      <w:pPr>
        <w:tabs>
          <w:tab w:val="center" w:pos="4348"/>
        </w:tabs>
        <w:jc w:val="both"/>
        <w:rPr>
          <w:b/>
        </w:rPr>
      </w:pPr>
    </w:p>
    <w:p w:rsidR="006D786C" w:rsidRDefault="006D786C" w:rsidP="008F2A4E">
      <w:pPr>
        <w:tabs>
          <w:tab w:val="center" w:pos="4348"/>
        </w:tabs>
        <w:jc w:val="both"/>
        <w:rPr>
          <w:b/>
        </w:rPr>
      </w:pPr>
      <w:r>
        <w:t xml:space="preserve">O valor de </w:t>
      </w:r>
      <w:r w:rsidRPr="002E5061">
        <w:t xml:space="preserve">R$ 14.626 </w:t>
      </w:r>
      <w:r>
        <w:t xml:space="preserve">de Reversão da Receita Diferida refere-se a </w:t>
      </w:r>
      <w:r w:rsidRPr="002E5061">
        <w:t>reversão de subvenções recebidas para custeio e</w:t>
      </w:r>
      <w:r w:rsidR="00564200">
        <w:t xml:space="preserve"> o valor de R$ 34.279 Custo Diferido, refere-se a reversão </w:t>
      </w:r>
      <w:r w:rsidR="00B004B0">
        <w:t xml:space="preserve">para atender </w:t>
      </w:r>
      <w:r w:rsidR="00564200">
        <w:t>a mudança de critério contábil</w:t>
      </w:r>
      <w:r w:rsidR="00A272BA">
        <w:t xml:space="preserve">, ver </w:t>
      </w:r>
      <w:r>
        <w:t>Nota nº 26</w:t>
      </w:r>
      <w:r w:rsidR="00A272BA">
        <w:t>.</w:t>
      </w:r>
    </w:p>
    <w:p w:rsidR="0087569F" w:rsidRDefault="0087569F" w:rsidP="008F2A4E">
      <w:pPr>
        <w:tabs>
          <w:tab w:val="center" w:pos="4348"/>
        </w:tabs>
        <w:jc w:val="both"/>
        <w:rPr>
          <w:b/>
        </w:rPr>
      </w:pPr>
    </w:p>
    <w:p w:rsidR="00043C55" w:rsidRDefault="00043C55" w:rsidP="008F2A4E">
      <w:pPr>
        <w:tabs>
          <w:tab w:val="center" w:pos="4348"/>
        </w:tabs>
        <w:jc w:val="both"/>
        <w:rPr>
          <w:b/>
        </w:rPr>
      </w:pPr>
    </w:p>
    <w:p w:rsidR="00B20F98" w:rsidRPr="00FD7B48" w:rsidRDefault="00455E06" w:rsidP="00F27C83">
      <w:pPr>
        <w:pStyle w:val="Ttulo"/>
        <w:outlineLvl w:val="0"/>
      </w:pPr>
      <w:bookmarkStart w:id="66" w:name="_Ref466466697"/>
      <w:bookmarkStart w:id="67" w:name="_Toc512497287"/>
      <w:r w:rsidRPr="00FD7B48">
        <w:t>Resultado Financeiro</w:t>
      </w:r>
      <w:bookmarkEnd w:id="66"/>
      <w:bookmarkEnd w:id="67"/>
    </w:p>
    <w:tbl>
      <w:tblPr>
        <w:tblW w:w="5000" w:type="pct"/>
        <w:tblCellMar>
          <w:left w:w="70" w:type="dxa"/>
          <w:right w:w="70" w:type="dxa"/>
        </w:tblCellMar>
        <w:tblLook w:val="04A0" w:firstRow="1" w:lastRow="0" w:firstColumn="1" w:lastColumn="0" w:noHBand="0" w:noVBand="1"/>
      </w:tblPr>
      <w:tblGrid>
        <w:gridCol w:w="4589"/>
        <w:gridCol w:w="2148"/>
        <w:gridCol w:w="260"/>
        <w:gridCol w:w="2215"/>
      </w:tblGrid>
      <w:tr w:rsidR="0087217E" w:rsidRPr="00B02271" w:rsidTr="0087217E">
        <w:trPr>
          <w:trHeight w:val="20"/>
        </w:trPr>
        <w:tc>
          <w:tcPr>
            <w:tcW w:w="2491" w:type="pct"/>
            <w:tcBorders>
              <w:top w:val="nil"/>
              <w:left w:val="nil"/>
              <w:bottom w:val="nil"/>
              <w:right w:val="nil"/>
            </w:tcBorders>
            <w:shd w:val="clear" w:color="auto" w:fill="auto"/>
            <w:vAlign w:val="center"/>
            <w:hideMark/>
          </w:tcPr>
          <w:p w:rsidR="0087217E" w:rsidRPr="00B02271" w:rsidRDefault="0087217E" w:rsidP="0087217E">
            <w:pPr>
              <w:rPr>
                <w:color w:val="000000"/>
                <w:sz w:val="18"/>
                <w:szCs w:val="18"/>
              </w:rPr>
            </w:pPr>
          </w:p>
        </w:tc>
        <w:tc>
          <w:tcPr>
            <w:tcW w:w="1166" w:type="pct"/>
            <w:tcBorders>
              <w:top w:val="nil"/>
              <w:left w:val="nil"/>
              <w:bottom w:val="single" w:sz="8" w:space="0" w:color="auto"/>
              <w:right w:val="nil"/>
            </w:tcBorders>
            <w:shd w:val="clear" w:color="auto" w:fill="auto"/>
            <w:vAlign w:val="center"/>
            <w:hideMark/>
          </w:tcPr>
          <w:p w:rsidR="0087217E" w:rsidRPr="00B02271" w:rsidRDefault="0087217E" w:rsidP="0087217E">
            <w:pPr>
              <w:jc w:val="right"/>
              <w:rPr>
                <w:b/>
                <w:bCs/>
                <w:color w:val="000000"/>
                <w:sz w:val="18"/>
                <w:szCs w:val="18"/>
              </w:rPr>
            </w:pPr>
            <w:r w:rsidRPr="00B02271">
              <w:rPr>
                <w:b/>
                <w:bCs/>
                <w:color w:val="000000"/>
                <w:sz w:val="18"/>
                <w:szCs w:val="18"/>
              </w:rPr>
              <w:t>31/12/2017</w:t>
            </w:r>
          </w:p>
        </w:tc>
        <w:tc>
          <w:tcPr>
            <w:tcW w:w="141" w:type="pct"/>
            <w:tcBorders>
              <w:top w:val="nil"/>
              <w:left w:val="nil"/>
              <w:bottom w:val="nil"/>
              <w:right w:val="nil"/>
            </w:tcBorders>
            <w:shd w:val="clear" w:color="auto" w:fill="auto"/>
            <w:vAlign w:val="center"/>
            <w:hideMark/>
          </w:tcPr>
          <w:p w:rsidR="0087217E" w:rsidRPr="00B02271" w:rsidRDefault="0087217E" w:rsidP="0087217E">
            <w:pPr>
              <w:rPr>
                <w:b/>
                <w:bCs/>
                <w:color w:val="000000"/>
                <w:sz w:val="18"/>
                <w:szCs w:val="18"/>
              </w:rPr>
            </w:pPr>
          </w:p>
        </w:tc>
        <w:tc>
          <w:tcPr>
            <w:tcW w:w="1203" w:type="pct"/>
            <w:tcBorders>
              <w:top w:val="nil"/>
              <w:left w:val="nil"/>
              <w:bottom w:val="single" w:sz="8" w:space="0" w:color="auto"/>
              <w:right w:val="nil"/>
            </w:tcBorders>
            <w:shd w:val="clear" w:color="auto" w:fill="auto"/>
            <w:vAlign w:val="center"/>
            <w:hideMark/>
          </w:tcPr>
          <w:p w:rsidR="0087217E" w:rsidRPr="00B02271" w:rsidRDefault="0087217E" w:rsidP="0087217E">
            <w:pPr>
              <w:jc w:val="right"/>
              <w:rPr>
                <w:b/>
                <w:bCs/>
                <w:color w:val="000000"/>
                <w:sz w:val="18"/>
                <w:szCs w:val="18"/>
              </w:rPr>
            </w:pPr>
            <w:r w:rsidRPr="00B02271">
              <w:rPr>
                <w:b/>
                <w:bCs/>
                <w:color w:val="000000"/>
                <w:sz w:val="18"/>
                <w:szCs w:val="18"/>
              </w:rPr>
              <w:t>31/12/2016</w:t>
            </w:r>
          </w:p>
        </w:tc>
      </w:tr>
      <w:tr w:rsidR="0087217E" w:rsidRPr="00B02271" w:rsidTr="0087217E">
        <w:trPr>
          <w:trHeight w:val="20"/>
        </w:trPr>
        <w:tc>
          <w:tcPr>
            <w:tcW w:w="2491" w:type="pct"/>
            <w:tcBorders>
              <w:top w:val="nil"/>
              <w:left w:val="nil"/>
              <w:bottom w:val="nil"/>
              <w:right w:val="nil"/>
            </w:tcBorders>
            <w:shd w:val="clear" w:color="000000" w:fill="FFFFFF"/>
            <w:vAlign w:val="center"/>
            <w:hideMark/>
          </w:tcPr>
          <w:p w:rsidR="0087217E" w:rsidRPr="00B02271" w:rsidRDefault="0087217E" w:rsidP="0087217E">
            <w:pPr>
              <w:rPr>
                <w:color w:val="000000"/>
                <w:sz w:val="18"/>
                <w:szCs w:val="18"/>
              </w:rPr>
            </w:pPr>
            <w:r w:rsidRPr="00B02271">
              <w:rPr>
                <w:color w:val="000000"/>
                <w:sz w:val="18"/>
                <w:szCs w:val="18"/>
              </w:rPr>
              <w:t>Receita Financeira</w:t>
            </w:r>
          </w:p>
        </w:tc>
        <w:tc>
          <w:tcPr>
            <w:tcW w:w="1166"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w:t>
            </w:r>
          </w:p>
        </w:tc>
        <w:tc>
          <w:tcPr>
            <w:tcW w:w="141" w:type="pct"/>
            <w:tcBorders>
              <w:top w:val="nil"/>
              <w:left w:val="nil"/>
              <w:bottom w:val="nil"/>
              <w:right w:val="nil"/>
            </w:tcBorders>
            <w:shd w:val="clear" w:color="000000" w:fill="FFFFFF"/>
            <w:vAlign w:val="center"/>
            <w:hideMark/>
          </w:tcPr>
          <w:p w:rsidR="0087217E" w:rsidRPr="00B02271" w:rsidRDefault="0087217E" w:rsidP="0087217E">
            <w:pPr>
              <w:rPr>
                <w:color w:val="000000"/>
                <w:sz w:val="18"/>
                <w:szCs w:val="18"/>
              </w:rPr>
            </w:pPr>
            <w:r w:rsidRPr="00B02271">
              <w:rPr>
                <w:color w:val="000000"/>
                <w:sz w:val="18"/>
                <w:szCs w:val="18"/>
              </w:rPr>
              <w:t> </w:t>
            </w:r>
          </w:p>
        </w:tc>
        <w:tc>
          <w:tcPr>
            <w:tcW w:w="1203"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w:t>
            </w:r>
          </w:p>
        </w:tc>
      </w:tr>
      <w:tr w:rsidR="0087217E" w:rsidRPr="00B02271" w:rsidTr="0087217E">
        <w:trPr>
          <w:trHeight w:val="20"/>
        </w:trPr>
        <w:tc>
          <w:tcPr>
            <w:tcW w:w="2491" w:type="pct"/>
            <w:tcBorders>
              <w:top w:val="nil"/>
              <w:left w:val="nil"/>
              <w:bottom w:val="nil"/>
              <w:right w:val="nil"/>
            </w:tcBorders>
            <w:shd w:val="clear" w:color="000000" w:fill="FFFFFF"/>
            <w:vAlign w:val="center"/>
            <w:hideMark/>
          </w:tcPr>
          <w:p w:rsidR="0087217E" w:rsidRPr="00B02271" w:rsidRDefault="000E2743" w:rsidP="0087217E">
            <w:pPr>
              <w:rPr>
                <w:color w:val="000000"/>
                <w:sz w:val="18"/>
                <w:szCs w:val="18"/>
              </w:rPr>
            </w:pPr>
            <w:r w:rsidRPr="00B02271">
              <w:rPr>
                <w:color w:val="000000"/>
                <w:sz w:val="18"/>
                <w:szCs w:val="18"/>
              </w:rPr>
              <w:t xml:space="preserve">   R</w:t>
            </w:r>
            <w:r w:rsidR="0087217E" w:rsidRPr="00B02271">
              <w:rPr>
                <w:color w:val="000000"/>
                <w:sz w:val="18"/>
                <w:szCs w:val="18"/>
              </w:rPr>
              <w:t>emuneração de Depósitos</w:t>
            </w:r>
          </w:p>
        </w:tc>
        <w:tc>
          <w:tcPr>
            <w:tcW w:w="1166"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xml:space="preserve">                  2.092 </w:t>
            </w:r>
          </w:p>
        </w:tc>
        <w:tc>
          <w:tcPr>
            <w:tcW w:w="141"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w:t>
            </w:r>
          </w:p>
        </w:tc>
        <w:tc>
          <w:tcPr>
            <w:tcW w:w="1203"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xml:space="preserve">                   1.816 </w:t>
            </w:r>
          </w:p>
        </w:tc>
      </w:tr>
      <w:tr w:rsidR="0087217E" w:rsidRPr="00B02271" w:rsidTr="0087217E">
        <w:trPr>
          <w:trHeight w:val="20"/>
        </w:trPr>
        <w:tc>
          <w:tcPr>
            <w:tcW w:w="2491" w:type="pct"/>
            <w:tcBorders>
              <w:top w:val="nil"/>
              <w:left w:val="nil"/>
              <w:bottom w:val="nil"/>
              <w:right w:val="nil"/>
            </w:tcBorders>
            <w:shd w:val="clear" w:color="000000" w:fill="FFFFFF"/>
            <w:vAlign w:val="center"/>
            <w:hideMark/>
          </w:tcPr>
          <w:p w:rsidR="0087217E" w:rsidRPr="00B02271" w:rsidRDefault="000E2743" w:rsidP="0087217E">
            <w:pPr>
              <w:rPr>
                <w:color w:val="000000"/>
                <w:sz w:val="18"/>
                <w:szCs w:val="18"/>
              </w:rPr>
            </w:pPr>
            <w:r w:rsidRPr="00B02271">
              <w:rPr>
                <w:color w:val="000000"/>
                <w:sz w:val="18"/>
                <w:szCs w:val="18"/>
              </w:rPr>
              <w:t xml:space="preserve">   </w:t>
            </w:r>
            <w:r w:rsidR="0087217E" w:rsidRPr="00B02271">
              <w:rPr>
                <w:color w:val="000000"/>
                <w:sz w:val="18"/>
                <w:szCs w:val="18"/>
              </w:rPr>
              <w:t xml:space="preserve">Juros e Multas Previstos em Contratos </w:t>
            </w:r>
          </w:p>
        </w:tc>
        <w:tc>
          <w:tcPr>
            <w:tcW w:w="1166"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xml:space="preserve">                     415 </w:t>
            </w:r>
          </w:p>
        </w:tc>
        <w:tc>
          <w:tcPr>
            <w:tcW w:w="141"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w:t>
            </w:r>
          </w:p>
        </w:tc>
        <w:tc>
          <w:tcPr>
            <w:tcW w:w="1203"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xml:space="preserve">                      311 </w:t>
            </w:r>
          </w:p>
        </w:tc>
      </w:tr>
      <w:tr w:rsidR="0087217E" w:rsidRPr="00B02271" w:rsidTr="0087217E">
        <w:trPr>
          <w:trHeight w:val="20"/>
        </w:trPr>
        <w:tc>
          <w:tcPr>
            <w:tcW w:w="2491" w:type="pct"/>
            <w:tcBorders>
              <w:top w:val="nil"/>
              <w:left w:val="nil"/>
              <w:bottom w:val="nil"/>
              <w:right w:val="nil"/>
            </w:tcBorders>
            <w:shd w:val="clear" w:color="000000" w:fill="FFFFFF"/>
            <w:vAlign w:val="center"/>
            <w:hideMark/>
          </w:tcPr>
          <w:p w:rsidR="0087217E" w:rsidRPr="00B02271" w:rsidRDefault="000E2743" w:rsidP="0087217E">
            <w:pPr>
              <w:rPr>
                <w:color w:val="000000"/>
                <w:sz w:val="18"/>
                <w:szCs w:val="18"/>
              </w:rPr>
            </w:pPr>
            <w:r w:rsidRPr="00B02271">
              <w:rPr>
                <w:color w:val="000000"/>
                <w:sz w:val="18"/>
                <w:szCs w:val="18"/>
              </w:rPr>
              <w:t xml:space="preserve">   </w:t>
            </w:r>
            <w:r w:rsidR="0087217E" w:rsidRPr="00B02271">
              <w:rPr>
                <w:color w:val="000000"/>
                <w:sz w:val="18"/>
                <w:szCs w:val="18"/>
              </w:rPr>
              <w:t>Variação Cambial e Monetária Ativa</w:t>
            </w:r>
          </w:p>
        </w:tc>
        <w:tc>
          <w:tcPr>
            <w:tcW w:w="1166"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xml:space="preserve">                     142 </w:t>
            </w:r>
          </w:p>
        </w:tc>
        <w:tc>
          <w:tcPr>
            <w:tcW w:w="141"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w:t>
            </w:r>
          </w:p>
        </w:tc>
        <w:tc>
          <w:tcPr>
            <w:tcW w:w="1203"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xml:space="preserve">                      143 </w:t>
            </w:r>
          </w:p>
        </w:tc>
      </w:tr>
      <w:tr w:rsidR="0087217E" w:rsidRPr="00B02271" w:rsidTr="0087217E">
        <w:trPr>
          <w:trHeight w:val="20"/>
        </w:trPr>
        <w:tc>
          <w:tcPr>
            <w:tcW w:w="2491" w:type="pct"/>
            <w:tcBorders>
              <w:top w:val="nil"/>
              <w:left w:val="nil"/>
              <w:bottom w:val="nil"/>
              <w:right w:val="nil"/>
            </w:tcBorders>
            <w:shd w:val="clear" w:color="000000" w:fill="FFFFFF"/>
            <w:vAlign w:val="center"/>
            <w:hideMark/>
          </w:tcPr>
          <w:p w:rsidR="0087217E" w:rsidRPr="00B02271" w:rsidRDefault="0087217E" w:rsidP="0087217E">
            <w:pPr>
              <w:rPr>
                <w:color w:val="000000"/>
                <w:sz w:val="18"/>
                <w:szCs w:val="18"/>
              </w:rPr>
            </w:pPr>
            <w:r w:rsidRPr="00B02271">
              <w:rPr>
                <w:color w:val="000000"/>
                <w:sz w:val="18"/>
                <w:szCs w:val="18"/>
              </w:rPr>
              <w:t> </w:t>
            </w:r>
          </w:p>
        </w:tc>
        <w:tc>
          <w:tcPr>
            <w:tcW w:w="1166" w:type="pct"/>
            <w:tcBorders>
              <w:top w:val="single" w:sz="8" w:space="0" w:color="auto"/>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w:t>
            </w:r>
          </w:p>
        </w:tc>
        <w:tc>
          <w:tcPr>
            <w:tcW w:w="141" w:type="pct"/>
            <w:tcBorders>
              <w:top w:val="nil"/>
              <w:left w:val="nil"/>
              <w:bottom w:val="nil"/>
              <w:right w:val="nil"/>
            </w:tcBorders>
            <w:shd w:val="clear" w:color="000000" w:fill="FFFFFF"/>
            <w:vAlign w:val="center"/>
            <w:hideMark/>
          </w:tcPr>
          <w:p w:rsidR="0087217E" w:rsidRPr="00B02271" w:rsidRDefault="0087217E" w:rsidP="0087217E">
            <w:pPr>
              <w:rPr>
                <w:color w:val="000000"/>
                <w:sz w:val="18"/>
                <w:szCs w:val="18"/>
              </w:rPr>
            </w:pPr>
            <w:r w:rsidRPr="00B02271">
              <w:rPr>
                <w:color w:val="000000"/>
                <w:sz w:val="18"/>
                <w:szCs w:val="18"/>
              </w:rPr>
              <w:t> </w:t>
            </w:r>
          </w:p>
        </w:tc>
        <w:tc>
          <w:tcPr>
            <w:tcW w:w="1203" w:type="pct"/>
            <w:tcBorders>
              <w:top w:val="single" w:sz="8" w:space="0" w:color="auto"/>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w:t>
            </w:r>
          </w:p>
        </w:tc>
      </w:tr>
      <w:tr w:rsidR="0087217E" w:rsidRPr="00B02271" w:rsidTr="0087217E">
        <w:trPr>
          <w:trHeight w:val="20"/>
        </w:trPr>
        <w:tc>
          <w:tcPr>
            <w:tcW w:w="2491" w:type="pct"/>
            <w:tcBorders>
              <w:top w:val="nil"/>
              <w:left w:val="nil"/>
              <w:bottom w:val="nil"/>
              <w:right w:val="nil"/>
            </w:tcBorders>
            <w:shd w:val="clear" w:color="000000" w:fill="FFFFFF"/>
            <w:vAlign w:val="center"/>
            <w:hideMark/>
          </w:tcPr>
          <w:p w:rsidR="0087217E" w:rsidRPr="00B02271" w:rsidRDefault="0087217E" w:rsidP="0087217E">
            <w:pPr>
              <w:rPr>
                <w:b/>
                <w:bCs/>
                <w:color w:val="000000"/>
                <w:sz w:val="18"/>
                <w:szCs w:val="18"/>
              </w:rPr>
            </w:pPr>
            <w:r w:rsidRPr="00B02271">
              <w:rPr>
                <w:b/>
                <w:bCs/>
                <w:color w:val="000000"/>
                <w:sz w:val="18"/>
                <w:szCs w:val="18"/>
              </w:rPr>
              <w:t>Total Receita Financeira</w:t>
            </w:r>
          </w:p>
        </w:tc>
        <w:tc>
          <w:tcPr>
            <w:tcW w:w="1166" w:type="pct"/>
            <w:tcBorders>
              <w:top w:val="nil"/>
              <w:left w:val="nil"/>
              <w:bottom w:val="single" w:sz="8" w:space="0" w:color="auto"/>
              <w:right w:val="nil"/>
            </w:tcBorders>
            <w:shd w:val="clear" w:color="000000" w:fill="FFFFFF"/>
            <w:vAlign w:val="center"/>
            <w:hideMark/>
          </w:tcPr>
          <w:p w:rsidR="0087217E" w:rsidRPr="00B02271" w:rsidRDefault="0087217E" w:rsidP="0087217E">
            <w:pPr>
              <w:jc w:val="right"/>
              <w:rPr>
                <w:b/>
                <w:bCs/>
                <w:color w:val="000000"/>
                <w:sz w:val="18"/>
                <w:szCs w:val="18"/>
              </w:rPr>
            </w:pPr>
            <w:r w:rsidRPr="00B02271">
              <w:rPr>
                <w:b/>
                <w:bCs/>
                <w:color w:val="000000"/>
                <w:sz w:val="18"/>
                <w:szCs w:val="18"/>
              </w:rPr>
              <w:t xml:space="preserve">                 2.649 </w:t>
            </w:r>
          </w:p>
        </w:tc>
        <w:tc>
          <w:tcPr>
            <w:tcW w:w="141" w:type="pct"/>
            <w:tcBorders>
              <w:top w:val="nil"/>
              <w:left w:val="nil"/>
              <w:bottom w:val="nil"/>
              <w:right w:val="nil"/>
            </w:tcBorders>
            <w:shd w:val="clear" w:color="000000" w:fill="FFFFFF"/>
            <w:vAlign w:val="center"/>
            <w:hideMark/>
          </w:tcPr>
          <w:p w:rsidR="0087217E" w:rsidRPr="00B02271" w:rsidRDefault="0087217E" w:rsidP="0087217E">
            <w:pPr>
              <w:rPr>
                <w:b/>
                <w:bCs/>
                <w:color w:val="000000"/>
                <w:sz w:val="18"/>
                <w:szCs w:val="18"/>
              </w:rPr>
            </w:pPr>
            <w:r w:rsidRPr="00B02271">
              <w:rPr>
                <w:b/>
                <w:bCs/>
                <w:color w:val="000000"/>
                <w:sz w:val="18"/>
                <w:szCs w:val="18"/>
              </w:rPr>
              <w:t> </w:t>
            </w:r>
          </w:p>
        </w:tc>
        <w:tc>
          <w:tcPr>
            <w:tcW w:w="1203" w:type="pct"/>
            <w:tcBorders>
              <w:top w:val="nil"/>
              <w:left w:val="nil"/>
              <w:bottom w:val="single" w:sz="8" w:space="0" w:color="auto"/>
              <w:right w:val="nil"/>
            </w:tcBorders>
            <w:shd w:val="clear" w:color="000000" w:fill="FFFFFF"/>
            <w:vAlign w:val="center"/>
            <w:hideMark/>
          </w:tcPr>
          <w:p w:rsidR="0087217E" w:rsidRPr="00B02271" w:rsidRDefault="0087217E" w:rsidP="0087217E">
            <w:pPr>
              <w:jc w:val="right"/>
              <w:rPr>
                <w:b/>
                <w:bCs/>
                <w:color w:val="000000"/>
                <w:sz w:val="18"/>
                <w:szCs w:val="18"/>
              </w:rPr>
            </w:pPr>
            <w:r w:rsidRPr="00B02271">
              <w:rPr>
                <w:b/>
                <w:bCs/>
                <w:color w:val="000000"/>
                <w:sz w:val="18"/>
                <w:szCs w:val="18"/>
              </w:rPr>
              <w:t xml:space="preserve">                  2.270 </w:t>
            </w:r>
          </w:p>
        </w:tc>
      </w:tr>
      <w:tr w:rsidR="0087217E" w:rsidRPr="00B02271" w:rsidTr="0087217E">
        <w:trPr>
          <w:trHeight w:val="20"/>
        </w:trPr>
        <w:tc>
          <w:tcPr>
            <w:tcW w:w="2491" w:type="pct"/>
            <w:tcBorders>
              <w:top w:val="nil"/>
              <w:left w:val="nil"/>
              <w:bottom w:val="nil"/>
              <w:right w:val="nil"/>
            </w:tcBorders>
            <w:shd w:val="clear" w:color="000000" w:fill="FFFFFF"/>
            <w:vAlign w:val="center"/>
            <w:hideMark/>
          </w:tcPr>
          <w:p w:rsidR="0087217E" w:rsidRPr="00B02271" w:rsidRDefault="0087217E" w:rsidP="0087217E">
            <w:pPr>
              <w:rPr>
                <w:color w:val="000000"/>
                <w:sz w:val="18"/>
                <w:szCs w:val="18"/>
              </w:rPr>
            </w:pPr>
            <w:r w:rsidRPr="00B02271">
              <w:rPr>
                <w:color w:val="000000"/>
                <w:sz w:val="18"/>
                <w:szCs w:val="18"/>
              </w:rPr>
              <w:t> </w:t>
            </w:r>
          </w:p>
        </w:tc>
        <w:tc>
          <w:tcPr>
            <w:tcW w:w="1166"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w:t>
            </w:r>
          </w:p>
        </w:tc>
        <w:tc>
          <w:tcPr>
            <w:tcW w:w="141" w:type="pct"/>
            <w:tcBorders>
              <w:top w:val="nil"/>
              <w:left w:val="nil"/>
              <w:bottom w:val="nil"/>
              <w:right w:val="nil"/>
            </w:tcBorders>
            <w:shd w:val="clear" w:color="000000" w:fill="FFFFFF"/>
            <w:vAlign w:val="center"/>
            <w:hideMark/>
          </w:tcPr>
          <w:p w:rsidR="0087217E" w:rsidRPr="00B02271" w:rsidRDefault="0087217E" w:rsidP="0087217E">
            <w:pPr>
              <w:rPr>
                <w:color w:val="000000"/>
                <w:sz w:val="18"/>
                <w:szCs w:val="18"/>
              </w:rPr>
            </w:pPr>
            <w:r w:rsidRPr="00B02271">
              <w:rPr>
                <w:color w:val="000000"/>
                <w:sz w:val="18"/>
                <w:szCs w:val="18"/>
              </w:rPr>
              <w:t> </w:t>
            </w:r>
          </w:p>
        </w:tc>
        <w:tc>
          <w:tcPr>
            <w:tcW w:w="1203"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w:t>
            </w:r>
          </w:p>
        </w:tc>
      </w:tr>
      <w:tr w:rsidR="0087217E" w:rsidRPr="00B02271" w:rsidTr="0087217E">
        <w:trPr>
          <w:trHeight w:val="20"/>
        </w:trPr>
        <w:tc>
          <w:tcPr>
            <w:tcW w:w="2491" w:type="pct"/>
            <w:tcBorders>
              <w:top w:val="nil"/>
              <w:left w:val="nil"/>
              <w:bottom w:val="nil"/>
              <w:right w:val="nil"/>
            </w:tcBorders>
            <w:shd w:val="clear" w:color="000000" w:fill="FFFFFF"/>
            <w:vAlign w:val="center"/>
            <w:hideMark/>
          </w:tcPr>
          <w:p w:rsidR="0087217E" w:rsidRPr="00B02271" w:rsidRDefault="0087217E" w:rsidP="0087217E">
            <w:pPr>
              <w:rPr>
                <w:color w:val="000000"/>
                <w:sz w:val="18"/>
                <w:szCs w:val="18"/>
              </w:rPr>
            </w:pPr>
            <w:r w:rsidRPr="00B02271">
              <w:rPr>
                <w:color w:val="000000"/>
                <w:sz w:val="18"/>
                <w:szCs w:val="18"/>
              </w:rPr>
              <w:t>Despesa Financeira</w:t>
            </w:r>
          </w:p>
        </w:tc>
        <w:tc>
          <w:tcPr>
            <w:tcW w:w="1166"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w:t>
            </w:r>
          </w:p>
        </w:tc>
        <w:tc>
          <w:tcPr>
            <w:tcW w:w="141" w:type="pct"/>
            <w:tcBorders>
              <w:top w:val="nil"/>
              <w:left w:val="nil"/>
              <w:bottom w:val="nil"/>
              <w:right w:val="nil"/>
            </w:tcBorders>
            <w:shd w:val="clear" w:color="000000" w:fill="FFFFFF"/>
            <w:vAlign w:val="center"/>
            <w:hideMark/>
          </w:tcPr>
          <w:p w:rsidR="0087217E" w:rsidRPr="00B02271" w:rsidRDefault="0087217E" w:rsidP="0087217E">
            <w:pPr>
              <w:rPr>
                <w:color w:val="000000"/>
                <w:sz w:val="18"/>
                <w:szCs w:val="18"/>
              </w:rPr>
            </w:pPr>
            <w:r w:rsidRPr="00B02271">
              <w:rPr>
                <w:color w:val="000000"/>
                <w:sz w:val="18"/>
                <w:szCs w:val="18"/>
              </w:rPr>
              <w:t> </w:t>
            </w:r>
          </w:p>
        </w:tc>
        <w:tc>
          <w:tcPr>
            <w:tcW w:w="1203"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w:t>
            </w:r>
          </w:p>
        </w:tc>
      </w:tr>
      <w:tr w:rsidR="0087217E" w:rsidRPr="00B02271" w:rsidTr="0087217E">
        <w:trPr>
          <w:trHeight w:val="20"/>
        </w:trPr>
        <w:tc>
          <w:tcPr>
            <w:tcW w:w="2491" w:type="pct"/>
            <w:tcBorders>
              <w:top w:val="nil"/>
              <w:left w:val="nil"/>
              <w:bottom w:val="nil"/>
              <w:right w:val="nil"/>
            </w:tcBorders>
            <w:shd w:val="clear" w:color="000000" w:fill="FFFFFF"/>
            <w:vAlign w:val="center"/>
            <w:hideMark/>
          </w:tcPr>
          <w:p w:rsidR="0087217E" w:rsidRPr="00B02271" w:rsidRDefault="000E2743" w:rsidP="0087217E">
            <w:pPr>
              <w:rPr>
                <w:color w:val="000000"/>
                <w:sz w:val="18"/>
                <w:szCs w:val="18"/>
              </w:rPr>
            </w:pPr>
            <w:r w:rsidRPr="00B02271">
              <w:rPr>
                <w:color w:val="000000"/>
                <w:sz w:val="18"/>
                <w:szCs w:val="18"/>
              </w:rPr>
              <w:t xml:space="preserve">   </w:t>
            </w:r>
            <w:r w:rsidR="0087217E" w:rsidRPr="00B02271">
              <w:rPr>
                <w:color w:val="000000"/>
                <w:sz w:val="18"/>
                <w:szCs w:val="18"/>
              </w:rPr>
              <w:t>Juros sobre TSP e Multas</w:t>
            </w:r>
          </w:p>
        </w:tc>
        <w:tc>
          <w:tcPr>
            <w:tcW w:w="1166"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xml:space="preserve">                 (1.903)</w:t>
            </w:r>
          </w:p>
        </w:tc>
        <w:tc>
          <w:tcPr>
            <w:tcW w:w="141" w:type="pct"/>
            <w:tcBorders>
              <w:top w:val="nil"/>
              <w:left w:val="nil"/>
              <w:bottom w:val="nil"/>
              <w:right w:val="nil"/>
            </w:tcBorders>
            <w:shd w:val="clear" w:color="000000" w:fill="FFFFFF"/>
            <w:vAlign w:val="center"/>
            <w:hideMark/>
          </w:tcPr>
          <w:p w:rsidR="0087217E" w:rsidRPr="00B02271" w:rsidRDefault="0087217E" w:rsidP="0087217E">
            <w:pPr>
              <w:rPr>
                <w:color w:val="000000"/>
                <w:sz w:val="18"/>
                <w:szCs w:val="18"/>
              </w:rPr>
            </w:pPr>
            <w:r w:rsidRPr="00B02271">
              <w:rPr>
                <w:color w:val="000000"/>
                <w:sz w:val="18"/>
                <w:szCs w:val="18"/>
              </w:rPr>
              <w:t> </w:t>
            </w:r>
          </w:p>
        </w:tc>
        <w:tc>
          <w:tcPr>
            <w:tcW w:w="1203"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xml:space="preserve">                  (2.897)</w:t>
            </w:r>
          </w:p>
        </w:tc>
      </w:tr>
      <w:tr w:rsidR="0087217E" w:rsidRPr="00B02271" w:rsidTr="0087217E">
        <w:trPr>
          <w:trHeight w:val="20"/>
        </w:trPr>
        <w:tc>
          <w:tcPr>
            <w:tcW w:w="2491" w:type="pct"/>
            <w:tcBorders>
              <w:top w:val="nil"/>
              <w:left w:val="nil"/>
              <w:bottom w:val="nil"/>
              <w:right w:val="nil"/>
            </w:tcBorders>
            <w:shd w:val="clear" w:color="000000" w:fill="FFFFFF"/>
            <w:vAlign w:val="center"/>
            <w:hideMark/>
          </w:tcPr>
          <w:p w:rsidR="0087217E" w:rsidRPr="00B02271" w:rsidRDefault="000E2743" w:rsidP="0087217E">
            <w:pPr>
              <w:rPr>
                <w:color w:val="000000"/>
                <w:sz w:val="18"/>
                <w:szCs w:val="18"/>
              </w:rPr>
            </w:pPr>
            <w:r w:rsidRPr="00B02271">
              <w:rPr>
                <w:color w:val="000000"/>
                <w:sz w:val="18"/>
                <w:szCs w:val="18"/>
              </w:rPr>
              <w:t xml:space="preserve">   </w:t>
            </w:r>
            <w:r w:rsidR="0087217E" w:rsidRPr="00B02271">
              <w:rPr>
                <w:color w:val="000000"/>
                <w:sz w:val="18"/>
                <w:szCs w:val="18"/>
              </w:rPr>
              <w:t>Variação Cambial</w:t>
            </w:r>
          </w:p>
        </w:tc>
        <w:tc>
          <w:tcPr>
            <w:tcW w:w="1166"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xml:space="preserve">                    (698)</w:t>
            </w:r>
          </w:p>
        </w:tc>
        <w:tc>
          <w:tcPr>
            <w:tcW w:w="141" w:type="pct"/>
            <w:tcBorders>
              <w:top w:val="nil"/>
              <w:left w:val="nil"/>
              <w:bottom w:val="nil"/>
              <w:right w:val="nil"/>
            </w:tcBorders>
            <w:shd w:val="clear" w:color="000000" w:fill="FFFFFF"/>
            <w:vAlign w:val="center"/>
            <w:hideMark/>
          </w:tcPr>
          <w:p w:rsidR="0087217E" w:rsidRPr="00B02271" w:rsidRDefault="0087217E" w:rsidP="0087217E">
            <w:pPr>
              <w:rPr>
                <w:color w:val="000000"/>
                <w:sz w:val="18"/>
                <w:szCs w:val="18"/>
              </w:rPr>
            </w:pPr>
            <w:r w:rsidRPr="00B02271">
              <w:rPr>
                <w:color w:val="000000"/>
                <w:sz w:val="18"/>
                <w:szCs w:val="18"/>
              </w:rPr>
              <w:t> </w:t>
            </w:r>
          </w:p>
        </w:tc>
        <w:tc>
          <w:tcPr>
            <w:tcW w:w="1203"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xml:space="preserve">                  (2.671)</w:t>
            </w:r>
          </w:p>
        </w:tc>
      </w:tr>
      <w:tr w:rsidR="0087217E" w:rsidRPr="00B02271" w:rsidTr="0087217E">
        <w:trPr>
          <w:trHeight w:val="20"/>
        </w:trPr>
        <w:tc>
          <w:tcPr>
            <w:tcW w:w="2491" w:type="pct"/>
            <w:tcBorders>
              <w:top w:val="nil"/>
              <w:left w:val="nil"/>
              <w:bottom w:val="nil"/>
              <w:right w:val="nil"/>
            </w:tcBorders>
            <w:shd w:val="clear" w:color="000000" w:fill="FFFFFF"/>
            <w:vAlign w:val="center"/>
            <w:hideMark/>
          </w:tcPr>
          <w:p w:rsidR="0087217E" w:rsidRPr="00B02271" w:rsidRDefault="000E2743" w:rsidP="0087217E">
            <w:pPr>
              <w:rPr>
                <w:color w:val="000000"/>
                <w:sz w:val="18"/>
                <w:szCs w:val="18"/>
              </w:rPr>
            </w:pPr>
            <w:r w:rsidRPr="00B02271">
              <w:rPr>
                <w:color w:val="000000"/>
                <w:sz w:val="18"/>
                <w:szCs w:val="18"/>
              </w:rPr>
              <w:t xml:space="preserve">   </w:t>
            </w:r>
            <w:r w:rsidR="0087217E" w:rsidRPr="00B02271">
              <w:rPr>
                <w:color w:val="000000"/>
                <w:sz w:val="18"/>
                <w:szCs w:val="18"/>
              </w:rPr>
              <w:t xml:space="preserve">Correção Monetária </w:t>
            </w:r>
            <w:r w:rsidR="00995D7A" w:rsidRPr="00B02271">
              <w:rPr>
                <w:color w:val="000000"/>
                <w:sz w:val="18"/>
                <w:szCs w:val="18"/>
              </w:rPr>
              <w:t>AFAC</w:t>
            </w:r>
          </w:p>
        </w:tc>
        <w:tc>
          <w:tcPr>
            <w:tcW w:w="1166" w:type="pct"/>
            <w:tcBorders>
              <w:top w:val="nil"/>
              <w:left w:val="nil"/>
              <w:bottom w:val="nil"/>
              <w:right w:val="nil"/>
            </w:tcBorders>
            <w:shd w:val="clear" w:color="000000" w:fill="FFFFFF"/>
            <w:vAlign w:val="center"/>
            <w:hideMark/>
          </w:tcPr>
          <w:p w:rsidR="0087217E" w:rsidRPr="00B02271" w:rsidRDefault="0087217E" w:rsidP="00225CEC">
            <w:pPr>
              <w:jc w:val="right"/>
              <w:rPr>
                <w:color w:val="000000"/>
                <w:sz w:val="18"/>
                <w:szCs w:val="18"/>
              </w:rPr>
            </w:pPr>
            <w:r w:rsidRPr="00B02271">
              <w:rPr>
                <w:color w:val="000000"/>
                <w:sz w:val="18"/>
                <w:szCs w:val="18"/>
              </w:rPr>
              <w:t xml:space="preserve">             (</w:t>
            </w:r>
            <w:r w:rsidR="00225CEC">
              <w:rPr>
                <w:color w:val="000000"/>
                <w:sz w:val="18"/>
                <w:szCs w:val="18"/>
              </w:rPr>
              <w:t>127.102</w:t>
            </w:r>
            <w:r w:rsidRPr="00B02271">
              <w:rPr>
                <w:color w:val="000000"/>
                <w:sz w:val="18"/>
                <w:szCs w:val="18"/>
              </w:rPr>
              <w:t>)</w:t>
            </w:r>
          </w:p>
        </w:tc>
        <w:tc>
          <w:tcPr>
            <w:tcW w:w="141" w:type="pct"/>
            <w:tcBorders>
              <w:top w:val="nil"/>
              <w:left w:val="nil"/>
              <w:bottom w:val="nil"/>
              <w:right w:val="nil"/>
            </w:tcBorders>
            <w:shd w:val="clear" w:color="000000" w:fill="FFFFFF"/>
            <w:vAlign w:val="center"/>
            <w:hideMark/>
          </w:tcPr>
          <w:p w:rsidR="0087217E" w:rsidRPr="00B02271" w:rsidRDefault="0087217E" w:rsidP="0087217E">
            <w:pPr>
              <w:rPr>
                <w:color w:val="000000"/>
                <w:sz w:val="18"/>
                <w:szCs w:val="18"/>
              </w:rPr>
            </w:pPr>
            <w:r w:rsidRPr="00B02271">
              <w:rPr>
                <w:color w:val="000000"/>
                <w:sz w:val="18"/>
                <w:szCs w:val="18"/>
              </w:rPr>
              <w:t> </w:t>
            </w:r>
          </w:p>
        </w:tc>
        <w:tc>
          <w:tcPr>
            <w:tcW w:w="1203"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xml:space="preserve">                         -   </w:t>
            </w:r>
          </w:p>
        </w:tc>
      </w:tr>
      <w:tr w:rsidR="0087217E" w:rsidRPr="00B02271" w:rsidTr="0087217E">
        <w:trPr>
          <w:trHeight w:val="20"/>
        </w:trPr>
        <w:tc>
          <w:tcPr>
            <w:tcW w:w="2491" w:type="pct"/>
            <w:tcBorders>
              <w:top w:val="nil"/>
              <w:left w:val="nil"/>
              <w:bottom w:val="nil"/>
              <w:right w:val="nil"/>
            </w:tcBorders>
            <w:shd w:val="clear" w:color="000000" w:fill="FFFFFF"/>
            <w:vAlign w:val="center"/>
            <w:hideMark/>
          </w:tcPr>
          <w:p w:rsidR="0087217E" w:rsidRPr="00B02271" w:rsidRDefault="0087217E" w:rsidP="0087217E">
            <w:pPr>
              <w:rPr>
                <w:color w:val="000000"/>
                <w:sz w:val="18"/>
                <w:szCs w:val="18"/>
              </w:rPr>
            </w:pPr>
            <w:r w:rsidRPr="00B02271">
              <w:rPr>
                <w:color w:val="000000"/>
                <w:sz w:val="18"/>
                <w:szCs w:val="18"/>
              </w:rPr>
              <w:t> </w:t>
            </w:r>
          </w:p>
        </w:tc>
        <w:tc>
          <w:tcPr>
            <w:tcW w:w="1166" w:type="pct"/>
            <w:tcBorders>
              <w:top w:val="single" w:sz="8" w:space="0" w:color="auto"/>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w:t>
            </w:r>
          </w:p>
        </w:tc>
        <w:tc>
          <w:tcPr>
            <w:tcW w:w="141" w:type="pct"/>
            <w:tcBorders>
              <w:top w:val="nil"/>
              <w:left w:val="nil"/>
              <w:bottom w:val="nil"/>
              <w:right w:val="nil"/>
            </w:tcBorders>
            <w:shd w:val="clear" w:color="000000" w:fill="FFFFFF"/>
            <w:vAlign w:val="center"/>
            <w:hideMark/>
          </w:tcPr>
          <w:p w:rsidR="0087217E" w:rsidRPr="00B02271" w:rsidRDefault="0087217E" w:rsidP="0087217E">
            <w:pPr>
              <w:rPr>
                <w:color w:val="000000"/>
                <w:sz w:val="18"/>
                <w:szCs w:val="18"/>
              </w:rPr>
            </w:pPr>
            <w:r w:rsidRPr="00B02271">
              <w:rPr>
                <w:color w:val="000000"/>
                <w:sz w:val="18"/>
                <w:szCs w:val="18"/>
              </w:rPr>
              <w:t> </w:t>
            </w:r>
          </w:p>
        </w:tc>
        <w:tc>
          <w:tcPr>
            <w:tcW w:w="1203" w:type="pct"/>
            <w:tcBorders>
              <w:top w:val="single" w:sz="8" w:space="0" w:color="auto"/>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w:t>
            </w:r>
          </w:p>
        </w:tc>
      </w:tr>
      <w:tr w:rsidR="0087217E" w:rsidRPr="00B02271" w:rsidTr="0087217E">
        <w:trPr>
          <w:trHeight w:val="20"/>
        </w:trPr>
        <w:tc>
          <w:tcPr>
            <w:tcW w:w="2491" w:type="pct"/>
            <w:tcBorders>
              <w:top w:val="nil"/>
              <w:left w:val="nil"/>
              <w:bottom w:val="nil"/>
              <w:right w:val="nil"/>
            </w:tcBorders>
            <w:shd w:val="clear" w:color="000000" w:fill="FFFFFF"/>
            <w:vAlign w:val="center"/>
            <w:hideMark/>
          </w:tcPr>
          <w:p w:rsidR="0087217E" w:rsidRPr="00B02271" w:rsidRDefault="0087217E" w:rsidP="0087217E">
            <w:pPr>
              <w:rPr>
                <w:b/>
                <w:bCs/>
                <w:color w:val="000000"/>
                <w:sz w:val="18"/>
                <w:szCs w:val="18"/>
              </w:rPr>
            </w:pPr>
            <w:r w:rsidRPr="00B02271">
              <w:rPr>
                <w:b/>
                <w:bCs/>
                <w:color w:val="000000"/>
                <w:sz w:val="18"/>
                <w:szCs w:val="18"/>
              </w:rPr>
              <w:t>Total Despesa Financeira</w:t>
            </w:r>
          </w:p>
        </w:tc>
        <w:tc>
          <w:tcPr>
            <w:tcW w:w="1166" w:type="pct"/>
            <w:tcBorders>
              <w:top w:val="nil"/>
              <w:left w:val="nil"/>
              <w:bottom w:val="single" w:sz="8" w:space="0" w:color="auto"/>
              <w:right w:val="nil"/>
            </w:tcBorders>
            <w:shd w:val="clear" w:color="000000" w:fill="FFFFFF"/>
            <w:vAlign w:val="center"/>
            <w:hideMark/>
          </w:tcPr>
          <w:p w:rsidR="0087217E" w:rsidRPr="00B02271" w:rsidRDefault="0087217E" w:rsidP="00225CEC">
            <w:pPr>
              <w:jc w:val="right"/>
              <w:rPr>
                <w:b/>
                <w:bCs/>
                <w:color w:val="000000"/>
                <w:sz w:val="18"/>
                <w:szCs w:val="18"/>
              </w:rPr>
            </w:pPr>
            <w:r w:rsidRPr="00B02271">
              <w:rPr>
                <w:b/>
                <w:bCs/>
                <w:color w:val="000000"/>
                <w:sz w:val="18"/>
                <w:szCs w:val="18"/>
              </w:rPr>
              <w:t xml:space="preserve">           (</w:t>
            </w:r>
            <w:r w:rsidR="00225CEC">
              <w:rPr>
                <w:b/>
                <w:bCs/>
                <w:color w:val="000000"/>
                <w:sz w:val="18"/>
                <w:szCs w:val="18"/>
              </w:rPr>
              <w:t>129.703</w:t>
            </w:r>
            <w:r w:rsidRPr="00B02271">
              <w:rPr>
                <w:b/>
                <w:bCs/>
                <w:color w:val="000000"/>
                <w:sz w:val="18"/>
                <w:szCs w:val="18"/>
              </w:rPr>
              <w:t>)</w:t>
            </w:r>
          </w:p>
        </w:tc>
        <w:tc>
          <w:tcPr>
            <w:tcW w:w="141" w:type="pct"/>
            <w:tcBorders>
              <w:top w:val="nil"/>
              <w:left w:val="nil"/>
              <w:bottom w:val="nil"/>
              <w:right w:val="nil"/>
            </w:tcBorders>
            <w:shd w:val="clear" w:color="000000" w:fill="FFFFFF"/>
            <w:vAlign w:val="center"/>
            <w:hideMark/>
          </w:tcPr>
          <w:p w:rsidR="0087217E" w:rsidRPr="00B02271" w:rsidRDefault="0087217E" w:rsidP="0087217E">
            <w:pPr>
              <w:rPr>
                <w:b/>
                <w:bCs/>
                <w:color w:val="000000"/>
                <w:sz w:val="18"/>
                <w:szCs w:val="18"/>
              </w:rPr>
            </w:pPr>
            <w:r w:rsidRPr="00B02271">
              <w:rPr>
                <w:b/>
                <w:bCs/>
                <w:color w:val="000000"/>
                <w:sz w:val="18"/>
                <w:szCs w:val="18"/>
              </w:rPr>
              <w:t> </w:t>
            </w:r>
          </w:p>
        </w:tc>
        <w:tc>
          <w:tcPr>
            <w:tcW w:w="1203" w:type="pct"/>
            <w:tcBorders>
              <w:top w:val="nil"/>
              <w:left w:val="nil"/>
              <w:bottom w:val="single" w:sz="8" w:space="0" w:color="auto"/>
              <w:right w:val="nil"/>
            </w:tcBorders>
            <w:shd w:val="clear" w:color="000000" w:fill="FFFFFF"/>
            <w:vAlign w:val="center"/>
            <w:hideMark/>
          </w:tcPr>
          <w:p w:rsidR="0087217E" w:rsidRPr="00B02271" w:rsidRDefault="0087217E" w:rsidP="0087217E">
            <w:pPr>
              <w:jc w:val="right"/>
              <w:rPr>
                <w:b/>
                <w:bCs/>
                <w:color w:val="000000"/>
                <w:sz w:val="18"/>
                <w:szCs w:val="18"/>
              </w:rPr>
            </w:pPr>
            <w:r w:rsidRPr="00B02271">
              <w:rPr>
                <w:b/>
                <w:bCs/>
                <w:color w:val="000000"/>
                <w:sz w:val="18"/>
                <w:szCs w:val="18"/>
              </w:rPr>
              <w:t xml:space="preserve">                (5.568)</w:t>
            </w:r>
          </w:p>
        </w:tc>
      </w:tr>
      <w:tr w:rsidR="0087217E" w:rsidRPr="00B02271" w:rsidTr="0087217E">
        <w:trPr>
          <w:trHeight w:val="20"/>
        </w:trPr>
        <w:tc>
          <w:tcPr>
            <w:tcW w:w="2491" w:type="pct"/>
            <w:tcBorders>
              <w:top w:val="nil"/>
              <w:left w:val="nil"/>
              <w:bottom w:val="nil"/>
              <w:right w:val="nil"/>
            </w:tcBorders>
            <w:shd w:val="clear" w:color="000000" w:fill="FFFFFF"/>
            <w:vAlign w:val="center"/>
            <w:hideMark/>
          </w:tcPr>
          <w:p w:rsidR="0087217E" w:rsidRPr="00B02271" w:rsidRDefault="0087217E" w:rsidP="0087217E">
            <w:pPr>
              <w:rPr>
                <w:color w:val="000000"/>
                <w:sz w:val="18"/>
                <w:szCs w:val="18"/>
              </w:rPr>
            </w:pPr>
            <w:r w:rsidRPr="00B02271">
              <w:rPr>
                <w:color w:val="000000"/>
                <w:sz w:val="18"/>
                <w:szCs w:val="18"/>
              </w:rPr>
              <w:t> </w:t>
            </w:r>
          </w:p>
        </w:tc>
        <w:tc>
          <w:tcPr>
            <w:tcW w:w="1166"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w:t>
            </w:r>
          </w:p>
        </w:tc>
        <w:tc>
          <w:tcPr>
            <w:tcW w:w="141" w:type="pct"/>
            <w:tcBorders>
              <w:top w:val="nil"/>
              <w:left w:val="nil"/>
              <w:bottom w:val="nil"/>
              <w:right w:val="nil"/>
            </w:tcBorders>
            <w:shd w:val="clear" w:color="000000" w:fill="FFFFFF"/>
            <w:vAlign w:val="center"/>
            <w:hideMark/>
          </w:tcPr>
          <w:p w:rsidR="0087217E" w:rsidRPr="00B02271" w:rsidRDefault="0087217E" w:rsidP="0087217E">
            <w:pPr>
              <w:rPr>
                <w:color w:val="000000"/>
                <w:sz w:val="18"/>
                <w:szCs w:val="18"/>
              </w:rPr>
            </w:pPr>
            <w:r w:rsidRPr="00B02271">
              <w:rPr>
                <w:color w:val="000000"/>
                <w:sz w:val="18"/>
                <w:szCs w:val="18"/>
              </w:rPr>
              <w:t> </w:t>
            </w:r>
          </w:p>
        </w:tc>
        <w:tc>
          <w:tcPr>
            <w:tcW w:w="1203" w:type="pct"/>
            <w:tcBorders>
              <w:top w:val="nil"/>
              <w:left w:val="nil"/>
              <w:bottom w:val="nil"/>
              <w:right w:val="nil"/>
            </w:tcBorders>
            <w:shd w:val="clear" w:color="000000" w:fill="FFFFFF"/>
            <w:vAlign w:val="center"/>
            <w:hideMark/>
          </w:tcPr>
          <w:p w:rsidR="0087217E" w:rsidRPr="00B02271" w:rsidRDefault="0087217E" w:rsidP="0087217E">
            <w:pPr>
              <w:jc w:val="right"/>
              <w:rPr>
                <w:color w:val="000000"/>
                <w:sz w:val="18"/>
                <w:szCs w:val="18"/>
              </w:rPr>
            </w:pPr>
            <w:r w:rsidRPr="00B02271">
              <w:rPr>
                <w:color w:val="000000"/>
                <w:sz w:val="18"/>
                <w:szCs w:val="18"/>
              </w:rPr>
              <w:t> </w:t>
            </w:r>
          </w:p>
        </w:tc>
      </w:tr>
      <w:tr w:rsidR="0087217E" w:rsidRPr="00B02271" w:rsidTr="0087217E">
        <w:trPr>
          <w:trHeight w:val="20"/>
        </w:trPr>
        <w:tc>
          <w:tcPr>
            <w:tcW w:w="2491" w:type="pct"/>
            <w:tcBorders>
              <w:top w:val="nil"/>
              <w:left w:val="nil"/>
              <w:bottom w:val="nil"/>
              <w:right w:val="nil"/>
            </w:tcBorders>
            <w:shd w:val="clear" w:color="000000" w:fill="FFFFFF"/>
            <w:vAlign w:val="center"/>
            <w:hideMark/>
          </w:tcPr>
          <w:p w:rsidR="0087217E" w:rsidRPr="00B02271" w:rsidRDefault="0087217E" w:rsidP="0087217E">
            <w:pPr>
              <w:rPr>
                <w:b/>
                <w:bCs/>
                <w:color w:val="000000"/>
                <w:sz w:val="18"/>
                <w:szCs w:val="18"/>
              </w:rPr>
            </w:pPr>
            <w:r w:rsidRPr="00B02271">
              <w:rPr>
                <w:b/>
                <w:bCs/>
                <w:color w:val="000000"/>
                <w:sz w:val="18"/>
                <w:szCs w:val="18"/>
              </w:rPr>
              <w:t>Saldo Contábil</w:t>
            </w:r>
          </w:p>
        </w:tc>
        <w:tc>
          <w:tcPr>
            <w:tcW w:w="1166" w:type="pct"/>
            <w:tcBorders>
              <w:top w:val="nil"/>
              <w:left w:val="nil"/>
              <w:bottom w:val="double" w:sz="6" w:space="0" w:color="auto"/>
              <w:right w:val="nil"/>
            </w:tcBorders>
            <w:shd w:val="clear" w:color="000000" w:fill="FFFFFF"/>
            <w:vAlign w:val="center"/>
            <w:hideMark/>
          </w:tcPr>
          <w:p w:rsidR="0087217E" w:rsidRPr="00B02271" w:rsidRDefault="00225CEC" w:rsidP="00225CEC">
            <w:pPr>
              <w:jc w:val="right"/>
              <w:rPr>
                <w:b/>
                <w:bCs/>
                <w:color w:val="000000"/>
                <w:sz w:val="18"/>
                <w:szCs w:val="18"/>
              </w:rPr>
            </w:pPr>
            <w:r>
              <w:rPr>
                <w:b/>
                <w:bCs/>
                <w:color w:val="000000"/>
                <w:sz w:val="18"/>
                <w:szCs w:val="18"/>
              </w:rPr>
              <w:t xml:space="preserve">           (127.054</w:t>
            </w:r>
            <w:r w:rsidR="0087217E" w:rsidRPr="00B02271">
              <w:rPr>
                <w:b/>
                <w:bCs/>
                <w:color w:val="000000"/>
                <w:sz w:val="18"/>
                <w:szCs w:val="18"/>
              </w:rPr>
              <w:t>)</w:t>
            </w:r>
          </w:p>
        </w:tc>
        <w:tc>
          <w:tcPr>
            <w:tcW w:w="141" w:type="pct"/>
            <w:tcBorders>
              <w:top w:val="nil"/>
              <w:left w:val="nil"/>
              <w:bottom w:val="nil"/>
              <w:right w:val="nil"/>
            </w:tcBorders>
            <w:shd w:val="clear" w:color="000000" w:fill="FFFFFF"/>
            <w:vAlign w:val="center"/>
            <w:hideMark/>
          </w:tcPr>
          <w:p w:rsidR="0087217E" w:rsidRPr="00B02271" w:rsidRDefault="0087217E" w:rsidP="0087217E">
            <w:pPr>
              <w:rPr>
                <w:b/>
                <w:bCs/>
                <w:color w:val="000000"/>
                <w:sz w:val="18"/>
                <w:szCs w:val="18"/>
              </w:rPr>
            </w:pPr>
            <w:r w:rsidRPr="00B02271">
              <w:rPr>
                <w:b/>
                <w:bCs/>
                <w:color w:val="000000"/>
                <w:sz w:val="18"/>
                <w:szCs w:val="18"/>
              </w:rPr>
              <w:t> </w:t>
            </w:r>
          </w:p>
        </w:tc>
        <w:tc>
          <w:tcPr>
            <w:tcW w:w="1203" w:type="pct"/>
            <w:tcBorders>
              <w:top w:val="nil"/>
              <w:left w:val="nil"/>
              <w:bottom w:val="double" w:sz="6" w:space="0" w:color="auto"/>
              <w:right w:val="nil"/>
            </w:tcBorders>
            <w:shd w:val="clear" w:color="000000" w:fill="FFFFFF"/>
            <w:vAlign w:val="center"/>
            <w:hideMark/>
          </w:tcPr>
          <w:p w:rsidR="0087217E" w:rsidRPr="00B02271" w:rsidRDefault="0087217E" w:rsidP="0087217E">
            <w:pPr>
              <w:jc w:val="right"/>
              <w:rPr>
                <w:b/>
                <w:bCs/>
                <w:color w:val="000000"/>
                <w:sz w:val="18"/>
                <w:szCs w:val="18"/>
              </w:rPr>
            </w:pPr>
            <w:r w:rsidRPr="00B02271">
              <w:rPr>
                <w:b/>
                <w:bCs/>
                <w:color w:val="000000"/>
                <w:sz w:val="18"/>
                <w:szCs w:val="18"/>
              </w:rPr>
              <w:t xml:space="preserve">                (3.298)</w:t>
            </w:r>
          </w:p>
        </w:tc>
      </w:tr>
    </w:tbl>
    <w:p w:rsidR="00B20F98" w:rsidRPr="00FD7B48" w:rsidRDefault="00B20F98" w:rsidP="00B20F98">
      <w:pPr>
        <w:jc w:val="both"/>
      </w:pPr>
    </w:p>
    <w:p w:rsidR="00B20F98" w:rsidRDefault="00B20F98" w:rsidP="00CB1745">
      <w:pPr>
        <w:tabs>
          <w:tab w:val="left" w:pos="851"/>
        </w:tabs>
        <w:jc w:val="both"/>
      </w:pPr>
      <w:r w:rsidRPr="00FD7B48">
        <w:t xml:space="preserve">A receita financeira é reconhecida conforme o prazo decorrido pelo regime de competência, usando o método da taxa efetiva de juros. </w:t>
      </w:r>
    </w:p>
    <w:p w:rsidR="006D786C" w:rsidRDefault="006D786C" w:rsidP="00CB1745">
      <w:pPr>
        <w:tabs>
          <w:tab w:val="left" w:pos="851"/>
        </w:tabs>
        <w:jc w:val="both"/>
      </w:pPr>
    </w:p>
    <w:p w:rsidR="006D786C" w:rsidRDefault="006D786C" w:rsidP="00CB1745">
      <w:pPr>
        <w:tabs>
          <w:tab w:val="left" w:pos="851"/>
        </w:tabs>
        <w:jc w:val="both"/>
      </w:pPr>
      <w:r>
        <w:t xml:space="preserve">O valor de R$ </w:t>
      </w:r>
      <w:r w:rsidR="00414AD5">
        <w:t>(</w:t>
      </w:r>
      <w:r w:rsidR="00225CEC">
        <w:t>127.102</w:t>
      </w:r>
      <w:r w:rsidR="00414AD5">
        <w:t>)</w:t>
      </w:r>
      <w:r>
        <w:t xml:space="preserve"> de correção monetária é referente </w:t>
      </w:r>
      <w:r w:rsidR="00384864">
        <w:t>à</w:t>
      </w:r>
      <w:r>
        <w:t xml:space="preserve"> atualização pela SELIC dos </w:t>
      </w:r>
      <w:r w:rsidR="0068440C">
        <w:t>repasses</w:t>
      </w:r>
      <w:r>
        <w:t xml:space="preserve"> recebidos para </w:t>
      </w:r>
      <w:r w:rsidR="0068440C">
        <w:t xml:space="preserve">Investimentos, registrados como </w:t>
      </w:r>
      <w:proofErr w:type="gramStart"/>
      <w:r w:rsidR="0068440C">
        <w:t>Adiantamento para Futuro Aumento</w:t>
      </w:r>
      <w:proofErr w:type="gramEnd"/>
      <w:r w:rsidR="0068440C">
        <w:t xml:space="preserve"> de Capital (AFAC)</w:t>
      </w:r>
      <w:r w:rsidR="00384864">
        <w:t xml:space="preserve"> (Nota nº 14)</w:t>
      </w:r>
      <w:r w:rsidR="0068440C">
        <w:t>.</w:t>
      </w:r>
    </w:p>
    <w:p w:rsidR="00ED4D37" w:rsidRPr="00FD7B48" w:rsidRDefault="00ED4D37" w:rsidP="00CB1745">
      <w:pPr>
        <w:tabs>
          <w:tab w:val="left" w:pos="851"/>
        </w:tabs>
        <w:jc w:val="both"/>
      </w:pPr>
    </w:p>
    <w:p w:rsidR="001045BD" w:rsidRPr="0087217E" w:rsidRDefault="001045BD" w:rsidP="001045BD">
      <w:pPr>
        <w:pStyle w:val="Ttulo"/>
        <w:outlineLvl w:val="0"/>
      </w:pPr>
      <w:bookmarkStart w:id="68" w:name="_Toc512497288"/>
      <w:r w:rsidRPr="0087217E">
        <w:lastRenderedPageBreak/>
        <w:t>Seguros de Riscos</w:t>
      </w:r>
      <w:bookmarkEnd w:id="68"/>
    </w:p>
    <w:p w:rsidR="001045BD" w:rsidRPr="00FD7B48" w:rsidRDefault="001045BD" w:rsidP="001045BD">
      <w:pPr>
        <w:tabs>
          <w:tab w:val="left" w:pos="851"/>
        </w:tabs>
        <w:jc w:val="both"/>
      </w:pPr>
    </w:p>
    <w:p w:rsidR="008602D8" w:rsidRPr="00CA2680" w:rsidRDefault="008602D8" w:rsidP="008602D8">
      <w:pPr>
        <w:tabs>
          <w:tab w:val="left" w:pos="851"/>
        </w:tabs>
        <w:jc w:val="both"/>
      </w:pPr>
      <w:r w:rsidRPr="00CA2680">
        <w:t>Incêndio Vultoso e Riscos Nomeados:</w:t>
      </w:r>
    </w:p>
    <w:p w:rsidR="008602D8" w:rsidRPr="00CA2680" w:rsidRDefault="008602D8" w:rsidP="008602D8">
      <w:pPr>
        <w:tabs>
          <w:tab w:val="left" w:pos="851"/>
        </w:tabs>
        <w:jc w:val="both"/>
      </w:pPr>
      <w:r w:rsidRPr="00CA2680">
        <w:t xml:space="preserve">A cobertura garante o pagamento de indenização pelos prejuízos de incêndio, queda de raio, explosão de qualquer natureza, e outros riscos nomeados na apólice para os imóveis, construções em andamento, instalações, mercadorias, máquinas e equipamentos, móveis e utensílios e bens de terceiros em poder do HCPA. A </w:t>
      </w:r>
      <w:r w:rsidRPr="00F05BE3">
        <w:t>importância segurada é de R$ 320.408 e a vigência da apólice é de 01 de junho de 2017 a 01 de junho de 2018.</w:t>
      </w:r>
    </w:p>
    <w:p w:rsidR="008602D8" w:rsidRPr="00CA2680" w:rsidRDefault="008602D8" w:rsidP="008602D8">
      <w:pPr>
        <w:tabs>
          <w:tab w:val="left" w:pos="851"/>
        </w:tabs>
        <w:jc w:val="both"/>
      </w:pPr>
    </w:p>
    <w:p w:rsidR="008602D8" w:rsidRPr="00CA2680" w:rsidRDefault="008602D8" w:rsidP="008602D8">
      <w:pPr>
        <w:tabs>
          <w:tab w:val="left" w:pos="851"/>
        </w:tabs>
        <w:jc w:val="both"/>
      </w:pPr>
      <w:r w:rsidRPr="00CA2680">
        <w:t>Responsabilidade Civil:</w:t>
      </w:r>
    </w:p>
    <w:p w:rsidR="000361F7" w:rsidRPr="00F13494" w:rsidRDefault="008602D8" w:rsidP="000361F7">
      <w:pPr>
        <w:tabs>
          <w:tab w:val="left" w:pos="851"/>
        </w:tabs>
        <w:jc w:val="both"/>
        <w:rPr>
          <w:color w:val="FF0000"/>
        </w:rPr>
      </w:pPr>
      <w:r w:rsidRPr="00F05BE3">
        <w:t>Cobertura garantindo pagamento de indenização de Responsabilidade Civil com vigência de 01 de junho de 2017 a 01 de junho de 2018. A importância segurada é de R$ 13.277</w:t>
      </w:r>
      <w:r w:rsidR="00534046">
        <w:t>.</w:t>
      </w:r>
    </w:p>
    <w:p w:rsidR="008602D8" w:rsidRDefault="008602D8" w:rsidP="008602D8">
      <w:pPr>
        <w:tabs>
          <w:tab w:val="left" w:pos="851"/>
        </w:tabs>
        <w:jc w:val="both"/>
      </w:pPr>
    </w:p>
    <w:p w:rsidR="00104128" w:rsidRDefault="00104128" w:rsidP="008602D8">
      <w:pPr>
        <w:tabs>
          <w:tab w:val="left" w:pos="851"/>
        </w:tabs>
        <w:jc w:val="both"/>
      </w:pPr>
    </w:p>
    <w:p w:rsidR="0053510B" w:rsidRPr="0087217E" w:rsidRDefault="0053510B" w:rsidP="0053510B">
      <w:pPr>
        <w:pStyle w:val="Ttulo"/>
        <w:tabs>
          <w:tab w:val="left" w:pos="851"/>
        </w:tabs>
        <w:jc w:val="both"/>
        <w:outlineLvl w:val="0"/>
      </w:pPr>
      <w:bookmarkStart w:id="69" w:name="_Toc512497289"/>
      <w:bookmarkStart w:id="70" w:name="_Toc504556118"/>
      <w:r w:rsidRPr="0087217E">
        <w:t>Conciliação das Demonstrações Financeiras com Base na Lei nº 6.404/76 e lei nº 4.320/64</w:t>
      </w:r>
      <w:bookmarkEnd w:id="69"/>
      <w:r w:rsidRPr="0087217E">
        <w:t xml:space="preserve"> </w:t>
      </w:r>
      <w:bookmarkEnd w:id="70"/>
    </w:p>
    <w:p w:rsidR="0053510B" w:rsidRPr="00FD7B48" w:rsidRDefault="0053510B" w:rsidP="0053510B"/>
    <w:p w:rsidR="0053510B" w:rsidRPr="00FD7B48" w:rsidRDefault="0053510B" w:rsidP="0053510B">
      <w:pPr>
        <w:tabs>
          <w:tab w:val="left" w:pos="851"/>
        </w:tabs>
        <w:jc w:val="both"/>
      </w:pPr>
      <w:r w:rsidRPr="00FD7B48">
        <w:t xml:space="preserve">O Hospital de Clínicas de Porto Alegre é uma empresa pública de direito privado sujeita às disposições da Lei nº 6.404/76 e </w:t>
      </w:r>
      <w:r w:rsidR="00093A03">
        <w:t>a</w:t>
      </w:r>
      <w:r w:rsidRPr="00FD7B48">
        <w:t xml:space="preserve">s mudanças impostas pela Lei nº 11.638/07 para fins contábeis e societários. Segundo a Lei de responsabilidade Fiscal (LRF), a Instituição é considerada estatal dependente, vinculada ao Ministério da Educação que, por determinação legal, utiliza o sistema de Administração Financeira Federal (SIAFI), na modalidade total, para registro </w:t>
      </w:r>
      <w:r>
        <w:t>de</w:t>
      </w:r>
      <w:r w:rsidRPr="00FD7B48">
        <w:t xml:space="preserve"> sua execução orçamentária, financeira e patrimonial</w:t>
      </w:r>
      <w:r>
        <w:t>, cuja base é a Lei nº 4.320/94</w:t>
      </w:r>
      <w:r w:rsidRPr="00FD7B48">
        <w:t>.</w:t>
      </w:r>
    </w:p>
    <w:p w:rsidR="0053510B" w:rsidRPr="00FD7B48" w:rsidRDefault="0053510B" w:rsidP="0053510B">
      <w:pPr>
        <w:tabs>
          <w:tab w:val="left" w:pos="851"/>
        </w:tabs>
        <w:jc w:val="both"/>
      </w:pPr>
      <w:r w:rsidRPr="00FD7B48">
        <w:t>No quadro abaixo demonstra</w:t>
      </w:r>
      <w:r w:rsidR="00AC057B">
        <w:t>-se</w:t>
      </w:r>
      <w:r>
        <w:t xml:space="preserve"> os valores do exercício de 2017</w:t>
      </w:r>
      <w:r w:rsidRPr="00FD7B48">
        <w:t xml:space="preserve"> que compõe</w:t>
      </w:r>
      <w:r w:rsidR="00093A03">
        <w:t>m</w:t>
      </w:r>
      <w:r w:rsidRPr="00FD7B48">
        <w:t xml:space="preserve"> a contabilização em cada uma das Leis mencionadas.</w:t>
      </w:r>
    </w:p>
    <w:p w:rsidR="0053510B" w:rsidRDefault="0053510B" w:rsidP="0053510B">
      <w:pPr>
        <w:tabs>
          <w:tab w:val="left" w:pos="851"/>
        </w:tabs>
        <w:jc w:val="both"/>
      </w:pPr>
    </w:p>
    <w:p w:rsidR="0053510B" w:rsidRPr="00EC487F" w:rsidRDefault="0053510B" w:rsidP="0053510B">
      <w:pPr>
        <w:tabs>
          <w:tab w:val="left" w:pos="851"/>
        </w:tabs>
        <w:jc w:val="both"/>
        <w:rPr>
          <w:b/>
        </w:rPr>
      </w:pPr>
      <w:r w:rsidRPr="00EC487F">
        <w:rPr>
          <w:b/>
        </w:rPr>
        <w:t>Balanço Patrimonial</w:t>
      </w:r>
    </w:p>
    <w:p w:rsidR="0053510B" w:rsidRPr="00EC487F" w:rsidRDefault="0053510B" w:rsidP="0053510B">
      <w:pPr>
        <w:tabs>
          <w:tab w:val="left" w:pos="851"/>
        </w:tabs>
        <w:jc w:val="both"/>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143"/>
        <w:gridCol w:w="1537"/>
        <w:gridCol w:w="387"/>
        <w:gridCol w:w="1445"/>
        <w:gridCol w:w="479"/>
        <w:gridCol w:w="1297"/>
      </w:tblGrid>
      <w:tr w:rsidR="0053510B" w:rsidRPr="00565F14" w:rsidTr="00523A96">
        <w:trPr>
          <w:trHeight w:val="227"/>
        </w:trPr>
        <w:tc>
          <w:tcPr>
            <w:tcW w:w="2230" w:type="pct"/>
            <w:noWrap/>
          </w:tcPr>
          <w:p w:rsidR="0053510B" w:rsidRPr="00565F14" w:rsidRDefault="0053510B" w:rsidP="006D786C">
            <w:pPr>
              <w:rPr>
                <w:b/>
                <w:sz w:val="18"/>
                <w:szCs w:val="18"/>
              </w:rPr>
            </w:pPr>
            <w:r w:rsidRPr="00565F14">
              <w:rPr>
                <w:b/>
                <w:sz w:val="18"/>
                <w:szCs w:val="18"/>
              </w:rPr>
              <w:t>Ativo</w:t>
            </w:r>
          </w:p>
        </w:tc>
        <w:tc>
          <w:tcPr>
            <w:tcW w:w="827" w:type="pct"/>
            <w:tcBorders>
              <w:bottom w:val="single" w:sz="4" w:space="0" w:color="auto"/>
            </w:tcBorders>
          </w:tcPr>
          <w:p w:rsidR="0053510B" w:rsidRPr="00565F14" w:rsidRDefault="0053510B" w:rsidP="006D786C">
            <w:pPr>
              <w:widowControl w:val="0"/>
              <w:suppressLineNumbers/>
              <w:suppressAutoHyphens/>
              <w:spacing w:line="230" w:lineRule="auto"/>
              <w:jc w:val="right"/>
              <w:rPr>
                <w:b/>
                <w:sz w:val="18"/>
                <w:szCs w:val="18"/>
              </w:rPr>
            </w:pPr>
            <w:r w:rsidRPr="00565F14">
              <w:rPr>
                <w:b/>
                <w:sz w:val="18"/>
                <w:szCs w:val="18"/>
              </w:rPr>
              <w:t>6.404/76</w:t>
            </w:r>
          </w:p>
        </w:tc>
        <w:tc>
          <w:tcPr>
            <w:tcW w:w="208" w:type="pct"/>
          </w:tcPr>
          <w:p w:rsidR="0053510B" w:rsidRPr="00565F14" w:rsidRDefault="0053510B" w:rsidP="006D786C">
            <w:pPr>
              <w:widowControl w:val="0"/>
              <w:suppressLineNumbers/>
              <w:suppressAutoHyphens/>
              <w:spacing w:line="230" w:lineRule="auto"/>
              <w:jc w:val="right"/>
              <w:rPr>
                <w:b/>
                <w:sz w:val="18"/>
                <w:szCs w:val="18"/>
              </w:rPr>
            </w:pPr>
          </w:p>
        </w:tc>
        <w:tc>
          <w:tcPr>
            <w:tcW w:w="778" w:type="pct"/>
            <w:tcBorders>
              <w:bottom w:val="single" w:sz="4" w:space="0" w:color="auto"/>
            </w:tcBorders>
          </w:tcPr>
          <w:p w:rsidR="0053510B" w:rsidRPr="00565F14" w:rsidRDefault="0053510B" w:rsidP="006D786C">
            <w:pPr>
              <w:widowControl w:val="0"/>
              <w:suppressLineNumbers/>
              <w:suppressAutoHyphens/>
              <w:spacing w:line="230" w:lineRule="auto"/>
              <w:jc w:val="right"/>
              <w:rPr>
                <w:b/>
                <w:sz w:val="18"/>
                <w:szCs w:val="18"/>
              </w:rPr>
            </w:pPr>
            <w:r w:rsidRPr="00565F14">
              <w:rPr>
                <w:b/>
                <w:sz w:val="18"/>
                <w:szCs w:val="18"/>
              </w:rPr>
              <w:t>4.320/64</w:t>
            </w:r>
          </w:p>
        </w:tc>
        <w:tc>
          <w:tcPr>
            <w:tcW w:w="258" w:type="pct"/>
          </w:tcPr>
          <w:p w:rsidR="0053510B" w:rsidRPr="00565F14" w:rsidRDefault="0053510B" w:rsidP="006D786C">
            <w:pPr>
              <w:widowControl w:val="0"/>
              <w:suppressLineNumbers/>
              <w:suppressAutoHyphens/>
              <w:spacing w:line="230" w:lineRule="auto"/>
              <w:rPr>
                <w:b/>
                <w:sz w:val="18"/>
                <w:szCs w:val="18"/>
              </w:rPr>
            </w:pPr>
          </w:p>
        </w:tc>
        <w:tc>
          <w:tcPr>
            <w:tcW w:w="698" w:type="pct"/>
            <w:tcBorders>
              <w:bottom w:val="single" w:sz="4" w:space="0" w:color="auto"/>
            </w:tcBorders>
            <w:noWrap/>
          </w:tcPr>
          <w:p w:rsidR="0053510B" w:rsidRPr="00565F14" w:rsidRDefault="0053510B" w:rsidP="006D786C">
            <w:pPr>
              <w:widowControl w:val="0"/>
              <w:suppressLineNumbers/>
              <w:suppressAutoHyphens/>
              <w:spacing w:line="230" w:lineRule="auto"/>
              <w:jc w:val="right"/>
              <w:rPr>
                <w:b/>
                <w:sz w:val="18"/>
                <w:szCs w:val="18"/>
              </w:rPr>
            </w:pPr>
            <w:r w:rsidRPr="00565F14">
              <w:rPr>
                <w:b/>
                <w:sz w:val="18"/>
                <w:szCs w:val="18"/>
              </w:rPr>
              <w:t>Diferença</w:t>
            </w:r>
          </w:p>
        </w:tc>
      </w:tr>
      <w:tr w:rsidR="0053510B" w:rsidRPr="00565F14" w:rsidTr="00523A96">
        <w:trPr>
          <w:trHeight w:val="227"/>
        </w:trPr>
        <w:tc>
          <w:tcPr>
            <w:tcW w:w="2230" w:type="pct"/>
            <w:noWrap/>
          </w:tcPr>
          <w:p w:rsidR="0053510B" w:rsidRPr="00565F14" w:rsidRDefault="0053510B" w:rsidP="006D786C">
            <w:pPr>
              <w:pStyle w:val="NormalWeb"/>
              <w:widowControl w:val="0"/>
              <w:spacing w:before="0" w:after="0" w:line="230" w:lineRule="auto"/>
              <w:rPr>
                <w:b/>
                <w:sz w:val="18"/>
                <w:szCs w:val="18"/>
                <w:lang w:val="pt-BR"/>
              </w:rPr>
            </w:pPr>
            <w:r w:rsidRPr="00565F14">
              <w:rPr>
                <w:b/>
                <w:sz w:val="18"/>
                <w:szCs w:val="18"/>
                <w:lang w:val="pt-BR"/>
              </w:rPr>
              <w:t>Circulante</w:t>
            </w:r>
          </w:p>
        </w:tc>
        <w:tc>
          <w:tcPr>
            <w:tcW w:w="827" w:type="pct"/>
          </w:tcPr>
          <w:p w:rsidR="0053510B" w:rsidRPr="00565F14" w:rsidRDefault="0053510B" w:rsidP="006D786C">
            <w:pPr>
              <w:widowControl w:val="0"/>
              <w:suppressLineNumbers/>
              <w:suppressAutoHyphens/>
              <w:spacing w:line="230" w:lineRule="auto"/>
              <w:jc w:val="right"/>
              <w:rPr>
                <w:b/>
                <w:sz w:val="18"/>
                <w:szCs w:val="18"/>
              </w:rPr>
            </w:pPr>
          </w:p>
        </w:tc>
        <w:tc>
          <w:tcPr>
            <w:tcW w:w="208" w:type="pct"/>
          </w:tcPr>
          <w:p w:rsidR="0053510B" w:rsidRPr="00565F14" w:rsidRDefault="0053510B" w:rsidP="006D786C">
            <w:pPr>
              <w:pStyle w:val="NormalWeb"/>
              <w:widowControl w:val="0"/>
              <w:spacing w:before="0" w:after="0" w:line="230" w:lineRule="auto"/>
              <w:jc w:val="right"/>
              <w:rPr>
                <w:sz w:val="18"/>
                <w:szCs w:val="18"/>
                <w:lang w:val="pt-BR"/>
              </w:rPr>
            </w:pPr>
          </w:p>
        </w:tc>
        <w:tc>
          <w:tcPr>
            <w:tcW w:w="778" w:type="pct"/>
          </w:tcPr>
          <w:p w:rsidR="0053510B" w:rsidRPr="00565F14" w:rsidRDefault="0053510B" w:rsidP="006D786C">
            <w:pPr>
              <w:pStyle w:val="NormalWeb"/>
              <w:widowControl w:val="0"/>
              <w:spacing w:before="0" w:after="0" w:line="230" w:lineRule="auto"/>
              <w:jc w:val="right"/>
              <w:rPr>
                <w:sz w:val="18"/>
                <w:szCs w:val="18"/>
                <w:lang w:val="pt-BR"/>
              </w:rPr>
            </w:pPr>
          </w:p>
        </w:tc>
        <w:tc>
          <w:tcPr>
            <w:tcW w:w="258" w:type="pct"/>
          </w:tcPr>
          <w:p w:rsidR="0053510B" w:rsidRPr="00565F14" w:rsidRDefault="0053510B" w:rsidP="006D786C">
            <w:pPr>
              <w:pStyle w:val="NormalWeb"/>
              <w:widowControl w:val="0"/>
              <w:spacing w:before="0" w:after="0" w:line="230" w:lineRule="auto"/>
              <w:rPr>
                <w:sz w:val="18"/>
                <w:szCs w:val="18"/>
                <w:lang w:val="pt-BR"/>
              </w:rPr>
            </w:pPr>
          </w:p>
        </w:tc>
        <w:tc>
          <w:tcPr>
            <w:tcW w:w="698" w:type="pct"/>
            <w:noWrap/>
          </w:tcPr>
          <w:p w:rsidR="0053510B" w:rsidRPr="00565F14" w:rsidRDefault="0053510B" w:rsidP="006D786C">
            <w:pPr>
              <w:pStyle w:val="NormalWeb"/>
              <w:widowControl w:val="0"/>
              <w:spacing w:before="0" w:after="0" w:line="230" w:lineRule="auto"/>
              <w:jc w:val="right"/>
              <w:rPr>
                <w:sz w:val="18"/>
                <w:szCs w:val="18"/>
                <w:lang w:val="pt-BR"/>
              </w:rPr>
            </w:pPr>
          </w:p>
        </w:tc>
      </w:tr>
      <w:tr w:rsidR="0053510B" w:rsidRPr="00565F14" w:rsidTr="00523A96">
        <w:trPr>
          <w:trHeight w:val="227"/>
        </w:trPr>
        <w:tc>
          <w:tcPr>
            <w:tcW w:w="2230" w:type="pct"/>
            <w:noWrap/>
          </w:tcPr>
          <w:p w:rsidR="0053510B" w:rsidRPr="00565F14" w:rsidRDefault="0053510B" w:rsidP="006D786C">
            <w:pPr>
              <w:pStyle w:val="NormalWeb"/>
              <w:widowControl w:val="0"/>
              <w:spacing w:before="0" w:after="0" w:line="230" w:lineRule="auto"/>
              <w:rPr>
                <w:sz w:val="18"/>
                <w:szCs w:val="18"/>
                <w:lang w:val="pt-BR"/>
              </w:rPr>
            </w:pPr>
            <w:r w:rsidRPr="00565F14">
              <w:rPr>
                <w:sz w:val="18"/>
                <w:szCs w:val="18"/>
                <w:lang w:val="pt-BR"/>
              </w:rPr>
              <w:t xml:space="preserve">   Caixa e Equivalente de Caixa </w:t>
            </w:r>
          </w:p>
        </w:tc>
        <w:tc>
          <w:tcPr>
            <w:tcW w:w="827" w:type="pct"/>
          </w:tcPr>
          <w:p w:rsidR="0053510B" w:rsidRPr="00565F14" w:rsidRDefault="0053510B" w:rsidP="006D786C">
            <w:pPr>
              <w:jc w:val="right"/>
              <w:rPr>
                <w:sz w:val="18"/>
                <w:szCs w:val="18"/>
              </w:rPr>
            </w:pPr>
            <w:r w:rsidRPr="00565F14">
              <w:rPr>
                <w:sz w:val="18"/>
                <w:szCs w:val="18"/>
              </w:rPr>
              <w:t xml:space="preserve">         58.854 </w:t>
            </w:r>
          </w:p>
        </w:tc>
        <w:tc>
          <w:tcPr>
            <w:tcW w:w="208" w:type="pct"/>
          </w:tcPr>
          <w:p w:rsidR="0053510B" w:rsidRPr="00565F14" w:rsidRDefault="0053510B" w:rsidP="006D786C">
            <w:pPr>
              <w:pStyle w:val="NormalWeb"/>
              <w:widowControl w:val="0"/>
              <w:spacing w:before="0" w:after="0" w:line="230" w:lineRule="auto"/>
              <w:jc w:val="right"/>
              <w:rPr>
                <w:sz w:val="18"/>
                <w:szCs w:val="18"/>
                <w:lang w:val="pt-BR"/>
              </w:rPr>
            </w:pPr>
          </w:p>
        </w:tc>
        <w:tc>
          <w:tcPr>
            <w:tcW w:w="778" w:type="pct"/>
            <w:vAlign w:val="bottom"/>
          </w:tcPr>
          <w:p w:rsidR="0053510B" w:rsidRPr="00565F14" w:rsidRDefault="0053510B" w:rsidP="006D786C">
            <w:pPr>
              <w:jc w:val="right"/>
              <w:rPr>
                <w:sz w:val="18"/>
                <w:szCs w:val="18"/>
              </w:rPr>
            </w:pPr>
            <w:r w:rsidRPr="00565F14">
              <w:rPr>
                <w:sz w:val="18"/>
                <w:szCs w:val="18"/>
              </w:rPr>
              <w:t xml:space="preserve">         58.854 </w:t>
            </w:r>
          </w:p>
        </w:tc>
        <w:tc>
          <w:tcPr>
            <w:tcW w:w="258" w:type="pct"/>
          </w:tcPr>
          <w:p w:rsidR="0053510B" w:rsidRPr="00565F14" w:rsidRDefault="0053510B" w:rsidP="006D786C">
            <w:pPr>
              <w:pStyle w:val="NormalWeb"/>
              <w:widowControl w:val="0"/>
              <w:spacing w:before="0" w:after="0" w:line="230" w:lineRule="auto"/>
              <w:rPr>
                <w:sz w:val="18"/>
                <w:szCs w:val="18"/>
                <w:lang w:val="pt-BR"/>
              </w:rPr>
            </w:pPr>
          </w:p>
        </w:tc>
        <w:tc>
          <w:tcPr>
            <w:tcW w:w="698" w:type="pct"/>
            <w:noWrap/>
            <w:vAlign w:val="bottom"/>
          </w:tcPr>
          <w:p w:rsidR="0053510B" w:rsidRPr="00565F14" w:rsidRDefault="0053510B" w:rsidP="006D786C">
            <w:pPr>
              <w:jc w:val="right"/>
              <w:rPr>
                <w:sz w:val="18"/>
                <w:szCs w:val="18"/>
              </w:rPr>
            </w:pPr>
            <w:r w:rsidRPr="00565F14">
              <w:rPr>
                <w:sz w:val="18"/>
                <w:szCs w:val="18"/>
              </w:rPr>
              <w:t xml:space="preserve">- </w:t>
            </w:r>
          </w:p>
        </w:tc>
      </w:tr>
      <w:tr w:rsidR="0053510B" w:rsidRPr="00565F14" w:rsidTr="00523A96">
        <w:trPr>
          <w:trHeight w:val="227"/>
        </w:trPr>
        <w:tc>
          <w:tcPr>
            <w:tcW w:w="2230" w:type="pct"/>
            <w:noWrap/>
          </w:tcPr>
          <w:p w:rsidR="0053510B" w:rsidRPr="00565F14" w:rsidRDefault="0053510B" w:rsidP="006D786C">
            <w:pPr>
              <w:pStyle w:val="NormalWeb"/>
              <w:widowControl w:val="0"/>
              <w:spacing w:before="0" w:after="0" w:line="230" w:lineRule="auto"/>
              <w:rPr>
                <w:sz w:val="18"/>
                <w:szCs w:val="18"/>
                <w:lang w:val="pt-BR"/>
              </w:rPr>
            </w:pPr>
            <w:r w:rsidRPr="00565F14">
              <w:rPr>
                <w:sz w:val="18"/>
                <w:szCs w:val="18"/>
                <w:lang w:val="pt-BR"/>
              </w:rPr>
              <w:t xml:space="preserve">   Créditos a Receber Curto Prazo</w:t>
            </w:r>
          </w:p>
        </w:tc>
        <w:tc>
          <w:tcPr>
            <w:tcW w:w="827" w:type="pct"/>
          </w:tcPr>
          <w:p w:rsidR="0053510B" w:rsidRPr="00565F14" w:rsidRDefault="0053510B" w:rsidP="006D786C">
            <w:pPr>
              <w:jc w:val="right"/>
              <w:rPr>
                <w:sz w:val="18"/>
                <w:szCs w:val="18"/>
              </w:rPr>
            </w:pPr>
            <w:r w:rsidRPr="00565F14">
              <w:rPr>
                <w:sz w:val="18"/>
                <w:szCs w:val="18"/>
              </w:rPr>
              <w:t xml:space="preserve">231.509   </w:t>
            </w:r>
          </w:p>
        </w:tc>
        <w:tc>
          <w:tcPr>
            <w:tcW w:w="208" w:type="pct"/>
          </w:tcPr>
          <w:p w:rsidR="0053510B" w:rsidRPr="00565F14" w:rsidRDefault="0053510B" w:rsidP="006D786C">
            <w:pPr>
              <w:pStyle w:val="NormalWeb"/>
              <w:widowControl w:val="0"/>
              <w:spacing w:before="0" w:after="0" w:line="230" w:lineRule="auto"/>
              <w:jc w:val="right"/>
              <w:rPr>
                <w:sz w:val="18"/>
                <w:szCs w:val="18"/>
                <w:lang w:val="pt-BR"/>
              </w:rPr>
            </w:pPr>
          </w:p>
        </w:tc>
        <w:tc>
          <w:tcPr>
            <w:tcW w:w="778" w:type="pct"/>
            <w:vAlign w:val="bottom"/>
          </w:tcPr>
          <w:p w:rsidR="0053510B" w:rsidRPr="00565F14" w:rsidRDefault="0053510B" w:rsidP="006D786C">
            <w:pPr>
              <w:jc w:val="right"/>
              <w:rPr>
                <w:sz w:val="18"/>
                <w:szCs w:val="18"/>
              </w:rPr>
            </w:pPr>
            <w:r w:rsidRPr="00565F14">
              <w:rPr>
                <w:sz w:val="18"/>
                <w:szCs w:val="18"/>
              </w:rPr>
              <w:t xml:space="preserve">72.137   </w:t>
            </w:r>
          </w:p>
        </w:tc>
        <w:tc>
          <w:tcPr>
            <w:tcW w:w="258" w:type="pct"/>
          </w:tcPr>
          <w:p w:rsidR="0053510B" w:rsidRPr="00565F14" w:rsidRDefault="0053510B" w:rsidP="006D786C">
            <w:pPr>
              <w:pStyle w:val="NormalWeb"/>
              <w:widowControl w:val="0"/>
              <w:spacing w:before="0" w:after="0" w:line="230" w:lineRule="auto"/>
              <w:rPr>
                <w:sz w:val="18"/>
                <w:szCs w:val="18"/>
                <w:lang w:val="pt-BR"/>
              </w:rPr>
            </w:pPr>
          </w:p>
        </w:tc>
        <w:tc>
          <w:tcPr>
            <w:tcW w:w="698" w:type="pct"/>
            <w:noWrap/>
            <w:vAlign w:val="bottom"/>
          </w:tcPr>
          <w:p w:rsidR="0053510B" w:rsidRPr="00565F14" w:rsidRDefault="0053510B" w:rsidP="006D786C">
            <w:pPr>
              <w:jc w:val="right"/>
              <w:rPr>
                <w:sz w:val="18"/>
                <w:szCs w:val="18"/>
              </w:rPr>
            </w:pPr>
            <w:r w:rsidRPr="00565F14">
              <w:rPr>
                <w:sz w:val="18"/>
                <w:szCs w:val="18"/>
              </w:rPr>
              <w:t xml:space="preserve">159.372                     </w:t>
            </w:r>
          </w:p>
        </w:tc>
      </w:tr>
      <w:tr w:rsidR="0053510B" w:rsidRPr="00565F14" w:rsidTr="00523A96">
        <w:trPr>
          <w:trHeight w:val="227"/>
        </w:trPr>
        <w:tc>
          <w:tcPr>
            <w:tcW w:w="2230" w:type="pct"/>
            <w:noWrap/>
          </w:tcPr>
          <w:p w:rsidR="0053510B" w:rsidRPr="00565F14" w:rsidRDefault="0053510B" w:rsidP="006D786C">
            <w:pPr>
              <w:pStyle w:val="NormalWeb"/>
              <w:widowControl w:val="0"/>
              <w:spacing w:before="0" w:after="0" w:line="230" w:lineRule="auto"/>
              <w:rPr>
                <w:sz w:val="18"/>
                <w:szCs w:val="18"/>
                <w:lang w:val="pt-BR"/>
              </w:rPr>
            </w:pPr>
            <w:r w:rsidRPr="00565F14">
              <w:rPr>
                <w:sz w:val="18"/>
                <w:szCs w:val="18"/>
                <w:lang w:val="pt-BR"/>
              </w:rPr>
              <w:t xml:space="preserve">   Estoques</w:t>
            </w:r>
          </w:p>
        </w:tc>
        <w:tc>
          <w:tcPr>
            <w:tcW w:w="827" w:type="pct"/>
          </w:tcPr>
          <w:p w:rsidR="0053510B" w:rsidRPr="00565F14" w:rsidRDefault="0053510B" w:rsidP="006D786C">
            <w:pPr>
              <w:jc w:val="right"/>
              <w:rPr>
                <w:sz w:val="18"/>
                <w:szCs w:val="18"/>
              </w:rPr>
            </w:pPr>
            <w:r w:rsidRPr="00565F14">
              <w:rPr>
                <w:sz w:val="18"/>
                <w:szCs w:val="18"/>
              </w:rPr>
              <w:t>20.555</w:t>
            </w:r>
          </w:p>
        </w:tc>
        <w:tc>
          <w:tcPr>
            <w:tcW w:w="208" w:type="pct"/>
          </w:tcPr>
          <w:p w:rsidR="0053510B" w:rsidRPr="00565F14" w:rsidRDefault="0053510B" w:rsidP="006D786C">
            <w:pPr>
              <w:pStyle w:val="NormalWeb"/>
              <w:widowControl w:val="0"/>
              <w:spacing w:before="0" w:after="0" w:line="230" w:lineRule="auto"/>
              <w:jc w:val="right"/>
              <w:rPr>
                <w:sz w:val="18"/>
                <w:szCs w:val="18"/>
                <w:lang w:val="pt-BR"/>
              </w:rPr>
            </w:pPr>
          </w:p>
        </w:tc>
        <w:tc>
          <w:tcPr>
            <w:tcW w:w="778" w:type="pct"/>
            <w:vAlign w:val="bottom"/>
          </w:tcPr>
          <w:p w:rsidR="0053510B" w:rsidRPr="00565F14" w:rsidRDefault="0053510B" w:rsidP="006D786C">
            <w:pPr>
              <w:jc w:val="right"/>
              <w:rPr>
                <w:sz w:val="18"/>
                <w:szCs w:val="18"/>
              </w:rPr>
            </w:pPr>
            <w:r w:rsidRPr="00565F14">
              <w:rPr>
                <w:sz w:val="18"/>
                <w:szCs w:val="18"/>
              </w:rPr>
              <w:t>20.555</w:t>
            </w:r>
          </w:p>
        </w:tc>
        <w:tc>
          <w:tcPr>
            <w:tcW w:w="258" w:type="pct"/>
          </w:tcPr>
          <w:p w:rsidR="0053510B" w:rsidRPr="00565F14" w:rsidRDefault="0053510B" w:rsidP="006D786C">
            <w:pPr>
              <w:pStyle w:val="NormalWeb"/>
              <w:widowControl w:val="0"/>
              <w:spacing w:before="0" w:after="0" w:line="230" w:lineRule="auto"/>
              <w:rPr>
                <w:sz w:val="18"/>
                <w:szCs w:val="18"/>
                <w:lang w:val="pt-BR"/>
              </w:rPr>
            </w:pPr>
          </w:p>
        </w:tc>
        <w:tc>
          <w:tcPr>
            <w:tcW w:w="698" w:type="pct"/>
            <w:noWrap/>
            <w:vAlign w:val="bottom"/>
          </w:tcPr>
          <w:p w:rsidR="0053510B" w:rsidRPr="00565F14" w:rsidRDefault="0053510B" w:rsidP="006D786C">
            <w:pPr>
              <w:jc w:val="right"/>
              <w:rPr>
                <w:sz w:val="18"/>
                <w:szCs w:val="18"/>
              </w:rPr>
            </w:pPr>
            <w:r w:rsidRPr="00565F14">
              <w:rPr>
                <w:sz w:val="18"/>
                <w:szCs w:val="18"/>
              </w:rPr>
              <w:t>-</w:t>
            </w:r>
          </w:p>
        </w:tc>
      </w:tr>
      <w:tr w:rsidR="0053510B" w:rsidRPr="00565F14" w:rsidTr="00523A96">
        <w:trPr>
          <w:trHeight w:val="227"/>
        </w:trPr>
        <w:tc>
          <w:tcPr>
            <w:tcW w:w="2230" w:type="pct"/>
            <w:noWrap/>
          </w:tcPr>
          <w:p w:rsidR="0053510B" w:rsidRPr="00565F14" w:rsidRDefault="0053510B" w:rsidP="006D786C">
            <w:pPr>
              <w:pStyle w:val="NormalWeb"/>
              <w:widowControl w:val="0"/>
              <w:spacing w:before="0" w:after="0" w:line="230" w:lineRule="auto"/>
              <w:rPr>
                <w:sz w:val="18"/>
                <w:szCs w:val="18"/>
                <w:lang w:val="pt-BR"/>
              </w:rPr>
            </w:pPr>
            <w:r w:rsidRPr="00565F14">
              <w:rPr>
                <w:sz w:val="18"/>
                <w:szCs w:val="18"/>
                <w:lang w:val="pt-BR"/>
              </w:rPr>
              <w:t xml:space="preserve">   (-) Ajuste de perdas de Créditos</w:t>
            </w:r>
          </w:p>
        </w:tc>
        <w:tc>
          <w:tcPr>
            <w:tcW w:w="827" w:type="pct"/>
          </w:tcPr>
          <w:p w:rsidR="0053510B" w:rsidRPr="00565F14" w:rsidRDefault="0053510B" w:rsidP="006D786C">
            <w:pPr>
              <w:jc w:val="right"/>
              <w:rPr>
                <w:sz w:val="18"/>
                <w:szCs w:val="18"/>
              </w:rPr>
            </w:pPr>
            <w:r w:rsidRPr="00565F14">
              <w:rPr>
                <w:sz w:val="18"/>
                <w:szCs w:val="18"/>
              </w:rPr>
              <w:t>(16.848)</w:t>
            </w:r>
          </w:p>
        </w:tc>
        <w:tc>
          <w:tcPr>
            <w:tcW w:w="208" w:type="pct"/>
          </w:tcPr>
          <w:p w:rsidR="0053510B" w:rsidRPr="00565F14" w:rsidRDefault="0053510B" w:rsidP="006D786C">
            <w:pPr>
              <w:pStyle w:val="NormalWeb"/>
              <w:widowControl w:val="0"/>
              <w:spacing w:before="0" w:after="0" w:line="230" w:lineRule="auto"/>
              <w:jc w:val="right"/>
              <w:rPr>
                <w:sz w:val="18"/>
                <w:szCs w:val="18"/>
                <w:lang w:val="pt-BR"/>
              </w:rPr>
            </w:pPr>
          </w:p>
        </w:tc>
        <w:tc>
          <w:tcPr>
            <w:tcW w:w="778" w:type="pct"/>
            <w:vAlign w:val="bottom"/>
          </w:tcPr>
          <w:p w:rsidR="0053510B" w:rsidRPr="00565F14" w:rsidRDefault="0053510B" w:rsidP="006D786C">
            <w:pPr>
              <w:jc w:val="right"/>
              <w:rPr>
                <w:sz w:val="18"/>
                <w:szCs w:val="18"/>
              </w:rPr>
            </w:pPr>
            <w:r w:rsidRPr="00565F14">
              <w:rPr>
                <w:sz w:val="18"/>
                <w:szCs w:val="18"/>
              </w:rPr>
              <w:t xml:space="preserve">    (16.848) </w:t>
            </w:r>
          </w:p>
        </w:tc>
        <w:tc>
          <w:tcPr>
            <w:tcW w:w="258" w:type="pct"/>
          </w:tcPr>
          <w:p w:rsidR="0053510B" w:rsidRPr="00565F14" w:rsidRDefault="0053510B" w:rsidP="006D786C">
            <w:pPr>
              <w:pStyle w:val="NormalWeb"/>
              <w:widowControl w:val="0"/>
              <w:spacing w:before="0" w:after="0" w:line="230" w:lineRule="auto"/>
              <w:rPr>
                <w:sz w:val="18"/>
                <w:szCs w:val="18"/>
                <w:lang w:val="pt-BR"/>
              </w:rPr>
            </w:pPr>
          </w:p>
        </w:tc>
        <w:tc>
          <w:tcPr>
            <w:tcW w:w="698" w:type="pct"/>
            <w:noWrap/>
            <w:vAlign w:val="bottom"/>
          </w:tcPr>
          <w:p w:rsidR="0053510B" w:rsidRPr="00565F14" w:rsidRDefault="0053510B" w:rsidP="006D786C">
            <w:pPr>
              <w:jc w:val="right"/>
              <w:rPr>
                <w:sz w:val="18"/>
                <w:szCs w:val="18"/>
              </w:rPr>
            </w:pPr>
            <w:r w:rsidRPr="00565F14">
              <w:rPr>
                <w:sz w:val="18"/>
                <w:szCs w:val="18"/>
              </w:rPr>
              <w:t>-</w:t>
            </w:r>
          </w:p>
        </w:tc>
      </w:tr>
      <w:tr w:rsidR="0053510B" w:rsidRPr="00565F14" w:rsidTr="00523A96">
        <w:trPr>
          <w:trHeight w:val="227"/>
        </w:trPr>
        <w:tc>
          <w:tcPr>
            <w:tcW w:w="2230" w:type="pct"/>
            <w:noWrap/>
          </w:tcPr>
          <w:p w:rsidR="0053510B" w:rsidRPr="00565F14" w:rsidRDefault="0053510B" w:rsidP="006D786C">
            <w:pPr>
              <w:pStyle w:val="NormalWeb"/>
              <w:widowControl w:val="0"/>
              <w:spacing w:before="0" w:after="0" w:line="230" w:lineRule="auto"/>
              <w:rPr>
                <w:sz w:val="18"/>
                <w:szCs w:val="18"/>
                <w:lang w:val="pt-BR"/>
              </w:rPr>
            </w:pPr>
            <w:r w:rsidRPr="00565F14">
              <w:rPr>
                <w:sz w:val="18"/>
                <w:szCs w:val="18"/>
                <w:lang w:val="pt-BR"/>
              </w:rPr>
              <w:t xml:space="preserve">   Despesas Pagas Antecipadamente</w:t>
            </w:r>
          </w:p>
        </w:tc>
        <w:tc>
          <w:tcPr>
            <w:tcW w:w="827" w:type="pct"/>
            <w:tcBorders>
              <w:bottom w:val="single" w:sz="4" w:space="0" w:color="auto"/>
            </w:tcBorders>
          </w:tcPr>
          <w:p w:rsidR="0053510B" w:rsidRPr="00565F14" w:rsidRDefault="0053510B" w:rsidP="006D786C">
            <w:pPr>
              <w:jc w:val="right"/>
              <w:rPr>
                <w:sz w:val="18"/>
                <w:szCs w:val="18"/>
              </w:rPr>
            </w:pPr>
            <w:r w:rsidRPr="00565F14">
              <w:rPr>
                <w:sz w:val="18"/>
                <w:szCs w:val="18"/>
              </w:rPr>
              <w:t>134</w:t>
            </w:r>
          </w:p>
        </w:tc>
        <w:tc>
          <w:tcPr>
            <w:tcW w:w="208" w:type="pct"/>
          </w:tcPr>
          <w:p w:rsidR="0053510B" w:rsidRPr="00565F14" w:rsidRDefault="0053510B" w:rsidP="006D786C">
            <w:pPr>
              <w:pStyle w:val="NormalWeb"/>
              <w:widowControl w:val="0"/>
              <w:spacing w:before="0" w:after="0" w:line="230" w:lineRule="auto"/>
              <w:jc w:val="right"/>
              <w:rPr>
                <w:sz w:val="18"/>
                <w:szCs w:val="18"/>
                <w:lang w:val="pt-BR"/>
              </w:rPr>
            </w:pPr>
          </w:p>
        </w:tc>
        <w:tc>
          <w:tcPr>
            <w:tcW w:w="778" w:type="pct"/>
            <w:tcBorders>
              <w:bottom w:val="single" w:sz="4" w:space="0" w:color="auto"/>
            </w:tcBorders>
            <w:vAlign w:val="bottom"/>
          </w:tcPr>
          <w:p w:rsidR="0053510B" w:rsidRPr="00565F14" w:rsidRDefault="0053510B" w:rsidP="006D786C">
            <w:pPr>
              <w:jc w:val="right"/>
              <w:rPr>
                <w:sz w:val="18"/>
                <w:szCs w:val="18"/>
              </w:rPr>
            </w:pPr>
            <w:r w:rsidRPr="00565F14">
              <w:rPr>
                <w:sz w:val="18"/>
                <w:szCs w:val="18"/>
              </w:rPr>
              <w:t>134</w:t>
            </w:r>
          </w:p>
        </w:tc>
        <w:tc>
          <w:tcPr>
            <w:tcW w:w="258" w:type="pct"/>
          </w:tcPr>
          <w:p w:rsidR="0053510B" w:rsidRPr="00565F14" w:rsidRDefault="0053510B" w:rsidP="006D786C">
            <w:pPr>
              <w:pStyle w:val="NormalWeb"/>
              <w:widowControl w:val="0"/>
              <w:spacing w:before="0" w:after="0" w:line="230" w:lineRule="auto"/>
              <w:rPr>
                <w:sz w:val="18"/>
                <w:szCs w:val="18"/>
                <w:lang w:val="pt-BR"/>
              </w:rPr>
            </w:pPr>
          </w:p>
        </w:tc>
        <w:tc>
          <w:tcPr>
            <w:tcW w:w="698" w:type="pct"/>
            <w:tcBorders>
              <w:bottom w:val="single" w:sz="4" w:space="0" w:color="auto"/>
            </w:tcBorders>
            <w:noWrap/>
            <w:vAlign w:val="bottom"/>
          </w:tcPr>
          <w:p w:rsidR="0053510B" w:rsidRPr="00565F14" w:rsidRDefault="0053510B" w:rsidP="006D786C">
            <w:pPr>
              <w:jc w:val="right"/>
              <w:rPr>
                <w:sz w:val="18"/>
                <w:szCs w:val="18"/>
              </w:rPr>
            </w:pPr>
            <w:r w:rsidRPr="00565F14">
              <w:rPr>
                <w:sz w:val="18"/>
                <w:szCs w:val="18"/>
              </w:rPr>
              <w:t>-</w:t>
            </w:r>
          </w:p>
        </w:tc>
      </w:tr>
      <w:tr w:rsidR="0053510B" w:rsidRPr="00565F14" w:rsidTr="00523A96">
        <w:trPr>
          <w:trHeight w:val="227"/>
        </w:trPr>
        <w:tc>
          <w:tcPr>
            <w:tcW w:w="2230" w:type="pct"/>
            <w:noWrap/>
          </w:tcPr>
          <w:p w:rsidR="0053510B" w:rsidRPr="00565F14" w:rsidRDefault="0053510B" w:rsidP="006D786C">
            <w:pPr>
              <w:pStyle w:val="NormalWeb"/>
              <w:widowControl w:val="0"/>
              <w:spacing w:before="0" w:after="0" w:line="230" w:lineRule="auto"/>
              <w:rPr>
                <w:sz w:val="18"/>
                <w:szCs w:val="18"/>
                <w:lang w:val="pt-BR"/>
              </w:rPr>
            </w:pPr>
          </w:p>
        </w:tc>
        <w:tc>
          <w:tcPr>
            <w:tcW w:w="827" w:type="pct"/>
            <w:vMerge w:val="restart"/>
            <w:tcBorders>
              <w:top w:val="single" w:sz="4" w:space="0" w:color="auto"/>
            </w:tcBorders>
          </w:tcPr>
          <w:p w:rsidR="0053510B" w:rsidRPr="00565F14" w:rsidRDefault="0053510B" w:rsidP="006D786C">
            <w:pPr>
              <w:tabs>
                <w:tab w:val="left" w:pos="1175"/>
              </w:tabs>
              <w:jc w:val="right"/>
              <w:rPr>
                <w:b/>
                <w:sz w:val="18"/>
                <w:szCs w:val="18"/>
              </w:rPr>
            </w:pPr>
            <w:r w:rsidRPr="00565F14">
              <w:rPr>
                <w:b/>
                <w:sz w:val="18"/>
                <w:szCs w:val="18"/>
              </w:rPr>
              <w:tab/>
            </w:r>
          </w:p>
          <w:p w:rsidR="0053510B" w:rsidRPr="00565F14" w:rsidRDefault="0053510B" w:rsidP="006D786C">
            <w:pPr>
              <w:tabs>
                <w:tab w:val="left" w:pos="1175"/>
              </w:tabs>
              <w:jc w:val="right"/>
              <w:rPr>
                <w:b/>
                <w:sz w:val="18"/>
                <w:szCs w:val="18"/>
              </w:rPr>
            </w:pPr>
            <w:r w:rsidRPr="00565F14">
              <w:rPr>
                <w:b/>
                <w:sz w:val="18"/>
                <w:szCs w:val="18"/>
              </w:rPr>
              <w:t>294.206</w:t>
            </w:r>
          </w:p>
        </w:tc>
        <w:tc>
          <w:tcPr>
            <w:tcW w:w="208" w:type="pct"/>
          </w:tcPr>
          <w:p w:rsidR="0053510B" w:rsidRPr="00565F14" w:rsidRDefault="0053510B" w:rsidP="006D786C">
            <w:pPr>
              <w:pStyle w:val="NormalWeb"/>
              <w:widowControl w:val="0"/>
              <w:spacing w:before="0" w:after="0" w:line="230" w:lineRule="auto"/>
              <w:jc w:val="right"/>
              <w:rPr>
                <w:b/>
                <w:sz w:val="18"/>
                <w:szCs w:val="18"/>
                <w:lang w:val="pt-BR"/>
              </w:rPr>
            </w:pPr>
          </w:p>
        </w:tc>
        <w:tc>
          <w:tcPr>
            <w:tcW w:w="778" w:type="pct"/>
            <w:vMerge w:val="restart"/>
            <w:tcBorders>
              <w:top w:val="single" w:sz="4" w:space="0" w:color="auto"/>
            </w:tcBorders>
          </w:tcPr>
          <w:p w:rsidR="0053510B" w:rsidRPr="00565F14" w:rsidRDefault="0053510B" w:rsidP="006D786C">
            <w:pPr>
              <w:jc w:val="right"/>
              <w:rPr>
                <w:b/>
                <w:bCs/>
                <w:sz w:val="18"/>
                <w:szCs w:val="18"/>
              </w:rPr>
            </w:pPr>
          </w:p>
          <w:p w:rsidR="0053510B" w:rsidRPr="00565F14" w:rsidRDefault="0053510B" w:rsidP="006D786C">
            <w:pPr>
              <w:jc w:val="right"/>
              <w:rPr>
                <w:b/>
                <w:bCs/>
                <w:sz w:val="18"/>
                <w:szCs w:val="18"/>
              </w:rPr>
            </w:pPr>
            <w:r w:rsidRPr="00565F14">
              <w:rPr>
                <w:b/>
                <w:bCs/>
                <w:sz w:val="18"/>
                <w:szCs w:val="18"/>
              </w:rPr>
              <w:t>134.833</w:t>
            </w:r>
          </w:p>
        </w:tc>
        <w:tc>
          <w:tcPr>
            <w:tcW w:w="258" w:type="pct"/>
          </w:tcPr>
          <w:p w:rsidR="0053510B" w:rsidRPr="00565F14" w:rsidRDefault="0053510B" w:rsidP="006D786C">
            <w:pPr>
              <w:pStyle w:val="NormalWeb"/>
              <w:widowControl w:val="0"/>
              <w:spacing w:before="0" w:after="0" w:line="230" w:lineRule="auto"/>
              <w:jc w:val="right"/>
              <w:rPr>
                <w:b/>
                <w:sz w:val="18"/>
                <w:szCs w:val="18"/>
                <w:lang w:val="pt-BR"/>
              </w:rPr>
            </w:pPr>
          </w:p>
        </w:tc>
        <w:tc>
          <w:tcPr>
            <w:tcW w:w="698" w:type="pct"/>
            <w:vMerge w:val="restart"/>
            <w:tcBorders>
              <w:top w:val="single" w:sz="4" w:space="0" w:color="auto"/>
            </w:tcBorders>
            <w:noWrap/>
          </w:tcPr>
          <w:p w:rsidR="0053510B" w:rsidRPr="00565F14" w:rsidRDefault="0053510B" w:rsidP="006D786C">
            <w:pPr>
              <w:jc w:val="right"/>
              <w:rPr>
                <w:b/>
                <w:bCs/>
                <w:sz w:val="18"/>
                <w:szCs w:val="18"/>
              </w:rPr>
            </w:pPr>
          </w:p>
          <w:p w:rsidR="0053510B" w:rsidRPr="00565F14" w:rsidRDefault="0053510B" w:rsidP="006D786C">
            <w:pPr>
              <w:jc w:val="right"/>
              <w:rPr>
                <w:b/>
                <w:bCs/>
                <w:sz w:val="18"/>
                <w:szCs w:val="18"/>
              </w:rPr>
            </w:pPr>
            <w:r w:rsidRPr="00565F14">
              <w:rPr>
                <w:b/>
                <w:bCs/>
                <w:sz w:val="18"/>
                <w:szCs w:val="18"/>
              </w:rPr>
              <w:t>159.372</w:t>
            </w:r>
          </w:p>
        </w:tc>
      </w:tr>
      <w:tr w:rsidR="0053510B" w:rsidRPr="00565F14" w:rsidTr="00523A96">
        <w:trPr>
          <w:trHeight w:val="227"/>
        </w:trPr>
        <w:tc>
          <w:tcPr>
            <w:tcW w:w="2230" w:type="pct"/>
            <w:noWrap/>
          </w:tcPr>
          <w:p w:rsidR="0053510B" w:rsidRPr="00565F14" w:rsidRDefault="0053510B" w:rsidP="006D786C">
            <w:pPr>
              <w:pStyle w:val="NormalWeb"/>
              <w:widowControl w:val="0"/>
              <w:spacing w:before="0" w:after="0" w:line="230" w:lineRule="auto"/>
              <w:rPr>
                <w:sz w:val="18"/>
                <w:szCs w:val="18"/>
                <w:lang w:val="pt-BR"/>
              </w:rPr>
            </w:pPr>
          </w:p>
        </w:tc>
        <w:tc>
          <w:tcPr>
            <w:tcW w:w="827" w:type="pct"/>
            <w:vMerge/>
          </w:tcPr>
          <w:p w:rsidR="0053510B" w:rsidRPr="00565F14" w:rsidRDefault="0053510B" w:rsidP="006D786C">
            <w:pPr>
              <w:jc w:val="right"/>
              <w:rPr>
                <w:b/>
                <w:sz w:val="18"/>
                <w:szCs w:val="18"/>
              </w:rPr>
            </w:pPr>
          </w:p>
        </w:tc>
        <w:tc>
          <w:tcPr>
            <w:tcW w:w="208" w:type="pct"/>
          </w:tcPr>
          <w:p w:rsidR="0053510B" w:rsidRPr="00565F14" w:rsidRDefault="0053510B" w:rsidP="006D786C">
            <w:pPr>
              <w:pStyle w:val="NormalWeb"/>
              <w:widowControl w:val="0"/>
              <w:spacing w:before="0" w:after="0" w:line="230" w:lineRule="auto"/>
              <w:jc w:val="right"/>
              <w:rPr>
                <w:b/>
                <w:sz w:val="18"/>
                <w:szCs w:val="18"/>
                <w:lang w:val="pt-BR"/>
              </w:rPr>
            </w:pPr>
          </w:p>
        </w:tc>
        <w:tc>
          <w:tcPr>
            <w:tcW w:w="778" w:type="pct"/>
            <w:vMerge/>
          </w:tcPr>
          <w:p w:rsidR="0053510B" w:rsidRPr="00565F14" w:rsidRDefault="0053510B" w:rsidP="006D786C">
            <w:pPr>
              <w:jc w:val="right"/>
              <w:rPr>
                <w:b/>
                <w:bCs/>
                <w:sz w:val="18"/>
                <w:szCs w:val="18"/>
              </w:rPr>
            </w:pPr>
          </w:p>
        </w:tc>
        <w:tc>
          <w:tcPr>
            <w:tcW w:w="258" w:type="pct"/>
          </w:tcPr>
          <w:p w:rsidR="0053510B" w:rsidRPr="00565F14" w:rsidRDefault="0053510B" w:rsidP="006D786C">
            <w:pPr>
              <w:pStyle w:val="NormalWeb"/>
              <w:widowControl w:val="0"/>
              <w:spacing w:before="0" w:after="0" w:line="230" w:lineRule="auto"/>
              <w:rPr>
                <w:b/>
                <w:sz w:val="18"/>
                <w:szCs w:val="18"/>
                <w:lang w:val="pt-BR"/>
              </w:rPr>
            </w:pPr>
          </w:p>
        </w:tc>
        <w:tc>
          <w:tcPr>
            <w:tcW w:w="698" w:type="pct"/>
            <w:vMerge/>
            <w:noWrap/>
          </w:tcPr>
          <w:p w:rsidR="0053510B" w:rsidRPr="00565F14" w:rsidRDefault="0053510B" w:rsidP="006D786C">
            <w:pPr>
              <w:jc w:val="right"/>
              <w:rPr>
                <w:b/>
                <w:bCs/>
                <w:sz w:val="18"/>
                <w:szCs w:val="18"/>
              </w:rPr>
            </w:pPr>
          </w:p>
        </w:tc>
      </w:tr>
      <w:tr w:rsidR="0053510B" w:rsidRPr="002E5061" w:rsidTr="00523A96">
        <w:trPr>
          <w:trHeight w:val="227"/>
        </w:trPr>
        <w:tc>
          <w:tcPr>
            <w:tcW w:w="2230" w:type="pct"/>
            <w:noWrap/>
          </w:tcPr>
          <w:p w:rsidR="0053510B" w:rsidRPr="002E5061" w:rsidRDefault="0053510B" w:rsidP="006D786C">
            <w:pPr>
              <w:pStyle w:val="NormalWeb"/>
              <w:widowControl w:val="0"/>
              <w:spacing w:before="0" w:after="0" w:line="230" w:lineRule="auto"/>
              <w:rPr>
                <w:b/>
                <w:sz w:val="18"/>
                <w:szCs w:val="18"/>
                <w:lang w:val="pt-BR"/>
              </w:rPr>
            </w:pPr>
            <w:r w:rsidRPr="002E5061">
              <w:rPr>
                <w:b/>
                <w:sz w:val="18"/>
                <w:szCs w:val="18"/>
                <w:lang w:val="pt-BR"/>
              </w:rPr>
              <w:t>Não Circulante</w:t>
            </w:r>
          </w:p>
        </w:tc>
        <w:tc>
          <w:tcPr>
            <w:tcW w:w="827" w:type="pct"/>
          </w:tcPr>
          <w:p w:rsidR="0053510B" w:rsidRPr="002E5061" w:rsidRDefault="0053510B" w:rsidP="006D786C">
            <w:pPr>
              <w:widowControl w:val="0"/>
              <w:suppressLineNumbers/>
              <w:suppressAutoHyphens/>
              <w:spacing w:line="230" w:lineRule="auto"/>
              <w:jc w:val="right"/>
              <w:rPr>
                <w:b/>
                <w:sz w:val="18"/>
                <w:szCs w:val="18"/>
              </w:rPr>
            </w:pP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tcPr>
          <w:p w:rsidR="0053510B" w:rsidRPr="002E5061" w:rsidRDefault="0053510B" w:rsidP="006D786C">
            <w:pPr>
              <w:pStyle w:val="NormalWeb"/>
              <w:widowControl w:val="0"/>
              <w:spacing w:before="0" w:after="0" w:line="230" w:lineRule="auto"/>
              <w:jc w:val="right"/>
              <w:rPr>
                <w:sz w:val="18"/>
                <w:szCs w:val="18"/>
                <w:lang w:val="pt-BR"/>
              </w:rPr>
            </w:pPr>
          </w:p>
        </w:tc>
        <w:tc>
          <w:tcPr>
            <w:tcW w:w="258" w:type="pct"/>
          </w:tcPr>
          <w:p w:rsidR="0053510B" w:rsidRPr="002E5061" w:rsidRDefault="0053510B" w:rsidP="006D786C">
            <w:pPr>
              <w:pStyle w:val="NormalWeb"/>
              <w:widowControl w:val="0"/>
              <w:spacing w:before="0" w:after="0" w:line="230" w:lineRule="auto"/>
              <w:rPr>
                <w:sz w:val="18"/>
                <w:szCs w:val="18"/>
                <w:lang w:val="pt-BR"/>
              </w:rPr>
            </w:pPr>
          </w:p>
        </w:tc>
        <w:tc>
          <w:tcPr>
            <w:tcW w:w="698" w:type="pct"/>
            <w:noWrap/>
          </w:tcPr>
          <w:p w:rsidR="0053510B" w:rsidRPr="002E5061" w:rsidRDefault="0053510B" w:rsidP="006D786C">
            <w:pPr>
              <w:pStyle w:val="NormalWeb"/>
              <w:widowControl w:val="0"/>
              <w:spacing w:before="0" w:after="0" w:line="230" w:lineRule="auto"/>
              <w:jc w:val="right"/>
              <w:rPr>
                <w:sz w:val="18"/>
                <w:szCs w:val="18"/>
                <w:lang w:val="pt-BR"/>
              </w:rPr>
            </w:pPr>
          </w:p>
        </w:tc>
      </w:tr>
      <w:tr w:rsidR="0053510B" w:rsidRPr="002E5061" w:rsidTr="00523A96">
        <w:trPr>
          <w:trHeight w:val="227"/>
        </w:trPr>
        <w:tc>
          <w:tcPr>
            <w:tcW w:w="2230" w:type="pct"/>
            <w:noWrap/>
          </w:tcPr>
          <w:p w:rsidR="0053510B" w:rsidRPr="002E5061" w:rsidRDefault="0053510B" w:rsidP="006D786C">
            <w:pPr>
              <w:pStyle w:val="NormalWeb"/>
              <w:widowControl w:val="0"/>
              <w:spacing w:before="0" w:after="0" w:line="230" w:lineRule="auto"/>
              <w:rPr>
                <w:sz w:val="18"/>
                <w:szCs w:val="18"/>
                <w:lang w:val="pt-BR"/>
              </w:rPr>
            </w:pPr>
            <w:r w:rsidRPr="002E5061">
              <w:rPr>
                <w:sz w:val="18"/>
                <w:szCs w:val="18"/>
                <w:lang w:val="pt-BR"/>
              </w:rPr>
              <w:t xml:space="preserve">   Créditos a Receber a Longo Prazo</w:t>
            </w:r>
          </w:p>
        </w:tc>
        <w:tc>
          <w:tcPr>
            <w:tcW w:w="827" w:type="pct"/>
          </w:tcPr>
          <w:p w:rsidR="0053510B" w:rsidRPr="002E5061" w:rsidRDefault="0053510B" w:rsidP="006D786C">
            <w:pPr>
              <w:widowControl w:val="0"/>
              <w:suppressLineNumbers/>
              <w:suppressAutoHyphens/>
              <w:spacing w:line="230" w:lineRule="auto"/>
              <w:jc w:val="right"/>
              <w:rPr>
                <w:b/>
                <w:sz w:val="18"/>
                <w:szCs w:val="18"/>
              </w:rPr>
            </w:pPr>
            <w:r w:rsidRPr="002E5061">
              <w:rPr>
                <w:sz w:val="18"/>
                <w:szCs w:val="18"/>
              </w:rPr>
              <w:t>278.858</w:t>
            </w: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tcPr>
          <w:p w:rsidR="0053510B" w:rsidRPr="002E5061" w:rsidRDefault="0053510B" w:rsidP="006D786C">
            <w:pPr>
              <w:pStyle w:val="NormalWeb"/>
              <w:widowControl w:val="0"/>
              <w:spacing w:before="0" w:after="0" w:line="230" w:lineRule="auto"/>
              <w:jc w:val="right"/>
              <w:rPr>
                <w:sz w:val="18"/>
                <w:szCs w:val="18"/>
                <w:lang w:val="pt-BR"/>
              </w:rPr>
            </w:pPr>
            <w:r w:rsidRPr="002E5061">
              <w:rPr>
                <w:sz w:val="18"/>
                <w:szCs w:val="18"/>
                <w:lang w:val="pt-BR"/>
              </w:rPr>
              <w:t>-</w:t>
            </w:r>
          </w:p>
        </w:tc>
        <w:tc>
          <w:tcPr>
            <w:tcW w:w="258" w:type="pct"/>
          </w:tcPr>
          <w:p w:rsidR="0053510B" w:rsidRPr="002E5061" w:rsidRDefault="0053510B" w:rsidP="006D786C">
            <w:pPr>
              <w:pStyle w:val="NormalWeb"/>
              <w:widowControl w:val="0"/>
              <w:spacing w:before="0" w:after="0" w:line="230" w:lineRule="auto"/>
              <w:rPr>
                <w:sz w:val="18"/>
                <w:szCs w:val="18"/>
                <w:lang w:val="pt-BR"/>
              </w:rPr>
            </w:pPr>
          </w:p>
        </w:tc>
        <w:tc>
          <w:tcPr>
            <w:tcW w:w="698" w:type="pct"/>
            <w:noWrap/>
          </w:tcPr>
          <w:p w:rsidR="0053510B" w:rsidRPr="002E5061" w:rsidRDefault="0053510B" w:rsidP="006D786C">
            <w:pPr>
              <w:pStyle w:val="NormalWeb"/>
              <w:widowControl w:val="0"/>
              <w:spacing w:before="0" w:after="0" w:line="230" w:lineRule="auto"/>
              <w:jc w:val="right"/>
              <w:rPr>
                <w:sz w:val="18"/>
                <w:szCs w:val="18"/>
                <w:lang w:val="pt-BR"/>
              </w:rPr>
            </w:pPr>
            <w:r w:rsidRPr="002E5061">
              <w:rPr>
                <w:sz w:val="18"/>
                <w:szCs w:val="18"/>
                <w:lang w:val="pt-BR"/>
              </w:rPr>
              <w:t>278.858</w:t>
            </w:r>
          </w:p>
        </w:tc>
      </w:tr>
      <w:tr w:rsidR="0053510B" w:rsidRPr="002E5061" w:rsidTr="00523A96">
        <w:trPr>
          <w:trHeight w:val="227"/>
        </w:trPr>
        <w:tc>
          <w:tcPr>
            <w:tcW w:w="2230" w:type="pct"/>
            <w:noWrap/>
          </w:tcPr>
          <w:p w:rsidR="0053510B" w:rsidRPr="002E5061" w:rsidRDefault="0053510B" w:rsidP="006D786C">
            <w:pPr>
              <w:pStyle w:val="NormalWeb"/>
              <w:widowControl w:val="0"/>
              <w:spacing w:before="0" w:after="0" w:line="230" w:lineRule="auto"/>
              <w:rPr>
                <w:sz w:val="18"/>
                <w:szCs w:val="18"/>
                <w:lang w:val="pt-BR"/>
              </w:rPr>
            </w:pPr>
            <w:r w:rsidRPr="002E5061">
              <w:rPr>
                <w:sz w:val="18"/>
                <w:szCs w:val="18"/>
                <w:lang w:val="pt-BR"/>
              </w:rPr>
              <w:t xml:space="preserve">   Depósitos Judiciais</w:t>
            </w:r>
            <w:r w:rsidR="00932924">
              <w:rPr>
                <w:sz w:val="18"/>
                <w:szCs w:val="18"/>
                <w:lang w:val="pt-BR"/>
              </w:rPr>
              <w:t xml:space="preserve"> </w:t>
            </w:r>
          </w:p>
        </w:tc>
        <w:tc>
          <w:tcPr>
            <w:tcW w:w="827" w:type="pct"/>
          </w:tcPr>
          <w:p w:rsidR="0053510B" w:rsidRPr="002E5061" w:rsidRDefault="0053510B" w:rsidP="006D786C">
            <w:pPr>
              <w:widowControl w:val="0"/>
              <w:suppressLineNumbers/>
              <w:suppressAutoHyphens/>
              <w:spacing w:line="230" w:lineRule="auto"/>
              <w:jc w:val="right"/>
              <w:rPr>
                <w:sz w:val="18"/>
                <w:szCs w:val="18"/>
              </w:rPr>
            </w:pPr>
            <w:r w:rsidRPr="002E5061">
              <w:rPr>
                <w:sz w:val="18"/>
                <w:szCs w:val="18"/>
              </w:rPr>
              <w:t>2.010</w:t>
            </w: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vAlign w:val="bottom"/>
          </w:tcPr>
          <w:p w:rsidR="0053510B" w:rsidRPr="002E5061" w:rsidRDefault="0053510B" w:rsidP="006D786C">
            <w:pPr>
              <w:jc w:val="right"/>
              <w:rPr>
                <w:sz w:val="18"/>
                <w:szCs w:val="18"/>
              </w:rPr>
            </w:pPr>
            <w:r w:rsidRPr="002E5061">
              <w:rPr>
                <w:sz w:val="18"/>
                <w:szCs w:val="18"/>
              </w:rPr>
              <w:t>2.010</w:t>
            </w:r>
          </w:p>
        </w:tc>
        <w:tc>
          <w:tcPr>
            <w:tcW w:w="258" w:type="pct"/>
          </w:tcPr>
          <w:p w:rsidR="0053510B" w:rsidRPr="002E5061" w:rsidRDefault="0053510B" w:rsidP="006D786C">
            <w:pPr>
              <w:pStyle w:val="NormalWeb"/>
              <w:widowControl w:val="0"/>
              <w:spacing w:before="0" w:after="0" w:line="230" w:lineRule="auto"/>
              <w:rPr>
                <w:sz w:val="18"/>
                <w:szCs w:val="18"/>
                <w:lang w:val="pt-BR"/>
              </w:rPr>
            </w:pPr>
          </w:p>
        </w:tc>
        <w:tc>
          <w:tcPr>
            <w:tcW w:w="698" w:type="pct"/>
            <w:noWrap/>
            <w:vAlign w:val="bottom"/>
          </w:tcPr>
          <w:p w:rsidR="0053510B" w:rsidRPr="002E5061" w:rsidRDefault="0053510B" w:rsidP="006D786C">
            <w:pPr>
              <w:jc w:val="right"/>
              <w:rPr>
                <w:sz w:val="18"/>
                <w:szCs w:val="18"/>
              </w:rPr>
            </w:pPr>
            <w:r w:rsidRPr="002E5061">
              <w:rPr>
                <w:sz w:val="18"/>
                <w:szCs w:val="18"/>
              </w:rPr>
              <w:t>-</w:t>
            </w:r>
          </w:p>
        </w:tc>
      </w:tr>
      <w:tr w:rsidR="0053510B" w:rsidRPr="002E5061" w:rsidTr="00523A96">
        <w:trPr>
          <w:trHeight w:val="227"/>
        </w:trPr>
        <w:tc>
          <w:tcPr>
            <w:tcW w:w="2230" w:type="pct"/>
            <w:noWrap/>
          </w:tcPr>
          <w:p w:rsidR="0053510B" w:rsidRPr="002E5061" w:rsidRDefault="0053510B" w:rsidP="006D786C">
            <w:pPr>
              <w:pStyle w:val="NormalWeb"/>
              <w:widowControl w:val="0"/>
              <w:spacing w:before="0" w:after="0" w:line="230" w:lineRule="auto"/>
              <w:rPr>
                <w:sz w:val="18"/>
                <w:szCs w:val="18"/>
                <w:lang w:val="pt-BR"/>
              </w:rPr>
            </w:pPr>
            <w:r w:rsidRPr="002E5061">
              <w:rPr>
                <w:sz w:val="18"/>
                <w:szCs w:val="18"/>
                <w:lang w:val="pt-BR"/>
              </w:rPr>
              <w:t xml:space="preserve">   Imobilizado </w:t>
            </w:r>
          </w:p>
        </w:tc>
        <w:tc>
          <w:tcPr>
            <w:tcW w:w="827" w:type="pct"/>
          </w:tcPr>
          <w:p w:rsidR="0053510B" w:rsidRPr="002E5061" w:rsidRDefault="0053510B" w:rsidP="006D786C">
            <w:pPr>
              <w:widowControl w:val="0"/>
              <w:suppressLineNumbers/>
              <w:suppressAutoHyphens/>
              <w:spacing w:line="230" w:lineRule="auto"/>
              <w:jc w:val="right"/>
              <w:rPr>
                <w:sz w:val="18"/>
                <w:szCs w:val="18"/>
              </w:rPr>
            </w:pPr>
            <w:r w:rsidRPr="002E5061">
              <w:rPr>
                <w:sz w:val="18"/>
                <w:szCs w:val="18"/>
              </w:rPr>
              <w:t xml:space="preserve">      782.552 </w:t>
            </w: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vAlign w:val="bottom"/>
          </w:tcPr>
          <w:p w:rsidR="0053510B" w:rsidRPr="002E5061" w:rsidRDefault="0053510B" w:rsidP="006D786C">
            <w:pPr>
              <w:jc w:val="right"/>
              <w:rPr>
                <w:sz w:val="18"/>
                <w:szCs w:val="18"/>
              </w:rPr>
            </w:pPr>
            <w:r w:rsidRPr="002E5061">
              <w:rPr>
                <w:sz w:val="18"/>
                <w:szCs w:val="18"/>
              </w:rPr>
              <w:t>779.780</w:t>
            </w:r>
          </w:p>
        </w:tc>
        <w:tc>
          <w:tcPr>
            <w:tcW w:w="258" w:type="pct"/>
          </w:tcPr>
          <w:p w:rsidR="0053510B" w:rsidRPr="002E5061" w:rsidRDefault="0053510B" w:rsidP="006D786C">
            <w:pPr>
              <w:pStyle w:val="NormalWeb"/>
              <w:widowControl w:val="0"/>
              <w:spacing w:before="0" w:after="0" w:line="230" w:lineRule="auto"/>
              <w:rPr>
                <w:sz w:val="18"/>
                <w:szCs w:val="18"/>
                <w:lang w:val="pt-BR"/>
              </w:rPr>
            </w:pPr>
          </w:p>
        </w:tc>
        <w:tc>
          <w:tcPr>
            <w:tcW w:w="698" w:type="pct"/>
            <w:noWrap/>
            <w:vAlign w:val="bottom"/>
          </w:tcPr>
          <w:p w:rsidR="0053510B" w:rsidRPr="002E5061" w:rsidRDefault="0053510B" w:rsidP="006D786C">
            <w:pPr>
              <w:jc w:val="right"/>
              <w:rPr>
                <w:sz w:val="18"/>
                <w:szCs w:val="18"/>
              </w:rPr>
            </w:pPr>
            <w:r w:rsidRPr="002E5061">
              <w:rPr>
                <w:sz w:val="18"/>
                <w:szCs w:val="18"/>
              </w:rPr>
              <w:t>2.772</w:t>
            </w:r>
          </w:p>
        </w:tc>
      </w:tr>
      <w:tr w:rsidR="0053510B" w:rsidRPr="002E5061" w:rsidTr="00523A96">
        <w:trPr>
          <w:trHeight w:val="227"/>
        </w:trPr>
        <w:tc>
          <w:tcPr>
            <w:tcW w:w="2230" w:type="pct"/>
            <w:noWrap/>
          </w:tcPr>
          <w:p w:rsidR="0053510B" w:rsidRPr="002E5061" w:rsidRDefault="0053510B" w:rsidP="006D786C">
            <w:pPr>
              <w:pStyle w:val="NormalWeb"/>
              <w:widowControl w:val="0"/>
              <w:spacing w:before="0" w:after="0" w:line="230" w:lineRule="auto"/>
              <w:rPr>
                <w:sz w:val="18"/>
                <w:szCs w:val="18"/>
                <w:lang w:val="pt-BR"/>
              </w:rPr>
            </w:pPr>
          </w:p>
        </w:tc>
        <w:tc>
          <w:tcPr>
            <w:tcW w:w="827" w:type="pct"/>
            <w:tcBorders>
              <w:top w:val="single" w:sz="4" w:space="0" w:color="auto"/>
            </w:tcBorders>
          </w:tcPr>
          <w:p w:rsidR="0053510B" w:rsidRPr="002E5061" w:rsidRDefault="0053510B" w:rsidP="006D786C">
            <w:pPr>
              <w:widowControl w:val="0"/>
              <w:suppressLineNumbers/>
              <w:suppressAutoHyphens/>
              <w:spacing w:line="230" w:lineRule="auto"/>
              <w:jc w:val="right"/>
              <w:rPr>
                <w:sz w:val="18"/>
                <w:szCs w:val="18"/>
              </w:rPr>
            </w:pPr>
          </w:p>
        </w:tc>
        <w:tc>
          <w:tcPr>
            <w:tcW w:w="208" w:type="pct"/>
          </w:tcPr>
          <w:p w:rsidR="0053510B" w:rsidRPr="002E5061" w:rsidRDefault="0053510B" w:rsidP="006D786C">
            <w:pPr>
              <w:pStyle w:val="NormalWeb"/>
              <w:widowControl w:val="0"/>
              <w:spacing w:before="0" w:after="0" w:line="230" w:lineRule="auto"/>
              <w:jc w:val="right"/>
              <w:rPr>
                <w:b/>
                <w:sz w:val="18"/>
                <w:szCs w:val="18"/>
                <w:lang w:val="pt-BR"/>
              </w:rPr>
            </w:pPr>
          </w:p>
        </w:tc>
        <w:tc>
          <w:tcPr>
            <w:tcW w:w="778" w:type="pct"/>
            <w:vMerge w:val="restart"/>
            <w:tcBorders>
              <w:top w:val="single" w:sz="4" w:space="0" w:color="auto"/>
            </w:tcBorders>
          </w:tcPr>
          <w:p w:rsidR="0053510B" w:rsidRPr="002E5061" w:rsidRDefault="0053510B" w:rsidP="006D786C">
            <w:pPr>
              <w:jc w:val="right"/>
              <w:rPr>
                <w:b/>
                <w:bCs/>
                <w:sz w:val="18"/>
                <w:szCs w:val="18"/>
              </w:rPr>
            </w:pPr>
          </w:p>
          <w:p w:rsidR="0053510B" w:rsidRPr="002E5061" w:rsidRDefault="0053510B" w:rsidP="006D786C">
            <w:pPr>
              <w:jc w:val="right"/>
              <w:rPr>
                <w:b/>
                <w:bCs/>
                <w:sz w:val="18"/>
                <w:szCs w:val="18"/>
              </w:rPr>
            </w:pPr>
            <w:r w:rsidRPr="002E5061">
              <w:rPr>
                <w:b/>
                <w:bCs/>
                <w:sz w:val="18"/>
                <w:szCs w:val="18"/>
              </w:rPr>
              <w:t>781.790</w:t>
            </w:r>
          </w:p>
        </w:tc>
        <w:tc>
          <w:tcPr>
            <w:tcW w:w="258" w:type="pct"/>
          </w:tcPr>
          <w:p w:rsidR="0053510B" w:rsidRPr="002E5061" w:rsidRDefault="0053510B" w:rsidP="006D786C">
            <w:pPr>
              <w:pStyle w:val="NormalWeb"/>
              <w:widowControl w:val="0"/>
              <w:spacing w:before="0" w:after="0" w:line="230" w:lineRule="auto"/>
              <w:rPr>
                <w:b/>
                <w:sz w:val="18"/>
                <w:szCs w:val="18"/>
                <w:lang w:val="pt-BR"/>
              </w:rPr>
            </w:pPr>
          </w:p>
        </w:tc>
        <w:tc>
          <w:tcPr>
            <w:tcW w:w="698" w:type="pct"/>
            <w:vMerge w:val="restart"/>
            <w:tcBorders>
              <w:top w:val="single" w:sz="4" w:space="0" w:color="auto"/>
            </w:tcBorders>
            <w:noWrap/>
          </w:tcPr>
          <w:p w:rsidR="0053510B" w:rsidRPr="002E5061" w:rsidRDefault="0053510B" w:rsidP="006D786C">
            <w:pPr>
              <w:pStyle w:val="NormalWeb"/>
              <w:widowControl w:val="0"/>
              <w:spacing w:before="0" w:after="0" w:line="230" w:lineRule="auto"/>
              <w:jc w:val="right"/>
              <w:rPr>
                <w:b/>
                <w:sz w:val="18"/>
                <w:szCs w:val="18"/>
                <w:lang w:val="pt-BR"/>
              </w:rPr>
            </w:pPr>
          </w:p>
          <w:p w:rsidR="0053510B" w:rsidRPr="002E5061" w:rsidRDefault="0053510B" w:rsidP="006D786C">
            <w:pPr>
              <w:jc w:val="right"/>
              <w:rPr>
                <w:b/>
                <w:sz w:val="18"/>
                <w:szCs w:val="18"/>
              </w:rPr>
            </w:pPr>
            <w:r w:rsidRPr="002E5061">
              <w:rPr>
                <w:b/>
                <w:bCs/>
                <w:sz w:val="18"/>
                <w:szCs w:val="18"/>
              </w:rPr>
              <w:t>281.630</w:t>
            </w:r>
          </w:p>
        </w:tc>
      </w:tr>
      <w:tr w:rsidR="0053510B" w:rsidRPr="002E5061" w:rsidTr="00523A96">
        <w:trPr>
          <w:trHeight w:val="227"/>
        </w:trPr>
        <w:tc>
          <w:tcPr>
            <w:tcW w:w="2230" w:type="pct"/>
            <w:noWrap/>
          </w:tcPr>
          <w:p w:rsidR="0053510B" w:rsidRPr="002E5061" w:rsidRDefault="0053510B" w:rsidP="006D786C">
            <w:pPr>
              <w:pStyle w:val="NormalWeb"/>
              <w:widowControl w:val="0"/>
              <w:spacing w:before="0" w:after="0" w:line="230" w:lineRule="auto"/>
              <w:rPr>
                <w:sz w:val="18"/>
                <w:szCs w:val="18"/>
                <w:lang w:val="pt-BR"/>
              </w:rPr>
            </w:pPr>
          </w:p>
        </w:tc>
        <w:tc>
          <w:tcPr>
            <w:tcW w:w="827" w:type="pct"/>
            <w:tcBorders>
              <w:bottom w:val="single" w:sz="4" w:space="0" w:color="auto"/>
            </w:tcBorders>
          </w:tcPr>
          <w:p w:rsidR="0053510B" w:rsidRPr="002E5061" w:rsidRDefault="0053510B" w:rsidP="006D786C">
            <w:pPr>
              <w:widowControl w:val="0"/>
              <w:suppressLineNumbers/>
              <w:suppressAutoHyphens/>
              <w:spacing w:line="230" w:lineRule="auto"/>
              <w:jc w:val="right"/>
              <w:rPr>
                <w:b/>
                <w:sz w:val="18"/>
                <w:szCs w:val="18"/>
              </w:rPr>
            </w:pPr>
            <w:r w:rsidRPr="002E5061">
              <w:rPr>
                <w:b/>
                <w:sz w:val="18"/>
                <w:szCs w:val="18"/>
              </w:rPr>
              <w:t>1.063.420</w:t>
            </w:r>
          </w:p>
        </w:tc>
        <w:tc>
          <w:tcPr>
            <w:tcW w:w="208" w:type="pct"/>
          </w:tcPr>
          <w:p w:rsidR="0053510B" w:rsidRPr="002E5061" w:rsidRDefault="0053510B" w:rsidP="006D786C">
            <w:pPr>
              <w:pStyle w:val="NormalWeb"/>
              <w:widowControl w:val="0"/>
              <w:spacing w:before="0" w:after="0" w:line="230" w:lineRule="auto"/>
              <w:jc w:val="right"/>
              <w:rPr>
                <w:b/>
                <w:sz w:val="18"/>
                <w:szCs w:val="18"/>
                <w:lang w:val="pt-BR"/>
              </w:rPr>
            </w:pPr>
          </w:p>
        </w:tc>
        <w:tc>
          <w:tcPr>
            <w:tcW w:w="778" w:type="pct"/>
            <w:vMerge/>
          </w:tcPr>
          <w:p w:rsidR="0053510B" w:rsidRPr="002E5061" w:rsidRDefault="0053510B" w:rsidP="006D786C">
            <w:pPr>
              <w:pStyle w:val="NormalWeb"/>
              <w:widowControl w:val="0"/>
              <w:spacing w:before="0" w:after="0" w:line="230" w:lineRule="auto"/>
              <w:jc w:val="right"/>
              <w:rPr>
                <w:b/>
                <w:sz w:val="18"/>
                <w:szCs w:val="18"/>
                <w:lang w:val="pt-BR"/>
              </w:rPr>
            </w:pPr>
          </w:p>
        </w:tc>
        <w:tc>
          <w:tcPr>
            <w:tcW w:w="258" w:type="pct"/>
          </w:tcPr>
          <w:p w:rsidR="0053510B" w:rsidRPr="002E5061" w:rsidRDefault="0053510B" w:rsidP="006D786C">
            <w:pPr>
              <w:pStyle w:val="NormalWeb"/>
              <w:widowControl w:val="0"/>
              <w:spacing w:before="0" w:after="0" w:line="230" w:lineRule="auto"/>
              <w:rPr>
                <w:b/>
                <w:sz w:val="18"/>
                <w:szCs w:val="18"/>
                <w:lang w:val="pt-BR"/>
              </w:rPr>
            </w:pPr>
          </w:p>
        </w:tc>
        <w:tc>
          <w:tcPr>
            <w:tcW w:w="698" w:type="pct"/>
            <w:vMerge/>
            <w:noWrap/>
          </w:tcPr>
          <w:p w:rsidR="0053510B" w:rsidRPr="002E5061" w:rsidRDefault="0053510B" w:rsidP="006D786C">
            <w:pPr>
              <w:pStyle w:val="NormalWeb"/>
              <w:widowControl w:val="0"/>
              <w:spacing w:before="0" w:after="0" w:line="230" w:lineRule="auto"/>
              <w:jc w:val="right"/>
              <w:rPr>
                <w:b/>
                <w:sz w:val="18"/>
                <w:szCs w:val="18"/>
                <w:lang w:val="pt-BR"/>
              </w:rPr>
            </w:pPr>
          </w:p>
        </w:tc>
      </w:tr>
      <w:tr w:rsidR="0053510B" w:rsidRPr="002E5061" w:rsidTr="00523A96">
        <w:trPr>
          <w:trHeight w:val="227"/>
        </w:trPr>
        <w:tc>
          <w:tcPr>
            <w:tcW w:w="2230" w:type="pct"/>
            <w:noWrap/>
          </w:tcPr>
          <w:p w:rsidR="0053510B" w:rsidRPr="002E5061" w:rsidRDefault="0053510B" w:rsidP="006D786C">
            <w:pPr>
              <w:pStyle w:val="NormalWeb"/>
              <w:widowControl w:val="0"/>
              <w:spacing w:before="0" w:after="0" w:line="230" w:lineRule="auto"/>
              <w:rPr>
                <w:sz w:val="18"/>
                <w:szCs w:val="18"/>
                <w:lang w:val="pt-BR"/>
              </w:rPr>
            </w:pPr>
          </w:p>
        </w:tc>
        <w:tc>
          <w:tcPr>
            <w:tcW w:w="827" w:type="pct"/>
            <w:tcBorders>
              <w:top w:val="single" w:sz="4" w:space="0" w:color="auto"/>
            </w:tcBorders>
          </w:tcPr>
          <w:p w:rsidR="0053510B" w:rsidRPr="002E5061" w:rsidRDefault="0053510B" w:rsidP="006D786C">
            <w:pPr>
              <w:widowControl w:val="0"/>
              <w:suppressLineNumbers/>
              <w:suppressAutoHyphens/>
              <w:spacing w:line="230" w:lineRule="auto"/>
              <w:jc w:val="right"/>
              <w:rPr>
                <w:sz w:val="18"/>
                <w:szCs w:val="18"/>
              </w:rPr>
            </w:pP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tcBorders>
              <w:top w:val="single" w:sz="4" w:space="0" w:color="auto"/>
            </w:tcBorders>
          </w:tcPr>
          <w:p w:rsidR="0053510B" w:rsidRPr="002E5061" w:rsidRDefault="0053510B" w:rsidP="006D786C">
            <w:pPr>
              <w:pStyle w:val="NormalWeb"/>
              <w:widowControl w:val="0"/>
              <w:spacing w:before="0" w:after="0" w:line="230" w:lineRule="auto"/>
              <w:jc w:val="right"/>
              <w:rPr>
                <w:sz w:val="18"/>
                <w:szCs w:val="18"/>
                <w:lang w:val="pt-BR"/>
              </w:rPr>
            </w:pPr>
          </w:p>
        </w:tc>
        <w:tc>
          <w:tcPr>
            <w:tcW w:w="258" w:type="pct"/>
          </w:tcPr>
          <w:p w:rsidR="0053510B" w:rsidRPr="002E5061" w:rsidRDefault="0053510B" w:rsidP="006D786C">
            <w:pPr>
              <w:pStyle w:val="NormalWeb"/>
              <w:widowControl w:val="0"/>
              <w:spacing w:before="0" w:after="0" w:line="230" w:lineRule="auto"/>
              <w:rPr>
                <w:sz w:val="18"/>
                <w:szCs w:val="18"/>
                <w:lang w:val="pt-BR"/>
              </w:rPr>
            </w:pPr>
          </w:p>
        </w:tc>
        <w:tc>
          <w:tcPr>
            <w:tcW w:w="698" w:type="pct"/>
            <w:tcBorders>
              <w:top w:val="single" w:sz="4" w:space="0" w:color="auto"/>
            </w:tcBorders>
            <w:noWrap/>
          </w:tcPr>
          <w:p w:rsidR="0053510B" w:rsidRPr="002E5061" w:rsidRDefault="0053510B" w:rsidP="006D786C">
            <w:pPr>
              <w:pStyle w:val="NormalWeb"/>
              <w:widowControl w:val="0"/>
              <w:spacing w:before="0" w:after="0" w:line="230" w:lineRule="auto"/>
              <w:jc w:val="right"/>
              <w:rPr>
                <w:sz w:val="18"/>
                <w:szCs w:val="18"/>
                <w:lang w:val="pt-BR"/>
              </w:rPr>
            </w:pPr>
          </w:p>
        </w:tc>
      </w:tr>
      <w:tr w:rsidR="0053510B" w:rsidRPr="002E5061" w:rsidTr="00523A96">
        <w:trPr>
          <w:trHeight w:val="227"/>
        </w:trPr>
        <w:tc>
          <w:tcPr>
            <w:tcW w:w="2230" w:type="pct"/>
            <w:noWrap/>
          </w:tcPr>
          <w:p w:rsidR="0053510B" w:rsidRPr="002E5061" w:rsidRDefault="0053510B" w:rsidP="006D786C">
            <w:pPr>
              <w:pStyle w:val="NormalWeb"/>
              <w:widowControl w:val="0"/>
              <w:spacing w:before="0" w:after="0" w:line="230" w:lineRule="auto"/>
              <w:rPr>
                <w:b/>
                <w:sz w:val="18"/>
                <w:szCs w:val="18"/>
                <w:lang w:val="pt-BR"/>
              </w:rPr>
            </w:pPr>
            <w:r w:rsidRPr="002E5061">
              <w:rPr>
                <w:b/>
                <w:sz w:val="18"/>
                <w:szCs w:val="18"/>
                <w:lang w:val="pt-BR"/>
              </w:rPr>
              <w:t xml:space="preserve">  Total do Ativo</w:t>
            </w:r>
          </w:p>
        </w:tc>
        <w:tc>
          <w:tcPr>
            <w:tcW w:w="827" w:type="pct"/>
            <w:tcBorders>
              <w:bottom w:val="double" w:sz="4" w:space="0" w:color="auto"/>
            </w:tcBorders>
          </w:tcPr>
          <w:p w:rsidR="0053510B" w:rsidRPr="002E5061" w:rsidRDefault="0053510B" w:rsidP="006D786C">
            <w:pPr>
              <w:widowControl w:val="0"/>
              <w:suppressLineNumbers/>
              <w:suppressAutoHyphens/>
              <w:spacing w:line="230" w:lineRule="auto"/>
              <w:jc w:val="right"/>
              <w:rPr>
                <w:b/>
                <w:sz w:val="18"/>
                <w:szCs w:val="18"/>
              </w:rPr>
            </w:pPr>
            <w:r w:rsidRPr="002E5061">
              <w:rPr>
                <w:b/>
                <w:sz w:val="18"/>
                <w:szCs w:val="18"/>
              </w:rPr>
              <w:t>1.357.626</w:t>
            </w:r>
          </w:p>
        </w:tc>
        <w:tc>
          <w:tcPr>
            <w:tcW w:w="208" w:type="pct"/>
          </w:tcPr>
          <w:p w:rsidR="0053510B" w:rsidRPr="002E5061" w:rsidRDefault="0053510B" w:rsidP="006D786C">
            <w:pPr>
              <w:pStyle w:val="NormalWeb"/>
              <w:widowControl w:val="0"/>
              <w:spacing w:before="0" w:after="0" w:line="230" w:lineRule="auto"/>
              <w:jc w:val="right"/>
              <w:rPr>
                <w:b/>
                <w:sz w:val="18"/>
                <w:szCs w:val="18"/>
                <w:lang w:val="pt-BR"/>
              </w:rPr>
            </w:pPr>
          </w:p>
        </w:tc>
        <w:tc>
          <w:tcPr>
            <w:tcW w:w="778" w:type="pct"/>
            <w:tcBorders>
              <w:bottom w:val="double" w:sz="4" w:space="0" w:color="auto"/>
            </w:tcBorders>
          </w:tcPr>
          <w:p w:rsidR="0053510B" w:rsidRPr="002E5061" w:rsidRDefault="0053510B" w:rsidP="006D786C">
            <w:pPr>
              <w:jc w:val="right"/>
              <w:rPr>
                <w:b/>
                <w:sz w:val="18"/>
                <w:szCs w:val="18"/>
              </w:rPr>
            </w:pPr>
            <w:r w:rsidRPr="002E5061">
              <w:rPr>
                <w:b/>
                <w:bCs/>
                <w:sz w:val="18"/>
                <w:szCs w:val="18"/>
              </w:rPr>
              <w:t>916.623</w:t>
            </w:r>
          </w:p>
        </w:tc>
        <w:tc>
          <w:tcPr>
            <w:tcW w:w="258" w:type="pct"/>
          </w:tcPr>
          <w:p w:rsidR="0053510B" w:rsidRPr="002E5061" w:rsidRDefault="0053510B" w:rsidP="006D786C">
            <w:pPr>
              <w:pStyle w:val="NormalWeb"/>
              <w:widowControl w:val="0"/>
              <w:spacing w:before="0" w:after="0" w:line="230" w:lineRule="auto"/>
              <w:rPr>
                <w:b/>
                <w:sz w:val="18"/>
                <w:szCs w:val="18"/>
                <w:lang w:val="pt-BR"/>
              </w:rPr>
            </w:pPr>
          </w:p>
        </w:tc>
        <w:tc>
          <w:tcPr>
            <w:tcW w:w="698" w:type="pct"/>
            <w:tcBorders>
              <w:bottom w:val="double" w:sz="4" w:space="0" w:color="auto"/>
            </w:tcBorders>
            <w:noWrap/>
          </w:tcPr>
          <w:p w:rsidR="0053510B" w:rsidRPr="002E5061" w:rsidRDefault="0053510B" w:rsidP="006D786C">
            <w:pPr>
              <w:jc w:val="right"/>
              <w:rPr>
                <w:b/>
                <w:sz w:val="18"/>
                <w:szCs w:val="18"/>
              </w:rPr>
            </w:pPr>
            <w:r w:rsidRPr="002E5061">
              <w:rPr>
                <w:b/>
                <w:bCs/>
                <w:sz w:val="18"/>
                <w:szCs w:val="18"/>
              </w:rPr>
              <w:t>441.003</w:t>
            </w:r>
          </w:p>
        </w:tc>
      </w:tr>
      <w:tr w:rsidR="00523A96" w:rsidRPr="002E5061" w:rsidTr="00523A96">
        <w:trPr>
          <w:trHeight w:val="227"/>
        </w:trPr>
        <w:tc>
          <w:tcPr>
            <w:tcW w:w="2230" w:type="pct"/>
            <w:noWrap/>
          </w:tcPr>
          <w:p w:rsidR="00523A96" w:rsidRPr="002E5061" w:rsidRDefault="00523A96" w:rsidP="006D786C">
            <w:pPr>
              <w:rPr>
                <w:b/>
                <w:sz w:val="18"/>
                <w:szCs w:val="18"/>
              </w:rPr>
            </w:pPr>
          </w:p>
        </w:tc>
        <w:tc>
          <w:tcPr>
            <w:tcW w:w="827" w:type="pct"/>
          </w:tcPr>
          <w:p w:rsidR="00523A96" w:rsidRPr="002E5061" w:rsidRDefault="00523A96" w:rsidP="006D786C">
            <w:pPr>
              <w:widowControl w:val="0"/>
              <w:suppressLineNumbers/>
              <w:suppressAutoHyphens/>
              <w:spacing w:line="230" w:lineRule="auto"/>
              <w:jc w:val="right"/>
              <w:rPr>
                <w:b/>
                <w:sz w:val="18"/>
                <w:szCs w:val="18"/>
              </w:rPr>
            </w:pPr>
          </w:p>
        </w:tc>
        <w:tc>
          <w:tcPr>
            <w:tcW w:w="208" w:type="pct"/>
          </w:tcPr>
          <w:p w:rsidR="00523A96" w:rsidRPr="002E5061" w:rsidRDefault="00523A96" w:rsidP="006D786C">
            <w:pPr>
              <w:widowControl w:val="0"/>
              <w:suppressLineNumbers/>
              <w:suppressAutoHyphens/>
              <w:spacing w:line="230" w:lineRule="auto"/>
              <w:jc w:val="right"/>
              <w:rPr>
                <w:b/>
                <w:sz w:val="18"/>
                <w:szCs w:val="18"/>
              </w:rPr>
            </w:pPr>
          </w:p>
        </w:tc>
        <w:tc>
          <w:tcPr>
            <w:tcW w:w="778" w:type="pct"/>
          </w:tcPr>
          <w:p w:rsidR="00523A96" w:rsidRPr="002E5061" w:rsidRDefault="00523A96" w:rsidP="006D786C">
            <w:pPr>
              <w:widowControl w:val="0"/>
              <w:suppressLineNumbers/>
              <w:suppressAutoHyphens/>
              <w:spacing w:line="230" w:lineRule="auto"/>
              <w:jc w:val="right"/>
              <w:rPr>
                <w:b/>
                <w:sz w:val="18"/>
                <w:szCs w:val="18"/>
              </w:rPr>
            </w:pPr>
          </w:p>
        </w:tc>
        <w:tc>
          <w:tcPr>
            <w:tcW w:w="258" w:type="pct"/>
          </w:tcPr>
          <w:p w:rsidR="00523A96" w:rsidRPr="002E5061" w:rsidRDefault="00523A96" w:rsidP="006D786C">
            <w:pPr>
              <w:widowControl w:val="0"/>
              <w:suppressLineNumbers/>
              <w:suppressAutoHyphens/>
              <w:spacing w:line="230" w:lineRule="auto"/>
              <w:rPr>
                <w:b/>
                <w:sz w:val="18"/>
                <w:szCs w:val="18"/>
              </w:rPr>
            </w:pPr>
          </w:p>
        </w:tc>
        <w:tc>
          <w:tcPr>
            <w:tcW w:w="698" w:type="pct"/>
            <w:noWrap/>
          </w:tcPr>
          <w:p w:rsidR="00523A96" w:rsidRPr="002E5061" w:rsidRDefault="00523A96" w:rsidP="006D786C">
            <w:pPr>
              <w:widowControl w:val="0"/>
              <w:suppressLineNumbers/>
              <w:suppressAutoHyphens/>
              <w:spacing w:line="230" w:lineRule="auto"/>
              <w:jc w:val="right"/>
              <w:rPr>
                <w:b/>
                <w:sz w:val="18"/>
                <w:szCs w:val="18"/>
              </w:rPr>
            </w:pPr>
          </w:p>
        </w:tc>
      </w:tr>
      <w:tr w:rsidR="006874C1" w:rsidRPr="002E5061" w:rsidTr="00523A96">
        <w:trPr>
          <w:trHeight w:val="227"/>
        </w:trPr>
        <w:tc>
          <w:tcPr>
            <w:tcW w:w="2230" w:type="pct"/>
            <w:noWrap/>
          </w:tcPr>
          <w:p w:rsidR="006874C1" w:rsidRPr="002E5061" w:rsidRDefault="006874C1" w:rsidP="006D786C">
            <w:pPr>
              <w:rPr>
                <w:b/>
                <w:sz w:val="18"/>
                <w:szCs w:val="18"/>
              </w:rPr>
            </w:pPr>
          </w:p>
        </w:tc>
        <w:tc>
          <w:tcPr>
            <w:tcW w:w="827" w:type="pct"/>
          </w:tcPr>
          <w:p w:rsidR="006874C1" w:rsidRPr="002E5061" w:rsidRDefault="006874C1" w:rsidP="006D786C">
            <w:pPr>
              <w:widowControl w:val="0"/>
              <w:suppressLineNumbers/>
              <w:suppressAutoHyphens/>
              <w:spacing w:line="230" w:lineRule="auto"/>
              <w:jc w:val="right"/>
              <w:rPr>
                <w:b/>
                <w:sz w:val="18"/>
                <w:szCs w:val="18"/>
              </w:rPr>
            </w:pPr>
          </w:p>
        </w:tc>
        <w:tc>
          <w:tcPr>
            <w:tcW w:w="208" w:type="pct"/>
          </w:tcPr>
          <w:p w:rsidR="006874C1" w:rsidRPr="002E5061" w:rsidRDefault="006874C1" w:rsidP="006D786C">
            <w:pPr>
              <w:widowControl w:val="0"/>
              <w:suppressLineNumbers/>
              <w:suppressAutoHyphens/>
              <w:spacing w:line="230" w:lineRule="auto"/>
              <w:jc w:val="right"/>
              <w:rPr>
                <w:b/>
                <w:sz w:val="18"/>
                <w:szCs w:val="18"/>
              </w:rPr>
            </w:pPr>
          </w:p>
        </w:tc>
        <w:tc>
          <w:tcPr>
            <w:tcW w:w="778" w:type="pct"/>
          </w:tcPr>
          <w:p w:rsidR="006874C1" w:rsidRPr="002E5061" w:rsidRDefault="006874C1" w:rsidP="006D786C">
            <w:pPr>
              <w:widowControl w:val="0"/>
              <w:suppressLineNumbers/>
              <w:suppressAutoHyphens/>
              <w:spacing w:line="230" w:lineRule="auto"/>
              <w:jc w:val="right"/>
              <w:rPr>
                <w:b/>
                <w:sz w:val="18"/>
                <w:szCs w:val="18"/>
              </w:rPr>
            </w:pPr>
          </w:p>
        </w:tc>
        <w:tc>
          <w:tcPr>
            <w:tcW w:w="258" w:type="pct"/>
          </w:tcPr>
          <w:p w:rsidR="006874C1" w:rsidRPr="002E5061" w:rsidRDefault="006874C1" w:rsidP="006D786C">
            <w:pPr>
              <w:widowControl w:val="0"/>
              <w:suppressLineNumbers/>
              <w:suppressAutoHyphens/>
              <w:spacing w:line="230" w:lineRule="auto"/>
              <w:rPr>
                <w:b/>
                <w:sz w:val="18"/>
                <w:szCs w:val="18"/>
              </w:rPr>
            </w:pPr>
          </w:p>
        </w:tc>
        <w:tc>
          <w:tcPr>
            <w:tcW w:w="698" w:type="pct"/>
            <w:noWrap/>
          </w:tcPr>
          <w:p w:rsidR="006874C1" w:rsidRPr="002E5061" w:rsidRDefault="006874C1" w:rsidP="006D786C">
            <w:pPr>
              <w:widowControl w:val="0"/>
              <w:suppressLineNumbers/>
              <w:suppressAutoHyphens/>
              <w:spacing w:line="230" w:lineRule="auto"/>
              <w:jc w:val="right"/>
              <w:rPr>
                <w:b/>
                <w:sz w:val="18"/>
                <w:szCs w:val="18"/>
              </w:rPr>
            </w:pPr>
          </w:p>
        </w:tc>
      </w:tr>
      <w:tr w:rsidR="0053510B" w:rsidRPr="002E5061" w:rsidTr="00523A96">
        <w:trPr>
          <w:trHeight w:val="227"/>
        </w:trPr>
        <w:tc>
          <w:tcPr>
            <w:tcW w:w="2230" w:type="pct"/>
            <w:noWrap/>
          </w:tcPr>
          <w:p w:rsidR="0053510B" w:rsidRPr="002E5061" w:rsidRDefault="0053510B" w:rsidP="006D786C">
            <w:pPr>
              <w:rPr>
                <w:b/>
                <w:sz w:val="18"/>
                <w:szCs w:val="18"/>
              </w:rPr>
            </w:pPr>
            <w:r w:rsidRPr="002E5061">
              <w:rPr>
                <w:b/>
                <w:sz w:val="18"/>
                <w:szCs w:val="18"/>
              </w:rPr>
              <w:t>Passivo</w:t>
            </w:r>
          </w:p>
        </w:tc>
        <w:tc>
          <w:tcPr>
            <w:tcW w:w="827" w:type="pct"/>
            <w:tcBorders>
              <w:bottom w:val="single" w:sz="4" w:space="0" w:color="auto"/>
            </w:tcBorders>
          </w:tcPr>
          <w:p w:rsidR="0053510B" w:rsidRPr="002E5061" w:rsidRDefault="0053510B" w:rsidP="006D786C">
            <w:pPr>
              <w:widowControl w:val="0"/>
              <w:suppressLineNumbers/>
              <w:suppressAutoHyphens/>
              <w:spacing w:line="230" w:lineRule="auto"/>
              <w:jc w:val="right"/>
              <w:rPr>
                <w:b/>
                <w:sz w:val="18"/>
                <w:szCs w:val="18"/>
              </w:rPr>
            </w:pPr>
            <w:r w:rsidRPr="002E5061">
              <w:rPr>
                <w:b/>
                <w:sz w:val="18"/>
                <w:szCs w:val="18"/>
              </w:rPr>
              <w:t>6.404/76</w:t>
            </w:r>
          </w:p>
        </w:tc>
        <w:tc>
          <w:tcPr>
            <w:tcW w:w="208" w:type="pct"/>
          </w:tcPr>
          <w:p w:rsidR="0053510B" w:rsidRPr="002E5061" w:rsidRDefault="0053510B" w:rsidP="006D786C">
            <w:pPr>
              <w:widowControl w:val="0"/>
              <w:suppressLineNumbers/>
              <w:suppressAutoHyphens/>
              <w:spacing w:line="230" w:lineRule="auto"/>
              <w:jc w:val="right"/>
              <w:rPr>
                <w:b/>
                <w:sz w:val="18"/>
                <w:szCs w:val="18"/>
              </w:rPr>
            </w:pPr>
          </w:p>
        </w:tc>
        <w:tc>
          <w:tcPr>
            <w:tcW w:w="778" w:type="pct"/>
            <w:tcBorders>
              <w:bottom w:val="single" w:sz="4" w:space="0" w:color="auto"/>
            </w:tcBorders>
          </w:tcPr>
          <w:p w:rsidR="0053510B" w:rsidRPr="002E5061" w:rsidRDefault="0053510B" w:rsidP="006D786C">
            <w:pPr>
              <w:widowControl w:val="0"/>
              <w:suppressLineNumbers/>
              <w:suppressAutoHyphens/>
              <w:spacing w:line="230" w:lineRule="auto"/>
              <w:jc w:val="right"/>
              <w:rPr>
                <w:b/>
                <w:sz w:val="18"/>
                <w:szCs w:val="18"/>
              </w:rPr>
            </w:pPr>
            <w:r w:rsidRPr="002E5061">
              <w:rPr>
                <w:b/>
                <w:sz w:val="18"/>
                <w:szCs w:val="18"/>
              </w:rPr>
              <w:t>4.320/64</w:t>
            </w:r>
          </w:p>
        </w:tc>
        <w:tc>
          <w:tcPr>
            <w:tcW w:w="258" w:type="pct"/>
          </w:tcPr>
          <w:p w:rsidR="0053510B" w:rsidRPr="002E5061" w:rsidRDefault="0053510B" w:rsidP="006D786C">
            <w:pPr>
              <w:widowControl w:val="0"/>
              <w:suppressLineNumbers/>
              <w:suppressAutoHyphens/>
              <w:spacing w:line="230" w:lineRule="auto"/>
              <w:rPr>
                <w:b/>
                <w:sz w:val="18"/>
                <w:szCs w:val="18"/>
              </w:rPr>
            </w:pPr>
          </w:p>
        </w:tc>
        <w:tc>
          <w:tcPr>
            <w:tcW w:w="698" w:type="pct"/>
            <w:tcBorders>
              <w:bottom w:val="single" w:sz="4" w:space="0" w:color="auto"/>
            </w:tcBorders>
            <w:noWrap/>
          </w:tcPr>
          <w:p w:rsidR="0053510B" w:rsidRPr="002E5061" w:rsidRDefault="0053510B" w:rsidP="006D786C">
            <w:pPr>
              <w:widowControl w:val="0"/>
              <w:suppressLineNumbers/>
              <w:suppressAutoHyphens/>
              <w:spacing w:line="230" w:lineRule="auto"/>
              <w:jc w:val="right"/>
              <w:rPr>
                <w:b/>
                <w:sz w:val="18"/>
                <w:szCs w:val="18"/>
              </w:rPr>
            </w:pPr>
            <w:r w:rsidRPr="002E5061">
              <w:rPr>
                <w:b/>
                <w:sz w:val="18"/>
                <w:szCs w:val="18"/>
              </w:rPr>
              <w:t>Diferença</w:t>
            </w:r>
          </w:p>
        </w:tc>
      </w:tr>
      <w:tr w:rsidR="0053510B" w:rsidRPr="002E5061" w:rsidTr="00523A96">
        <w:trPr>
          <w:trHeight w:val="227"/>
        </w:trPr>
        <w:tc>
          <w:tcPr>
            <w:tcW w:w="2230" w:type="pct"/>
            <w:noWrap/>
          </w:tcPr>
          <w:p w:rsidR="0053510B" w:rsidRPr="002E5061" w:rsidRDefault="0053510B" w:rsidP="006D786C">
            <w:pPr>
              <w:pStyle w:val="NormalWeb"/>
              <w:widowControl w:val="0"/>
              <w:spacing w:before="0" w:after="0" w:line="230" w:lineRule="auto"/>
              <w:rPr>
                <w:b/>
                <w:i/>
                <w:sz w:val="18"/>
                <w:szCs w:val="18"/>
                <w:lang w:val="pt-BR"/>
              </w:rPr>
            </w:pPr>
          </w:p>
          <w:p w:rsidR="0053510B" w:rsidRPr="002E5061" w:rsidRDefault="0053510B" w:rsidP="006D786C">
            <w:pPr>
              <w:pStyle w:val="NormalWeb"/>
              <w:widowControl w:val="0"/>
              <w:spacing w:before="0" w:after="0" w:line="230" w:lineRule="auto"/>
              <w:rPr>
                <w:b/>
                <w:i/>
                <w:sz w:val="18"/>
                <w:szCs w:val="18"/>
                <w:lang w:val="pt-BR"/>
              </w:rPr>
            </w:pPr>
            <w:r w:rsidRPr="002E5061">
              <w:rPr>
                <w:b/>
                <w:i/>
                <w:sz w:val="18"/>
                <w:szCs w:val="18"/>
                <w:lang w:val="pt-BR"/>
              </w:rPr>
              <w:t>Circulante</w:t>
            </w:r>
          </w:p>
        </w:tc>
        <w:tc>
          <w:tcPr>
            <w:tcW w:w="827" w:type="pct"/>
          </w:tcPr>
          <w:p w:rsidR="0053510B" w:rsidRPr="002E5061" w:rsidRDefault="0053510B" w:rsidP="006D786C">
            <w:pPr>
              <w:widowControl w:val="0"/>
              <w:suppressLineNumbers/>
              <w:suppressAutoHyphens/>
              <w:spacing w:line="230" w:lineRule="auto"/>
              <w:jc w:val="right"/>
              <w:rPr>
                <w:b/>
                <w:sz w:val="18"/>
                <w:szCs w:val="18"/>
              </w:rPr>
            </w:pP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tcPr>
          <w:p w:rsidR="0053510B" w:rsidRPr="002E5061" w:rsidRDefault="0053510B" w:rsidP="006D786C">
            <w:pPr>
              <w:pStyle w:val="NormalWeb"/>
              <w:widowControl w:val="0"/>
              <w:spacing w:before="0" w:after="0" w:line="230" w:lineRule="auto"/>
              <w:jc w:val="right"/>
              <w:rPr>
                <w:sz w:val="18"/>
                <w:szCs w:val="18"/>
                <w:lang w:val="pt-BR"/>
              </w:rPr>
            </w:pPr>
          </w:p>
        </w:tc>
        <w:tc>
          <w:tcPr>
            <w:tcW w:w="258" w:type="pct"/>
          </w:tcPr>
          <w:p w:rsidR="0053510B" w:rsidRPr="002E5061" w:rsidRDefault="0053510B" w:rsidP="006D786C">
            <w:pPr>
              <w:pStyle w:val="NormalWeb"/>
              <w:widowControl w:val="0"/>
              <w:spacing w:before="0" w:after="0" w:line="230" w:lineRule="auto"/>
              <w:rPr>
                <w:sz w:val="18"/>
                <w:szCs w:val="18"/>
                <w:lang w:val="pt-BR"/>
              </w:rPr>
            </w:pPr>
          </w:p>
        </w:tc>
        <w:tc>
          <w:tcPr>
            <w:tcW w:w="698" w:type="pct"/>
            <w:noWrap/>
          </w:tcPr>
          <w:p w:rsidR="0053510B" w:rsidRPr="002E5061" w:rsidRDefault="0053510B" w:rsidP="006D786C">
            <w:pPr>
              <w:pStyle w:val="NormalWeb"/>
              <w:widowControl w:val="0"/>
              <w:spacing w:before="0" w:after="0" w:line="230" w:lineRule="auto"/>
              <w:jc w:val="right"/>
              <w:rPr>
                <w:sz w:val="18"/>
                <w:szCs w:val="18"/>
                <w:lang w:val="pt-BR"/>
              </w:rPr>
            </w:pPr>
          </w:p>
        </w:tc>
      </w:tr>
      <w:tr w:rsidR="0053510B" w:rsidRPr="002E5061" w:rsidTr="00523A96">
        <w:trPr>
          <w:trHeight w:val="227"/>
        </w:trPr>
        <w:tc>
          <w:tcPr>
            <w:tcW w:w="2230" w:type="pct"/>
            <w:noWrap/>
            <w:vAlign w:val="bottom"/>
          </w:tcPr>
          <w:p w:rsidR="0053510B" w:rsidRPr="002E5061" w:rsidRDefault="0053510B" w:rsidP="006D786C">
            <w:pPr>
              <w:pStyle w:val="NormalWeb"/>
              <w:widowControl w:val="0"/>
              <w:spacing w:before="0" w:after="0" w:line="230" w:lineRule="auto"/>
              <w:rPr>
                <w:sz w:val="18"/>
                <w:szCs w:val="18"/>
                <w:lang w:val="pt-BR"/>
              </w:rPr>
            </w:pPr>
            <w:r w:rsidRPr="002E5061">
              <w:rPr>
                <w:sz w:val="18"/>
                <w:szCs w:val="18"/>
                <w:lang w:val="pt-BR"/>
              </w:rPr>
              <w:t xml:space="preserve">   Fornecedores  </w:t>
            </w:r>
          </w:p>
        </w:tc>
        <w:tc>
          <w:tcPr>
            <w:tcW w:w="827" w:type="pct"/>
            <w:vAlign w:val="center"/>
          </w:tcPr>
          <w:p w:rsidR="0053510B" w:rsidRPr="002E5061" w:rsidRDefault="0053510B" w:rsidP="006D786C">
            <w:pPr>
              <w:pStyle w:val="NormalWeb"/>
              <w:widowControl w:val="0"/>
              <w:spacing w:before="0" w:after="0" w:line="230" w:lineRule="auto"/>
              <w:jc w:val="right"/>
              <w:rPr>
                <w:sz w:val="18"/>
                <w:szCs w:val="18"/>
                <w:lang w:val="pt-BR"/>
              </w:rPr>
            </w:pPr>
            <w:r w:rsidRPr="002E5061">
              <w:rPr>
                <w:sz w:val="18"/>
                <w:szCs w:val="18"/>
                <w:lang w:val="pt-BR"/>
              </w:rPr>
              <w:t>35.745</w:t>
            </w: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vAlign w:val="bottom"/>
          </w:tcPr>
          <w:p w:rsidR="0053510B" w:rsidRPr="002E5061" w:rsidRDefault="0053510B" w:rsidP="006D786C">
            <w:pPr>
              <w:jc w:val="right"/>
              <w:rPr>
                <w:sz w:val="18"/>
                <w:szCs w:val="18"/>
              </w:rPr>
            </w:pPr>
            <w:r w:rsidRPr="002E5061">
              <w:rPr>
                <w:sz w:val="18"/>
                <w:szCs w:val="18"/>
              </w:rPr>
              <w:t>32.761</w:t>
            </w:r>
          </w:p>
        </w:tc>
        <w:tc>
          <w:tcPr>
            <w:tcW w:w="258" w:type="pct"/>
          </w:tcPr>
          <w:p w:rsidR="0053510B" w:rsidRPr="002E5061" w:rsidRDefault="0053510B" w:rsidP="006D786C">
            <w:pPr>
              <w:pStyle w:val="NormalWeb"/>
              <w:widowControl w:val="0"/>
              <w:spacing w:before="0" w:after="0" w:line="230" w:lineRule="auto"/>
              <w:rPr>
                <w:sz w:val="18"/>
                <w:szCs w:val="18"/>
                <w:lang w:val="pt-BR"/>
              </w:rPr>
            </w:pPr>
          </w:p>
        </w:tc>
        <w:tc>
          <w:tcPr>
            <w:tcW w:w="698" w:type="pct"/>
            <w:noWrap/>
            <w:vAlign w:val="bottom"/>
          </w:tcPr>
          <w:p w:rsidR="0053510B" w:rsidRPr="002E5061" w:rsidRDefault="0053510B" w:rsidP="006D786C">
            <w:pPr>
              <w:jc w:val="right"/>
              <w:rPr>
                <w:sz w:val="18"/>
                <w:szCs w:val="18"/>
              </w:rPr>
            </w:pPr>
            <w:r w:rsidRPr="002E5061">
              <w:rPr>
                <w:sz w:val="18"/>
                <w:szCs w:val="18"/>
              </w:rPr>
              <w:t>2.984</w:t>
            </w:r>
          </w:p>
        </w:tc>
      </w:tr>
      <w:tr w:rsidR="0053510B" w:rsidRPr="002E5061" w:rsidTr="00523A96">
        <w:trPr>
          <w:trHeight w:val="227"/>
        </w:trPr>
        <w:tc>
          <w:tcPr>
            <w:tcW w:w="2230" w:type="pct"/>
            <w:noWrap/>
            <w:vAlign w:val="bottom"/>
          </w:tcPr>
          <w:p w:rsidR="0053510B" w:rsidRPr="002E5061" w:rsidRDefault="0053510B" w:rsidP="006D786C">
            <w:pPr>
              <w:pStyle w:val="NormalWeb"/>
              <w:widowControl w:val="0"/>
              <w:spacing w:before="0" w:after="0" w:line="230" w:lineRule="auto"/>
              <w:rPr>
                <w:sz w:val="18"/>
                <w:szCs w:val="18"/>
                <w:lang w:val="pt-BR"/>
              </w:rPr>
            </w:pPr>
            <w:r w:rsidRPr="002E5061">
              <w:rPr>
                <w:sz w:val="18"/>
                <w:szCs w:val="18"/>
                <w:lang w:val="pt-BR"/>
              </w:rPr>
              <w:t xml:space="preserve">   Outras Obrigações</w:t>
            </w:r>
          </w:p>
        </w:tc>
        <w:tc>
          <w:tcPr>
            <w:tcW w:w="827" w:type="pct"/>
            <w:vAlign w:val="center"/>
          </w:tcPr>
          <w:p w:rsidR="0053510B" w:rsidRPr="002E5061" w:rsidRDefault="0053510B" w:rsidP="006D786C">
            <w:pPr>
              <w:pStyle w:val="NormalWeb"/>
              <w:widowControl w:val="0"/>
              <w:spacing w:before="0" w:after="0" w:line="230" w:lineRule="auto"/>
              <w:jc w:val="right"/>
              <w:rPr>
                <w:sz w:val="18"/>
                <w:szCs w:val="18"/>
                <w:lang w:val="pt-BR"/>
              </w:rPr>
            </w:pPr>
            <w:r w:rsidRPr="002E5061">
              <w:rPr>
                <w:sz w:val="18"/>
                <w:szCs w:val="18"/>
                <w:lang w:val="pt-BR"/>
              </w:rPr>
              <w:t>164.275</w:t>
            </w: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vAlign w:val="center"/>
          </w:tcPr>
          <w:p w:rsidR="0053510B" w:rsidRPr="002E5061" w:rsidRDefault="0053510B" w:rsidP="006D786C">
            <w:pPr>
              <w:pStyle w:val="NormalWeb"/>
              <w:widowControl w:val="0"/>
              <w:spacing w:before="0" w:after="0" w:line="230" w:lineRule="auto"/>
              <w:jc w:val="right"/>
              <w:rPr>
                <w:sz w:val="18"/>
                <w:szCs w:val="18"/>
                <w:lang w:val="pt-BR"/>
              </w:rPr>
            </w:pPr>
            <w:r w:rsidRPr="002E5061">
              <w:rPr>
                <w:sz w:val="18"/>
                <w:szCs w:val="18"/>
                <w:lang w:val="pt-BR"/>
              </w:rPr>
              <w:t>164.383</w:t>
            </w:r>
          </w:p>
        </w:tc>
        <w:tc>
          <w:tcPr>
            <w:tcW w:w="258" w:type="pct"/>
          </w:tcPr>
          <w:p w:rsidR="0053510B" w:rsidRPr="002E5061" w:rsidRDefault="0053510B" w:rsidP="006D786C">
            <w:pPr>
              <w:pStyle w:val="NormalWeb"/>
              <w:widowControl w:val="0"/>
              <w:spacing w:before="0" w:after="0" w:line="230" w:lineRule="auto"/>
              <w:rPr>
                <w:sz w:val="18"/>
                <w:szCs w:val="18"/>
                <w:lang w:val="pt-BR"/>
              </w:rPr>
            </w:pPr>
          </w:p>
        </w:tc>
        <w:tc>
          <w:tcPr>
            <w:tcW w:w="698" w:type="pct"/>
            <w:noWrap/>
            <w:vAlign w:val="bottom"/>
          </w:tcPr>
          <w:p w:rsidR="0053510B" w:rsidRPr="002E5061" w:rsidRDefault="0053510B" w:rsidP="006D786C">
            <w:pPr>
              <w:jc w:val="right"/>
              <w:rPr>
                <w:sz w:val="18"/>
                <w:szCs w:val="18"/>
              </w:rPr>
            </w:pPr>
            <w:r w:rsidRPr="002E5061">
              <w:rPr>
                <w:sz w:val="18"/>
                <w:szCs w:val="18"/>
              </w:rPr>
              <w:t>(108)</w:t>
            </w:r>
          </w:p>
        </w:tc>
      </w:tr>
      <w:tr w:rsidR="0053510B" w:rsidRPr="002E5061" w:rsidTr="00523A96">
        <w:trPr>
          <w:trHeight w:val="227"/>
        </w:trPr>
        <w:tc>
          <w:tcPr>
            <w:tcW w:w="2230" w:type="pct"/>
            <w:noWrap/>
          </w:tcPr>
          <w:p w:rsidR="0053510B" w:rsidRPr="002E5061" w:rsidRDefault="0053510B" w:rsidP="006D786C">
            <w:pPr>
              <w:pStyle w:val="NormalWeb"/>
              <w:widowControl w:val="0"/>
              <w:spacing w:before="0" w:after="0" w:line="230" w:lineRule="auto"/>
              <w:rPr>
                <w:sz w:val="18"/>
                <w:szCs w:val="18"/>
                <w:lang w:val="pt-BR"/>
              </w:rPr>
            </w:pPr>
          </w:p>
        </w:tc>
        <w:tc>
          <w:tcPr>
            <w:tcW w:w="827" w:type="pct"/>
            <w:tcBorders>
              <w:top w:val="single" w:sz="4" w:space="0" w:color="auto"/>
            </w:tcBorders>
          </w:tcPr>
          <w:p w:rsidR="0053510B" w:rsidRPr="002E5061" w:rsidRDefault="0053510B" w:rsidP="006D786C">
            <w:pPr>
              <w:jc w:val="right"/>
              <w:rPr>
                <w:sz w:val="18"/>
                <w:szCs w:val="18"/>
              </w:rPr>
            </w:pP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tcBorders>
              <w:top w:val="single" w:sz="4" w:space="0" w:color="auto"/>
            </w:tcBorders>
          </w:tcPr>
          <w:p w:rsidR="0053510B" w:rsidRPr="002E5061" w:rsidRDefault="0053510B" w:rsidP="006D786C">
            <w:pPr>
              <w:pStyle w:val="NormalWeb"/>
              <w:widowControl w:val="0"/>
              <w:spacing w:before="0" w:after="0" w:line="230" w:lineRule="auto"/>
              <w:jc w:val="right"/>
              <w:rPr>
                <w:sz w:val="18"/>
                <w:szCs w:val="18"/>
                <w:lang w:val="pt-BR"/>
              </w:rPr>
            </w:pPr>
          </w:p>
        </w:tc>
        <w:tc>
          <w:tcPr>
            <w:tcW w:w="258" w:type="pct"/>
          </w:tcPr>
          <w:p w:rsidR="0053510B" w:rsidRPr="002E5061" w:rsidRDefault="0053510B" w:rsidP="006D786C">
            <w:pPr>
              <w:pStyle w:val="NormalWeb"/>
              <w:widowControl w:val="0"/>
              <w:spacing w:before="0" w:after="0" w:line="230" w:lineRule="auto"/>
              <w:rPr>
                <w:sz w:val="18"/>
                <w:szCs w:val="18"/>
                <w:lang w:val="pt-BR"/>
              </w:rPr>
            </w:pPr>
          </w:p>
        </w:tc>
        <w:tc>
          <w:tcPr>
            <w:tcW w:w="698" w:type="pct"/>
            <w:tcBorders>
              <w:top w:val="single" w:sz="4" w:space="0" w:color="auto"/>
            </w:tcBorders>
            <w:noWrap/>
          </w:tcPr>
          <w:p w:rsidR="0053510B" w:rsidRPr="002E5061" w:rsidRDefault="0053510B" w:rsidP="006D786C">
            <w:pPr>
              <w:pStyle w:val="NormalWeb"/>
              <w:widowControl w:val="0"/>
              <w:spacing w:before="0" w:after="0" w:line="230" w:lineRule="auto"/>
              <w:jc w:val="right"/>
              <w:rPr>
                <w:sz w:val="18"/>
                <w:szCs w:val="18"/>
                <w:lang w:val="pt-BR"/>
              </w:rPr>
            </w:pPr>
          </w:p>
        </w:tc>
      </w:tr>
      <w:tr w:rsidR="0053510B" w:rsidRPr="002E5061" w:rsidTr="00523A96">
        <w:trPr>
          <w:trHeight w:val="227"/>
        </w:trPr>
        <w:tc>
          <w:tcPr>
            <w:tcW w:w="2230" w:type="pct"/>
            <w:noWrap/>
          </w:tcPr>
          <w:p w:rsidR="0053510B" w:rsidRPr="002E5061" w:rsidRDefault="0053510B" w:rsidP="006D786C">
            <w:pPr>
              <w:pStyle w:val="NormalWeb"/>
              <w:widowControl w:val="0"/>
              <w:spacing w:before="0" w:after="0" w:line="230" w:lineRule="auto"/>
              <w:rPr>
                <w:sz w:val="18"/>
                <w:szCs w:val="18"/>
                <w:lang w:val="pt-BR"/>
              </w:rPr>
            </w:pPr>
            <w:r w:rsidRPr="002E5061">
              <w:rPr>
                <w:sz w:val="18"/>
                <w:szCs w:val="18"/>
                <w:lang w:val="pt-BR"/>
              </w:rPr>
              <w:t xml:space="preserve">   </w:t>
            </w:r>
          </w:p>
        </w:tc>
        <w:tc>
          <w:tcPr>
            <w:tcW w:w="827" w:type="pct"/>
            <w:tcBorders>
              <w:bottom w:val="single" w:sz="4" w:space="0" w:color="auto"/>
            </w:tcBorders>
          </w:tcPr>
          <w:p w:rsidR="0053510B" w:rsidRPr="002E5061" w:rsidRDefault="0053510B" w:rsidP="006D786C">
            <w:pPr>
              <w:jc w:val="right"/>
              <w:rPr>
                <w:b/>
                <w:sz w:val="18"/>
                <w:szCs w:val="18"/>
              </w:rPr>
            </w:pPr>
            <w:r w:rsidRPr="002E5061">
              <w:rPr>
                <w:b/>
                <w:sz w:val="18"/>
                <w:szCs w:val="18"/>
              </w:rPr>
              <w:t>200.020</w:t>
            </w:r>
          </w:p>
        </w:tc>
        <w:tc>
          <w:tcPr>
            <w:tcW w:w="208" w:type="pct"/>
          </w:tcPr>
          <w:p w:rsidR="0053510B" w:rsidRPr="002E5061" w:rsidRDefault="0053510B" w:rsidP="006D786C">
            <w:pPr>
              <w:pStyle w:val="NormalWeb"/>
              <w:widowControl w:val="0"/>
              <w:spacing w:before="0" w:after="0" w:line="230" w:lineRule="auto"/>
              <w:jc w:val="right"/>
              <w:rPr>
                <w:b/>
                <w:sz w:val="18"/>
                <w:szCs w:val="18"/>
                <w:lang w:val="pt-BR"/>
              </w:rPr>
            </w:pPr>
          </w:p>
        </w:tc>
        <w:tc>
          <w:tcPr>
            <w:tcW w:w="778" w:type="pct"/>
            <w:tcBorders>
              <w:bottom w:val="single" w:sz="4" w:space="0" w:color="auto"/>
            </w:tcBorders>
          </w:tcPr>
          <w:p w:rsidR="0053510B" w:rsidRPr="002E5061" w:rsidRDefault="0053510B" w:rsidP="006D786C">
            <w:pPr>
              <w:jc w:val="right"/>
              <w:rPr>
                <w:b/>
                <w:sz w:val="18"/>
                <w:szCs w:val="18"/>
              </w:rPr>
            </w:pPr>
            <w:r w:rsidRPr="002E5061">
              <w:rPr>
                <w:b/>
                <w:bCs/>
                <w:sz w:val="18"/>
                <w:szCs w:val="18"/>
              </w:rPr>
              <w:t>197.144</w:t>
            </w:r>
          </w:p>
        </w:tc>
        <w:tc>
          <w:tcPr>
            <w:tcW w:w="258" w:type="pct"/>
          </w:tcPr>
          <w:p w:rsidR="0053510B" w:rsidRPr="002E5061" w:rsidRDefault="0053510B" w:rsidP="006D786C">
            <w:pPr>
              <w:pStyle w:val="NormalWeb"/>
              <w:widowControl w:val="0"/>
              <w:spacing w:before="0" w:after="0" w:line="230" w:lineRule="auto"/>
              <w:rPr>
                <w:b/>
                <w:sz w:val="18"/>
                <w:szCs w:val="18"/>
                <w:lang w:val="pt-BR"/>
              </w:rPr>
            </w:pPr>
          </w:p>
        </w:tc>
        <w:tc>
          <w:tcPr>
            <w:tcW w:w="698" w:type="pct"/>
            <w:tcBorders>
              <w:bottom w:val="single" w:sz="4" w:space="0" w:color="auto"/>
            </w:tcBorders>
            <w:noWrap/>
          </w:tcPr>
          <w:p w:rsidR="0053510B" w:rsidRPr="002E5061" w:rsidRDefault="0053510B" w:rsidP="006D786C">
            <w:pPr>
              <w:jc w:val="right"/>
              <w:rPr>
                <w:b/>
                <w:sz w:val="18"/>
                <w:szCs w:val="18"/>
              </w:rPr>
            </w:pPr>
            <w:r w:rsidRPr="002E5061">
              <w:rPr>
                <w:b/>
                <w:bCs/>
                <w:sz w:val="18"/>
                <w:szCs w:val="18"/>
              </w:rPr>
              <w:t>2.876</w:t>
            </w:r>
          </w:p>
        </w:tc>
      </w:tr>
      <w:tr w:rsidR="0053510B" w:rsidRPr="002E5061" w:rsidTr="00523A96">
        <w:trPr>
          <w:trHeight w:val="227"/>
        </w:trPr>
        <w:tc>
          <w:tcPr>
            <w:tcW w:w="2230" w:type="pct"/>
            <w:noWrap/>
            <w:vAlign w:val="bottom"/>
          </w:tcPr>
          <w:p w:rsidR="0053510B" w:rsidRPr="002E5061" w:rsidRDefault="0053510B" w:rsidP="006D786C">
            <w:pPr>
              <w:pStyle w:val="NormalWeb"/>
              <w:widowControl w:val="0"/>
              <w:spacing w:before="0" w:after="0" w:line="230" w:lineRule="auto"/>
              <w:rPr>
                <w:sz w:val="18"/>
                <w:szCs w:val="18"/>
                <w:lang w:val="pt-BR"/>
              </w:rPr>
            </w:pPr>
          </w:p>
        </w:tc>
        <w:tc>
          <w:tcPr>
            <w:tcW w:w="827" w:type="pct"/>
            <w:vAlign w:val="bottom"/>
          </w:tcPr>
          <w:p w:rsidR="0053510B" w:rsidRPr="002E5061" w:rsidRDefault="0053510B" w:rsidP="006D786C">
            <w:pPr>
              <w:jc w:val="right"/>
              <w:rPr>
                <w:b/>
                <w:sz w:val="18"/>
                <w:szCs w:val="18"/>
              </w:rPr>
            </w:pPr>
          </w:p>
        </w:tc>
        <w:tc>
          <w:tcPr>
            <w:tcW w:w="208" w:type="pct"/>
          </w:tcPr>
          <w:p w:rsidR="0053510B" w:rsidRPr="002E5061" w:rsidRDefault="0053510B" w:rsidP="006D786C">
            <w:pPr>
              <w:pStyle w:val="NormalWeb"/>
              <w:widowControl w:val="0"/>
              <w:spacing w:before="0" w:after="0" w:line="230" w:lineRule="auto"/>
              <w:jc w:val="right"/>
              <w:rPr>
                <w:b/>
                <w:sz w:val="18"/>
                <w:szCs w:val="18"/>
                <w:lang w:val="pt-BR"/>
              </w:rPr>
            </w:pPr>
          </w:p>
        </w:tc>
        <w:tc>
          <w:tcPr>
            <w:tcW w:w="778" w:type="pct"/>
            <w:vMerge w:val="restart"/>
            <w:vAlign w:val="bottom"/>
          </w:tcPr>
          <w:p w:rsidR="0053510B" w:rsidRPr="002E5061" w:rsidRDefault="0053510B" w:rsidP="006D786C">
            <w:pPr>
              <w:jc w:val="right"/>
              <w:rPr>
                <w:b/>
                <w:sz w:val="18"/>
                <w:szCs w:val="18"/>
              </w:rPr>
            </w:pPr>
            <w:r w:rsidRPr="002E5061">
              <w:rPr>
                <w:b/>
                <w:bCs/>
                <w:sz w:val="18"/>
                <w:szCs w:val="18"/>
              </w:rPr>
              <w:t>732.097</w:t>
            </w:r>
          </w:p>
        </w:tc>
        <w:tc>
          <w:tcPr>
            <w:tcW w:w="258" w:type="pct"/>
            <w:vAlign w:val="bottom"/>
          </w:tcPr>
          <w:p w:rsidR="0053510B" w:rsidRPr="002E5061" w:rsidRDefault="0053510B" w:rsidP="006D786C">
            <w:pPr>
              <w:pStyle w:val="NormalWeb"/>
              <w:widowControl w:val="0"/>
              <w:spacing w:before="0" w:after="0" w:line="230" w:lineRule="auto"/>
              <w:jc w:val="right"/>
              <w:rPr>
                <w:b/>
                <w:sz w:val="18"/>
                <w:szCs w:val="18"/>
                <w:lang w:val="pt-BR"/>
              </w:rPr>
            </w:pPr>
          </w:p>
        </w:tc>
        <w:tc>
          <w:tcPr>
            <w:tcW w:w="698" w:type="pct"/>
            <w:vMerge w:val="restart"/>
            <w:noWrap/>
            <w:vAlign w:val="bottom"/>
          </w:tcPr>
          <w:p w:rsidR="0053510B" w:rsidRPr="002E5061" w:rsidRDefault="00B1197A" w:rsidP="006D786C">
            <w:pPr>
              <w:jc w:val="right"/>
              <w:rPr>
                <w:b/>
                <w:sz w:val="18"/>
                <w:szCs w:val="18"/>
              </w:rPr>
            </w:pPr>
            <w:r>
              <w:rPr>
                <w:b/>
                <w:sz w:val="18"/>
                <w:szCs w:val="18"/>
              </w:rPr>
              <w:t>1.851</w:t>
            </w:r>
          </w:p>
        </w:tc>
      </w:tr>
      <w:tr w:rsidR="0053510B" w:rsidRPr="002E5061" w:rsidTr="00523A96">
        <w:trPr>
          <w:trHeight w:val="227"/>
        </w:trPr>
        <w:tc>
          <w:tcPr>
            <w:tcW w:w="2230" w:type="pct"/>
            <w:noWrap/>
            <w:vAlign w:val="bottom"/>
          </w:tcPr>
          <w:p w:rsidR="0053510B" w:rsidRPr="002E5061" w:rsidRDefault="0053510B" w:rsidP="006D786C">
            <w:pPr>
              <w:pStyle w:val="NormalWeb"/>
              <w:widowControl w:val="0"/>
              <w:spacing w:before="0" w:after="0" w:line="230" w:lineRule="auto"/>
              <w:rPr>
                <w:sz w:val="18"/>
                <w:szCs w:val="18"/>
                <w:lang w:val="pt-BR"/>
              </w:rPr>
            </w:pPr>
            <w:r w:rsidRPr="002E5061">
              <w:rPr>
                <w:b/>
                <w:sz w:val="18"/>
                <w:szCs w:val="18"/>
                <w:lang w:val="pt-BR"/>
              </w:rPr>
              <w:t>Não Circulante</w:t>
            </w:r>
          </w:p>
        </w:tc>
        <w:tc>
          <w:tcPr>
            <w:tcW w:w="827" w:type="pct"/>
            <w:tcBorders>
              <w:bottom w:val="single" w:sz="4" w:space="0" w:color="auto"/>
            </w:tcBorders>
            <w:vAlign w:val="bottom"/>
          </w:tcPr>
          <w:p w:rsidR="0053510B" w:rsidRPr="002E5061" w:rsidRDefault="00B1197A" w:rsidP="006D786C">
            <w:pPr>
              <w:jc w:val="right"/>
              <w:rPr>
                <w:b/>
                <w:bCs/>
                <w:sz w:val="18"/>
                <w:szCs w:val="18"/>
              </w:rPr>
            </w:pPr>
            <w:r>
              <w:rPr>
                <w:b/>
                <w:bCs/>
                <w:sz w:val="18"/>
                <w:szCs w:val="18"/>
              </w:rPr>
              <w:t>733.948</w:t>
            </w:r>
          </w:p>
        </w:tc>
        <w:tc>
          <w:tcPr>
            <w:tcW w:w="208" w:type="pct"/>
          </w:tcPr>
          <w:p w:rsidR="0053510B" w:rsidRPr="002E5061" w:rsidRDefault="0053510B" w:rsidP="006D786C">
            <w:pPr>
              <w:pStyle w:val="NormalWeb"/>
              <w:widowControl w:val="0"/>
              <w:spacing w:before="0" w:after="0" w:line="230" w:lineRule="auto"/>
              <w:jc w:val="right"/>
              <w:rPr>
                <w:b/>
                <w:sz w:val="18"/>
                <w:szCs w:val="18"/>
                <w:lang w:val="pt-BR"/>
              </w:rPr>
            </w:pPr>
          </w:p>
        </w:tc>
        <w:tc>
          <w:tcPr>
            <w:tcW w:w="778" w:type="pct"/>
            <w:vMerge/>
            <w:vAlign w:val="bottom"/>
          </w:tcPr>
          <w:p w:rsidR="0053510B" w:rsidRPr="002E5061" w:rsidRDefault="0053510B" w:rsidP="006D786C">
            <w:pPr>
              <w:pStyle w:val="NormalWeb"/>
              <w:widowControl w:val="0"/>
              <w:spacing w:before="0" w:after="0" w:line="230" w:lineRule="auto"/>
              <w:jc w:val="right"/>
              <w:rPr>
                <w:b/>
                <w:sz w:val="18"/>
                <w:szCs w:val="18"/>
                <w:lang w:val="pt-BR"/>
              </w:rPr>
            </w:pPr>
          </w:p>
        </w:tc>
        <w:tc>
          <w:tcPr>
            <w:tcW w:w="258" w:type="pct"/>
            <w:vAlign w:val="bottom"/>
          </w:tcPr>
          <w:p w:rsidR="0053510B" w:rsidRPr="002E5061" w:rsidRDefault="0053510B" w:rsidP="006D786C">
            <w:pPr>
              <w:pStyle w:val="NormalWeb"/>
              <w:widowControl w:val="0"/>
              <w:spacing w:before="0" w:after="0" w:line="230" w:lineRule="auto"/>
              <w:rPr>
                <w:b/>
                <w:sz w:val="18"/>
                <w:szCs w:val="18"/>
                <w:lang w:val="pt-BR"/>
              </w:rPr>
            </w:pPr>
          </w:p>
        </w:tc>
        <w:tc>
          <w:tcPr>
            <w:tcW w:w="698" w:type="pct"/>
            <w:vMerge/>
            <w:noWrap/>
            <w:vAlign w:val="bottom"/>
          </w:tcPr>
          <w:p w:rsidR="0053510B" w:rsidRPr="002E5061" w:rsidRDefault="0053510B" w:rsidP="006D786C">
            <w:pPr>
              <w:pStyle w:val="NormalWeb"/>
              <w:widowControl w:val="0"/>
              <w:spacing w:before="0" w:after="0" w:line="230" w:lineRule="auto"/>
              <w:jc w:val="right"/>
              <w:rPr>
                <w:b/>
                <w:sz w:val="18"/>
                <w:szCs w:val="18"/>
                <w:lang w:val="pt-BR"/>
              </w:rPr>
            </w:pPr>
          </w:p>
        </w:tc>
      </w:tr>
      <w:tr w:rsidR="0053510B" w:rsidRPr="002E5061" w:rsidTr="00523A96">
        <w:trPr>
          <w:trHeight w:val="227"/>
        </w:trPr>
        <w:tc>
          <w:tcPr>
            <w:tcW w:w="2230" w:type="pct"/>
            <w:noWrap/>
            <w:vAlign w:val="bottom"/>
          </w:tcPr>
          <w:p w:rsidR="0053510B" w:rsidRPr="002E5061" w:rsidRDefault="00B1197A" w:rsidP="006D786C">
            <w:pPr>
              <w:pStyle w:val="NormalWeb"/>
              <w:widowControl w:val="0"/>
              <w:spacing w:before="0" w:after="0" w:line="230" w:lineRule="auto"/>
              <w:rPr>
                <w:sz w:val="18"/>
                <w:szCs w:val="18"/>
                <w:lang w:val="pt-BR"/>
              </w:rPr>
            </w:pPr>
            <w:r>
              <w:rPr>
                <w:sz w:val="18"/>
                <w:szCs w:val="18"/>
                <w:lang w:val="pt-BR"/>
              </w:rPr>
              <w:t xml:space="preserve">    </w:t>
            </w:r>
            <w:r w:rsidRPr="002E5061">
              <w:rPr>
                <w:sz w:val="18"/>
                <w:szCs w:val="18"/>
                <w:lang w:val="pt-BR"/>
              </w:rPr>
              <w:t>Adiantamento p/ Futuro Aumento de Capital</w:t>
            </w:r>
            <w:r>
              <w:rPr>
                <w:sz w:val="18"/>
                <w:szCs w:val="18"/>
                <w:lang w:val="pt-BR"/>
              </w:rPr>
              <w:t xml:space="preserve">                           </w:t>
            </w:r>
          </w:p>
        </w:tc>
        <w:tc>
          <w:tcPr>
            <w:tcW w:w="827" w:type="pct"/>
            <w:tcBorders>
              <w:top w:val="single" w:sz="4" w:space="0" w:color="auto"/>
            </w:tcBorders>
            <w:vAlign w:val="bottom"/>
          </w:tcPr>
          <w:p w:rsidR="0053510B" w:rsidRPr="002E5061" w:rsidRDefault="00B1197A" w:rsidP="006D786C">
            <w:pPr>
              <w:pStyle w:val="NormalWeb"/>
              <w:widowControl w:val="0"/>
              <w:spacing w:before="0" w:after="0" w:line="230" w:lineRule="auto"/>
              <w:jc w:val="right"/>
              <w:rPr>
                <w:sz w:val="18"/>
                <w:szCs w:val="18"/>
                <w:lang w:val="pt-BR"/>
              </w:rPr>
            </w:pPr>
            <w:r>
              <w:rPr>
                <w:sz w:val="18"/>
                <w:szCs w:val="18"/>
                <w:lang w:val="pt-BR"/>
              </w:rPr>
              <w:t>455.090</w:t>
            </w: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tcBorders>
              <w:top w:val="single" w:sz="4" w:space="0" w:color="auto"/>
            </w:tcBorders>
            <w:vAlign w:val="bottom"/>
          </w:tcPr>
          <w:p w:rsidR="0053510B" w:rsidRPr="002E5061" w:rsidRDefault="00B1197A" w:rsidP="006D786C">
            <w:pPr>
              <w:pStyle w:val="NormalWeb"/>
              <w:widowControl w:val="0"/>
              <w:spacing w:before="0" w:after="0" w:line="230" w:lineRule="auto"/>
              <w:jc w:val="right"/>
              <w:rPr>
                <w:sz w:val="18"/>
                <w:szCs w:val="18"/>
                <w:lang w:val="pt-BR"/>
              </w:rPr>
            </w:pPr>
            <w:r>
              <w:rPr>
                <w:sz w:val="18"/>
                <w:szCs w:val="18"/>
                <w:lang w:val="pt-BR"/>
              </w:rPr>
              <w:t>452.878</w:t>
            </w:r>
          </w:p>
        </w:tc>
        <w:tc>
          <w:tcPr>
            <w:tcW w:w="258" w:type="pct"/>
            <w:vAlign w:val="bottom"/>
          </w:tcPr>
          <w:p w:rsidR="0053510B" w:rsidRPr="002E5061" w:rsidRDefault="0053510B" w:rsidP="006D786C">
            <w:pPr>
              <w:pStyle w:val="NormalWeb"/>
              <w:widowControl w:val="0"/>
              <w:spacing w:before="0" w:after="0" w:line="230" w:lineRule="auto"/>
              <w:rPr>
                <w:sz w:val="18"/>
                <w:szCs w:val="18"/>
                <w:lang w:val="pt-BR"/>
              </w:rPr>
            </w:pPr>
          </w:p>
        </w:tc>
        <w:tc>
          <w:tcPr>
            <w:tcW w:w="698" w:type="pct"/>
            <w:tcBorders>
              <w:top w:val="single" w:sz="4" w:space="0" w:color="auto"/>
            </w:tcBorders>
            <w:noWrap/>
            <w:vAlign w:val="bottom"/>
          </w:tcPr>
          <w:p w:rsidR="0053510B" w:rsidRPr="002E5061" w:rsidRDefault="00B1197A" w:rsidP="006D786C">
            <w:pPr>
              <w:pStyle w:val="NormalWeb"/>
              <w:widowControl w:val="0"/>
              <w:spacing w:before="0" w:after="0" w:line="230" w:lineRule="auto"/>
              <w:jc w:val="right"/>
              <w:rPr>
                <w:sz w:val="18"/>
                <w:szCs w:val="18"/>
                <w:lang w:val="pt-BR"/>
              </w:rPr>
            </w:pPr>
            <w:r>
              <w:rPr>
                <w:sz w:val="18"/>
                <w:szCs w:val="18"/>
                <w:lang w:val="pt-BR"/>
              </w:rPr>
              <w:t>2.212</w:t>
            </w:r>
          </w:p>
        </w:tc>
      </w:tr>
      <w:tr w:rsidR="00B1197A" w:rsidRPr="002E5061" w:rsidTr="00523A96">
        <w:trPr>
          <w:trHeight w:val="227"/>
        </w:trPr>
        <w:tc>
          <w:tcPr>
            <w:tcW w:w="2230" w:type="pct"/>
            <w:noWrap/>
            <w:vAlign w:val="bottom"/>
          </w:tcPr>
          <w:p w:rsidR="00B1197A" w:rsidRPr="00B1197A" w:rsidRDefault="00B1197A" w:rsidP="006D786C">
            <w:pPr>
              <w:pStyle w:val="NormalWeb"/>
              <w:widowControl w:val="0"/>
              <w:spacing w:before="0" w:after="0" w:line="230" w:lineRule="auto"/>
              <w:rPr>
                <w:sz w:val="18"/>
                <w:szCs w:val="18"/>
                <w:lang w:val="pt-BR"/>
              </w:rPr>
            </w:pPr>
            <w:r>
              <w:rPr>
                <w:b/>
                <w:sz w:val="18"/>
                <w:szCs w:val="18"/>
                <w:lang w:val="pt-BR"/>
              </w:rPr>
              <w:t xml:space="preserve">    </w:t>
            </w:r>
            <w:r>
              <w:rPr>
                <w:sz w:val="18"/>
                <w:szCs w:val="18"/>
                <w:lang w:val="pt-BR"/>
              </w:rPr>
              <w:t>Provisões p/ Contingências e TSP</w:t>
            </w:r>
          </w:p>
        </w:tc>
        <w:tc>
          <w:tcPr>
            <w:tcW w:w="827" w:type="pct"/>
            <w:vAlign w:val="bottom"/>
          </w:tcPr>
          <w:p w:rsidR="00B1197A" w:rsidRPr="002E5061" w:rsidRDefault="00B1197A" w:rsidP="006D786C">
            <w:pPr>
              <w:pStyle w:val="NormalWeb"/>
              <w:widowControl w:val="0"/>
              <w:spacing w:before="0" w:after="0" w:line="230" w:lineRule="auto"/>
              <w:jc w:val="right"/>
              <w:rPr>
                <w:sz w:val="18"/>
                <w:szCs w:val="18"/>
                <w:lang w:val="pt-BR"/>
              </w:rPr>
            </w:pPr>
            <w:r>
              <w:rPr>
                <w:sz w:val="18"/>
                <w:szCs w:val="18"/>
                <w:lang w:val="pt-BR"/>
              </w:rPr>
              <w:t>278.858</w:t>
            </w:r>
          </w:p>
        </w:tc>
        <w:tc>
          <w:tcPr>
            <w:tcW w:w="208" w:type="pct"/>
          </w:tcPr>
          <w:p w:rsidR="00B1197A" w:rsidRPr="002E5061" w:rsidRDefault="00B1197A" w:rsidP="006D786C">
            <w:pPr>
              <w:pStyle w:val="NormalWeb"/>
              <w:widowControl w:val="0"/>
              <w:spacing w:before="0" w:after="0" w:line="230" w:lineRule="auto"/>
              <w:jc w:val="right"/>
              <w:rPr>
                <w:sz w:val="18"/>
                <w:szCs w:val="18"/>
                <w:lang w:val="pt-BR"/>
              </w:rPr>
            </w:pPr>
          </w:p>
        </w:tc>
        <w:tc>
          <w:tcPr>
            <w:tcW w:w="778" w:type="pct"/>
            <w:vAlign w:val="bottom"/>
          </w:tcPr>
          <w:p w:rsidR="00B1197A" w:rsidRPr="002E5061" w:rsidRDefault="00B1197A" w:rsidP="006D786C">
            <w:pPr>
              <w:pStyle w:val="NormalWeb"/>
              <w:widowControl w:val="0"/>
              <w:spacing w:before="0" w:after="0" w:line="230" w:lineRule="auto"/>
              <w:jc w:val="right"/>
              <w:rPr>
                <w:sz w:val="18"/>
                <w:szCs w:val="18"/>
                <w:lang w:val="pt-BR"/>
              </w:rPr>
            </w:pPr>
            <w:r>
              <w:rPr>
                <w:sz w:val="18"/>
                <w:szCs w:val="18"/>
                <w:lang w:val="pt-BR"/>
              </w:rPr>
              <w:t>279.219</w:t>
            </w:r>
          </w:p>
        </w:tc>
        <w:tc>
          <w:tcPr>
            <w:tcW w:w="258" w:type="pct"/>
            <w:vAlign w:val="bottom"/>
          </w:tcPr>
          <w:p w:rsidR="00B1197A" w:rsidRPr="002E5061" w:rsidRDefault="00B1197A" w:rsidP="006D786C">
            <w:pPr>
              <w:pStyle w:val="NormalWeb"/>
              <w:widowControl w:val="0"/>
              <w:spacing w:before="0" w:after="0" w:line="230" w:lineRule="auto"/>
              <w:rPr>
                <w:sz w:val="18"/>
                <w:szCs w:val="18"/>
                <w:lang w:val="pt-BR"/>
              </w:rPr>
            </w:pPr>
          </w:p>
        </w:tc>
        <w:tc>
          <w:tcPr>
            <w:tcW w:w="698" w:type="pct"/>
            <w:noWrap/>
            <w:vAlign w:val="bottom"/>
          </w:tcPr>
          <w:p w:rsidR="00B1197A" w:rsidRPr="002E5061" w:rsidRDefault="00B1197A" w:rsidP="006D786C">
            <w:pPr>
              <w:pStyle w:val="NormalWeb"/>
              <w:widowControl w:val="0"/>
              <w:spacing w:before="0" w:after="0" w:line="230" w:lineRule="auto"/>
              <w:jc w:val="right"/>
              <w:rPr>
                <w:sz w:val="18"/>
                <w:szCs w:val="18"/>
                <w:lang w:val="pt-BR"/>
              </w:rPr>
            </w:pPr>
            <w:r>
              <w:rPr>
                <w:sz w:val="18"/>
                <w:szCs w:val="18"/>
                <w:lang w:val="pt-BR"/>
              </w:rPr>
              <w:t>(361)</w:t>
            </w:r>
          </w:p>
        </w:tc>
      </w:tr>
      <w:tr w:rsidR="00B1197A" w:rsidRPr="002E5061" w:rsidTr="00523A96">
        <w:trPr>
          <w:trHeight w:val="227"/>
        </w:trPr>
        <w:tc>
          <w:tcPr>
            <w:tcW w:w="2230" w:type="pct"/>
            <w:noWrap/>
            <w:vAlign w:val="bottom"/>
          </w:tcPr>
          <w:p w:rsidR="00B1197A" w:rsidRPr="002E5061" w:rsidRDefault="00B1197A" w:rsidP="006D786C">
            <w:pPr>
              <w:pStyle w:val="NormalWeb"/>
              <w:widowControl w:val="0"/>
              <w:spacing w:before="0" w:after="0" w:line="230" w:lineRule="auto"/>
              <w:rPr>
                <w:b/>
                <w:sz w:val="18"/>
                <w:szCs w:val="18"/>
                <w:lang w:val="pt-BR"/>
              </w:rPr>
            </w:pPr>
          </w:p>
        </w:tc>
        <w:tc>
          <w:tcPr>
            <w:tcW w:w="827" w:type="pct"/>
            <w:vAlign w:val="bottom"/>
          </w:tcPr>
          <w:p w:rsidR="00B1197A" w:rsidRPr="002E5061" w:rsidRDefault="00B1197A" w:rsidP="006D786C">
            <w:pPr>
              <w:pStyle w:val="NormalWeb"/>
              <w:widowControl w:val="0"/>
              <w:spacing w:before="0" w:after="0" w:line="230" w:lineRule="auto"/>
              <w:jc w:val="right"/>
              <w:rPr>
                <w:sz w:val="18"/>
                <w:szCs w:val="18"/>
                <w:lang w:val="pt-BR"/>
              </w:rPr>
            </w:pPr>
          </w:p>
        </w:tc>
        <w:tc>
          <w:tcPr>
            <w:tcW w:w="208" w:type="pct"/>
          </w:tcPr>
          <w:p w:rsidR="00B1197A" w:rsidRPr="002E5061" w:rsidRDefault="00B1197A" w:rsidP="006D786C">
            <w:pPr>
              <w:pStyle w:val="NormalWeb"/>
              <w:widowControl w:val="0"/>
              <w:spacing w:before="0" w:after="0" w:line="230" w:lineRule="auto"/>
              <w:jc w:val="right"/>
              <w:rPr>
                <w:sz w:val="18"/>
                <w:szCs w:val="18"/>
                <w:lang w:val="pt-BR"/>
              </w:rPr>
            </w:pPr>
          </w:p>
        </w:tc>
        <w:tc>
          <w:tcPr>
            <w:tcW w:w="778" w:type="pct"/>
            <w:vAlign w:val="bottom"/>
          </w:tcPr>
          <w:p w:rsidR="00B1197A" w:rsidRPr="002E5061" w:rsidRDefault="00B1197A" w:rsidP="006D786C">
            <w:pPr>
              <w:pStyle w:val="NormalWeb"/>
              <w:widowControl w:val="0"/>
              <w:spacing w:before="0" w:after="0" w:line="230" w:lineRule="auto"/>
              <w:jc w:val="right"/>
              <w:rPr>
                <w:sz w:val="18"/>
                <w:szCs w:val="18"/>
                <w:lang w:val="pt-BR"/>
              </w:rPr>
            </w:pPr>
          </w:p>
        </w:tc>
        <w:tc>
          <w:tcPr>
            <w:tcW w:w="258" w:type="pct"/>
            <w:vAlign w:val="bottom"/>
          </w:tcPr>
          <w:p w:rsidR="00B1197A" w:rsidRPr="002E5061" w:rsidRDefault="00B1197A" w:rsidP="006D786C">
            <w:pPr>
              <w:pStyle w:val="NormalWeb"/>
              <w:widowControl w:val="0"/>
              <w:spacing w:before="0" w:after="0" w:line="230" w:lineRule="auto"/>
              <w:rPr>
                <w:sz w:val="18"/>
                <w:szCs w:val="18"/>
                <w:lang w:val="pt-BR"/>
              </w:rPr>
            </w:pPr>
          </w:p>
        </w:tc>
        <w:tc>
          <w:tcPr>
            <w:tcW w:w="698" w:type="pct"/>
            <w:noWrap/>
            <w:vAlign w:val="bottom"/>
          </w:tcPr>
          <w:p w:rsidR="00B1197A" w:rsidRPr="002E5061" w:rsidRDefault="00B1197A" w:rsidP="006D786C">
            <w:pPr>
              <w:pStyle w:val="NormalWeb"/>
              <w:widowControl w:val="0"/>
              <w:spacing w:before="0" w:after="0" w:line="230" w:lineRule="auto"/>
              <w:jc w:val="right"/>
              <w:rPr>
                <w:sz w:val="18"/>
                <w:szCs w:val="18"/>
                <w:lang w:val="pt-BR"/>
              </w:rPr>
            </w:pPr>
          </w:p>
        </w:tc>
      </w:tr>
      <w:tr w:rsidR="0053510B" w:rsidRPr="002E5061" w:rsidTr="00523A96">
        <w:trPr>
          <w:trHeight w:val="227"/>
        </w:trPr>
        <w:tc>
          <w:tcPr>
            <w:tcW w:w="2230" w:type="pct"/>
            <w:noWrap/>
            <w:vAlign w:val="bottom"/>
          </w:tcPr>
          <w:p w:rsidR="0053510B" w:rsidRPr="002E5061" w:rsidRDefault="0053510B" w:rsidP="006D786C">
            <w:pPr>
              <w:pStyle w:val="NormalWeb"/>
              <w:widowControl w:val="0"/>
              <w:spacing w:before="0" w:after="0" w:line="230" w:lineRule="auto"/>
              <w:rPr>
                <w:b/>
                <w:sz w:val="18"/>
                <w:szCs w:val="18"/>
                <w:lang w:val="pt-BR"/>
              </w:rPr>
            </w:pPr>
            <w:r w:rsidRPr="002E5061">
              <w:rPr>
                <w:b/>
                <w:sz w:val="18"/>
                <w:szCs w:val="18"/>
                <w:lang w:val="pt-BR"/>
              </w:rPr>
              <w:t>Patrimônio Líquido</w:t>
            </w:r>
          </w:p>
        </w:tc>
        <w:tc>
          <w:tcPr>
            <w:tcW w:w="827" w:type="pct"/>
            <w:vAlign w:val="bottom"/>
          </w:tcPr>
          <w:p w:rsidR="0053510B" w:rsidRPr="002E5061" w:rsidRDefault="0053510B" w:rsidP="006D786C">
            <w:pPr>
              <w:pStyle w:val="NormalWeb"/>
              <w:widowControl w:val="0"/>
              <w:spacing w:before="0" w:after="0" w:line="230" w:lineRule="auto"/>
              <w:jc w:val="right"/>
              <w:rPr>
                <w:sz w:val="18"/>
                <w:szCs w:val="18"/>
                <w:lang w:val="pt-BR"/>
              </w:rPr>
            </w:pP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vAlign w:val="bottom"/>
          </w:tcPr>
          <w:p w:rsidR="0053510B" w:rsidRPr="002E5061" w:rsidRDefault="0053510B" w:rsidP="006D786C">
            <w:pPr>
              <w:pStyle w:val="NormalWeb"/>
              <w:widowControl w:val="0"/>
              <w:spacing w:before="0" w:after="0" w:line="230" w:lineRule="auto"/>
              <w:jc w:val="right"/>
              <w:rPr>
                <w:sz w:val="18"/>
                <w:szCs w:val="18"/>
                <w:lang w:val="pt-BR"/>
              </w:rPr>
            </w:pPr>
          </w:p>
        </w:tc>
        <w:tc>
          <w:tcPr>
            <w:tcW w:w="258" w:type="pct"/>
            <w:vAlign w:val="bottom"/>
          </w:tcPr>
          <w:p w:rsidR="0053510B" w:rsidRPr="002E5061" w:rsidRDefault="0053510B" w:rsidP="006D786C">
            <w:pPr>
              <w:pStyle w:val="NormalWeb"/>
              <w:widowControl w:val="0"/>
              <w:spacing w:before="0" w:after="0" w:line="230" w:lineRule="auto"/>
              <w:rPr>
                <w:sz w:val="18"/>
                <w:szCs w:val="18"/>
                <w:lang w:val="pt-BR"/>
              </w:rPr>
            </w:pPr>
          </w:p>
        </w:tc>
        <w:tc>
          <w:tcPr>
            <w:tcW w:w="698" w:type="pct"/>
            <w:noWrap/>
            <w:vAlign w:val="bottom"/>
          </w:tcPr>
          <w:p w:rsidR="0053510B" w:rsidRPr="002E5061" w:rsidRDefault="0053510B" w:rsidP="006D786C">
            <w:pPr>
              <w:pStyle w:val="NormalWeb"/>
              <w:widowControl w:val="0"/>
              <w:spacing w:before="0" w:after="0" w:line="230" w:lineRule="auto"/>
              <w:jc w:val="right"/>
              <w:rPr>
                <w:sz w:val="18"/>
                <w:szCs w:val="18"/>
                <w:lang w:val="pt-BR"/>
              </w:rPr>
            </w:pPr>
          </w:p>
        </w:tc>
      </w:tr>
      <w:tr w:rsidR="0053510B" w:rsidRPr="002E5061" w:rsidTr="00523A96">
        <w:trPr>
          <w:trHeight w:val="227"/>
        </w:trPr>
        <w:tc>
          <w:tcPr>
            <w:tcW w:w="2230" w:type="pct"/>
            <w:noWrap/>
            <w:vAlign w:val="bottom"/>
          </w:tcPr>
          <w:p w:rsidR="0053510B" w:rsidRPr="002E5061" w:rsidRDefault="0053510B" w:rsidP="006D786C">
            <w:pPr>
              <w:pStyle w:val="NormalWeb"/>
              <w:widowControl w:val="0"/>
              <w:spacing w:before="0" w:after="0" w:line="230" w:lineRule="auto"/>
              <w:rPr>
                <w:sz w:val="18"/>
                <w:szCs w:val="18"/>
                <w:lang w:val="pt-BR"/>
              </w:rPr>
            </w:pPr>
            <w:r w:rsidRPr="002E5061">
              <w:rPr>
                <w:sz w:val="18"/>
                <w:szCs w:val="18"/>
                <w:lang w:val="pt-BR"/>
              </w:rPr>
              <w:t xml:space="preserve">   Capital Realizado</w:t>
            </w:r>
          </w:p>
        </w:tc>
        <w:tc>
          <w:tcPr>
            <w:tcW w:w="827" w:type="pct"/>
            <w:vAlign w:val="center"/>
          </w:tcPr>
          <w:p w:rsidR="0053510B" w:rsidRPr="002E5061" w:rsidRDefault="0053510B" w:rsidP="006D786C">
            <w:pPr>
              <w:jc w:val="right"/>
              <w:rPr>
                <w:sz w:val="18"/>
                <w:szCs w:val="18"/>
              </w:rPr>
            </w:pPr>
            <w:r w:rsidRPr="002E5061">
              <w:rPr>
                <w:sz w:val="18"/>
                <w:szCs w:val="18"/>
              </w:rPr>
              <w:t>376.403</w:t>
            </w: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vAlign w:val="center"/>
          </w:tcPr>
          <w:p w:rsidR="0053510B" w:rsidRPr="002E5061" w:rsidRDefault="0053510B" w:rsidP="006D786C">
            <w:pPr>
              <w:jc w:val="right"/>
              <w:rPr>
                <w:sz w:val="18"/>
                <w:szCs w:val="18"/>
              </w:rPr>
            </w:pPr>
            <w:r w:rsidRPr="002E5061">
              <w:rPr>
                <w:sz w:val="18"/>
                <w:szCs w:val="18"/>
              </w:rPr>
              <w:t>376.403</w:t>
            </w:r>
          </w:p>
        </w:tc>
        <w:tc>
          <w:tcPr>
            <w:tcW w:w="258" w:type="pct"/>
            <w:vAlign w:val="bottom"/>
          </w:tcPr>
          <w:p w:rsidR="0053510B" w:rsidRPr="002E5061" w:rsidRDefault="0053510B" w:rsidP="006D786C">
            <w:pPr>
              <w:pStyle w:val="NormalWeb"/>
              <w:widowControl w:val="0"/>
              <w:spacing w:before="0" w:after="0" w:line="230" w:lineRule="auto"/>
              <w:jc w:val="right"/>
              <w:rPr>
                <w:sz w:val="18"/>
                <w:szCs w:val="18"/>
                <w:lang w:val="pt-BR"/>
              </w:rPr>
            </w:pPr>
          </w:p>
        </w:tc>
        <w:tc>
          <w:tcPr>
            <w:tcW w:w="698" w:type="pct"/>
            <w:noWrap/>
            <w:vAlign w:val="center"/>
          </w:tcPr>
          <w:p w:rsidR="0053510B" w:rsidRPr="002E5061" w:rsidRDefault="0053510B" w:rsidP="006D786C">
            <w:pPr>
              <w:jc w:val="right"/>
              <w:rPr>
                <w:sz w:val="18"/>
                <w:szCs w:val="18"/>
              </w:rPr>
            </w:pPr>
            <w:r w:rsidRPr="002E5061">
              <w:rPr>
                <w:sz w:val="18"/>
                <w:szCs w:val="18"/>
              </w:rPr>
              <w:t>-</w:t>
            </w:r>
          </w:p>
        </w:tc>
      </w:tr>
      <w:tr w:rsidR="0053510B" w:rsidRPr="002E5061" w:rsidTr="00523A96">
        <w:trPr>
          <w:trHeight w:val="227"/>
        </w:trPr>
        <w:tc>
          <w:tcPr>
            <w:tcW w:w="2230" w:type="pct"/>
            <w:noWrap/>
            <w:vAlign w:val="bottom"/>
          </w:tcPr>
          <w:p w:rsidR="0053510B" w:rsidRPr="002E5061" w:rsidRDefault="0053510B" w:rsidP="006D786C">
            <w:pPr>
              <w:pStyle w:val="NormalWeb"/>
              <w:widowControl w:val="0"/>
              <w:spacing w:before="0" w:after="0" w:line="230" w:lineRule="auto"/>
              <w:rPr>
                <w:sz w:val="18"/>
                <w:szCs w:val="18"/>
                <w:lang w:val="pt-BR"/>
              </w:rPr>
            </w:pPr>
            <w:r w:rsidRPr="002E5061">
              <w:rPr>
                <w:sz w:val="18"/>
                <w:szCs w:val="18"/>
                <w:lang w:val="pt-BR"/>
              </w:rPr>
              <w:t xml:space="preserve">   Adiantamento p/ Futuro Aumento de Capital</w:t>
            </w:r>
          </w:p>
        </w:tc>
        <w:tc>
          <w:tcPr>
            <w:tcW w:w="827" w:type="pct"/>
            <w:vAlign w:val="center"/>
          </w:tcPr>
          <w:p w:rsidR="0053510B" w:rsidRPr="002E5061" w:rsidRDefault="0053510B" w:rsidP="006D786C">
            <w:pPr>
              <w:jc w:val="right"/>
              <w:rPr>
                <w:sz w:val="18"/>
                <w:szCs w:val="18"/>
              </w:rPr>
            </w:pPr>
            <w:r w:rsidRPr="002E5061">
              <w:rPr>
                <w:sz w:val="18"/>
                <w:szCs w:val="18"/>
              </w:rPr>
              <w:t>165.273</w:t>
            </w: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vAlign w:val="center"/>
          </w:tcPr>
          <w:p w:rsidR="0053510B" w:rsidRPr="002E5061" w:rsidRDefault="0053510B" w:rsidP="006D786C">
            <w:pPr>
              <w:jc w:val="right"/>
              <w:rPr>
                <w:sz w:val="18"/>
                <w:szCs w:val="18"/>
              </w:rPr>
            </w:pPr>
            <w:r w:rsidRPr="002E5061">
              <w:rPr>
                <w:sz w:val="18"/>
                <w:szCs w:val="18"/>
              </w:rPr>
              <w:t>165.419</w:t>
            </w:r>
          </w:p>
        </w:tc>
        <w:tc>
          <w:tcPr>
            <w:tcW w:w="258" w:type="pct"/>
            <w:vAlign w:val="bottom"/>
          </w:tcPr>
          <w:p w:rsidR="0053510B" w:rsidRPr="002E5061" w:rsidRDefault="0053510B" w:rsidP="006D786C">
            <w:pPr>
              <w:pStyle w:val="NormalWeb"/>
              <w:widowControl w:val="0"/>
              <w:spacing w:before="0" w:after="0" w:line="230" w:lineRule="auto"/>
              <w:jc w:val="right"/>
              <w:rPr>
                <w:sz w:val="18"/>
                <w:szCs w:val="18"/>
                <w:lang w:val="pt-BR"/>
              </w:rPr>
            </w:pPr>
          </w:p>
        </w:tc>
        <w:tc>
          <w:tcPr>
            <w:tcW w:w="698" w:type="pct"/>
            <w:noWrap/>
            <w:vAlign w:val="center"/>
          </w:tcPr>
          <w:p w:rsidR="0053510B" w:rsidRPr="002E5061" w:rsidRDefault="0053510B" w:rsidP="006D786C">
            <w:pPr>
              <w:jc w:val="right"/>
              <w:rPr>
                <w:sz w:val="18"/>
                <w:szCs w:val="18"/>
              </w:rPr>
            </w:pPr>
            <w:r w:rsidRPr="002E5061">
              <w:rPr>
                <w:sz w:val="18"/>
                <w:szCs w:val="18"/>
              </w:rPr>
              <w:t>(146)</w:t>
            </w:r>
          </w:p>
        </w:tc>
      </w:tr>
      <w:tr w:rsidR="0053510B" w:rsidRPr="002E5061" w:rsidTr="00523A96">
        <w:trPr>
          <w:trHeight w:val="227"/>
        </w:trPr>
        <w:tc>
          <w:tcPr>
            <w:tcW w:w="2230" w:type="pct"/>
            <w:noWrap/>
            <w:vAlign w:val="bottom"/>
          </w:tcPr>
          <w:p w:rsidR="0053510B" w:rsidRPr="002E5061" w:rsidRDefault="0053510B" w:rsidP="006D786C">
            <w:pPr>
              <w:pStyle w:val="NormalWeb"/>
              <w:widowControl w:val="0"/>
              <w:spacing w:before="0" w:after="0" w:line="230" w:lineRule="auto"/>
              <w:rPr>
                <w:sz w:val="18"/>
                <w:szCs w:val="18"/>
                <w:lang w:val="pt-BR"/>
              </w:rPr>
            </w:pPr>
            <w:r w:rsidRPr="002E5061">
              <w:rPr>
                <w:sz w:val="18"/>
                <w:szCs w:val="18"/>
                <w:lang w:val="pt-BR"/>
              </w:rPr>
              <w:t xml:space="preserve">   Ajustes de Avaliação Patrimonial</w:t>
            </w:r>
          </w:p>
        </w:tc>
        <w:tc>
          <w:tcPr>
            <w:tcW w:w="827" w:type="pct"/>
            <w:vAlign w:val="center"/>
          </w:tcPr>
          <w:p w:rsidR="0053510B" w:rsidRPr="002E5061" w:rsidRDefault="0053510B" w:rsidP="006D786C">
            <w:pPr>
              <w:jc w:val="right"/>
              <w:rPr>
                <w:sz w:val="18"/>
                <w:szCs w:val="18"/>
              </w:rPr>
            </w:pPr>
            <w:r w:rsidRPr="002E5061">
              <w:rPr>
                <w:sz w:val="18"/>
                <w:szCs w:val="18"/>
              </w:rPr>
              <w:t>(16.600)</w:t>
            </w: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vAlign w:val="center"/>
          </w:tcPr>
          <w:p w:rsidR="0053510B" w:rsidRPr="002E5061" w:rsidRDefault="0053510B" w:rsidP="006D786C">
            <w:pPr>
              <w:jc w:val="right"/>
              <w:rPr>
                <w:sz w:val="18"/>
                <w:szCs w:val="18"/>
              </w:rPr>
            </w:pPr>
            <w:r w:rsidRPr="002E5061">
              <w:rPr>
                <w:sz w:val="18"/>
                <w:szCs w:val="18"/>
              </w:rPr>
              <w:t>(19.372)</w:t>
            </w:r>
          </w:p>
        </w:tc>
        <w:tc>
          <w:tcPr>
            <w:tcW w:w="258" w:type="pct"/>
            <w:vAlign w:val="bottom"/>
          </w:tcPr>
          <w:p w:rsidR="0053510B" w:rsidRPr="002E5061" w:rsidRDefault="0053510B" w:rsidP="006D786C">
            <w:pPr>
              <w:pStyle w:val="NormalWeb"/>
              <w:widowControl w:val="0"/>
              <w:spacing w:before="0" w:after="0" w:line="230" w:lineRule="auto"/>
              <w:jc w:val="right"/>
              <w:rPr>
                <w:sz w:val="18"/>
                <w:szCs w:val="18"/>
                <w:lang w:val="pt-BR"/>
              </w:rPr>
            </w:pPr>
          </w:p>
        </w:tc>
        <w:tc>
          <w:tcPr>
            <w:tcW w:w="698" w:type="pct"/>
            <w:noWrap/>
            <w:vAlign w:val="center"/>
          </w:tcPr>
          <w:p w:rsidR="0053510B" w:rsidRPr="002E5061" w:rsidRDefault="0053510B" w:rsidP="006D786C">
            <w:pPr>
              <w:jc w:val="right"/>
              <w:rPr>
                <w:sz w:val="18"/>
                <w:szCs w:val="18"/>
              </w:rPr>
            </w:pPr>
            <w:r w:rsidRPr="002E5061">
              <w:rPr>
                <w:sz w:val="18"/>
                <w:szCs w:val="18"/>
              </w:rPr>
              <w:t>2.772</w:t>
            </w:r>
          </w:p>
        </w:tc>
      </w:tr>
      <w:tr w:rsidR="0053510B" w:rsidRPr="002E5061" w:rsidTr="00523A96">
        <w:trPr>
          <w:trHeight w:val="227"/>
        </w:trPr>
        <w:tc>
          <w:tcPr>
            <w:tcW w:w="2230" w:type="pct"/>
            <w:noWrap/>
            <w:vAlign w:val="bottom"/>
          </w:tcPr>
          <w:p w:rsidR="0053510B" w:rsidRPr="002E5061" w:rsidRDefault="0053510B" w:rsidP="006D786C">
            <w:pPr>
              <w:pStyle w:val="NormalWeb"/>
              <w:widowControl w:val="0"/>
              <w:spacing w:before="0" w:after="0" w:line="230" w:lineRule="auto"/>
              <w:rPr>
                <w:sz w:val="18"/>
                <w:szCs w:val="18"/>
                <w:lang w:val="pt-BR"/>
              </w:rPr>
            </w:pPr>
            <w:r w:rsidRPr="002E5061">
              <w:rPr>
                <w:sz w:val="18"/>
                <w:szCs w:val="18"/>
                <w:lang w:val="pt-BR"/>
              </w:rPr>
              <w:t xml:space="preserve">   Reservas de Lucro</w:t>
            </w:r>
          </w:p>
        </w:tc>
        <w:tc>
          <w:tcPr>
            <w:tcW w:w="827" w:type="pct"/>
            <w:vAlign w:val="center"/>
          </w:tcPr>
          <w:p w:rsidR="0053510B" w:rsidRPr="002E5061" w:rsidRDefault="00093A03" w:rsidP="006D786C">
            <w:pPr>
              <w:jc w:val="right"/>
              <w:rPr>
                <w:sz w:val="18"/>
                <w:szCs w:val="18"/>
              </w:rPr>
            </w:pPr>
            <w:r>
              <w:rPr>
                <w:sz w:val="18"/>
                <w:szCs w:val="18"/>
              </w:rPr>
              <w:t>-</w:t>
            </w: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vAlign w:val="center"/>
          </w:tcPr>
          <w:p w:rsidR="0053510B" w:rsidRPr="002E5061" w:rsidRDefault="0053510B" w:rsidP="006D786C">
            <w:pPr>
              <w:jc w:val="right"/>
              <w:rPr>
                <w:sz w:val="18"/>
                <w:szCs w:val="18"/>
              </w:rPr>
            </w:pPr>
            <w:r w:rsidRPr="002E5061">
              <w:rPr>
                <w:sz w:val="18"/>
                <w:szCs w:val="18"/>
              </w:rPr>
              <w:t>2.518</w:t>
            </w:r>
          </w:p>
        </w:tc>
        <w:tc>
          <w:tcPr>
            <w:tcW w:w="258" w:type="pct"/>
            <w:vAlign w:val="bottom"/>
          </w:tcPr>
          <w:p w:rsidR="0053510B" w:rsidRPr="002E5061" w:rsidRDefault="0053510B" w:rsidP="006D786C">
            <w:pPr>
              <w:pStyle w:val="NormalWeb"/>
              <w:widowControl w:val="0"/>
              <w:spacing w:before="0" w:after="0" w:line="230" w:lineRule="auto"/>
              <w:jc w:val="right"/>
              <w:rPr>
                <w:sz w:val="18"/>
                <w:szCs w:val="18"/>
                <w:lang w:val="pt-BR"/>
              </w:rPr>
            </w:pPr>
          </w:p>
        </w:tc>
        <w:tc>
          <w:tcPr>
            <w:tcW w:w="698" w:type="pct"/>
            <w:noWrap/>
            <w:vAlign w:val="center"/>
          </w:tcPr>
          <w:p w:rsidR="0053510B" w:rsidRPr="002E5061" w:rsidRDefault="0053510B" w:rsidP="006D786C">
            <w:pPr>
              <w:jc w:val="right"/>
              <w:rPr>
                <w:sz w:val="18"/>
                <w:szCs w:val="18"/>
              </w:rPr>
            </w:pPr>
            <w:r w:rsidRPr="002E5061">
              <w:rPr>
                <w:sz w:val="18"/>
                <w:szCs w:val="18"/>
              </w:rPr>
              <w:t>19.005</w:t>
            </w:r>
          </w:p>
        </w:tc>
      </w:tr>
      <w:tr w:rsidR="0053510B" w:rsidRPr="002E5061" w:rsidTr="00523A96">
        <w:trPr>
          <w:trHeight w:val="227"/>
        </w:trPr>
        <w:tc>
          <w:tcPr>
            <w:tcW w:w="2230" w:type="pct"/>
            <w:noWrap/>
            <w:vAlign w:val="bottom"/>
          </w:tcPr>
          <w:p w:rsidR="0053510B" w:rsidRPr="002E5061" w:rsidRDefault="0053510B" w:rsidP="006D786C">
            <w:pPr>
              <w:pStyle w:val="NormalWeb"/>
              <w:widowControl w:val="0"/>
              <w:spacing w:before="0" w:after="0" w:line="230" w:lineRule="auto"/>
              <w:rPr>
                <w:sz w:val="18"/>
                <w:szCs w:val="18"/>
                <w:lang w:val="pt-BR"/>
              </w:rPr>
            </w:pPr>
            <w:r w:rsidRPr="002E5061">
              <w:rPr>
                <w:sz w:val="18"/>
                <w:szCs w:val="18"/>
                <w:lang w:val="pt-BR"/>
              </w:rPr>
              <w:t xml:space="preserve">   Resultado de Exercícios Anteriores - Prejuízos</w:t>
            </w:r>
          </w:p>
        </w:tc>
        <w:tc>
          <w:tcPr>
            <w:tcW w:w="827" w:type="pct"/>
            <w:vAlign w:val="center"/>
          </w:tcPr>
          <w:p w:rsidR="0053510B" w:rsidRPr="002E5061" w:rsidRDefault="0053510B" w:rsidP="006D786C">
            <w:pPr>
              <w:jc w:val="right"/>
              <w:rPr>
                <w:sz w:val="18"/>
                <w:szCs w:val="18"/>
              </w:rPr>
            </w:pPr>
            <w:r w:rsidRPr="002E5061">
              <w:rPr>
                <w:sz w:val="18"/>
                <w:szCs w:val="18"/>
              </w:rPr>
              <w:t>-</w:t>
            </w: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vAlign w:val="center"/>
          </w:tcPr>
          <w:p w:rsidR="0053510B" w:rsidRPr="002E5061" w:rsidRDefault="0053510B" w:rsidP="006D786C">
            <w:pPr>
              <w:jc w:val="right"/>
              <w:rPr>
                <w:sz w:val="18"/>
                <w:szCs w:val="18"/>
              </w:rPr>
            </w:pPr>
            <w:r w:rsidRPr="002E5061">
              <w:rPr>
                <w:sz w:val="18"/>
                <w:szCs w:val="18"/>
              </w:rPr>
              <w:t>(393.323)</w:t>
            </w:r>
          </w:p>
        </w:tc>
        <w:tc>
          <w:tcPr>
            <w:tcW w:w="258" w:type="pct"/>
            <w:vAlign w:val="bottom"/>
          </w:tcPr>
          <w:p w:rsidR="0053510B" w:rsidRPr="002E5061" w:rsidRDefault="0053510B" w:rsidP="006D786C">
            <w:pPr>
              <w:pStyle w:val="NormalWeb"/>
              <w:widowControl w:val="0"/>
              <w:spacing w:before="0" w:after="0" w:line="230" w:lineRule="auto"/>
              <w:jc w:val="right"/>
              <w:rPr>
                <w:sz w:val="18"/>
                <w:szCs w:val="18"/>
                <w:lang w:val="pt-BR"/>
              </w:rPr>
            </w:pPr>
          </w:p>
        </w:tc>
        <w:tc>
          <w:tcPr>
            <w:tcW w:w="698" w:type="pct"/>
            <w:noWrap/>
            <w:vAlign w:val="center"/>
          </w:tcPr>
          <w:p w:rsidR="0053510B" w:rsidRPr="002E5061" w:rsidRDefault="0053510B" w:rsidP="006D786C">
            <w:pPr>
              <w:jc w:val="right"/>
              <w:rPr>
                <w:sz w:val="18"/>
                <w:szCs w:val="18"/>
              </w:rPr>
            </w:pPr>
            <w:r w:rsidRPr="002E5061">
              <w:rPr>
                <w:sz w:val="18"/>
                <w:szCs w:val="18"/>
              </w:rPr>
              <w:t>393.323</w:t>
            </w:r>
          </w:p>
        </w:tc>
      </w:tr>
      <w:tr w:rsidR="0053510B" w:rsidRPr="002E5061" w:rsidTr="00523A96">
        <w:trPr>
          <w:trHeight w:val="227"/>
        </w:trPr>
        <w:tc>
          <w:tcPr>
            <w:tcW w:w="2230" w:type="pct"/>
            <w:noWrap/>
            <w:vAlign w:val="bottom"/>
          </w:tcPr>
          <w:p w:rsidR="0053510B" w:rsidRPr="002E5061" w:rsidRDefault="0053510B" w:rsidP="00093A03">
            <w:pPr>
              <w:pStyle w:val="NormalWeb"/>
              <w:widowControl w:val="0"/>
              <w:spacing w:before="0" w:after="0" w:line="230" w:lineRule="auto"/>
              <w:rPr>
                <w:sz w:val="18"/>
                <w:szCs w:val="18"/>
                <w:lang w:val="pt-BR"/>
              </w:rPr>
            </w:pPr>
            <w:r w:rsidRPr="002E5061">
              <w:rPr>
                <w:sz w:val="18"/>
                <w:szCs w:val="18"/>
                <w:lang w:val="pt-BR"/>
              </w:rPr>
              <w:t xml:space="preserve">   </w:t>
            </w:r>
            <w:r w:rsidR="00093A03">
              <w:rPr>
                <w:sz w:val="18"/>
                <w:szCs w:val="18"/>
                <w:lang w:val="pt-BR"/>
              </w:rPr>
              <w:t>Prejuízos Acumulados</w:t>
            </w:r>
          </w:p>
        </w:tc>
        <w:tc>
          <w:tcPr>
            <w:tcW w:w="827" w:type="pct"/>
            <w:vAlign w:val="center"/>
          </w:tcPr>
          <w:p w:rsidR="0053510B" w:rsidRPr="002E5061" w:rsidRDefault="0053510B" w:rsidP="00093A03">
            <w:pPr>
              <w:jc w:val="right"/>
              <w:rPr>
                <w:sz w:val="18"/>
                <w:szCs w:val="18"/>
              </w:rPr>
            </w:pPr>
            <w:r w:rsidRPr="002E5061">
              <w:rPr>
                <w:sz w:val="18"/>
                <w:szCs w:val="18"/>
              </w:rPr>
              <w:t>(</w:t>
            </w:r>
            <w:r w:rsidR="00093A03">
              <w:rPr>
                <w:sz w:val="18"/>
                <w:szCs w:val="18"/>
              </w:rPr>
              <w:t>101.419</w:t>
            </w:r>
            <w:r w:rsidRPr="002E5061">
              <w:rPr>
                <w:sz w:val="18"/>
                <w:szCs w:val="18"/>
              </w:rPr>
              <w:t>)</w:t>
            </w: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vAlign w:val="center"/>
          </w:tcPr>
          <w:p w:rsidR="0053510B" w:rsidRPr="002E5061" w:rsidRDefault="0053510B" w:rsidP="006D786C">
            <w:pPr>
              <w:jc w:val="right"/>
              <w:rPr>
                <w:sz w:val="18"/>
                <w:szCs w:val="18"/>
              </w:rPr>
            </w:pPr>
            <w:r w:rsidRPr="002E5061">
              <w:rPr>
                <w:sz w:val="18"/>
                <w:szCs w:val="18"/>
              </w:rPr>
              <w:t>(57.911)</w:t>
            </w:r>
          </w:p>
        </w:tc>
        <w:tc>
          <w:tcPr>
            <w:tcW w:w="258" w:type="pct"/>
            <w:vAlign w:val="bottom"/>
          </w:tcPr>
          <w:p w:rsidR="0053510B" w:rsidRPr="002E5061" w:rsidRDefault="0053510B" w:rsidP="006D786C">
            <w:pPr>
              <w:pStyle w:val="NormalWeb"/>
              <w:widowControl w:val="0"/>
              <w:spacing w:before="0" w:after="0" w:line="230" w:lineRule="auto"/>
              <w:jc w:val="right"/>
              <w:rPr>
                <w:sz w:val="18"/>
                <w:szCs w:val="18"/>
                <w:lang w:val="pt-BR"/>
              </w:rPr>
            </w:pPr>
          </w:p>
        </w:tc>
        <w:tc>
          <w:tcPr>
            <w:tcW w:w="698" w:type="pct"/>
            <w:noWrap/>
            <w:vAlign w:val="center"/>
          </w:tcPr>
          <w:p w:rsidR="0053510B" w:rsidRPr="002E5061" w:rsidRDefault="0053510B" w:rsidP="00E86E07">
            <w:pPr>
              <w:jc w:val="right"/>
              <w:rPr>
                <w:sz w:val="18"/>
                <w:szCs w:val="18"/>
              </w:rPr>
            </w:pPr>
            <w:r w:rsidRPr="002E5061">
              <w:rPr>
                <w:sz w:val="18"/>
                <w:szCs w:val="18"/>
              </w:rPr>
              <w:t>(</w:t>
            </w:r>
            <w:r w:rsidR="00E86E07">
              <w:rPr>
                <w:sz w:val="18"/>
                <w:szCs w:val="18"/>
              </w:rPr>
              <w:t>65.029</w:t>
            </w:r>
            <w:r w:rsidRPr="002E5061">
              <w:rPr>
                <w:sz w:val="18"/>
                <w:szCs w:val="18"/>
              </w:rPr>
              <w:t>)</w:t>
            </w:r>
          </w:p>
        </w:tc>
      </w:tr>
      <w:tr w:rsidR="0053510B" w:rsidRPr="002E5061" w:rsidTr="00523A96">
        <w:trPr>
          <w:trHeight w:val="227"/>
        </w:trPr>
        <w:tc>
          <w:tcPr>
            <w:tcW w:w="2230" w:type="pct"/>
            <w:noWrap/>
            <w:vAlign w:val="bottom"/>
          </w:tcPr>
          <w:p w:rsidR="0053510B" w:rsidRPr="002E5061" w:rsidRDefault="0053510B" w:rsidP="006D786C">
            <w:pPr>
              <w:pStyle w:val="NormalWeb"/>
              <w:widowControl w:val="0"/>
              <w:spacing w:before="0" w:after="0" w:line="230" w:lineRule="auto"/>
              <w:rPr>
                <w:sz w:val="18"/>
                <w:szCs w:val="18"/>
                <w:lang w:val="pt-BR"/>
              </w:rPr>
            </w:pPr>
            <w:r w:rsidRPr="002E5061">
              <w:rPr>
                <w:sz w:val="18"/>
                <w:szCs w:val="18"/>
                <w:lang w:val="pt-BR"/>
              </w:rPr>
              <w:t xml:space="preserve">   Ajuste de Exercícios Anteriores</w:t>
            </w:r>
          </w:p>
        </w:tc>
        <w:tc>
          <w:tcPr>
            <w:tcW w:w="827" w:type="pct"/>
            <w:tcBorders>
              <w:bottom w:val="single" w:sz="4" w:space="0" w:color="auto"/>
            </w:tcBorders>
            <w:vAlign w:val="center"/>
          </w:tcPr>
          <w:p w:rsidR="0053510B" w:rsidRPr="002E5061" w:rsidRDefault="0053510B" w:rsidP="006D786C">
            <w:pPr>
              <w:jc w:val="right"/>
              <w:rPr>
                <w:sz w:val="18"/>
                <w:szCs w:val="18"/>
              </w:rPr>
            </w:pPr>
            <w:r w:rsidRPr="002E5061">
              <w:rPr>
                <w:sz w:val="18"/>
                <w:szCs w:val="18"/>
              </w:rPr>
              <w:t>-</w:t>
            </w:r>
          </w:p>
        </w:tc>
        <w:tc>
          <w:tcPr>
            <w:tcW w:w="208" w:type="pct"/>
          </w:tcPr>
          <w:p w:rsidR="0053510B" w:rsidRPr="002E5061" w:rsidRDefault="0053510B" w:rsidP="006D786C">
            <w:pPr>
              <w:pStyle w:val="NormalWeb"/>
              <w:widowControl w:val="0"/>
              <w:spacing w:before="0" w:after="0" w:line="230" w:lineRule="auto"/>
              <w:jc w:val="right"/>
              <w:rPr>
                <w:sz w:val="18"/>
                <w:szCs w:val="18"/>
                <w:lang w:val="pt-BR"/>
              </w:rPr>
            </w:pPr>
          </w:p>
        </w:tc>
        <w:tc>
          <w:tcPr>
            <w:tcW w:w="778" w:type="pct"/>
            <w:tcBorders>
              <w:bottom w:val="single" w:sz="4" w:space="0" w:color="auto"/>
            </w:tcBorders>
            <w:vAlign w:val="center"/>
          </w:tcPr>
          <w:p w:rsidR="0053510B" w:rsidRPr="002E5061" w:rsidRDefault="0053510B" w:rsidP="006D786C">
            <w:pPr>
              <w:jc w:val="right"/>
              <w:rPr>
                <w:sz w:val="18"/>
                <w:szCs w:val="18"/>
              </w:rPr>
            </w:pPr>
            <w:r w:rsidRPr="002E5061">
              <w:rPr>
                <w:sz w:val="18"/>
                <w:szCs w:val="18"/>
              </w:rPr>
              <w:t>(86.353)</w:t>
            </w:r>
          </w:p>
        </w:tc>
        <w:tc>
          <w:tcPr>
            <w:tcW w:w="258" w:type="pct"/>
            <w:vAlign w:val="bottom"/>
          </w:tcPr>
          <w:p w:rsidR="0053510B" w:rsidRPr="002E5061" w:rsidRDefault="0053510B" w:rsidP="006D786C">
            <w:pPr>
              <w:pStyle w:val="NormalWeb"/>
              <w:widowControl w:val="0"/>
              <w:spacing w:before="0" w:after="0" w:line="230" w:lineRule="auto"/>
              <w:jc w:val="right"/>
              <w:rPr>
                <w:sz w:val="18"/>
                <w:szCs w:val="18"/>
                <w:lang w:val="pt-BR"/>
              </w:rPr>
            </w:pPr>
          </w:p>
        </w:tc>
        <w:tc>
          <w:tcPr>
            <w:tcW w:w="698" w:type="pct"/>
            <w:tcBorders>
              <w:bottom w:val="single" w:sz="4" w:space="0" w:color="auto"/>
            </w:tcBorders>
            <w:noWrap/>
            <w:vAlign w:val="center"/>
          </w:tcPr>
          <w:p w:rsidR="0053510B" w:rsidRPr="002E5061" w:rsidRDefault="0053510B" w:rsidP="006D786C">
            <w:pPr>
              <w:jc w:val="right"/>
              <w:rPr>
                <w:sz w:val="18"/>
                <w:szCs w:val="18"/>
              </w:rPr>
            </w:pPr>
            <w:r w:rsidRPr="002E5061">
              <w:rPr>
                <w:sz w:val="18"/>
                <w:szCs w:val="18"/>
              </w:rPr>
              <w:t xml:space="preserve">    86.353</w:t>
            </w:r>
          </w:p>
        </w:tc>
      </w:tr>
      <w:tr w:rsidR="0053510B" w:rsidRPr="002E5061" w:rsidTr="00523A96">
        <w:trPr>
          <w:trHeight w:val="227"/>
        </w:trPr>
        <w:tc>
          <w:tcPr>
            <w:tcW w:w="2230" w:type="pct"/>
            <w:noWrap/>
            <w:vAlign w:val="bottom"/>
          </w:tcPr>
          <w:p w:rsidR="0053510B" w:rsidRPr="002E5061" w:rsidRDefault="0053510B" w:rsidP="006D786C">
            <w:pPr>
              <w:pStyle w:val="NormalWeb"/>
              <w:widowControl w:val="0"/>
              <w:spacing w:before="0" w:after="0" w:line="230" w:lineRule="auto"/>
              <w:jc w:val="right"/>
              <w:rPr>
                <w:sz w:val="18"/>
                <w:szCs w:val="18"/>
                <w:lang w:val="pt-BR"/>
              </w:rPr>
            </w:pPr>
          </w:p>
        </w:tc>
        <w:tc>
          <w:tcPr>
            <w:tcW w:w="827" w:type="pct"/>
            <w:tcBorders>
              <w:top w:val="single" w:sz="4" w:space="0" w:color="auto"/>
              <w:bottom w:val="single" w:sz="4" w:space="0" w:color="auto"/>
            </w:tcBorders>
            <w:vAlign w:val="bottom"/>
          </w:tcPr>
          <w:p w:rsidR="0053510B" w:rsidRPr="002E5061" w:rsidRDefault="00E86E07" w:rsidP="006D786C">
            <w:pPr>
              <w:jc w:val="right"/>
              <w:rPr>
                <w:b/>
                <w:sz w:val="18"/>
                <w:szCs w:val="18"/>
              </w:rPr>
            </w:pPr>
            <w:r>
              <w:rPr>
                <w:b/>
                <w:bCs/>
                <w:sz w:val="18"/>
                <w:szCs w:val="18"/>
              </w:rPr>
              <w:t>423.657</w:t>
            </w:r>
            <w:r w:rsidR="0053510B" w:rsidRPr="002E5061">
              <w:rPr>
                <w:b/>
                <w:bCs/>
                <w:sz w:val="18"/>
                <w:szCs w:val="18"/>
              </w:rPr>
              <w:t xml:space="preserve">                     </w:t>
            </w:r>
          </w:p>
        </w:tc>
        <w:tc>
          <w:tcPr>
            <w:tcW w:w="208" w:type="pct"/>
          </w:tcPr>
          <w:p w:rsidR="0053510B" w:rsidRPr="002E5061" w:rsidRDefault="0053510B" w:rsidP="006D786C">
            <w:pPr>
              <w:pStyle w:val="NormalWeb"/>
              <w:widowControl w:val="0"/>
              <w:spacing w:before="0" w:after="0" w:line="230" w:lineRule="auto"/>
              <w:jc w:val="right"/>
              <w:rPr>
                <w:b/>
                <w:sz w:val="18"/>
                <w:szCs w:val="18"/>
                <w:lang w:val="pt-BR"/>
              </w:rPr>
            </w:pPr>
          </w:p>
        </w:tc>
        <w:tc>
          <w:tcPr>
            <w:tcW w:w="778" w:type="pct"/>
            <w:tcBorders>
              <w:top w:val="single" w:sz="4" w:space="0" w:color="auto"/>
              <w:bottom w:val="single" w:sz="4" w:space="0" w:color="auto"/>
            </w:tcBorders>
            <w:vAlign w:val="bottom"/>
          </w:tcPr>
          <w:p w:rsidR="0053510B" w:rsidRPr="002E5061" w:rsidRDefault="0053510B" w:rsidP="006D786C">
            <w:pPr>
              <w:jc w:val="right"/>
              <w:rPr>
                <w:b/>
                <w:sz w:val="18"/>
                <w:szCs w:val="18"/>
              </w:rPr>
            </w:pPr>
            <w:r w:rsidRPr="002E5061">
              <w:rPr>
                <w:b/>
                <w:bCs/>
                <w:sz w:val="18"/>
                <w:szCs w:val="18"/>
              </w:rPr>
              <w:t xml:space="preserve">(12.619)                     </w:t>
            </w:r>
          </w:p>
        </w:tc>
        <w:tc>
          <w:tcPr>
            <w:tcW w:w="258" w:type="pct"/>
            <w:vAlign w:val="bottom"/>
          </w:tcPr>
          <w:p w:rsidR="0053510B" w:rsidRPr="002E5061" w:rsidRDefault="0053510B" w:rsidP="006D786C">
            <w:pPr>
              <w:pStyle w:val="NormalWeb"/>
              <w:widowControl w:val="0"/>
              <w:spacing w:before="0" w:after="0" w:line="230" w:lineRule="auto"/>
              <w:rPr>
                <w:b/>
                <w:sz w:val="18"/>
                <w:szCs w:val="18"/>
                <w:lang w:val="pt-BR"/>
              </w:rPr>
            </w:pPr>
          </w:p>
        </w:tc>
        <w:tc>
          <w:tcPr>
            <w:tcW w:w="698" w:type="pct"/>
            <w:tcBorders>
              <w:top w:val="single" w:sz="4" w:space="0" w:color="auto"/>
              <w:bottom w:val="single" w:sz="4" w:space="0" w:color="auto"/>
            </w:tcBorders>
            <w:noWrap/>
            <w:vAlign w:val="bottom"/>
          </w:tcPr>
          <w:p w:rsidR="0053510B" w:rsidRPr="002E5061" w:rsidRDefault="0053510B" w:rsidP="00E86E07">
            <w:pPr>
              <w:jc w:val="right"/>
              <w:rPr>
                <w:b/>
                <w:sz w:val="18"/>
                <w:szCs w:val="18"/>
              </w:rPr>
            </w:pPr>
            <w:r w:rsidRPr="002E5061">
              <w:rPr>
                <w:b/>
                <w:bCs/>
                <w:sz w:val="18"/>
                <w:szCs w:val="18"/>
              </w:rPr>
              <w:t xml:space="preserve">           </w:t>
            </w:r>
            <w:r w:rsidR="00E86E07">
              <w:rPr>
                <w:b/>
                <w:bCs/>
                <w:sz w:val="18"/>
                <w:szCs w:val="18"/>
              </w:rPr>
              <w:t>436.276</w:t>
            </w:r>
          </w:p>
        </w:tc>
      </w:tr>
      <w:tr w:rsidR="002E5061" w:rsidRPr="002E5061" w:rsidTr="00523A96">
        <w:trPr>
          <w:trHeight w:val="227"/>
        </w:trPr>
        <w:tc>
          <w:tcPr>
            <w:tcW w:w="2230" w:type="pct"/>
            <w:noWrap/>
            <w:vAlign w:val="bottom"/>
          </w:tcPr>
          <w:p w:rsidR="0053510B" w:rsidRPr="002E5061" w:rsidRDefault="0053510B" w:rsidP="006D786C">
            <w:pPr>
              <w:pStyle w:val="NormalWeb"/>
              <w:widowControl w:val="0"/>
              <w:spacing w:before="0" w:after="0" w:line="230" w:lineRule="auto"/>
              <w:rPr>
                <w:b/>
                <w:sz w:val="18"/>
                <w:szCs w:val="18"/>
                <w:lang w:val="pt-BR"/>
              </w:rPr>
            </w:pPr>
            <w:r w:rsidRPr="002E5061">
              <w:rPr>
                <w:sz w:val="18"/>
                <w:szCs w:val="18"/>
                <w:lang w:val="pt-BR"/>
              </w:rPr>
              <w:t xml:space="preserve">  </w:t>
            </w:r>
            <w:r w:rsidRPr="002E5061">
              <w:rPr>
                <w:b/>
                <w:sz w:val="18"/>
                <w:szCs w:val="18"/>
                <w:lang w:val="pt-BR"/>
              </w:rPr>
              <w:t>Total do Passivo</w:t>
            </w:r>
          </w:p>
        </w:tc>
        <w:tc>
          <w:tcPr>
            <w:tcW w:w="827" w:type="pct"/>
            <w:tcBorders>
              <w:bottom w:val="double" w:sz="4" w:space="0" w:color="auto"/>
            </w:tcBorders>
            <w:vAlign w:val="bottom"/>
          </w:tcPr>
          <w:p w:rsidR="0053510B" w:rsidRPr="002E5061" w:rsidRDefault="0053510B" w:rsidP="006D786C">
            <w:pPr>
              <w:jc w:val="right"/>
              <w:rPr>
                <w:b/>
                <w:sz w:val="18"/>
                <w:szCs w:val="18"/>
              </w:rPr>
            </w:pPr>
            <w:r w:rsidRPr="002E5061">
              <w:rPr>
                <w:b/>
                <w:bCs/>
                <w:sz w:val="18"/>
                <w:szCs w:val="18"/>
              </w:rPr>
              <w:t xml:space="preserve">1.357.626                </w:t>
            </w:r>
          </w:p>
        </w:tc>
        <w:tc>
          <w:tcPr>
            <w:tcW w:w="208" w:type="pct"/>
          </w:tcPr>
          <w:p w:rsidR="0053510B" w:rsidRPr="002E5061" w:rsidRDefault="0053510B" w:rsidP="006D786C">
            <w:pPr>
              <w:pStyle w:val="NormalWeb"/>
              <w:widowControl w:val="0"/>
              <w:spacing w:before="0" w:after="0" w:line="230" w:lineRule="auto"/>
              <w:jc w:val="right"/>
              <w:rPr>
                <w:b/>
                <w:sz w:val="18"/>
                <w:szCs w:val="18"/>
                <w:lang w:val="pt-BR"/>
              </w:rPr>
            </w:pPr>
          </w:p>
        </w:tc>
        <w:tc>
          <w:tcPr>
            <w:tcW w:w="778" w:type="pct"/>
            <w:tcBorders>
              <w:bottom w:val="double" w:sz="4" w:space="0" w:color="auto"/>
            </w:tcBorders>
            <w:vAlign w:val="bottom"/>
          </w:tcPr>
          <w:p w:rsidR="0053510B" w:rsidRPr="002E5061" w:rsidRDefault="0053510B" w:rsidP="006D786C">
            <w:pPr>
              <w:jc w:val="right"/>
              <w:rPr>
                <w:b/>
                <w:sz w:val="18"/>
                <w:szCs w:val="18"/>
              </w:rPr>
            </w:pPr>
            <w:r w:rsidRPr="002E5061">
              <w:rPr>
                <w:b/>
                <w:bCs/>
                <w:sz w:val="18"/>
                <w:szCs w:val="18"/>
              </w:rPr>
              <w:t xml:space="preserve">916.623                 </w:t>
            </w:r>
          </w:p>
        </w:tc>
        <w:tc>
          <w:tcPr>
            <w:tcW w:w="258" w:type="pct"/>
            <w:vAlign w:val="bottom"/>
          </w:tcPr>
          <w:p w:rsidR="0053510B" w:rsidRPr="002E5061" w:rsidRDefault="0053510B" w:rsidP="006D786C">
            <w:pPr>
              <w:pStyle w:val="NormalWeb"/>
              <w:widowControl w:val="0"/>
              <w:spacing w:before="0" w:after="0" w:line="230" w:lineRule="auto"/>
              <w:rPr>
                <w:b/>
                <w:sz w:val="18"/>
                <w:szCs w:val="18"/>
                <w:lang w:val="pt-BR"/>
              </w:rPr>
            </w:pPr>
          </w:p>
        </w:tc>
        <w:tc>
          <w:tcPr>
            <w:tcW w:w="698" w:type="pct"/>
            <w:tcBorders>
              <w:bottom w:val="double" w:sz="4" w:space="0" w:color="auto"/>
            </w:tcBorders>
            <w:noWrap/>
            <w:vAlign w:val="bottom"/>
          </w:tcPr>
          <w:p w:rsidR="0053510B" w:rsidRPr="002E5061" w:rsidRDefault="0053510B" w:rsidP="006D786C">
            <w:pPr>
              <w:jc w:val="right"/>
              <w:rPr>
                <w:b/>
                <w:sz w:val="18"/>
                <w:szCs w:val="18"/>
              </w:rPr>
            </w:pPr>
            <w:r w:rsidRPr="002E5061">
              <w:rPr>
                <w:b/>
                <w:bCs/>
                <w:sz w:val="18"/>
                <w:szCs w:val="18"/>
              </w:rPr>
              <w:t>441.002</w:t>
            </w:r>
          </w:p>
        </w:tc>
      </w:tr>
    </w:tbl>
    <w:p w:rsidR="006874C1" w:rsidRDefault="006874C1" w:rsidP="00E679EC">
      <w:pPr>
        <w:tabs>
          <w:tab w:val="left" w:pos="851"/>
        </w:tabs>
        <w:jc w:val="both"/>
        <w:rPr>
          <w:u w:val="single"/>
        </w:rPr>
      </w:pPr>
    </w:p>
    <w:p w:rsidR="00E679EC" w:rsidRPr="0078190D" w:rsidRDefault="00E679EC" w:rsidP="00E679EC">
      <w:pPr>
        <w:tabs>
          <w:tab w:val="left" w:pos="851"/>
        </w:tabs>
        <w:jc w:val="both"/>
      </w:pPr>
      <w:r w:rsidRPr="0078190D">
        <w:rPr>
          <w:u w:val="single"/>
        </w:rPr>
        <w:t>Ativo Circulante e Não Circulante</w:t>
      </w:r>
      <w:r w:rsidRPr="0078190D">
        <w:t xml:space="preserve">: os valores de R$ 157.371 (de R$ 159.372) e R$ 278.858, correspondem aos recursos a receber relativos </w:t>
      </w:r>
      <w:proofErr w:type="gramStart"/>
      <w:r w:rsidRPr="0078190D">
        <w:t>as</w:t>
      </w:r>
      <w:proofErr w:type="gramEnd"/>
      <w:r w:rsidRPr="0078190D">
        <w:t xml:space="preserve"> apropriações por competência e as provisões de contingências   </w:t>
      </w:r>
      <w:r w:rsidR="002826FB" w:rsidRPr="0078190D">
        <w:t>referente as</w:t>
      </w:r>
      <w:r w:rsidRPr="0078190D">
        <w:t xml:space="preserve"> despesas com pessoal custeadas com Recursos do Tesouro Nacional e R$ 2.001 (de R$ 159.372)</w:t>
      </w:r>
      <w:r w:rsidR="002826FB" w:rsidRPr="0078190D">
        <w:t xml:space="preserve"> refere-se ao</w:t>
      </w:r>
      <w:r w:rsidRPr="0078190D">
        <w:t xml:space="preserve"> crédito a receber</w:t>
      </w:r>
      <w:r w:rsidR="002826FB" w:rsidRPr="0078190D">
        <w:t>,</w:t>
      </w:r>
      <w:r w:rsidRPr="0078190D">
        <w:t xml:space="preserve"> Plano de Saúde (UNIMED)</w:t>
      </w:r>
      <w:r w:rsidR="002826FB" w:rsidRPr="0078190D">
        <w:t>,</w:t>
      </w:r>
      <w:r w:rsidRPr="0078190D">
        <w:t xml:space="preserve"> descontado na folha de dezembro de 2017, a ser ressarcido em </w:t>
      </w:r>
      <w:r w:rsidR="002826FB" w:rsidRPr="0078190D">
        <w:t>01/</w:t>
      </w:r>
      <w:r w:rsidRPr="0078190D">
        <w:t>2018.</w:t>
      </w:r>
    </w:p>
    <w:p w:rsidR="00E679EC" w:rsidRPr="0078190D" w:rsidRDefault="00E679EC" w:rsidP="00E679EC">
      <w:pPr>
        <w:tabs>
          <w:tab w:val="left" w:pos="851"/>
        </w:tabs>
        <w:jc w:val="both"/>
      </w:pPr>
    </w:p>
    <w:p w:rsidR="00E679EC" w:rsidRPr="0078190D" w:rsidRDefault="00E679EC" w:rsidP="00E679EC">
      <w:pPr>
        <w:jc w:val="both"/>
        <w:rPr>
          <w:rFonts w:ascii="Calibri" w:hAnsi="Calibri"/>
        </w:rPr>
      </w:pPr>
      <w:r w:rsidRPr="0078190D">
        <w:rPr>
          <w:u w:val="single"/>
        </w:rPr>
        <w:t>Ativo Permanente</w:t>
      </w:r>
      <w:r w:rsidRPr="0078190D">
        <w:t>: R$ 2.772, refere-se ao ajuste do valor da reavaliação negativa (menos-valia) registrado em 2014 retroativo a 2010 na conta de Ajustes de Avaliação Patrimonial</w:t>
      </w:r>
      <w:r w:rsidR="004B5C80" w:rsidRPr="0078190D">
        <w:t>, registrado no SIAIF em 01/2018.</w:t>
      </w:r>
    </w:p>
    <w:p w:rsidR="00E679EC" w:rsidRPr="0078190D" w:rsidRDefault="00E679EC" w:rsidP="00E679EC">
      <w:pPr>
        <w:tabs>
          <w:tab w:val="left" w:pos="851"/>
        </w:tabs>
        <w:jc w:val="both"/>
      </w:pPr>
    </w:p>
    <w:p w:rsidR="00E679EC" w:rsidRDefault="00E679EC" w:rsidP="00E679EC">
      <w:pPr>
        <w:tabs>
          <w:tab w:val="left" w:pos="851"/>
        </w:tabs>
        <w:jc w:val="both"/>
        <w:rPr>
          <w:color w:val="548DD4" w:themeColor="text2" w:themeTint="99"/>
        </w:rPr>
      </w:pPr>
      <w:r w:rsidRPr="0078190D">
        <w:rPr>
          <w:u w:val="single"/>
        </w:rPr>
        <w:t>Passivo Circulante</w:t>
      </w:r>
      <w:r w:rsidRPr="0078190D">
        <w:t xml:space="preserve">: o valor de R$ 2.984 na conta </w:t>
      </w:r>
      <w:r w:rsidR="002A66EF" w:rsidRPr="0078190D">
        <w:t>F</w:t>
      </w:r>
      <w:r w:rsidRPr="0078190D">
        <w:t>ornecedores</w:t>
      </w:r>
      <w:r w:rsidR="002A66EF" w:rsidRPr="0078190D">
        <w:t>,</w:t>
      </w:r>
      <w:r w:rsidRPr="0078190D">
        <w:t xml:space="preserve"> refere</w:t>
      </w:r>
      <w:r w:rsidR="002A66EF" w:rsidRPr="0078190D">
        <w:t>-se</w:t>
      </w:r>
      <w:r w:rsidRPr="0078190D">
        <w:t xml:space="preserve"> </w:t>
      </w:r>
      <w:r w:rsidR="002A66EF" w:rsidRPr="0078190D">
        <w:t>a</w:t>
      </w:r>
      <w:r w:rsidRPr="0078190D">
        <w:t xml:space="preserve"> R$ 2.103 da NF da empresa UNIMED (plano de saúde), correspondente à retenção FOPAG de 12/2017, parte devida pelos funcionários a qual será ressarcida em janeiro de 2018 e o valor de R$ 879 referente à apropriação de despesa com serviço de segurança e tecnologia da informação. O valor de </w:t>
      </w:r>
      <w:r w:rsidR="00C166AA">
        <w:t>(</w:t>
      </w:r>
      <w:r w:rsidRPr="0078190D">
        <w:t>R$ 108</w:t>
      </w:r>
      <w:r w:rsidR="00C166AA">
        <w:t xml:space="preserve">) </w:t>
      </w:r>
      <w:r w:rsidRPr="0078190D">
        <w:t xml:space="preserve"> refere-se a provisão complementar do valor de bolsas devidas a Professores,</w:t>
      </w:r>
      <w:r w:rsidR="002A66EF" w:rsidRPr="0078190D">
        <w:t xml:space="preserve"> registro</w:t>
      </w:r>
      <w:r w:rsidRPr="0078190D">
        <w:t xml:space="preserve"> realizado no SIAFI em </w:t>
      </w:r>
      <w:r w:rsidR="002A66EF" w:rsidRPr="0078190D">
        <w:t>01/</w:t>
      </w:r>
      <w:r w:rsidRPr="0078190D">
        <w:t>2018</w:t>
      </w:r>
      <w:r w:rsidRPr="00B85DF3">
        <w:rPr>
          <w:color w:val="548DD4" w:themeColor="text2" w:themeTint="99"/>
        </w:rPr>
        <w:t>.</w:t>
      </w:r>
    </w:p>
    <w:p w:rsidR="004E29A9" w:rsidRDefault="004E29A9" w:rsidP="00E679EC">
      <w:pPr>
        <w:tabs>
          <w:tab w:val="left" w:pos="851"/>
        </w:tabs>
        <w:jc w:val="both"/>
        <w:rPr>
          <w:color w:val="548DD4" w:themeColor="text2" w:themeTint="99"/>
        </w:rPr>
      </w:pPr>
    </w:p>
    <w:p w:rsidR="004E29A9" w:rsidRPr="004E29A9" w:rsidRDefault="004E29A9" w:rsidP="00E679EC">
      <w:pPr>
        <w:tabs>
          <w:tab w:val="left" w:pos="851"/>
        </w:tabs>
        <w:jc w:val="both"/>
      </w:pPr>
      <w:r w:rsidRPr="004E29A9">
        <w:rPr>
          <w:u w:val="single"/>
        </w:rPr>
        <w:t>Passivo Não Circulante:</w:t>
      </w:r>
      <w:r>
        <w:t xml:space="preserve"> o valor de R$ 2.212 refere-se ao complemento da correção pela taxa SELIC incidente sobre </w:t>
      </w:r>
      <w:r w:rsidRPr="00F84551">
        <w:t xml:space="preserve">Adiantamento para Futuro Aumento de Capital </w:t>
      </w:r>
      <w:r>
        <w:t xml:space="preserve">(AFAC), ajustado para adequar ao cálculo pela taxa diária do BC. </w:t>
      </w:r>
      <w:r w:rsidR="00410850">
        <w:t>E o valor de (R$ 361) refere-se ao ajuste da provisão para contingência de acordo com o relatório recebido da CONJUR/HCPA.</w:t>
      </w:r>
    </w:p>
    <w:p w:rsidR="00E679EC" w:rsidRPr="00B85DF3" w:rsidRDefault="00E679EC" w:rsidP="00E679EC">
      <w:pPr>
        <w:tabs>
          <w:tab w:val="left" w:pos="851"/>
        </w:tabs>
        <w:jc w:val="both"/>
        <w:rPr>
          <w:color w:val="548DD4" w:themeColor="text2" w:themeTint="99"/>
        </w:rPr>
      </w:pPr>
    </w:p>
    <w:p w:rsidR="00E679EC" w:rsidRPr="00F84551" w:rsidRDefault="00E679EC" w:rsidP="00E679EC">
      <w:pPr>
        <w:jc w:val="both"/>
      </w:pPr>
      <w:r w:rsidRPr="00F84551">
        <w:rPr>
          <w:u w:val="single"/>
        </w:rPr>
        <w:t>Patrimônio Líquido:</w:t>
      </w:r>
      <w:r w:rsidRPr="00F84551">
        <w:t xml:space="preserve"> do valor de R$ </w:t>
      </w:r>
      <w:r w:rsidR="005F3A27">
        <w:t>436.276</w:t>
      </w:r>
      <w:r w:rsidRPr="00F84551">
        <w:t xml:space="preserve">: (R$ 146) refere-se </w:t>
      </w:r>
      <w:r w:rsidR="00C166AA" w:rsidRPr="00F84551">
        <w:t>à</w:t>
      </w:r>
      <w:r w:rsidRPr="00F84551">
        <w:t xml:space="preserve"> devolução em 12/2017 de repasses recebidos para investimento, apropriados como Adiantamento para Futuro Aumento de Capital (AFAC)</w:t>
      </w:r>
      <w:r w:rsidR="000B7E16" w:rsidRPr="00F84551">
        <w:t>,</w:t>
      </w:r>
      <w:r w:rsidRPr="00F84551">
        <w:t xml:space="preserve"> R$ 2.772 refere-se ao ajuste do valor da reavaliação negativa (menos-valia)</w:t>
      </w:r>
      <w:r w:rsidR="000B7E16" w:rsidRPr="00F84551">
        <w:t>,</w:t>
      </w:r>
      <w:r w:rsidR="00C166AA" w:rsidRPr="00F84551">
        <w:t xml:space="preserve"> </w:t>
      </w:r>
      <w:r w:rsidRPr="00F84551">
        <w:t>(R$ 361) refere-se à baixa de provisão para riscos cíveis, conforme relatório da CONJUR,  valores a ser registrados n SIAFI em janeiro de 2018</w:t>
      </w:r>
      <w:r w:rsidR="000B7E16" w:rsidRPr="00F84551">
        <w:t>. O valor de</w:t>
      </w:r>
      <w:r w:rsidRPr="00F84551">
        <w:t xml:space="preserve"> R$ 436.229 refere-se a</w:t>
      </w:r>
      <w:r w:rsidR="000B7E16" w:rsidRPr="00F84551">
        <w:t>os</w:t>
      </w:r>
      <w:r w:rsidRPr="00F84551">
        <w:t xml:space="preserve"> recursos a receber relativos a apropriações por competência e a provisões de contingências provenientes de despesas com pessoal custeadas com Recursos do Tesouro Nacional, com contrapartida em contas de Ativo Circulante e Não Circulante e (R$ 5) refere-se à reversão da provisão do Tempo de Serviços Passados – TSP registrada no SIAFI em 2015 </w:t>
      </w:r>
      <w:r w:rsidR="000B7E16" w:rsidRPr="00F84551">
        <w:t xml:space="preserve">cujo pagamento ocorreu </w:t>
      </w:r>
      <w:r w:rsidRPr="00F84551">
        <w:t>em 2017.</w:t>
      </w:r>
    </w:p>
    <w:p w:rsidR="00DA689A" w:rsidRDefault="00DA689A" w:rsidP="0053510B">
      <w:pPr>
        <w:jc w:val="both"/>
      </w:pPr>
    </w:p>
    <w:p w:rsidR="00DA689A" w:rsidRPr="00304F05" w:rsidRDefault="0053510B" w:rsidP="004A409E">
      <w:pPr>
        <w:jc w:val="both"/>
      </w:pPr>
      <w:bookmarkStart w:id="71" w:name="_Toc504661528"/>
      <w:bookmarkStart w:id="72" w:name="_Toc503784542"/>
      <w:bookmarkStart w:id="73" w:name="_Toc504556119"/>
      <w:r w:rsidRPr="004A409E">
        <w:rPr>
          <w:u w:val="single"/>
        </w:rPr>
        <w:t>Ajustes de Exercícios Anteriores</w:t>
      </w:r>
      <w:bookmarkEnd w:id="71"/>
      <w:bookmarkEnd w:id="72"/>
      <w:bookmarkEnd w:id="73"/>
      <w:r w:rsidR="004A409E">
        <w:rPr>
          <w:u w:val="single"/>
        </w:rPr>
        <w:t>:</w:t>
      </w:r>
      <w:proofErr w:type="gramStart"/>
      <w:r w:rsidR="004A409E" w:rsidRPr="004A409E">
        <w:t xml:space="preserve">  </w:t>
      </w:r>
      <w:proofErr w:type="gramEnd"/>
      <w:r w:rsidR="004A409E" w:rsidRPr="004A409E">
        <w:t>p</w:t>
      </w:r>
      <w:r w:rsidR="00DA689A" w:rsidRPr="00304F05">
        <w:t>ara atender a mudança de critério contábil, conforme exposto na Nota de nº 0</w:t>
      </w:r>
      <w:r w:rsidR="006F26EC" w:rsidRPr="00304F05">
        <w:t>2</w:t>
      </w:r>
      <w:r w:rsidR="00DA689A" w:rsidRPr="00304F05">
        <w:t xml:space="preserve">, letra “b”, o valor de R$ 86.353 foi registrado no SIAFI </w:t>
      </w:r>
      <w:r w:rsidR="001C4C7B" w:rsidRPr="00304F05">
        <w:t xml:space="preserve">em conta de </w:t>
      </w:r>
      <w:r w:rsidR="00DA689A" w:rsidRPr="00304F05">
        <w:t xml:space="preserve">Resultado de Exercícios Anteriores e na Contabilidade Societária como Resultado do Exercício de 2017, </w:t>
      </w:r>
      <w:r w:rsidR="001C4C7B" w:rsidRPr="00304F05">
        <w:t>conforme segue</w:t>
      </w:r>
      <w:r w:rsidR="00DA689A" w:rsidRPr="00304F05">
        <w:t>:</w:t>
      </w:r>
    </w:p>
    <w:p w:rsidR="00DA689A" w:rsidRPr="00DA689A" w:rsidRDefault="00DA689A" w:rsidP="00DA689A">
      <w:pPr>
        <w:tabs>
          <w:tab w:val="left" w:pos="851"/>
        </w:tabs>
        <w:jc w:val="both"/>
        <w:rPr>
          <w:color w:val="548DD4" w:themeColor="text2" w:themeTint="99"/>
        </w:rPr>
      </w:pPr>
    </w:p>
    <w:p w:rsidR="00DA689A" w:rsidRPr="007A378D" w:rsidRDefault="00DA689A" w:rsidP="00DA689A">
      <w:pPr>
        <w:tabs>
          <w:tab w:val="left" w:pos="851"/>
        </w:tabs>
        <w:jc w:val="both"/>
      </w:pPr>
      <w:r w:rsidRPr="007A378D">
        <w:t xml:space="preserve">R$ 14.626 refere-se à reversão de subvenções recebidas para custeio e apropriadas em conta de Receita Diferida, (R$ 84.039) referente ao valor da correção monetária pela SELIC </w:t>
      </w:r>
      <w:r w:rsidR="00304F05" w:rsidRPr="007A378D">
        <w:t xml:space="preserve">incidente </w:t>
      </w:r>
      <w:r w:rsidRPr="007A378D">
        <w:t xml:space="preserve">sobre os Repasses recebidos da União para Investimento e reconhecidos no Passivo Não Circulante como Adiantamento para Futuro Aumento de Capital (AFAC), conforme Decreto nº 8.945 de 2016 e (R$ 34.278) refere-se à reversão do saldo existente em 31/12/2016 na conta Custo Diferido. </w:t>
      </w:r>
    </w:p>
    <w:p w:rsidR="00DA689A" w:rsidRPr="00DA689A" w:rsidRDefault="00DA689A" w:rsidP="00DA689A">
      <w:pPr>
        <w:tabs>
          <w:tab w:val="left" w:pos="851"/>
        </w:tabs>
        <w:jc w:val="both"/>
        <w:rPr>
          <w:color w:val="548DD4" w:themeColor="text2" w:themeTint="99"/>
        </w:rPr>
      </w:pPr>
    </w:p>
    <w:p w:rsidR="00DA689A" w:rsidRPr="00D955FE" w:rsidRDefault="00DA689A" w:rsidP="00DA689A">
      <w:pPr>
        <w:tabs>
          <w:tab w:val="left" w:pos="851"/>
        </w:tabs>
        <w:jc w:val="both"/>
      </w:pPr>
      <w:r w:rsidRPr="00D955FE">
        <w:t xml:space="preserve">Além </w:t>
      </w:r>
      <w:r w:rsidR="007A378D" w:rsidRPr="00D955FE">
        <w:t>do acima exposto</w:t>
      </w:r>
      <w:r w:rsidRPr="00D955FE">
        <w:t xml:space="preserve">, foram registrados no SIAFI os seguintes valores: reversão de R$ 17.996 referente a precatórios provisionados a maior em 2016 e a reversão do valor de adiantamentos realizados através de convênios (SICONV) no valor de (R$ 658) este atendendo a mudança de critério contábil da CCONT/STN a qual define o registro </w:t>
      </w:r>
      <w:r w:rsidR="007A378D" w:rsidRPr="00D955FE">
        <w:t>a partir de 2017 so</w:t>
      </w:r>
      <w:r w:rsidRPr="00D955FE">
        <w:t>mente em contas de Controle.</w:t>
      </w:r>
    </w:p>
    <w:p w:rsidR="0053510B" w:rsidRPr="00D955FE" w:rsidRDefault="0053510B" w:rsidP="0053510B">
      <w:pPr>
        <w:jc w:val="both"/>
      </w:pPr>
    </w:p>
    <w:tbl>
      <w:tblPr>
        <w:tblW w:w="9214" w:type="dxa"/>
        <w:tblInd w:w="-72" w:type="dxa"/>
        <w:tblCellMar>
          <w:left w:w="70" w:type="dxa"/>
          <w:right w:w="70" w:type="dxa"/>
        </w:tblCellMar>
        <w:tblLook w:val="04A0" w:firstRow="1" w:lastRow="0" w:firstColumn="1" w:lastColumn="0" w:noHBand="0" w:noVBand="1"/>
      </w:tblPr>
      <w:tblGrid>
        <w:gridCol w:w="4111"/>
        <w:gridCol w:w="1560"/>
        <w:gridCol w:w="630"/>
        <w:gridCol w:w="1212"/>
        <w:gridCol w:w="567"/>
        <w:gridCol w:w="1134"/>
      </w:tblGrid>
      <w:tr w:rsidR="0053510B" w:rsidRPr="00B02271" w:rsidTr="006D786C">
        <w:trPr>
          <w:trHeight w:val="227"/>
        </w:trPr>
        <w:tc>
          <w:tcPr>
            <w:tcW w:w="4111" w:type="dxa"/>
            <w:shd w:val="clear" w:color="000000" w:fill="FFFFFF"/>
            <w:hideMark/>
          </w:tcPr>
          <w:p w:rsidR="0053510B" w:rsidRPr="00B02271" w:rsidRDefault="0053510B" w:rsidP="006D786C">
            <w:pPr>
              <w:tabs>
                <w:tab w:val="left" w:pos="851"/>
              </w:tabs>
              <w:jc w:val="both"/>
              <w:rPr>
                <w:b/>
                <w:sz w:val="18"/>
                <w:szCs w:val="18"/>
              </w:rPr>
            </w:pPr>
            <w:r w:rsidRPr="00B02271">
              <w:rPr>
                <w:b/>
                <w:sz w:val="18"/>
                <w:szCs w:val="18"/>
              </w:rPr>
              <w:lastRenderedPageBreak/>
              <w:t>Demonstração do Resultado do Exercício</w:t>
            </w:r>
          </w:p>
        </w:tc>
        <w:tc>
          <w:tcPr>
            <w:tcW w:w="1560" w:type="dxa"/>
            <w:tcBorders>
              <w:bottom w:val="single" w:sz="4" w:space="0" w:color="auto"/>
            </w:tcBorders>
            <w:shd w:val="clear" w:color="000000" w:fill="FFFFFF"/>
          </w:tcPr>
          <w:p w:rsidR="0053510B" w:rsidRPr="00B02271" w:rsidRDefault="0053510B" w:rsidP="006D786C">
            <w:pPr>
              <w:tabs>
                <w:tab w:val="left" w:pos="851"/>
              </w:tabs>
              <w:jc w:val="right"/>
              <w:rPr>
                <w:b/>
                <w:sz w:val="18"/>
                <w:szCs w:val="18"/>
              </w:rPr>
            </w:pPr>
            <w:r w:rsidRPr="00B02271">
              <w:rPr>
                <w:b/>
                <w:sz w:val="18"/>
                <w:szCs w:val="18"/>
              </w:rPr>
              <w:t>6.404/76</w:t>
            </w:r>
          </w:p>
        </w:tc>
        <w:tc>
          <w:tcPr>
            <w:tcW w:w="630" w:type="dxa"/>
            <w:shd w:val="clear" w:color="000000" w:fill="FFFFFF"/>
          </w:tcPr>
          <w:p w:rsidR="0053510B" w:rsidRPr="00B02271" w:rsidRDefault="0053510B" w:rsidP="006D786C">
            <w:pPr>
              <w:tabs>
                <w:tab w:val="left" w:pos="851"/>
              </w:tabs>
              <w:jc w:val="right"/>
              <w:rPr>
                <w:b/>
                <w:sz w:val="18"/>
                <w:szCs w:val="18"/>
              </w:rPr>
            </w:pPr>
          </w:p>
        </w:tc>
        <w:tc>
          <w:tcPr>
            <w:tcW w:w="1212" w:type="dxa"/>
            <w:tcBorders>
              <w:bottom w:val="single" w:sz="4" w:space="0" w:color="auto"/>
            </w:tcBorders>
            <w:shd w:val="clear" w:color="000000" w:fill="FFFFFF"/>
            <w:hideMark/>
          </w:tcPr>
          <w:p w:rsidR="0053510B" w:rsidRPr="00B02271" w:rsidRDefault="0053510B" w:rsidP="006D786C">
            <w:pPr>
              <w:tabs>
                <w:tab w:val="left" w:pos="851"/>
              </w:tabs>
              <w:jc w:val="right"/>
              <w:rPr>
                <w:b/>
                <w:sz w:val="18"/>
                <w:szCs w:val="18"/>
              </w:rPr>
            </w:pPr>
            <w:r w:rsidRPr="00B02271">
              <w:rPr>
                <w:b/>
                <w:sz w:val="18"/>
                <w:szCs w:val="18"/>
              </w:rPr>
              <w:t>4.320/64</w:t>
            </w:r>
          </w:p>
        </w:tc>
        <w:tc>
          <w:tcPr>
            <w:tcW w:w="567" w:type="dxa"/>
            <w:shd w:val="clear" w:color="000000" w:fill="FFFFFF"/>
          </w:tcPr>
          <w:p w:rsidR="0053510B" w:rsidRPr="00B02271" w:rsidRDefault="0053510B" w:rsidP="006D786C">
            <w:pPr>
              <w:tabs>
                <w:tab w:val="left" w:pos="851"/>
              </w:tabs>
              <w:jc w:val="right"/>
              <w:rPr>
                <w:b/>
                <w:sz w:val="18"/>
                <w:szCs w:val="18"/>
              </w:rPr>
            </w:pPr>
          </w:p>
        </w:tc>
        <w:tc>
          <w:tcPr>
            <w:tcW w:w="1134" w:type="dxa"/>
            <w:tcBorders>
              <w:bottom w:val="single" w:sz="4" w:space="0" w:color="auto"/>
            </w:tcBorders>
            <w:shd w:val="clear" w:color="000000" w:fill="FFFFFF"/>
            <w:hideMark/>
          </w:tcPr>
          <w:p w:rsidR="0053510B" w:rsidRPr="00B02271" w:rsidRDefault="0053510B" w:rsidP="006D786C">
            <w:pPr>
              <w:tabs>
                <w:tab w:val="left" w:pos="851"/>
              </w:tabs>
              <w:jc w:val="right"/>
              <w:rPr>
                <w:b/>
                <w:sz w:val="18"/>
                <w:szCs w:val="18"/>
              </w:rPr>
            </w:pPr>
            <w:r w:rsidRPr="00B02271">
              <w:rPr>
                <w:b/>
                <w:sz w:val="18"/>
                <w:szCs w:val="18"/>
              </w:rPr>
              <w:t>Diferença</w:t>
            </w:r>
          </w:p>
        </w:tc>
      </w:tr>
      <w:tr w:rsidR="0053510B" w:rsidRPr="00B02271" w:rsidTr="006D786C">
        <w:trPr>
          <w:trHeight w:val="227"/>
        </w:trPr>
        <w:tc>
          <w:tcPr>
            <w:tcW w:w="4111" w:type="dxa"/>
            <w:shd w:val="clear" w:color="000000" w:fill="FFFFFF"/>
            <w:hideMark/>
          </w:tcPr>
          <w:p w:rsidR="0053510B" w:rsidRPr="00B02271" w:rsidRDefault="0053510B" w:rsidP="006D786C">
            <w:pPr>
              <w:jc w:val="center"/>
              <w:rPr>
                <w:sz w:val="18"/>
                <w:szCs w:val="18"/>
              </w:rPr>
            </w:pPr>
            <w:r w:rsidRPr="00B02271">
              <w:rPr>
                <w:sz w:val="18"/>
                <w:szCs w:val="18"/>
              </w:rPr>
              <w:t> </w:t>
            </w:r>
          </w:p>
        </w:tc>
        <w:tc>
          <w:tcPr>
            <w:tcW w:w="1560" w:type="dxa"/>
            <w:tcBorders>
              <w:top w:val="single" w:sz="4" w:space="0" w:color="auto"/>
            </w:tcBorders>
            <w:shd w:val="clear" w:color="000000" w:fill="FFFFFF"/>
          </w:tcPr>
          <w:p w:rsidR="0053510B" w:rsidRPr="00B02271" w:rsidRDefault="0053510B" w:rsidP="006D786C">
            <w:pPr>
              <w:jc w:val="center"/>
              <w:rPr>
                <w:sz w:val="18"/>
                <w:szCs w:val="18"/>
              </w:rPr>
            </w:pPr>
            <w:r w:rsidRPr="00B02271">
              <w:rPr>
                <w:sz w:val="18"/>
                <w:szCs w:val="18"/>
              </w:rPr>
              <w:t> </w:t>
            </w:r>
          </w:p>
        </w:tc>
        <w:tc>
          <w:tcPr>
            <w:tcW w:w="630" w:type="dxa"/>
            <w:shd w:val="clear" w:color="000000" w:fill="FFFFFF"/>
          </w:tcPr>
          <w:p w:rsidR="0053510B" w:rsidRPr="00B02271" w:rsidRDefault="0053510B" w:rsidP="006D786C">
            <w:pPr>
              <w:jc w:val="center"/>
              <w:rPr>
                <w:sz w:val="18"/>
                <w:szCs w:val="18"/>
              </w:rPr>
            </w:pPr>
          </w:p>
        </w:tc>
        <w:tc>
          <w:tcPr>
            <w:tcW w:w="1212" w:type="dxa"/>
            <w:tcBorders>
              <w:top w:val="single" w:sz="4" w:space="0" w:color="auto"/>
            </w:tcBorders>
            <w:shd w:val="clear" w:color="000000" w:fill="FFFFFF"/>
            <w:hideMark/>
          </w:tcPr>
          <w:p w:rsidR="0053510B" w:rsidRPr="00B02271" w:rsidRDefault="0053510B" w:rsidP="006D786C">
            <w:pPr>
              <w:jc w:val="center"/>
              <w:rPr>
                <w:sz w:val="18"/>
                <w:szCs w:val="18"/>
              </w:rPr>
            </w:pPr>
            <w:r w:rsidRPr="00B02271">
              <w:rPr>
                <w:sz w:val="18"/>
                <w:szCs w:val="18"/>
              </w:rPr>
              <w:t> </w:t>
            </w:r>
          </w:p>
        </w:tc>
        <w:tc>
          <w:tcPr>
            <w:tcW w:w="567" w:type="dxa"/>
            <w:shd w:val="clear" w:color="000000" w:fill="FFFFFF"/>
          </w:tcPr>
          <w:p w:rsidR="0053510B" w:rsidRPr="00B02271" w:rsidRDefault="0053510B" w:rsidP="006D786C">
            <w:pPr>
              <w:jc w:val="center"/>
              <w:rPr>
                <w:sz w:val="18"/>
                <w:szCs w:val="18"/>
              </w:rPr>
            </w:pPr>
          </w:p>
        </w:tc>
        <w:tc>
          <w:tcPr>
            <w:tcW w:w="1134" w:type="dxa"/>
            <w:tcBorders>
              <w:top w:val="single" w:sz="4" w:space="0" w:color="auto"/>
            </w:tcBorders>
            <w:shd w:val="clear" w:color="000000" w:fill="FFFFFF"/>
            <w:hideMark/>
          </w:tcPr>
          <w:p w:rsidR="0053510B" w:rsidRPr="00B02271" w:rsidRDefault="0053510B" w:rsidP="006D786C">
            <w:pPr>
              <w:jc w:val="center"/>
              <w:rPr>
                <w:sz w:val="18"/>
                <w:szCs w:val="18"/>
              </w:rPr>
            </w:pPr>
            <w:r w:rsidRPr="00B02271">
              <w:rPr>
                <w:sz w:val="18"/>
                <w:szCs w:val="18"/>
              </w:rPr>
              <w:t> </w:t>
            </w:r>
          </w:p>
        </w:tc>
      </w:tr>
      <w:tr w:rsidR="002E5061" w:rsidRPr="00B02271" w:rsidTr="006D786C">
        <w:trPr>
          <w:trHeight w:val="227"/>
        </w:trPr>
        <w:tc>
          <w:tcPr>
            <w:tcW w:w="4111" w:type="dxa"/>
            <w:shd w:val="clear" w:color="000000" w:fill="FFFFFF"/>
            <w:hideMark/>
          </w:tcPr>
          <w:p w:rsidR="0053510B" w:rsidRPr="00B02271" w:rsidRDefault="0053510B" w:rsidP="006D786C">
            <w:pPr>
              <w:rPr>
                <w:b/>
                <w:bCs/>
                <w:sz w:val="18"/>
                <w:szCs w:val="18"/>
              </w:rPr>
            </w:pPr>
            <w:r w:rsidRPr="00B02271">
              <w:rPr>
                <w:b/>
                <w:bCs/>
                <w:sz w:val="18"/>
                <w:szCs w:val="18"/>
              </w:rPr>
              <w:t>Receita Operacional Bruta</w:t>
            </w:r>
          </w:p>
        </w:tc>
        <w:tc>
          <w:tcPr>
            <w:tcW w:w="1560" w:type="dxa"/>
            <w:shd w:val="clear" w:color="000000" w:fill="FFFFFF"/>
            <w:vAlign w:val="center"/>
          </w:tcPr>
          <w:p w:rsidR="0053510B" w:rsidRPr="00B02271" w:rsidRDefault="0053510B" w:rsidP="006D786C">
            <w:pPr>
              <w:jc w:val="right"/>
              <w:rPr>
                <w:b/>
                <w:bCs/>
                <w:sz w:val="18"/>
                <w:szCs w:val="18"/>
              </w:rPr>
            </w:pPr>
            <w:r w:rsidRPr="00B02271">
              <w:rPr>
                <w:b/>
                <w:bCs/>
                <w:sz w:val="18"/>
                <w:szCs w:val="18"/>
              </w:rPr>
              <w:t xml:space="preserve">  1.516.287 </w:t>
            </w:r>
          </w:p>
        </w:tc>
        <w:tc>
          <w:tcPr>
            <w:tcW w:w="630" w:type="dxa"/>
            <w:shd w:val="clear" w:color="000000" w:fill="FFFFFF"/>
          </w:tcPr>
          <w:p w:rsidR="0053510B" w:rsidRPr="00B02271" w:rsidRDefault="0053510B" w:rsidP="006D786C">
            <w:pPr>
              <w:jc w:val="right"/>
              <w:rPr>
                <w:b/>
                <w:bCs/>
                <w:sz w:val="18"/>
                <w:szCs w:val="18"/>
              </w:rPr>
            </w:pPr>
          </w:p>
        </w:tc>
        <w:tc>
          <w:tcPr>
            <w:tcW w:w="1212" w:type="dxa"/>
            <w:shd w:val="clear" w:color="000000" w:fill="FFFFFF"/>
            <w:vAlign w:val="center"/>
          </w:tcPr>
          <w:p w:rsidR="0053510B" w:rsidRPr="00B02271" w:rsidRDefault="0053510B" w:rsidP="006D786C">
            <w:pPr>
              <w:jc w:val="right"/>
              <w:rPr>
                <w:b/>
                <w:bCs/>
                <w:sz w:val="18"/>
                <w:szCs w:val="18"/>
              </w:rPr>
            </w:pPr>
            <w:r w:rsidRPr="00B02271">
              <w:rPr>
                <w:b/>
                <w:bCs/>
                <w:sz w:val="18"/>
                <w:szCs w:val="18"/>
              </w:rPr>
              <w:t xml:space="preserve">  1.469.754 </w:t>
            </w:r>
          </w:p>
        </w:tc>
        <w:tc>
          <w:tcPr>
            <w:tcW w:w="567" w:type="dxa"/>
            <w:shd w:val="clear" w:color="000000" w:fill="FFFFFF"/>
            <w:vAlign w:val="center"/>
          </w:tcPr>
          <w:p w:rsidR="0053510B" w:rsidRPr="00B02271" w:rsidRDefault="0053510B" w:rsidP="006D786C">
            <w:pPr>
              <w:jc w:val="right"/>
              <w:rPr>
                <w:b/>
                <w:bCs/>
                <w:sz w:val="18"/>
                <w:szCs w:val="18"/>
              </w:rPr>
            </w:pPr>
            <w:r w:rsidRPr="00B02271">
              <w:rPr>
                <w:b/>
                <w:bCs/>
                <w:sz w:val="18"/>
                <w:szCs w:val="18"/>
              </w:rPr>
              <w:t> </w:t>
            </w:r>
          </w:p>
        </w:tc>
        <w:tc>
          <w:tcPr>
            <w:tcW w:w="1134" w:type="dxa"/>
            <w:shd w:val="clear" w:color="000000" w:fill="FFFFFF"/>
            <w:vAlign w:val="center"/>
          </w:tcPr>
          <w:p w:rsidR="0053510B" w:rsidRPr="00B02271" w:rsidRDefault="0053510B" w:rsidP="006D786C">
            <w:pPr>
              <w:jc w:val="right"/>
              <w:rPr>
                <w:b/>
                <w:bCs/>
                <w:sz w:val="18"/>
                <w:szCs w:val="18"/>
              </w:rPr>
            </w:pPr>
            <w:r w:rsidRPr="00B02271">
              <w:rPr>
                <w:b/>
                <w:bCs/>
                <w:sz w:val="18"/>
                <w:szCs w:val="18"/>
              </w:rPr>
              <w:t>46.533</w:t>
            </w:r>
          </w:p>
        </w:tc>
      </w:tr>
      <w:tr w:rsidR="0053510B" w:rsidRPr="00B02271" w:rsidTr="006D786C">
        <w:trPr>
          <w:trHeight w:val="227"/>
        </w:trPr>
        <w:tc>
          <w:tcPr>
            <w:tcW w:w="4111" w:type="dxa"/>
            <w:shd w:val="clear" w:color="000000" w:fill="FFFFFF"/>
            <w:hideMark/>
          </w:tcPr>
          <w:p w:rsidR="0053510B" w:rsidRPr="00B02271" w:rsidRDefault="0053510B" w:rsidP="006D786C">
            <w:pPr>
              <w:jc w:val="both"/>
              <w:rPr>
                <w:bCs/>
                <w:sz w:val="18"/>
                <w:szCs w:val="18"/>
              </w:rPr>
            </w:pPr>
            <w:r w:rsidRPr="00B02271">
              <w:rPr>
                <w:bCs/>
                <w:sz w:val="18"/>
                <w:szCs w:val="18"/>
              </w:rPr>
              <w:t xml:space="preserve">    Ajustes da Receita Bruta</w:t>
            </w:r>
          </w:p>
        </w:tc>
        <w:tc>
          <w:tcPr>
            <w:tcW w:w="1560" w:type="dxa"/>
            <w:shd w:val="clear" w:color="000000" w:fill="FFFFFF"/>
          </w:tcPr>
          <w:p w:rsidR="0053510B" w:rsidRPr="00B02271" w:rsidRDefault="0053510B" w:rsidP="006D786C">
            <w:pPr>
              <w:jc w:val="right"/>
              <w:rPr>
                <w:bCs/>
                <w:sz w:val="18"/>
                <w:szCs w:val="18"/>
              </w:rPr>
            </w:pPr>
            <w:r w:rsidRPr="00B02271">
              <w:rPr>
                <w:bCs/>
                <w:sz w:val="18"/>
                <w:szCs w:val="18"/>
              </w:rPr>
              <w:t>(2.184)</w:t>
            </w:r>
          </w:p>
        </w:tc>
        <w:tc>
          <w:tcPr>
            <w:tcW w:w="630" w:type="dxa"/>
            <w:shd w:val="clear" w:color="000000" w:fill="FFFFFF"/>
          </w:tcPr>
          <w:p w:rsidR="0053510B" w:rsidRPr="00B02271" w:rsidRDefault="0053510B" w:rsidP="006D786C">
            <w:pPr>
              <w:jc w:val="right"/>
              <w:rPr>
                <w:bCs/>
                <w:sz w:val="18"/>
                <w:szCs w:val="18"/>
              </w:rPr>
            </w:pPr>
          </w:p>
        </w:tc>
        <w:tc>
          <w:tcPr>
            <w:tcW w:w="1212" w:type="dxa"/>
            <w:shd w:val="clear" w:color="000000" w:fill="FFFFFF"/>
          </w:tcPr>
          <w:p w:rsidR="0053510B" w:rsidRPr="00B02271" w:rsidRDefault="0053510B" w:rsidP="006D786C">
            <w:pPr>
              <w:jc w:val="right"/>
              <w:rPr>
                <w:bCs/>
                <w:sz w:val="18"/>
                <w:szCs w:val="18"/>
              </w:rPr>
            </w:pPr>
            <w:r w:rsidRPr="00B02271">
              <w:rPr>
                <w:bCs/>
                <w:sz w:val="18"/>
                <w:szCs w:val="18"/>
              </w:rPr>
              <w:t>(2.184)</w:t>
            </w:r>
          </w:p>
        </w:tc>
        <w:tc>
          <w:tcPr>
            <w:tcW w:w="567" w:type="dxa"/>
            <w:shd w:val="clear" w:color="000000" w:fill="FFFFFF"/>
          </w:tcPr>
          <w:p w:rsidR="0053510B" w:rsidRPr="00B02271" w:rsidRDefault="0053510B" w:rsidP="006D786C">
            <w:pPr>
              <w:jc w:val="right"/>
              <w:rPr>
                <w:bCs/>
                <w:sz w:val="18"/>
                <w:szCs w:val="18"/>
              </w:rPr>
            </w:pPr>
          </w:p>
        </w:tc>
        <w:tc>
          <w:tcPr>
            <w:tcW w:w="1134" w:type="dxa"/>
            <w:shd w:val="clear" w:color="000000" w:fill="FFFFFF"/>
          </w:tcPr>
          <w:p w:rsidR="0053510B" w:rsidRPr="00B02271" w:rsidRDefault="0053510B" w:rsidP="006D786C">
            <w:pPr>
              <w:jc w:val="right"/>
              <w:rPr>
                <w:bCs/>
                <w:sz w:val="18"/>
                <w:szCs w:val="18"/>
              </w:rPr>
            </w:pPr>
            <w:r w:rsidRPr="00B02271">
              <w:rPr>
                <w:bCs/>
                <w:sz w:val="18"/>
                <w:szCs w:val="18"/>
              </w:rPr>
              <w:t>-</w:t>
            </w:r>
          </w:p>
        </w:tc>
      </w:tr>
      <w:tr w:rsidR="0053510B" w:rsidRPr="00B02271" w:rsidTr="006D786C">
        <w:trPr>
          <w:trHeight w:val="227"/>
        </w:trPr>
        <w:tc>
          <w:tcPr>
            <w:tcW w:w="4111" w:type="dxa"/>
            <w:shd w:val="clear" w:color="000000" w:fill="FFFFFF"/>
          </w:tcPr>
          <w:p w:rsidR="0053510B" w:rsidRPr="00B02271" w:rsidRDefault="0053510B" w:rsidP="006D786C">
            <w:pPr>
              <w:jc w:val="both"/>
              <w:rPr>
                <w:bCs/>
                <w:sz w:val="18"/>
                <w:szCs w:val="18"/>
              </w:rPr>
            </w:pPr>
            <w:r w:rsidRPr="00B02271">
              <w:rPr>
                <w:bCs/>
                <w:sz w:val="18"/>
                <w:szCs w:val="18"/>
              </w:rPr>
              <w:t xml:space="preserve">    Deduções da Receita Bruta</w:t>
            </w:r>
          </w:p>
        </w:tc>
        <w:tc>
          <w:tcPr>
            <w:tcW w:w="1560" w:type="dxa"/>
            <w:shd w:val="clear" w:color="000000" w:fill="FFFFFF"/>
            <w:vAlign w:val="center"/>
          </w:tcPr>
          <w:p w:rsidR="0053510B" w:rsidRPr="00B02271" w:rsidRDefault="0053510B" w:rsidP="006D786C">
            <w:pPr>
              <w:jc w:val="right"/>
              <w:rPr>
                <w:bCs/>
                <w:sz w:val="18"/>
                <w:szCs w:val="18"/>
              </w:rPr>
            </w:pPr>
            <w:r w:rsidRPr="00B02271">
              <w:rPr>
                <w:bCs/>
                <w:sz w:val="18"/>
                <w:szCs w:val="18"/>
              </w:rPr>
              <w:t xml:space="preserve">         (2.114)</w:t>
            </w:r>
          </w:p>
        </w:tc>
        <w:tc>
          <w:tcPr>
            <w:tcW w:w="630" w:type="dxa"/>
            <w:shd w:val="clear" w:color="000000" w:fill="FFFFFF"/>
          </w:tcPr>
          <w:p w:rsidR="0053510B" w:rsidRPr="00B02271" w:rsidRDefault="0053510B" w:rsidP="006D786C">
            <w:pPr>
              <w:jc w:val="right"/>
              <w:rPr>
                <w:bCs/>
                <w:sz w:val="18"/>
                <w:szCs w:val="18"/>
              </w:rPr>
            </w:pPr>
          </w:p>
        </w:tc>
        <w:tc>
          <w:tcPr>
            <w:tcW w:w="1212" w:type="dxa"/>
            <w:shd w:val="clear" w:color="000000" w:fill="FFFFFF"/>
            <w:vAlign w:val="center"/>
          </w:tcPr>
          <w:p w:rsidR="0053510B" w:rsidRPr="00B02271" w:rsidRDefault="0053510B" w:rsidP="006D786C">
            <w:pPr>
              <w:jc w:val="right"/>
              <w:rPr>
                <w:bCs/>
                <w:sz w:val="18"/>
                <w:szCs w:val="18"/>
              </w:rPr>
            </w:pPr>
            <w:r w:rsidRPr="00B02271">
              <w:rPr>
                <w:bCs/>
                <w:sz w:val="18"/>
                <w:szCs w:val="18"/>
              </w:rPr>
              <w:t xml:space="preserve">         (2.114)</w:t>
            </w:r>
          </w:p>
        </w:tc>
        <w:tc>
          <w:tcPr>
            <w:tcW w:w="567" w:type="dxa"/>
            <w:shd w:val="clear" w:color="000000" w:fill="FFFFFF"/>
            <w:vAlign w:val="center"/>
          </w:tcPr>
          <w:p w:rsidR="0053510B" w:rsidRPr="00B02271" w:rsidRDefault="0053510B" w:rsidP="006D786C">
            <w:pPr>
              <w:jc w:val="right"/>
              <w:rPr>
                <w:bCs/>
                <w:sz w:val="18"/>
                <w:szCs w:val="18"/>
              </w:rPr>
            </w:pPr>
            <w:r w:rsidRPr="00B02271">
              <w:rPr>
                <w:bCs/>
                <w:sz w:val="18"/>
                <w:szCs w:val="18"/>
              </w:rPr>
              <w:t> </w:t>
            </w:r>
          </w:p>
        </w:tc>
        <w:tc>
          <w:tcPr>
            <w:tcW w:w="1134" w:type="dxa"/>
            <w:shd w:val="clear" w:color="000000" w:fill="FFFFFF"/>
            <w:vAlign w:val="center"/>
          </w:tcPr>
          <w:p w:rsidR="0053510B" w:rsidRPr="00B02271" w:rsidRDefault="0053510B" w:rsidP="006D786C">
            <w:pPr>
              <w:jc w:val="right"/>
              <w:rPr>
                <w:bCs/>
                <w:sz w:val="18"/>
                <w:szCs w:val="18"/>
              </w:rPr>
            </w:pPr>
            <w:r w:rsidRPr="00B02271">
              <w:rPr>
                <w:bCs/>
                <w:sz w:val="18"/>
                <w:szCs w:val="18"/>
              </w:rPr>
              <w:t>-</w:t>
            </w:r>
          </w:p>
        </w:tc>
      </w:tr>
      <w:tr w:rsidR="0053510B" w:rsidRPr="00B02271" w:rsidTr="006D786C">
        <w:trPr>
          <w:trHeight w:val="227"/>
        </w:trPr>
        <w:tc>
          <w:tcPr>
            <w:tcW w:w="4111" w:type="dxa"/>
            <w:shd w:val="clear" w:color="000000" w:fill="FFFFFF"/>
          </w:tcPr>
          <w:p w:rsidR="0053510B" w:rsidRPr="00B02271" w:rsidRDefault="0053510B" w:rsidP="006D786C">
            <w:pPr>
              <w:jc w:val="both"/>
              <w:rPr>
                <w:bCs/>
                <w:sz w:val="18"/>
                <w:szCs w:val="18"/>
              </w:rPr>
            </w:pPr>
            <w:r w:rsidRPr="00B02271">
              <w:rPr>
                <w:bCs/>
                <w:sz w:val="18"/>
                <w:szCs w:val="18"/>
              </w:rPr>
              <w:t xml:space="preserve">    Repasses Transferidos para AFAC </w:t>
            </w:r>
          </w:p>
        </w:tc>
        <w:tc>
          <w:tcPr>
            <w:tcW w:w="1560" w:type="dxa"/>
            <w:shd w:val="clear" w:color="000000" w:fill="FFFFFF"/>
            <w:vAlign w:val="center"/>
          </w:tcPr>
          <w:p w:rsidR="0053510B" w:rsidRPr="00B02271" w:rsidRDefault="0053510B" w:rsidP="006D786C">
            <w:pPr>
              <w:jc w:val="right"/>
              <w:rPr>
                <w:bCs/>
                <w:sz w:val="18"/>
                <w:szCs w:val="18"/>
              </w:rPr>
            </w:pPr>
            <w:r w:rsidRPr="00B02271">
              <w:rPr>
                <w:bCs/>
                <w:sz w:val="18"/>
                <w:szCs w:val="18"/>
              </w:rPr>
              <w:t>(165.273)</w:t>
            </w:r>
          </w:p>
        </w:tc>
        <w:tc>
          <w:tcPr>
            <w:tcW w:w="630" w:type="dxa"/>
            <w:shd w:val="clear" w:color="000000" w:fill="FFFFFF"/>
          </w:tcPr>
          <w:p w:rsidR="0053510B" w:rsidRPr="00B02271" w:rsidRDefault="0053510B" w:rsidP="006D786C">
            <w:pPr>
              <w:jc w:val="right"/>
              <w:rPr>
                <w:bCs/>
                <w:sz w:val="18"/>
                <w:szCs w:val="18"/>
              </w:rPr>
            </w:pPr>
          </w:p>
        </w:tc>
        <w:tc>
          <w:tcPr>
            <w:tcW w:w="1212" w:type="dxa"/>
            <w:shd w:val="clear" w:color="000000" w:fill="FFFFFF"/>
            <w:vAlign w:val="center"/>
          </w:tcPr>
          <w:p w:rsidR="0053510B" w:rsidRPr="00B02271" w:rsidRDefault="0053510B" w:rsidP="006D786C">
            <w:pPr>
              <w:jc w:val="right"/>
              <w:rPr>
                <w:bCs/>
                <w:sz w:val="18"/>
                <w:szCs w:val="18"/>
              </w:rPr>
            </w:pPr>
            <w:r w:rsidRPr="00B02271">
              <w:rPr>
                <w:bCs/>
                <w:sz w:val="18"/>
                <w:szCs w:val="18"/>
              </w:rPr>
              <w:t>(165.419)</w:t>
            </w:r>
          </w:p>
        </w:tc>
        <w:tc>
          <w:tcPr>
            <w:tcW w:w="567" w:type="dxa"/>
            <w:shd w:val="clear" w:color="000000" w:fill="FFFFFF"/>
            <w:vAlign w:val="center"/>
          </w:tcPr>
          <w:p w:rsidR="0053510B" w:rsidRPr="00B02271" w:rsidRDefault="0053510B" w:rsidP="006D786C">
            <w:pPr>
              <w:jc w:val="right"/>
              <w:rPr>
                <w:bCs/>
                <w:sz w:val="18"/>
                <w:szCs w:val="18"/>
              </w:rPr>
            </w:pPr>
          </w:p>
        </w:tc>
        <w:tc>
          <w:tcPr>
            <w:tcW w:w="1134" w:type="dxa"/>
            <w:shd w:val="clear" w:color="000000" w:fill="FFFFFF"/>
            <w:vAlign w:val="center"/>
          </w:tcPr>
          <w:p w:rsidR="0053510B" w:rsidRPr="00B02271" w:rsidRDefault="0053510B" w:rsidP="006D786C">
            <w:pPr>
              <w:jc w:val="right"/>
              <w:rPr>
                <w:bCs/>
                <w:sz w:val="18"/>
                <w:szCs w:val="18"/>
              </w:rPr>
            </w:pPr>
            <w:r w:rsidRPr="00B02271">
              <w:rPr>
                <w:bCs/>
                <w:sz w:val="18"/>
                <w:szCs w:val="18"/>
              </w:rPr>
              <w:t>146</w:t>
            </w:r>
          </w:p>
        </w:tc>
      </w:tr>
      <w:tr w:rsidR="0053510B" w:rsidRPr="00B02271" w:rsidTr="006D786C">
        <w:trPr>
          <w:trHeight w:val="227"/>
        </w:trPr>
        <w:tc>
          <w:tcPr>
            <w:tcW w:w="4111" w:type="dxa"/>
            <w:shd w:val="clear" w:color="000000" w:fill="FFFFFF"/>
            <w:hideMark/>
          </w:tcPr>
          <w:p w:rsidR="0053510B" w:rsidRPr="00B02271" w:rsidRDefault="0053510B" w:rsidP="006D786C">
            <w:pPr>
              <w:jc w:val="both"/>
              <w:rPr>
                <w:b/>
                <w:bCs/>
                <w:sz w:val="18"/>
                <w:szCs w:val="18"/>
              </w:rPr>
            </w:pPr>
            <w:r w:rsidRPr="00B02271">
              <w:rPr>
                <w:b/>
                <w:bCs/>
                <w:sz w:val="18"/>
                <w:szCs w:val="18"/>
              </w:rPr>
              <w:t> </w:t>
            </w:r>
          </w:p>
        </w:tc>
        <w:tc>
          <w:tcPr>
            <w:tcW w:w="1560" w:type="dxa"/>
            <w:shd w:val="clear" w:color="000000" w:fill="FFFFFF"/>
          </w:tcPr>
          <w:p w:rsidR="0053510B" w:rsidRPr="00B02271" w:rsidRDefault="0053510B" w:rsidP="006D786C">
            <w:pPr>
              <w:jc w:val="right"/>
              <w:rPr>
                <w:b/>
                <w:bCs/>
                <w:sz w:val="18"/>
                <w:szCs w:val="18"/>
              </w:rPr>
            </w:pPr>
            <w:r w:rsidRPr="00B02271">
              <w:rPr>
                <w:b/>
                <w:bCs/>
                <w:sz w:val="18"/>
                <w:szCs w:val="18"/>
              </w:rPr>
              <w:t> </w:t>
            </w:r>
          </w:p>
        </w:tc>
        <w:tc>
          <w:tcPr>
            <w:tcW w:w="630" w:type="dxa"/>
            <w:shd w:val="clear" w:color="000000" w:fill="FFFFFF"/>
          </w:tcPr>
          <w:p w:rsidR="0053510B" w:rsidRPr="00B02271" w:rsidRDefault="0053510B" w:rsidP="006D786C">
            <w:pPr>
              <w:jc w:val="right"/>
              <w:rPr>
                <w:b/>
                <w:bCs/>
                <w:sz w:val="18"/>
                <w:szCs w:val="18"/>
              </w:rPr>
            </w:pPr>
          </w:p>
        </w:tc>
        <w:tc>
          <w:tcPr>
            <w:tcW w:w="1212" w:type="dxa"/>
            <w:shd w:val="clear" w:color="000000" w:fill="FFFFFF"/>
            <w:hideMark/>
          </w:tcPr>
          <w:p w:rsidR="0053510B" w:rsidRPr="00B02271" w:rsidRDefault="0053510B" w:rsidP="006D786C">
            <w:pPr>
              <w:jc w:val="right"/>
              <w:rPr>
                <w:b/>
                <w:bCs/>
                <w:sz w:val="18"/>
                <w:szCs w:val="18"/>
              </w:rPr>
            </w:pPr>
            <w:r w:rsidRPr="00B02271">
              <w:rPr>
                <w:b/>
                <w:bCs/>
                <w:sz w:val="18"/>
                <w:szCs w:val="18"/>
              </w:rPr>
              <w:t> </w:t>
            </w:r>
          </w:p>
        </w:tc>
        <w:tc>
          <w:tcPr>
            <w:tcW w:w="567" w:type="dxa"/>
            <w:shd w:val="clear" w:color="000000" w:fill="FFFFFF"/>
          </w:tcPr>
          <w:p w:rsidR="0053510B" w:rsidRPr="00B02271" w:rsidRDefault="0053510B" w:rsidP="006D786C">
            <w:pPr>
              <w:jc w:val="right"/>
              <w:rPr>
                <w:b/>
                <w:bCs/>
                <w:sz w:val="18"/>
                <w:szCs w:val="18"/>
              </w:rPr>
            </w:pPr>
          </w:p>
        </w:tc>
        <w:tc>
          <w:tcPr>
            <w:tcW w:w="1134" w:type="dxa"/>
            <w:shd w:val="clear" w:color="000000" w:fill="FFFFFF"/>
            <w:hideMark/>
          </w:tcPr>
          <w:p w:rsidR="0053510B" w:rsidRPr="00B02271" w:rsidRDefault="0053510B" w:rsidP="006D786C">
            <w:pPr>
              <w:jc w:val="right"/>
              <w:rPr>
                <w:b/>
                <w:bCs/>
                <w:sz w:val="18"/>
                <w:szCs w:val="18"/>
              </w:rPr>
            </w:pPr>
            <w:r w:rsidRPr="00B02271">
              <w:rPr>
                <w:b/>
                <w:bCs/>
                <w:sz w:val="18"/>
                <w:szCs w:val="18"/>
              </w:rPr>
              <w:t> </w:t>
            </w:r>
          </w:p>
        </w:tc>
      </w:tr>
      <w:tr w:rsidR="0053510B" w:rsidRPr="00B02271" w:rsidTr="006D786C">
        <w:trPr>
          <w:trHeight w:val="227"/>
        </w:trPr>
        <w:tc>
          <w:tcPr>
            <w:tcW w:w="4111" w:type="dxa"/>
            <w:shd w:val="clear" w:color="000000" w:fill="FFFFFF"/>
            <w:hideMark/>
          </w:tcPr>
          <w:p w:rsidR="0053510B" w:rsidRPr="00B02271" w:rsidRDefault="0053510B" w:rsidP="006D786C">
            <w:pPr>
              <w:jc w:val="both"/>
              <w:rPr>
                <w:b/>
                <w:bCs/>
                <w:sz w:val="18"/>
                <w:szCs w:val="18"/>
              </w:rPr>
            </w:pPr>
            <w:r w:rsidRPr="00B02271">
              <w:rPr>
                <w:b/>
                <w:bCs/>
                <w:sz w:val="18"/>
                <w:szCs w:val="18"/>
              </w:rPr>
              <w:t>Receita Operacional Líquida</w:t>
            </w:r>
          </w:p>
        </w:tc>
        <w:tc>
          <w:tcPr>
            <w:tcW w:w="1560" w:type="dxa"/>
            <w:shd w:val="clear" w:color="000000" w:fill="FFFFFF"/>
            <w:vAlign w:val="center"/>
          </w:tcPr>
          <w:p w:rsidR="0053510B" w:rsidRPr="00B02271" w:rsidRDefault="0053510B" w:rsidP="006D786C">
            <w:pPr>
              <w:jc w:val="right"/>
              <w:rPr>
                <w:b/>
                <w:bCs/>
                <w:sz w:val="18"/>
                <w:szCs w:val="18"/>
              </w:rPr>
            </w:pPr>
            <w:r w:rsidRPr="00B02271">
              <w:rPr>
                <w:b/>
                <w:bCs/>
                <w:sz w:val="18"/>
                <w:szCs w:val="18"/>
              </w:rPr>
              <w:t>1.346.716</w:t>
            </w:r>
          </w:p>
        </w:tc>
        <w:tc>
          <w:tcPr>
            <w:tcW w:w="630" w:type="dxa"/>
            <w:shd w:val="clear" w:color="000000" w:fill="FFFFFF"/>
          </w:tcPr>
          <w:p w:rsidR="0053510B" w:rsidRPr="00B02271" w:rsidRDefault="0053510B" w:rsidP="006D786C">
            <w:pPr>
              <w:jc w:val="right"/>
              <w:rPr>
                <w:b/>
                <w:bCs/>
                <w:sz w:val="18"/>
                <w:szCs w:val="18"/>
              </w:rPr>
            </w:pPr>
          </w:p>
        </w:tc>
        <w:tc>
          <w:tcPr>
            <w:tcW w:w="1212" w:type="dxa"/>
            <w:shd w:val="clear" w:color="000000" w:fill="FFFFFF"/>
            <w:vAlign w:val="center"/>
            <w:hideMark/>
          </w:tcPr>
          <w:p w:rsidR="0053510B" w:rsidRPr="00B02271" w:rsidRDefault="0053510B" w:rsidP="006D786C">
            <w:pPr>
              <w:jc w:val="right"/>
              <w:rPr>
                <w:b/>
                <w:bCs/>
                <w:sz w:val="18"/>
                <w:szCs w:val="18"/>
              </w:rPr>
            </w:pPr>
            <w:r w:rsidRPr="00B02271">
              <w:rPr>
                <w:b/>
                <w:bCs/>
                <w:sz w:val="18"/>
                <w:szCs w:val="18"/>
              </w:rPr>
              <w:t xml:space="preserve">1.300.036 </w:t>
            </w:r>
          </w:p>
        </w:tc>
        <w:tc>
          <w:tcPr>
            <w:tcW w:w="567" w:type="dxa"/>
            <w:shd w:val="clear" w:color="000000" w:fill="FFFFFF"/>
            <w:vAlign w:val="center"/>
          </w:tcPr>
          <w:p w:rsidR="0053510B" w:rsidRPr="00B02271" w:rsidRDefault="0053510B" w:rsidP="006D786C">
            <w:pPr>
              <w:jc w:val="right"/>
              <w:rPr>
                <w:sz w:val="18"/>
                <w:szCs w:val="18"/>
              </w:rPr>
            </w:pPr>
            <w:r w:rsidRPr="00B02271">
              <w:rPr>
                <w:sz w:val="18"/>
                <w:szCs w:val="18"/>
              </w:rPr>
              <w:t> </w:t>
            </w:r>
          </w:p>
        </w:tc>
        <w:tc>
          <w:tcPr>
            <w:tcW w:w="1134" w:type="dxa"/>
            <w:shd w:val="clear" w:color="000000" w:fill="FFFFFF"/>
            <w:vAlign w:val="center"/>
            <w:hideMark/>
          </w:tcPr>
          <w:p w:rsidR="0053510B" w:rsidRPr="00B02271" w:rsidRDefault="0053510B" w:rsidP="006D786C">
            <w:pPr>
              <w:jc w:val="right"/>
              <w:rPr>
                <w:sz w:val="18"/>
                <w:szCs w:val="18"/>
              </w:rPr>
            </w:pPr>
            <w:r w:rsidRPr="00B02271">
              <w:rPr>
                <w:b/>
                <w:bCs/>
                <w:sz w:val="18"/>
                <w:szCs w:val="18"/>
              </w:rPr>
              <w:t>46.680</w:t>
            </w:r>
            <w:r w:rsidRPr="00B02271">
              <w:rPr>
                <w:sz w:val="18"/>
                <w:szCs w:val="18"/>
              </w:rPr>
              <w:t xml:space="preserve"> </w:t>
            </w:r>
          </w:p>
        </w:tc>
      </w:tr>
      <w:tr w:rsidR="0053510B" w:rsidRPr="00B02271" w:rsidTr="006D786C">
        <w:trPr>
          <w:trHeight w:val="227"/>
        </w:trPr>
        <w:tc>
          <w:tcPr>
            <w:tcW w:w="4111" w:type="dxa"/>
            <w:shd w:val="clear" w:color="000000" w:fill="FFFFFF"/>
            <w:hideMark/>
          </w:tcPr>
          <w:p w:rsidR="0053510B" w:rsidRPr="00B02271" w:rsidRDefault="0053510B" w:rsidP="006D786C">
            <w:pPr>
              <w:rPr>
                <w:sz w:val="18"/>
                <w:szCs w:val="18"/>
              </w:rPr>
            </w:pPr>
            <w:r w:rsidRPr="00B02271">
              <w:rPr>
                <w:sz w:val="18"/>
                <w:szCs w:val="18"/>
              </w:rPr>
              <w:t> </w:t>
            </w:r>
          </w:p>
        </w:tc>
        <w:tc>
          <w:tcPr>
            <w:tcW w:w="1560" w:type="dxa"/>
            <w:shd w:val="clear" w:color="000000" w:fill="FFFFFF"/>
          </w:tcPr>
          <w:p w:rsidR="0053510B" w:rsidRPr="00B02271" w:rsidRDefault="0053510B" w:rsidP="006D786C">
            <w:pPr>
              <w:jc w:val="right"/>
              <w:rPr>
                <w:b/>
                <w:sz w:val="18"/>
                <w:szCs w:val="18"/>
              </w:rPr>
            </w:pPr>
          </w:p>
        </w:tc>
        <w:tc>
          <w:tcPr>
            <w:tcW w:w="630" w:type="dxa"/>
            <w:shd w:val="clear" w:color="000000" w:fill="FFFFFF"/>
          </w:tcPr>
          <w:p w:rsidR="0053510B" w:rsidRPr="00B02271" w:rsidRDefault="0053510B" w:rsidP="006D786C">
            <w:pPr>
              <w:rPr>
                <w:sz w:val="18"/>
                <w:szCs w:val="18"/>
              </w:rPr>
            </w:pPr>
          </w:p>
        </w:tc>
        <w:tc>
          <w:tcPr>
            <w:tcW w:w="1212" w:type="dxa"/>
            <w:shd w:val="clear" w:color="000000" w:fill="FFFFFF"/>
            <w:hideMark/>
          </w:tcPr>
          <w:p w:rsidR="0053510B" w:rsidRPr="00B02271" w:rsidRDefault="0053510B" w:rsidP="006D786C">
            <w:pPr>
              <w:jc w:val="right"/>
              <w:rPr>
                <w:b/>
                <w:sz w:val="18"/>
                <w:szCs w:val="18"/>
              </w:rPr>
            </w:pPr>
          </w:p>
        </w:tc>
        <w:tc>
          <w:tcPr>
            <w:tcW w:w="567" w:type="dxa"/>
            <w:shd w:val="clear" w:color="000000" w:fill="FFFFFF"/>
          </w:tcPr>
          <w:p w:rsidR="0053510B" w:rsidRPr="00B02271" w:rsidRDefault="0053510B" w:rsidP="006D786C">
            <w:pPr>
              <w:rPr>
                <w:b/>
                <w:sz w:val="18"/>
                <w:szCs w:val="18"/>
              </w:rPr>
            </w:pPr>
          </w:p>
        </w:tc>
        <w:tc>
          <w:tcPr>
            <w:tcW w:w="1134" w:type="dxa"/>
            <w:shd w:val="clear" w:color="000000" w:fill="FFFFFF"/>
            <w:hideMark/>
          </w:tcPr>
          <w:p w:rsidR="0053510B" w:rsidRPr="00B02271" w:rsidRDefault="0053510B" w:rsidP="006D786C">
            <w:pPr>
              <w:jc w:val="right"/>
              <w:rPr>
                <w:b/>
                <w:sz w:val="18"/>
                <w:szCs w:val="18"/>
              </w:rPr>
            </w:pPr>
          </w:p>
        </w:tc>
      </w:tr>
      <w:tr w:rsidR="0053510B" w:rsidRPr="00B02271" w:rsidTr="006D786C">
        <w:trPr>
          <w:trHeight w:val="227"/>
        </w:trPr>
        <w:tc>
          <w:tcPr>
            <w:tcW w:w="4111" w:type="dxa"/>
            <w:shd w:val="clear" w:color="000000" w:fill="FFFFFF"/>
            <w:hideMark/>
          </w:tcPr>
          <w:p w:rsidR="0053510B" w:rsidRPr="00B02271" w:rsidRDefault="0053510B" w:rsidP="006D786C">
            <w:pPr>
              <w:jc w:val="both"/>
              <w:rPr>
                <w:bCs/>
                <w:sz w:val="18"/>
                <w:szCs w:val="18"/>
              </w:rPr>
            </w:pPr>
            <w:r w:rsidRPr="00B02271">
              <w:rPr>
                <w:bCs/>
                <w:sz w:val="18"/>
                <w:szCs w:val="18"/>
              </w:rPr>
              <w:t xml:space="preserve">   Custo dos Serviços</w:t>
            </w:r>
          </w:p>
        </w:tc>
        <w:tc>
          <w:tcPr>
            <w:tcW w:w="1560" w:type="dxa"/>
            <w:shd w:val="clear" w:color="000000" w:fill="FFFFFF"/>
            <w:vAlign w:val="center"/>
          </w:tcPr>
          <w:p w:rsidR="0053510B" w:rsidRPr="00B02271" w:rsidRDefault="0053510B" w:rsidP="006D786C">
            <w:pPr>
              <w:jc w:val="right"/>
              <w:rPr>
                <w:bCs/>
                <w:sz w:val="18"/>
                <w:szCs w:val="18"/>
              </w:rPr>
            </w:pPr>
            <w:r w:rsidRPr="00B02271">
              <w:rPr>
                <w:bCs/>
                <w:sz w:val="18"/>
                <w:szCs w:val="18"/>
              </w:rPr>
              <w:t xml:space="preserve">(1.085.180)           </w:t>
            </w:r>
          </w:p>
        </w:tc>
        <w:tc>
          <w:tcPr>
            <w:tcW w:w="630" w:type="dxa"/>
            <w:shd w:val="clear" w:color="000000" w:fill="FFFFFF"/>
          </w:tcPr>
          <w:p w:rsidR="0053510B" w:rsidRPr="00B02271" w:rsidRDefault="0053510B" w:rsidP="006D786C">
            <w:pPr>
              <w:jc w:val="both"/>
              <w:rPr>
                <w:bCs/>
                <w:sz w:val="18"/>
                <w:szCs w:val="18"/>
              </w:rPr>
            </w:pPr>
          </w:p>
        </w:tc>
        <w:tc>
          <w:tcPr>
            <w:tcW w:w="1212" w:type="dxa"/>
            <w:shd w:val="clear" w:color="000000" w:fill="FFFFFF"/>
            <w:vAlign w:val="center"/>
            <w:hideMark/>
          </w:tcPr>
          <w:p w:rsidR="0053510B" w:rsidRPr="00B02271" w:rsidRDefault="0053510B" w:rsidP="006D786C">
            <w:pPr>
              <w:jc w:val="right"/>
              <w:rPr>
                <w:bCs/>
                <w:sz w:val="18"/>
                <w:szCs w:val="18"/>
              </w:rPr>
            </w:pPr>
            <w:r w:rsidRPr="00B02271">
              <w:rPr>
                <w:bCs/>
                <w:sz w:val="18"/>
                <w:szCs w:val="18"/>
              </w:rPr>
              <w:t xml:space="preserve">(1.083.258)        </w:t>
            </w:r>
          </w:p>
        </w:tc>
        <w:tc>
          <w:tcPr>
            <w:tcW w:w="567" w:type="dxa"/>
            <w:shd w:val="clear" w:color="000000" w:fill="FFFFFF"/>
            <w:vAlign w:val="center"/>
          </w:tcPr>
          <w:p w:rsidR="0053510B" w:rsidRPr="00B02271" w:rsidRDefault="0053510B" w:rsidP="006D786C">
            <w:pPr>
              <w:jc w:val="both"/>
              <w:rPr>
                <w:bCs/>
                <w:sz w:val="18"/>
                <w:szCs w:val="18"/>
              </w:rPr>
            </w:pPr>
            <w:r w:rsidRPr="00B02271">
              <w:rPr>
                <w:bCs/>
                <w:sz w:val="18"/>
                <w:szCs w:val="18"/>
              </w:rPr>
              <w:t> </w:t>
            </w:r>
          </w:p>
        </w:tc>
        <w:tc>
          <w:tcPr>
            <w:tcW w:w="1134" w:type="dxa"/>
            <w:shd w:val="clear" w:color="000000" w:fill="FFFFFF"/>
            <w:vAlign w:val="center"/>
            <w:hideMark/>
          </w:tcPr>
          <w:p w:rsidR="0053510B" w:rsidRPr="00B02271" w:rsidRDefault="0053510B" w:rsidP="006D786C">
            <w:pPr>
              <w:jc w:val="right"/>
              <w:rPr>
                <w:bCs/>
                <w:sz w:val="18"/>
                <w:szCs w:val="18"/>
              </w:rPr>
            </w:pPr>
            <w:r w:rsidRPr="00B02271">
              <w:rPr>
                <w:bCs/>
                <w:sz w:val="18"/>
                <w:szCs w:val="18"/>
              </w:rPr>
              <w:t>(1.922)</w:t>
            </w:r>
          </w:p>
        </w:tc>
      </w:tr>
      <w:tr w:rsidR="0053510B" w:rsidRPr="00B02271" w:rsidTr="006D786C">
        <w:trPr>
          <w:trHeight w:val="227"/>
        </w:trPr>
        <w:tc>
          <w:tcPr>
            <w:tcW w:w="4111" w:type="dxa"/>
            <w:shd w:val="clear" w:color="000000" w:fill="FFFFFF"/>
          </w:tcPr>
          <w:p w:rsidR="0053510B" w:rsidRPr="00B02271" w:rsidRDefault="0053510B" w:rsidP="006D786C">
            <w:pPr>
              <w:jc w:val="both"/>
              <w:rPr>
                <w:b/>
                <w:bCs/>
                <w:sz w:val="18"/>
                <w:szCs w:val="18"/>
              </w:rPr>
            </w:pPr>
          </w:p>
        </w:tc>
        <w:tc>
          <w:tcPr>
            <w:tcW w:w="1560" w:type="dxa"/>
            <w:shd w:val="clear" w:color="000000" w:fill="FFFFFF"/>
          </w:tcPr>
          <w:p w:rsidR="0053510B" w:rsidRPr="00B02271" w:rsidRDefault="0053510B" w:rsidP="006D786C">
            <w:pPr>
              <w:jc w:val="right"/>
              <w:rPr>
                <w:b/>
                <w:sz w:val="18"/>
                <w:szCs w:val="18"/>
              </w:rPr>
            </w:pPr>
          </w:p>
        </w:tc>
        <w:tc>
          <w:tcPr>
            <w:tcW w:w="630" w:type="dxa"/>
            <w:shd w:val="clear" w:color="000000" w:fill="FFFFFF"/>
          </w:tcPr>
          <w:p w:rsidR="0053510B" w:rsidRPr="00B02271" w:rsidRDefault="0053510B" w:rsidP="006D786C">
            <w:pPr>
              <w:jc w:val="right"/>
              <w:rPr>
                <w:sz w:val="18"/>
                <w:szCs w:val="18"/>
              </w:rPr>
            </w:pPr>
          </w:p>
        </w:tc>
        <w:tc>
          <w:tcPr>
            <w:tcW w:w="1212" w:type="dxa"/>
            <w:shd w:val="clear" w:color="000000" w:fill="FFFFFF"/>
          </w:tcPr>
          <w:p w:rsidR="0053510B" w:rsidRPr="00B02271" w:rsidRDefault="0053510B" w:rsidP="006D786C">
            <w:pPr>
              <w:jc w:val="right"/>
              <w:rPr>
                <w:b/>
                <w:sz w:val="18"/>
                <w:szCs w:val="18"/>
              </w:rPr>
            </w:pPr>
          </w:p>
        </w:tc>
        <w:tc>
          <w:tcPr>
            <w:tcW w:w="567" w:type="dxa"/>
            <w:shd w:val="clear" w:color="000000" w:fill="FFFFFF"/>
          </w:tcPr>
          <w:p w:rsidR="0053510B" w:rsidRPr="00B02271" w:rsidRDefault="0053510B" w:rsidP="006D786C">
            <w:pPr>
              <w:rPr>
                <w:b/>
                <w:sz w:val="18"/>
                <w:szCs w:val="18"/>
              </w:rPr>
            </w:pPr>
          </w:p>
        </w:tc>
        <w:tc>
          <w:tcPr>
            <w:tcW w:w="1134" w:type="dxa"/>
            <w:shd w:val="clear" w:color="000000" w:fill="FFFFFF"/>
          </w:tcPr>
          <w:p w:rsidR="0053510B" w:rsidRPr="00B02271" w:rsidRDefault="0053510B" w:rsidP="006D786C">
            <w:pPr>
              <w:jc w:val="right"/>
              <w:rPr>
                <w:b/>
                <w:sz w:val="18"/>
                <w:szCs w:val="18"/>
              </w:rPr>
            </w:pPr>
          </w:p>
        </w:tc>
      </w:tr>
      <w:tr w:rsidR="0053510B" w:rsidRPr="00B02271" w:rsidTr="006D786C">
        <w:trPr>
          <w:trHeight w:val="227"/>
        </w:trPr>
        <w:tc>
          <w:tcPr>
            <w:tcW w:w="4111" w:type="dxa"/>
            <w:vMerge w:val="restart"/>
            <w:shd w:val="clear" w:color="000000" w:fill="FFFFFF"/>
            <w:hideMark/>
          </w:tcPr>
          <w:p w:rsidR="0053510B" w:rsidRPr="00B02271" w:rsidRDefault="0053510B" w:rsidP="006D786C">
            <w:pPr>
              <w:jc w:val="both"/>
              <w:rPr>
                <w:b/>
                <w:bCs/>
                <w:sz w:val="18"/>
                <w:szCs w:val="18"/>
              </w:rPr>
            </w:pPr>
            <w:r w:rsidRPr="00B02271">
              <w:rPr>
                <w:b/>
                <w:bCs/>
                <w:sz w:val="18"/>
                <w:szCs w:val="18"/>
              </w:rPr>
              <w:t>Resultado Operacional Bruto</w:t>
            </w:r>
          </w:p>
        </w:tc>
        <w:tc>
          <w:tcPr>
            <w:tcW w:w="1560" w:type="dxa"/>
            <w:shd w:val="clear" w:color="000000" w:fill="FFFFFF"/>
            <w:vAlign w:val="center"/>
          </w:tcPr>
          <w:p w:rsidR="0053510B" w:rsidRPr="00B02271" w:rsidRDefault="0053510B" w:rsidP="006D786C">
            <w:pPr>
              <w:jc w:val="right"/>
              <w:rPr>
                <w:b/>
                <w:sz w:val="18"/>
                <w:szCs w:val="18"/>
              </w:rPr>
            </w:pPr>
            <w:r w:rsidRPr="00B02271">
              <w:rPr>
                <w:b/>
                <w:sz w:val="18"/>
                <w:szCs w:val="18"/>
              </w:rPr>
              <w:t xml:space="preserve">        261.537</w:t>
            </w:r>
          </w:p>
        </w:tc>
        <w:tc>
          <w:tcPr>
            <w:tcW w:w="630" w:type="dxa"/>
            <w:shd w:val="clear" w:color="000000" w:fill="FFFFFF"/>
          </w:tcPr>
          <w:p w:rsidR="0053510B" w:rsidRPr="00B02271" w:rsidRDefault="0053510B" w:rsidP="006D786C">
            <w:pPr>
              <w:jc w:val="right"/>
              <w:rPr>
                <w:b/>
                <w:bCs/>
                <w:sz w:val="18"/>
                <w:szCs w:val="18"/>
              </w:rPr>
            </w:pPr>
          </w:p>
        </w:tc>
        <w:tc>
          <w:tcPr>
            <w:tcW w:w="1212" w:type="dxa"/>
            <w:shd w:val="clear" w:color="000000" w:fill="FFFFFF"/>
            <w:vAlign w:val="center"/>
            <w:hideMark/>
          </w:tcPr>
          <w:p w:rsidR="0053510B" w:rsidRPr="00B02271" w:rsidRDefault="0053510B" w:rsidP="006D786C">
            <w:pPr>
              <w:jc w:val="right"/>
              <w:rPr>
                <w:b/>
                <w:sz w:val="18"/>
                <w:szCs w:val="18"/>
              </w:rPr>
            </w:pPr>
            <w:r w:rsidRPr="00B02271">
              <w:rPr>
                <w:b/>
                <w:sz w:val="18"/>
                <w:szCs w:val="18"/>
              </w:rPr>
              <w:t>216.778</w:t>
            </w:r>
          </w:p>
        </w:tc>
        <w:tc>
          <w:tcPr>
            <w:tcW w:w="567" w:type="dxa"/>
            <w:shd w:val="clear" w:color="000000" w:fill="FFFFFF"/>
            <w:vAlign w:val="center"/>
          </w:tcPr>
          <w:p w:rsidR="0053510B" w:rsidRPr="00B02271" w:rsidRDefault="0053510B" w:rsidP="006D786C">
            <w:pPr>
              <w:jc w:val="right"/>
              <w:rPr>
                <w:b/>
                <w:sz w:val="18"/>
                <w:szCs w:val="18"/>
              </w:rPr>
            </w:pPr>
            <w:r w:rsidRPr="00B02271">
              <w:rPr>
                <w:b/>
                <w:sz w:val="18"/>
                <w:szCs w:val="18"/>
              </w:rPr>
              <w:t> </w:t>
            </w:r>
          </w:p>
        </w:tc>
        <w:tc>
          <w:tcPr>
            <w:tcW w:w="1134" w:type="dxa"/>
            <w:shd w:val="clear" w:color="000000" w:fill="FFFFFF"/>
            <w:vAlign w:val="center"/>
            <w:hideMark/>
          </w:tcPr>
          <w:p w:rsidR="0053510B" w:rsidRPr="00B02271" w:rsidRDefault="0053510B" w:rsidP="006D786C">
            <w:pPr>
              <w:jc w:val="right"/>
              <w:rPr>
                <w:b/>
                <w:sz w:val="18"/>
                <w:szCs w:val="18"/>
              </w:rPr>
            </w:pPr>
            <w:r w:rsidRPr="00B02271">
              <w:rPr>
                <w:b/>
                <w:sz w:val="18"/>
                <w:szCs w:val="18"/>
              </w:rPr>
              <w:t xml:space="preserve">44.758 </w:t>
            </w:r>
          </w:p>
        </w:tc>
      </w:tr>
      <w:tr w:rsidR="0053510B" w:rsidRPr="00B02271" w:rsidTr="006D786C">
        <w:trPr>
          <w:trHeight w:val="227"/>
        </w:trPr>
        <w:tc>
          <w:tcPr>
            <w:tcW w:w="4111" w:type="dxa"/>
            <w:vMerge/>
            <w:shd w:val="clear" w:color="000000" w:fill="FFFFFF"/>
            <w:hideMark/>
          </w:tcPr>
          <w:p w:rsidR="0053510B" w:rsidRPr="00B02271" w:rsidRDefault="0053510B" w:rsidP="006D786C">
            <w:pPr>
              <w:jc w:val="both"/>
              <w:rPr>
                <w:b/>
                <w:bCs/>
                <w:sz w:val="18"/>
                <w:szCs w:val="18"/>
              </w:rPr>
            </w:pPr>
          </w:p>
        </w:tc>
        <w:tc>
          <w:tcPr>
            <w:tcW w:w="1560" w:type="dxa"/>
            <w:shd w:val="clear" w:color="000000" w:fill="FFFFFF"/>
          </w:tcPr>
          <w:p w:rsidR="0053510B" w:rsidRPr="00B02271" w:rsidRDefault="0053510B" w:rsidP="006D786C">
            <w:pPr>
              <w:jc w:val="right"/>
              <w:rPr>
                <w:sz w:val="18"/>
                <w:szCs w:val="18"/>
              </w:rPr>
            </w:pPr>
          </w:p>
        </w:tc>
        <w:tc>
          <w:tcPr>
            <w:tcW w:w="630" w:type="dxa"/>
            <w:shd w:val="clear" w:color="000000" w:fill="FFFFFF"/>
          </w:tcPr>
          <w:p w:rsidR="0053510B" w:rsidRPr="00B02271" w:rsidRDefault="0053510B" w:rsidP="006D786C">
            <w:pPr>
              <w:jc w:val="right"/>
              <w:rPr>
                <w:b/>
                <w:bCs/>
                <w:sz w:val="18"/>
                <w:szCs w:val="18"/>
              </w:rPr>
            </w:pPr>
          </w:p>
        </w:tc>
        <w:tc>
          <w:tcPr>
            <w:tcW w:w="1212" w:type="dxa"/>
            <w:shd w:val="clear" w:color="000000" w:fill="FFFFFF"/>
          </w:tcPr>
          <w:p w:rsidR="0053510B" w:rsidRPr="00B02271" w:rsidRDefault="0053510B" w:rsidP="006D786C">
            <w:pPr>
              <w:jc w:val="right"/>
              <w:rPr>
                <w:sz w:val="18"/>
                <w:szCs w:val="18"/>
              </w:rPr>
            </w:pPr>
          </w:p>
        </w:tc>
        <w:tc>
          <w:tcPr>
            <w:tcW w:w="567" w:type="dxa"/>
            <w:shd w:val="clear" w:color="000000" w:fill="FFFFFF"/>
          </w:tcPr>
          <w:p w:rsidR="0053510B" w:rsidRPr="00B02271" w:rsidRDefault="0053510B" w:rsidP="006D786C">
            <w:pPr>
              <w:rPr>
                <w:sz w:val="18"/>
                <w:szCs w:val="18"/>
              </w:rPr>
            </w:pPr>
          </w:p>
        </w:tc>
        <w:tc>
          <w:tcPr>
            <w:tcW w:w="1134" w:type="dxa"/>
            <w:shd w:val="clear" w:color="000000" w:fill="FFFFFF"/>
          </w:tcPr>
          <w:p w:rsidR="0053510B" w:rsidRPr="00B02271" w:rsidRDefault="0053510B" w:rsidP="006D786C">
            <w:pPr>
              <w:jc w:val="right"/>
              <w:rPr>
                <w:sz w:val="18"/>
                <w:szCs w:val="18"/>
              </w:rPr>
            </w:pPr>
          </w:p>
        </w:tc>
      </w:tr>
      <w:tr w:rsidR="0053510B" w:rsidRPr="00B02271" w:rsidTr="006D786C">
        <w:trPr>
          <w:trHeight w:val="227"/>
        </w:trPr>
        <w:tc>
          <w:tcPr>
            <w:tcW w:w="4111" w:type="dxa"/>
            <w:shd w:val="clear" w:color="000000" w:fill="FFFFFF"/>
          </w:tcPr>
          <w:p w:rsidR="0053510B" w:rsidRPr="00B02271" w:rsidRDefault="0053510B" w:rsidP="006D786C">
            <w:pPr>
              <w:jc w:val="both"/>
              <w:rPr>
                <w:iCs/>
                <w:sz w:val="18"/>
                <w:szCs w:val="18"/>
              </w:rPr>
            </w:pPr>
            <w:r w:rsidRPr="00B02271">
              <w:rPr>
                <w:bCs/>
                <w:sz w:val="18"/>
                <w:szCs w:val="18"/>
              </w:rPr>
              <w:t xml:space="preserve">   Despesas Operacionais</w:t>
            </w:r>
          </w:p>
        </w:tc>
        <w:tc>
          <w:tcPr>
            <w:tcW w:w="1560" w:type="dxa"/>
            <w:shd w:val="clear" w:color="000000" w:fill="FFFFFF"/>
            <w:vAlign w:val="center"/>
          </w:tcPr>
          <w:p w:rsidR="0053510B" w:rsidRPr="00B02271" w:rsidRDefault="0053510B" w:rsidP="006D786C">
            <w:pPr>
              <w:jc w:val="right"/>
              <w:rPr>
                <w:bCs/>
                <w:sz w:val="18"/>
                <w:szCs w:val="18"/>
              </w:rPr>
            </w:pPr>
            <w:r w:rsidRPr="00B02271">
              <w:rPr>
                <w:bCs/>
                <w:sz w:val="18"/>
                <w:szCs w:val="18"/>
              </w:rPr>
              <w:t xml:space="preserve">    (263.037)</w:t>
            </w:r>
          </w:p>
        </w:tc>
        <w:tc>
          <w:tcPr>
            <w:tcW w:w="630" w:type="dxa"/>
            <w:shd w:val="clear" w:color="000000" w:fill="FFFFFF"/>
          </w:tcPr>
          <w:p w:rsidR="0053510B" w:rsidRPr="00B02271" w:rsidRDefault="0053510B" w:rsidP="006D786C">
            <w:pPr>
              <w:jc w:val="right"/>
              <w:rPr>
                <w:bCs/>
                <w:sz w:val="18"/>
                <w:szCs w:val="18"/>
              </w:rPr>
            </w:pPr>
          </w:p>
        </w:tc>
        <w:tc>
          <w:tcPr>
            <w:tcW w:w="1212" w:type="dxa"/>
            <w:shd w:val="clear" w:color="000000" w:fill="FFFFFF"/>
            <w:vAlign w:val="center"/>
          </w:tcPr>
          <w:p w:rsidR="0053510B" w:rsidRPr="00B02271" w:rsidRDefault="0053510B" w:rsidP="006D786C">
            <w:pPr>
              <w:jc w:val="right"/>
              <w:rPr>
                <w:bCs/>
                <w:sz w:val="18"/>
                <w:szCs w:val="18"/>
              </w:rPr>
            </w:pPr>
            <w:r w:rsidRPr="00B02271">
              <w:rPr>
                <w:bCs/>
                <w:sz w:val="18"/>
                <w:szCs w:val="18"/>
              </w:rPr>
              <w:t xml:space="preserve">    (262.571)</w:t>
            </w:r>
          </w:p>
        </w:tc>
        <w:tc>
          <w:tcPr>
            <w:tcW w:w="567" w:type="dxa"/>
            <w:shd w:val="clear" w:color="000000" w:fill="FFFFFF"/>
            <w:vAlign w:val="center"/>
          </w:tcPr>
          <w:p w:rsidR="0053510B" w:rsidRPr="00B02271" w:rsidRDefault="0053510B" w:rsidP="006D786C">
            <w:pPr>
              <w:jc w:val="right"/>
              <w:rPr>
                <w:bCs/>
                <w:sz w:val="18"/>
                <w:szCs w:val="18"/>
              </w:rPr>
            </w:pPr>
            <w:r w:rsidRPr="00B02271">
              <w:rPr>
                <w:bCs/>
                <w:sz w:val="18"/>
                <w:szCs w:val="18"/>
              </w:rPr>
              <w:t> </w:t>
            </w:r>
          </w:p>
        </w:tc>
        <w:tc>
          <w:tcPr>
            <w:tcW w:w="1134" w:type="dxa"/>
            <w:shd w:val="clear" w:color="000000" w:fill="FFFFFF"/>
            <w:vAlign w:val="center"/>
          </w:tcPr>
          <w:p w:rsidR="0053510B" w:rsidRPr="00B02271" w:rsidRDefault="0053510B" w:rsidP="006D786C">
            <w:pPr>
              <w:jc w:val="right"/>
              <w:rPr>
                <w:bCs/>
                <w:sz w:val="18"/>
                <w:szCs w:val="18"/>
              </w:rPr>
            </w:pPr>
            <w:r w:rsidRPr="00B02271">
              <w:rPr>
                <w:bCs/>
                <w:sz w:val="18"/>
                <w:szCs w:val="18"/>
              </w:rPr>
              <w:t>(466)</w:t>
            </w:r>
          </w:p>
        </w:tc>
      </w:tr>
      <w:tr w:rsidR="0053510B" w:rsidRPr="00B02271" w:rsidTr="006D786C">
        <w:trPr>
          <w:trHeight w:val="227"/>
        </w:trPr>
        <w:tc>
          <w:tcPr>
            <w:tcW w:w="4111" w:type="dxa"/>
            <w:shd w:val="clear" w:color="000000" w:fill="FFFFFF"/>
            <w:hideMark/>
          </w:tcPr>
          <w:p w:rsidR="0053510B" w:rsidRPr="00B02271" w:rsidRDefault="0053510B" w:rsidP="006D786C">
            <w:pPr>
              <w:jc w:val="both"/>
              <w:rPr>
                <w:iCs/>
                <w:sz w:val="18"/>
                <w:szCs w:val="18"/>
              </w:rPr>
            </w:pPr>
            <w:r w:rsidRPr="00B02271">
              <w:rPr>
                <w:bCs/>
                <w:sz w:val="18"/>
                <w:szCs w:val="18"/>
              </w:rPr>
              <w:t xml:space="preserve">   Outras Receitas e Despesas</w:t>
            </w:r>
            <w:r w:rsidRPr="00B02271">
              <w:rPr>
                <w:iCs/>
                <w:sz w:val="18"/>
                <w:szCs w:val="18"/>
              </w:rPr>
              <w:t xml:space="preserve">      </w:t>
            </w:r>
          </w:p>
        </w:tc>
        <w:tc>
          <w:tcPr>
            <w:tcW w:w="1560" w:type="dxa"/>
            <w:shd w:val="clear" w:color="000000" w:fill="FFFFFF"/>
          </w:tcPr>
          <w:p w:rsidR="0053510B" w:rsidRPr="00B02271" w:rsidRDefault="0053510B" w:rsidP="006D786C">
            <w:pPr>
              <w:jc w:val="right"/>
              <w:rPr>
                <w:sz w:val="18"/>
                <w:szCs w:val="18"/>
              </w:rPr>
            </w:pPr>
            <w:r w:rsidRPr="00B02271">
              <w:rPr>
                <w:sz w:val="18"/>
                <w:szCs w:val="18"/>
              </w:rPr>
              <w:t xml:space="preserve">             4.414</w:t>
            </w:r>
          </w:p>
        </w:tc>
        <w:tc>
          <w:tcPr>
            <w:tcW w:w="630" w:type="dxa"/>
            <w:shd w:val="clear" w:color="000000" w:fill="FFFFFF"/>
          </w:tcPr>
          <w:p w:rsidR="0053510B" w:rsidRPr="00B02271" w:rsidRDefault="0053510B" w:rsidP="006D786C">
            <w:pPr>
              <w:jc w:val="right"/>
              <w:rPr>
                <w:sz w:val="18"/>
                <w:szCs w:val="18"/>
              </w:rPr>
            </w:pPr>
          </w:p>
        </w:tc>
        <w:tc>
          <w:tcPr>
            <w:tcW w:w="1212" w:type="dxa"/>
            <w:shd w:val="clear" w:color="000000" w:fill="FFFFFF"/>
            <w:vAlign w:val="center"/>
            <w:hideMark/>
          </w:tcPr>
          <w:p w:rsidR="0053510B" w:rsidRPr="00B02271" w:rsidRDefault="0053510B" w:rsidP="006D786C">
            <w:pPr>
              <w:jc w:val="right"/>
              <w:rPr>
                <w:sz w:val="18"/>
                <w:szCs w:val="18"/>
              </w:rPr>
            </w:pPr>
            <w:r w:rsidRPr="00B02271">
              <w:rPr>
                <w:sz w:val="18"/>
                <w:szCs w:val="18"/>
              </w:rPr>
              <w:t>28.685</w:t>
            </w:r>
          </w:p>
        </w:tc>
        <w:tc>
          <w:tcPr>
            <w:tcW w:w="567" w:type="dxa"/>
            <w:shd w:val="clear" w:color="000000" w:fill="FFFFFF"/>
            <w:vAlign w:val="center"/>
          </w:tcPr>
          <w:p w:rsidR="0053510B" w:rsidRPr="00B02271" w:rsidRDefault="0053510B" w:rsidP="006D786C">
            <w:pPr>
              <w:jc w:val="right"/>
              <w:rPr>
                <w:sz w:val="18"/>
                <w:szCs w:val="18"/>
              </w:rPr>
            </w:pPr>
            <w:r w:rsidRPr="00B02271">
              <w:rPr>
                <w:sz w:val="18"/>
                <w:szCs w:val="18"/>
              </w:rPr>
              <w:t> </w:t>
            </w:r>
          </w:p>
        </w:tc>
        <w:tc>
          <w:tcPr>
            <w:tcW w:w="1134" w:type="dxa"/>
            <w:shd w:val="clear" w:color="000000" w:fill="FFFFFF"/>
            <w:vAlign w:val="center"/>
          </w:tcPr>
          <w:p w:rsidR="0053510B" w:rsidRPr="00B02271" w:rsidRDefault="0053510B" w:rsidP="006D786C">
            <w:pPr>
              <w:jc w:val="right"/>
              <w:rPr>
                <w:sz w:val="18"/>
                <w:szCs w:val="18"/>
              </w:rPr>
            </w:pPr>
            <w:r w:rsidRPr="00B02271">
              <w:rPr>
                <w:sz w:val="18"/>
                <w:szCs w:val="18"/>
              </w:rPr>
              <w:t>(24.271)</w:t>
            </w:r>
          </w:p>
        </w:tc>
      </w:tr>
      <w:tr w:rsidR="0053510B" w:rsidRPr="00B02271" w:rsidTr="006D786C">
        <w:trPr>
          <w:trHeight w:val="227"/>
        </w:trPr>
        <w:tc>
          <w:tcPr>
            <w:tcW w:w="4111" w:type="dxa"/>
            <w:shd w:val="clear" w:color="000000" w:fill="FFFFFF"/>
          </w:tcPr>
          <w:p w:rsidR="0053510B" w:rsidRPr="00B02271" w:rsidRDefault="0053510B" w:rsidP="006D786C">
            <w:pPr>
              <w:jc w:val="both"/>
              <w:rPr>
                <w:iCs/>
                <w:sz w:val="18"/>
                <w:szCs w:val="18"/>
              </w:rPr>
            </w:pPr>
          </w:p>
        </w:tc>
        <w:tc>
          <w:tcPr>
            <w:tcW w:w="1560" w:type="dxa"/>
            <w:shd w:val="clear" w:color="000000" w:fill="FFFFFF"/>
          </w:tcPr>
          <w:p w:rsidR="0053510B" w:rsidRPr="00B02271" w:rsidRDefault="0053510B" w:rsidP="006D786C">
            <w:pPr>
              <w:jc w:val="right"/>
              <w:rPr>
                <w:sz w:val="18"/>
                <w:szCs w:val="18"/>
              </w:rPr>
            </w:pPr>
          </w:p>
        </w:tc>
        <w:tc>
          <w:tcPr>
            <w:tcW w:w="630" w:type="dxa"/>
            <w:shd w:val="clear" w:color="000000" w:fill="FFFFFF"/>
          </w:tcPr>
          <w:p w:rsidR="0053510B" w:rsidRPr="00B02271" w:rsidRDefault="0053510B" w:rsidP="006D786C">
            <w:pPr>
              <w:jc w:val="right"/>
              <w:rPr>
                <w:sz w:val="18"/>
                <w:szCs w:val="18"/>
              </w:rPr>
            </w:pPr>
          </w:p>
        </w:tc>
        <w:tc>
          <w:tcPr>
            <w:tcW w:w="1212" w:type="dxa"/>
            <w:shd w:val="clear" w:color="000000" w:fill="FFFFFF"/>
          </w:tcPr>
          <w:p w:rsidR="0053510B" w:rsidRPr="00B02271" w:rsidRDefault="0053510B" w:rsidP="006D786C">
            <w:pPr>
              <w:jc w:val="right"/>
              <w:rPr>
                <w:sz w:val="18"/>
                <w:szCs w:val="18"/>
              </w:rPr>
            </w:pPr>
          </w:p>
        </w:tc>
        <w:tc>
          <w:tcPr>
            <w:tcW w:w="567" w:type="dxa"/>
            <w:shd w:val="clear" w:color="000000" w:fill="FFFFFF"/>
          </w:tcPr>
          <w:p w:rsidR="0053510B" w:rsidRPr="00B02271" w:rsidRDefault="0053510B" w:rsidP="006D786C">
            <w:pPr>
              <w:jc w:val="right"/>
              <w:rPr>
                <w:sz w:val="18"/>
                <w:szCs w:val="18"/>
              </w:rPr>
            </w:pPr>
          </w:p>
        </w:tc>
        <w:tc>
          <w:tcPr>
            <w:tcW w:w="1134" w:type="dxa"/>
            <w:shd w:val="clear" w:color="000000" w:fill="FFFFFF"/>
          </w:tcPr>
          <w:p w:rsidR="0053510B" w:rsidRPr="00B02271" w:rsidRDefault="0053510B" w:rsidP="006D786C">
            <w:pPr>
              <w:jc w:val="right"/>
              <w:rPr>
                <w:sz w:val="18"/>
                <w:szCs w:val="18"/>
              </w:rPr>
            </w:pPr>
          </w:p>
        </w:tc>
      </w:tr>
      <w:tr w:rsidR="0053510B" w:rsidRPr="00B02271" w:rsidTr="006D786C">
        <w:trPr>
          <w:trHeight w:val="227"/>
        </w:trPr>
        <w:tc>
          <w:tcPr>
            <w:tcW w:w="4111" w:type="dxa"/>
            <w:shd w:val="clear" w:color="000000" w:fill="FFFFFF"/>
            <w:noWrap/>
            <w:hideMark/>
          </w:tcPr>
          <w:p w:rsidR="0053510B" w:rsidRPr="00B02271" w:rsidRDefault="0053510B" w:rsidP="006D786C">
            <w:pPr>
              <w:jc w:val="both"/>
              <w:rPr>
                <w:b/>
                <w:bCs/>
                <w:sz w:val="18"/>
                <w:szCs w:val="18"/>
              </w:rPr>
            </w:pPr>
            <w:r w:rsidRPr="00B02271">
              <w:rPr>
                <w:b/>
                <w:bCs/>
                <w:sz w:val="18"/>
                <w:szCs w:val="18"/>
              </w:rPr>
              <w:t>Lucro Antes do Resultado Financeiro</w:t>
            </w:r>
          </w:p>
        </w:tc>
        <w:tc>
          <w:tcPr>
            <w:tcW w:w="1560" w:type="dxa"/>
            <w:shd w:val="clear" w:color="000000" w:fill="FFFFFF"/>
          </w:tcPr>
          <w:p w:rsidR="0053510B" w:rsidRPr="00B02271" w:rsidRDefault="0053510B" w:rsidP="006D786C">
            <w:pPr>
              <w:jc w:val="right"/>
              <w:rPr>
                <w:b/>
                <w:bCs/>
                <w:sz w:val="18"/>
                <w:szCs w:val="18"/>
              </w:rPr>
            </w:pPr>
            <w:r w:rsidRPr="00B02271">
              <w:rPr>
                <w:b/>
                <w:bCs/>
                <w:sz w:val="18"/>
                <w:szCs w:val="18"/>
              </w:rPr>
              <w:t>2.913</w:t>
            </w:r>
          </w:p>
        </w:tc>
        <w:tc>
          <w:tcPr>
            <w:tcW w:w="630" w:type="dxa"/>
            <w:shd w:val="clear" w:color="000000" w:fill="FFFFFF"/>
          </w:tcPr>
          <w:p w:rsidR="0053510B" w:rsidRPr="00B02271" w:rsidRDefault="0053510B" w:rsidP="006D786C">
            <w:pPr>
              <w:jc w:val="right"/>
              <w:rPr>
                <w:b/>
                <w:bCs/>
                <w:sz w:val="18"/>
                <w:szCs w:val="18"/>
              </w:rPr>
            </w:pPr>
          </w:p>
        </w:tc>
        <w:tc>
          <w:tcPr>
            <w:tcW w:w="1212" w:type="dxa"/>
            <w:shd w:val="clear" w:color="000000" w:fill="FFFFFF"/>
            <w:vAlign w:val="center"/>
            <w:hideMark/>
          </w:tcPr>
          <w:p w:rsidR="0053510B" w:rsidRPr="00B02271" w:rsidRDefault="0053510B" w:rsidP="006D786C">
            <w:pPr>
              <w:jc w:val="right"/>
              <w:rPr>
                <w:b/>
                <w:sz w:val="18"/>
                <w:szCs w:val="18"/>
              </w:rPr>
            </w:pPr>
            <w:r w:rsidRPr="00B02271">
              <w:rPr>
                <w:b/>
                <w:sz w:val="18"/>
                <w:szCs w:val="18"/>
              </w:rPr>
              <w:t xml:space="preserve">(17.108)             </w:t>
            </w:r>
          </w:p>
        </w:tc>
        <w:tc>
          <w:tcPr>
            <w:tcW w:w="567" w:type="dxa"/>
            <w:shd w:val="clear" w:color="000000" w:fill="FFFFFF"/>
            <w:vAlign w:val="center"/>
          </w:tcPr>
          <w:p w:rsidR="0053510B" w:rsidRPr="00B02271" w:rsidRDefault="0053510B" w:rsidP="006D786C">
            <w:pPr>
              <w:jc w:val="right"/>
              <w:rPr>
                <w:b/>
                <w:bCs/>
                <w:sz w:val="18"/>
                <w:szCs w:val="18"/>
              </w:rPr>
            </w:pPr>
            <w:r w:rsidRPr="00B02271">
              <w:rPr>
                <w:b/>
                <w:bCs/>
                <w:sz w:val="18"/>
                <w:szCs w:val="18"/>
              </w:rPr>
              <w:t> </w:t>
            </w:r>
          </w:p>
        </w:tc>
        <w:tc>
          <w:tcPr>
            <w:tcW w:w="1134" w:type="dxa"/>
            <w:shd w:val="clear" w:color="000000" w:fill="FFFFFF"/>
            <w:vAlign w:val="center"/>
          </w:tcPr>
          <w:p w:rsidR="0053510B" w:rsidRPr="00B02271" w:rsidRDefault="0053510B" w:rsidP="006D786C">
            <w:pPr>
              <w:jc w:val="right"/>
              <w:rPr>
                <w:b/>
                <w:sz w:val="18"/>
                <w:szCs w:val="18"/>
              </w:rPr>
            </w:pPr>
            <w:r w:rsidRPr="00B02271">
              <w:rPr>
                <w:b/>
                <w:sz w:val="18"/>
                <w:szCs w:val="18"/>
              </w:rPr>
              <w:t>20.021</w:t>
            </w:r>
          </w:p>
        </w:tc>
      </w:tr>
      <w:tr w:rsidR="0053510B" w:rsidRPr="00B02271" w:rsidTr="006D786C">
        <w:trPr>
          <w:trHeight w:val="227"/>
        </w:trPr>
        <w:tc>
          <w:tcPr>
            <w:tcW w:w="4111" w:type="dxa"/>
            <w:shd w:val="clear" w:color="000000" w:fill="FFFFFF"/>
          </w:tcPr>
          <w:p w:rsidR="0053510B" w:rsidRPr="00B02271" w:rsidRDefault="0053510B" w:rsidP="006D786C">
            <w:pPr>
              <w:jc w:val="both"/>
              <w:rPr>
                <w:iCs/>
                <w:sz w:val="18"/>
                <w:szCs w:val="18"/>
              </w:rPr>
            </w:pPr>
          </w:p>
        </w:tc>
        <w:tc>
          <w:tcPr>
            <w:tcW w:w="1560" w:type="dxa"/>
            <w:shd w:val="clear" w:color="000000" w:fill="FFFFFF"/>
            <w:vAlign w:val="center"/>
          </w:tcPr>
          <w:p w:rsidR="0053510B" w:rsidRPr="00B02271" w:rsidRDefault="0053510B" w:rsidP="006D786C">
            <w:pPr>
              <w:jc w:val="right"/>
              <w:rPr>
                <w:sz w:val="18"/>
                <w:szCs w:val="18"/>
              </w:rPr>
            </w:pPr>
          </w:p>
        </w:tc>
        <w:tc>
          <w:tcPr>
            <w:tcW w:w="630" w:type="dxa"/>
            <w:shd w:val="clear" w:color="000000" w:fill="FFFFFF"/>
          </w:tcPr>
          <w:p w:rsidR="0053510B" w:rsidRPr="00B02271" w:rsidRDefault="0053510B" w:rsidP="006D786C">
            <w:pPr>
              <w:jc w:val="right"/>
              <w:rPr>
                <w:sz w:val="18"/>
                <w:szCs w:val="18"/>
              </w:rPr>
            </w:pPr>
          </w:p>
        </w:tc>
        <w:tc>
          <w:tcPr>
            <w:tcW w:w="1212" w:type="dxa"/>
            <w:shd w:val="clear" w:color="000000" w:fill="FFFFFF"/>
            <w:vAlign w:val="center"/>
          </w:tcPr>
          <w:p w:rsidR="0053510B" w:rsidRPr="00B02271" w:rsidRDefault="0053510B" w:rsidP="006D786C">
            <w:pPr>
              <w:jc w:val="right"/>
              <w:rPr>
                <w:sz w:val="18"/>
                <w:szCs w:val="18"/>
              </w:rPr>
            </w:pPr>
          </w:p>
        </w:tc>
        <w:tc>
          <w:tcPr>
            <w:tcW w:w="567" w:type="dxa"/>
            <w:shd w:val="clear" w:color="000000" w:fill="FFFFFF"/>
            <w:vAlign w:val="center"/>
          </w:tcPr>
          <w:p w:rsidR="0053510B" w:rsidRPr="00B02271" w:rsidRDefault="0053510B" w:rsidP="006D786C">
            <w:pPr>
              <w:jc w:val="right"/>
              <w:rPr>
                <w:sz w:val="18"/>
                <w:szCs w:val="18"/>
              </w:rPr>
            </w:pPr>
          </w:p>
        </w:tc>
        <w:tc>
          <w:tcPr>
            <w:tcW w:w="1134" w:type="dxa"/>
            <w:shd w:val="clear" w:color="000000" w:fill="FFFFFF"/>
            <w:vAlign w:val="center"/>
          </w:tcPr>
          <w:p w:rsidR="0053510B" w:rsidRPr="00B02271" w:rsidRDefault="0053510B" w:rsidP="006D786C">
            <w:pPr>
              <w:jc w:val="right"/>
              <w:rPr>
                <w:sz w:val="18"/>
                <w:szCs w:val="18"/>
              </w:rPr>
            </w:pPr>
          </w:p>
        </w:tc>
      </w:tr>
      <w:tr w:rsidR="0053510B" w:rsidRPr="00B02271" w:rsidTr="006D786C">
        <w:trPr>
          <w:trHeight w:val="227"/>
        </w:trPr>
        <w:tc>
          <w:tcPr>
            <w:tcW w:w="4111" w:type="dxa"/>
            <w:shd w:val="clear" w:color="000000" w:fill="FFFFFF"/>
            <w:hideMark/>
          </w:tcPr>
          <w:p w:rsidR="0053510B" w:rsidRPr="00B02271" w:rsidRDefault="0053510B" w:rsidP="006D786C">
            <w:pPr>
              <w:jc w:val="both"/>
              <w:rPr>
                <w:iCs/>
                <w:sz w:val="18"/>
                <w:szCs w:val="18"/>
              </w:rPr>
            </w:pPr>
            <w:r w:rsidRPr="00B02271">
              <w:rPr>
                <w:iCs/>
                <w:sz w:val="18"/>
                <w:szCs w:val="18"/>
              </w:rPr>
              <w:t xml:space="preserve">   Resultado Financeiro</w:t>
            </w:r>
          </w:p>
        </w:tc>
        <w:tc>
          <w:tcPr>
            <w:tcW w:w="1560" w:type="dxa"/>
            <w:tcBorders>
              <w:bottom w:val="single" w:sz="4" w:space="0" w:color="auto"/>
            </w:tcBorders>
            <w:shd w:val="clear" w:color="000000" w:fill="FFFFFF"/>
            <w:vAlign w:val="center"/>
          </w:tcPr>
          <w:p w:rsidR="0053510B" w:rsidRPr="00B02271" w:rsidRDefault="0053510B" w:rsidP="00D07B36">
            <w:pPr>
              <w:jc w:val="right"/>
              <w:rPr>
                <w:sz w:val="18"/>
                <w:szCs w:val="18"/>
              </w:rPr>
            </w:pPr>
            <w:r w:rsidRPr="00B02271">
              <w:rPr>
                <w:sz w:val="18"/>
                <w:szCs w:val="18"/>
              </w:rPr>
              <w:t>(</w:t>
            </w:r>
            <w:r w:rsidR="00D07B36">
              <w:rPr>
                <w:sz w:val="18"/>
                <w:szCs w:val="18"/>
              </w:rPr>
              <w:t>127.054</w:t>
            </w:r>
            <w:r w:rsidRPr="00B02271">
              <w:rPr>
                <w:sz w:val="18"/>
                <w:szCs w:val="18"/>
              </w:rPr>
              <w:t>)</w:t>
            </w:r>
          </w:p>
        </w:tc>
        <w:tc>
          <w:tcPr>
            <w:tcW w:w="630" w:type="dxa"/>
            <w:shd w:val="clear" w:color="000000" w:fill="FFFFFF"/>
          </w:tcPr>
          <w:p w:rsidR="0053510B" w:rsidRPr="00B02271" w:rsidRDefault="0053510B" w:rsidP="006D786C">
            <w:pPr>
              <w:jc w:val="right"/>
              <w:rPr>
                <w:sz w:val="18"/>
                <w:szCs w:val="18"/>
              </w:rPr>
            </w:pPr>
          </w:p>
        </w:tc>
        <w:tc>
          <w:tcPr>
            <w:tcW w:w="1212" w:type="dxa"/>
            <w:tcBorders>
              <w:bottom w:val="single" w:sz="4" w:space="0" w:color="auto"/>
            </w:tcBorders>
            <w:shd w:val="clear" w:color="000000" w:fill="FFFFFF"/>
            <w:vAlign w:val="center"/>
            <w:hideMark/>
          </w:tcPr>
          <w:p w:rsidR="0053510B" w:rsidRPr="00B02271" w:rsidRDefault="0053510B" w:rsidP="006D786C">
            <w:pPr>
              <w:jc w:val="right"/>
              <w:rPr>
                <w:sz w:val="18"/>
                <w:szCs w:val="18"/>
              </w:rPr>
            </w:pPr>
            <w:r w:rsidRPr="00B02271">
              <w:rPr>
                <w:sz w:val="18"/>
                <w:szCs w:val="18"/>
              </w:rPr>
              <w:t>(40.803)</w:t>
            </w:r>
          </w:p>
        </w:tc>
        <w:tc>
          <w:tcPr>
            <w:tcW w:w="567" w:type="dxa"/>
            <w:shd w:val="clear" w:color="000000" w:fill="FFFFFF"/>
            <w:vAlign w:val="center"/>
          </w:tcPr>
          <w:p w:rsidR="0053510B" w:rsidRPr="00B02271" w:rsidRDefault="0053510B" w:rsidP="006D786C">
            <w:pPr>
              <w:jc w:val="right"/>
              <w:rPr>
                <w:sz w:val="18"/>
                <w:szCs w:val="18"/>
              </w:rPr>
            </w:pPr>
            <w:r w:rsidRPr="00B02271">
              <w:rPr>
                <w:sz w:val="18"/>
                <w:szCs w:val="18"/>
              </w:rPr>
              <w:t> </w:t>
            </w:r>
          </w:p>
        </w:tc>
        <w:tc>
          <w:tcPr>
            <w:tcW w:w="1134" w:type="dxa"/>
            <w:tcBorders>
              <w:bottom w:val="single" w:sz="4" w:space="0" w:color="auto"/>
            </w:tcBorders>
            <w:shd w:val="clear" w:color="000000" w:fill="FFFFFF"/>
            <w:vAlign w:val="center"/>
          </w:tcPr>
          <w:p w:rsidR="0053510B" w:rsidRPr="00B02271" w:rsidRDefault="0053510B" w:rsidP="00D07B36">
            <w:pPr>
              <w:jc w:val="right"/>
              <w:rPr>
                <w:sz w:val="18"/>
                <w:szCs w:val="18"/>
              </w:rPr>
            </w:pPr>
            <w:r w:rsidRPr="00B02271">
              <w:rPr>
                <w:sz w:val="18"/>
                <w:szCs w:val="18"/>
              </w:rPr>
              <w:t>(</w:t>
            </w:r>
            <w:r w:rsidR="00D07B36">
              <w:rPr>
                <w:sz w:val="18"/>
                <w:szCs w:val="18"/>
              </w:rPr>
              <w:t>86.251</w:t>
            </w:r>
            <w:r w:rsidRPr="00B02271">
              <w:rPr>
                <w:sz w:val="18"/>
                <w:szCs w:val="18"/>
              </w:rPr>
              <w:t>)</w:t>
            </w:r>
          </w:p>
        </w:tc>
      </w:tr>
      <w:tr w:rsidR="0053510B" w:rsidRPr="00B02271" w:rsidTr="006D786C">
        <w:trPr>
          <w:trHeight w:val="227"/>
        </w:trPr>
        <w:tc>
          <w:tcPr>
            <w:tcW w:w="4111" w:type="dxa"/>
            <w:shd w:val="clear" w:color="000000" w:fill="FFFFFF"/>
            <w:noWrap/>
            <w:vAlign w:val="bottom"/>
            <w:hideMark/>
          </w:tcPr>
          <w:p w:rsidR="0053510B" w:rsidRPr="00B02271" w:rsidRDefault="0053510B" w:rsidP="006D786C">
            <w:pPr>
              <w:rPr>
                <w:sz w:val="18"/>
                <w:szCs w:val="18"/>
              </w:rPr>
            </w:pPr>
            <w:r w:rsidRPr="00B02271">
              <w:rPr>
                <w:sz w:val="18"/>
                <w:szCs w:val="18"/>
              </w:rPr>
              <w:t> </w:t>
            </w:r>
          </w:p>
        </w:tc>
        <w:tc>
          <w:tcPr>
            <w:tcW w:w="1560" w:type="dxa"/>
            <w:tcBorders>
              <w:top w:val="single" w:sz="4" w:space="0" w:color="auto"/>
            </w:tcBorders>
            <w:shd w:val="clear" w:color="000000" w:fill="FFFFFF"/>
            <w:vAlign w:val="bottom"/>
          </w:tcPr>
          <w:p w:rsidR="0053510B" w:rsidRPr="00B02271" w:rsidRDefault="0053510B" w:rsidP="006D786C">
            <w:pPr>
              <w:jc w:val="right"/>
              <w:rPr>
                <w:sz w:val="18"/>
                <w:szCs w:val="18"/>
              </w:rPr>
            </w:pPr>
            <w:r w:rsidRPr="00B02271">
              <w:rPr>
                <w:sz w:val="18"/>
                <w:szCs w:val="18"/>
              </w:rPr>
              <w:t> </w:t>
            </w:r>
          </w:p>
        </w:tc>
        <w:tc>
          <w:tcPr>
            <w:tcW w:w="630" w:type="dxa"/>
            <w:shd w:val="clear" w:color="000000" w:fill="FFFFFF"/>
          </w:tcPr>
          <w:p w:rsidR="0053510B" w:rsidRPr="00B02271" w:rsidRDefault="0053510B" w:rsidP="006D786C">
            <w:pPr>
              <w:rPr>
                <w:sz w:val="18"/>
                <w:szCs w:val="18"/>
              </w:rPr>
            </w:pPr>
          </w:p>
        </w:tc>
        <w:tc>
          <w:tcPr>
            <w:tcW w:w="1212" w:type="dxa"/>
            <w:tcBorders>
              <w:top w:val="single" w:sz="4" w:space="0" w:color="auto"/>
            </w:tcBorders>
            <w:shd w:val="clear" w:color="000000" w:fill="FFFFFF"/>
            <w:noWrap/>
            <w:vAlign w:val="bottom"/>
            <w:hideMark/>
          </w:tcPr>
          <w:p w:rsidR="0053510B" w:rsidRPr="00B02271" w:rsidRDefault="0053510B" w:rsidP="006D786C">
            <w:pPr>
              <w:jc w:val="right"/>
              <w:rPr>
                <w:sz w:val="18"/>
                <w:szCs w:val="18"/>
              </w:rPr>
            </w:pPr>
            <w:r w:rsidRPr="00B02271">
              <w:rPr>
                <w:sz w:val="18"/>
                <w:szCs w:val="18"/>
              </w:rPr>
              <w:t> </w:t>
            </w:r>
          </w:p>
        </w:tc>
        <w:tc>
          <w:tcPr>
            <w:tcW w:w="567" w:type="dxa"/>
            <w:shd w:val="clear" w:color="000000" w:fill="FFFFFF"/>
          </w:tcPr>
          <w:p w:rsidR="0053510B" w:rsidRPr="00B02271" w:rsidRDefault="0053510B" w:rsidP="006D786C">
            <w:pPr>
              <w:rPr>
                <w:sz w:val="18"/>
                <w:szCs w:val="18"/>
              </w:rPr>
            </w:pPr>
          </w:p>
        </w:tc>
        <w:tc>
          <w:tcPr>
            <w:tcW w:w="1134" w:type="dxa"/>
            <w:tcBorders>
              <w:top w:val="single" w:sz="4" w:space="0" w:color="auto"/>
            </w:tcBorders>
            <w:shd w:val="clear" w:color="000000" w:fill="FFFFFF"/>
            <w:noWrap/>
            <w:vAlign w:val="bottom"/>
          </w:tcPr>
          <w:p w:rsidR="0053510B" w:rsidRPr="00B02271" w:rsidRDefault="0053510B" w:rsidP="006D786C">
            <w:pPr>
              <w:jc w:val="right"/>
              <w:rPr>
                <w:sz w:val="18"/>
                <w:szCs w:val="18"/>
              </w:rPr>
            </w:pPr>
          </w:p>
        </w:tc>
      </w:tr>
      <w:tr w:rsidR="002E5061" w:rsidRPr="00B02271" w:rsidTr="006D786C">
        <w:trPr>
          <w:trHeight w:val="227"/>
        </w:trPr>
        <w:tc>
          <w:tcPr>
            <w:tcW w:w="4111" w:type="dxa"/>
            <w:shd w:val="clear" w:color="000000" w:fill="FFFFFF"/>
            <w:noWrap/>
            <w:hideMark/>
          </w:tcPr>
          <w:p w:rsidR="0053510B" w:rsidRPr="00B02271" w:rsidRDefault="0053510B" w:rsidP="006D786C">
            <w:pPr>
              <w:jc w:val="both"/>
              <w:rPr>
                <w:b/>
                <w:bCs/>
                <w:sz w:val="18"/>
                <w:szCs w:val="18"/>
              </w:rPr>
            </w:pPr>
            <w:r w:rsidRPr="00B02271">
              <w:rPr>
                <w:b/>
                <w:bCs/>
                <w:sz w:val="18"/>
                <w:szCs w:val="18"/>
              </w:rPr>
              <w:t>Lucro Líquido do Exercício</w:t>
            </w:r>
          </w:p>
        </w:tc>
        <w:tc>
          <w:tcPr>
            <w:tcW w:w="1560" w:type="dxa"/>
            <w:tcBorders>
              <w:bottom w:val="double" w:sz="4" w:space="0" w:color="auto"/>
            </w:tcBorders>
            <w:shd w:val="clear" w:color="000000" w:fill="FFFFFF"/>
          </w:tcPr>
          <w:p w:rsidR="0053510B" w:rsidRPr="00B02271" w:rsidRDefault="0053510B" w:rsidP="00D07B36">
            <w:pPr>
              <w:jc w:val="right"/>
              <w:rPr>
                <w:b/>
                <w:bCs/>
                <w:sz w:val="18"/>
                <w:szCs w:val="18"/>
              </w:rPr>
            </w:pPr>
            <w:r w:rsidRPr="00B02271">
              <w:rPr>
                <w:b/>
                <w:bCs/>
                <w:sz w:val="18"/>
                <w:szCs w:val="18"/>
              </w:rPr>
              <w:t>(</w:t>
            </w:r>
            <w:r w:rsidR="00D07B36">
              <w:rPr>
                <w:b/>
                <w:bCs/>
                <w:sz w:val="18"/>
                <w:szCs w:val="18"/>
              </w:rPr>
              <w:t>124.141</w:t>
            </w:r>
            <w:r w:rsidRPr="00B02271">
              <w:rPr>
                <w:b/>
                <w:bCs/>
                <w:sz w:val="18"/>
                <w:szCs w:val="18"/>
              </w:rPr>
              <w:t>)</w:t>
            </w:r>
          </w:p>
        </w:tc>
        <w:tc>
          <w:tcPr>
            <w:tcW w:w="630" w:type="dxa"/>
            <w:shd w:val="clear" w:color="000000" w:fill="FFFFFF"/>
          </w:tcPr>
          <w:p w:rsidR="0053510B" w:rsidRPr="00B02271" w:rsidRDefault="0053510B" w:rsidP="006D786C">
            <w:pPr>
              <w:jc w:val="right"/>
              <w:rPr>
                <w:b/>
                <w:bCs/>
                <w:sz w:val="18"/>
                <w:szCs w:val="18"/>
              </w:rPr>
            </w:pPr>
          </w:p>
        </w:tc>
        <w:tc>
          <w:tcPr>
            <w:tcW w:w="1212" w:type="dxa"/>
            <w:tcBorders>
              <w:bottom w:val="double" w:sz="4" w:space="0" w:color="auto"/>
            </w:tcBorders>
            <w:shd w:val="clear" w:color="000000" w:fill="FFFFFF"/>
            <w:vAlign w:val="center"/>
            <w:hideMark/>
          </w:tcPr>
          <w:p w:rsidR="0053510B" w:rsidRPr="00B02271" w:rsidRDefault="0053510B" w:rsidP="006D786C">
            <w:pPr>
              <w:jc w:val="right"/>
              <w:rPr>
                <w:b/>
                <w:bCs/>
                <w:sz w:val="18"/>
                <w:szCs w:val="18"/>
              </w:rPr>
            </w:pPr>
            <w:r w:rsidRPr="00B02271">
              <w:rPr>
                <w:b/>
                <w:bCs/>
                <w:sz w:val="18"/>
                <w:szCs w:val="18"/>
              </w:rPr>
              <w:t xml:space="preserve">(57.911)         </w:t>
            </w:r>
          </w:p>
        </w:tc>
        <w:tc>
          <w:tcPr>
            <w:tcW w:w="567" w:type="dxa"/>
            <w:shd w:val="clear" w:color="000000" w:fill="FFFFFF"/>
            <w:vAlign w:val="center"/>
          </w:tcPr>
          <w:p w:rsidR="0053510B" w:rsidRPr="00B02271" w:rsidRDefault="0053510B" w:rsidP="006D786C">
            <w:pPr>
              <w:jc w:val="right"/>
              <w:rPr>
                <w:b/>
                <w:bCs/>
                <w:sz w:val="18"/>
                <w:szCs w:val="18"/>
              </w:rPr>
            </w:pPr>
            <w:r w:rsidRPr="00B02271">
              <w:rPr>
                <w:b/>
                <w:bCs/>
                <w:sz w:val="18"/>
                <w:szCs w:val="18"/>
              </w:rPr>
              <w:t> </w:t>
            </w:r>
          </w:p>
        </w:tc>
        <w:tc>
          <w:tcPr>
            <w:tcW w:w="1134" w:type="dxa"/>
            <w:tcBorders>
              <w:bottom w:val="double" w:sz="4" w:space="0" w:color="auto"/>
            </w:tcBorders>
            <w:shd w:val="clear" w:color="000000" w:fill="FFFFFF"/>
            <w:vAlign w:val="center"/>
          </w:tcPr>
          <w:p w:rsidR="0053510B" w:rsidRPr="00B02271" w:rsidRDefault="00D07B36" w:rsidP="006D786C">
            <w:pPr>
              <w:jc w:val="right"/>
              <w:rPr>
                <w:b/>
                <w:bCs/>
                <w:sz w:val="18"/>
                <w:szCs w:val="18"/>
              </w:rPr>
            </w:pPr>
            <w:r>
              <w:rPr>
                <w:b/>
                <w:bCs/>
                <w:sz w:val="18"/>
                <w:szCs w:val="18"/>
              </w:rPr>
              <w:t>(66.230</w:t>
            </w:r>
            <w:r w:rsidR="0053510B" w:rsidRPr="00B02271">
              <w:rPr>
                <w:b/>
                <w:bCs/>
                <w:sz w:val="18"/>
                <w:szCs w:val="18"/>
              </w:rPr>
              <w:t>)</w:t>
            </w:r>
          </w:p>
        </w:tc>
      </w:tr>
    </w:tbl>
    <w:p w:rsidR="0053510B" w:rsidRPr="002E5061" w:rsidRDefault="0053510B" w:rsidP="0053510B"/>
    <w:p w:rsidR="00DA689A" w:rsidRPr="00B505D4" w:rsidRDefault="00DA689A" w:rsidP="00DA689A">
      <w:pPr>
        <w:tabs>
          <w:tab w:val="left" w:pos="851"/>
        </w:tabs>
        <w:jc w:val="both"/>
      </w:pPr>
      <w:r w:rsidRPr="00B505D4">
        <w:t xml:space="preserve">O valor de R$ 46.533, é composto por R$ 47.696 do grupo Receita Bruta Operacional que refere-se à contrapartida do registro de recursos a receber para cobertura </w:t>
      </w:r>
      <w:r w:rsidR="00DD2A77" w:rsidRPr="00B505D4">
        <w:t>de despesas com pessoal</w:t>
      </w:r>
      <w:r w:rsidRPr="00B505D4">
        <w:t xml:space="preserve"> apropriad</w:t>
      </w:r>
      <w:r w:rsidR="00DD2A77" w:rsidRPr="00B505D4">
        <w:t>a</w:t>
      </w:r>
      <w:r w:rsidRPr="00B505D4">
        <w:t>s por competência e</w:t>
      </w:r>
      <w:r w:rsidR="00DD2A77" w:rsidRPr="00B505D4">
        <w:t xml:space="preserve"> a</w:t>
      </w:r>
      <w:r w:rsidRPr="00B505D4">
        <w:t xml:space="preserve"> provisão para contingências , pagas com recursos do Tesouro Nacional e (R$ 1.162) referente </w:t>
      </w:r>
      <w:r w:rsidR="00DD2A77" w:rsidRPr="00B505D4">
        <w:t>a</w:t>
      </w:r>
      <w:r w:rsidRPr="00B505D4">
        <w:t>o recebimento dos valores faturados no Projeto de Recuperação Intestinal de Crianças e Adolescentes (PRICA) e a parcela faturada contra a empresa Brasileira de Hospitais Universitários (EBSERH) / Cursos de Mestrados</w:t>
      </w:r>
      <w:r w:rsidR="00C921F2" w:rsidRPr="00B505D4">
        <w:t>, registrados no SIA</w:t>
      </w:r>
      <w:r w:rsidR="00C166AA">
        <w:t>F</w:t>
      </w:r>
      <w:r w:rsidR="00C921F2" w:rsidRPr="00B505D4">
        <w:t xml:space="preserve">I em </w:t>
      </w:r>
      <w:r w:rsidR="00C166AA">
        <w:t xml:space="preserve">janeiro de </w:t>
      </w:r>
      <w:r w:rsidR="00C921F2" w:rsidRPr="00B505D4">
        <w:t>2018</w:t>
      </w:r>
      <w:r w:rsidRPr="00B505D4">
        <w:t>.</w:t>
      </w:r>
    </w:p>
    <w:p w:rsidR="00DA689A" w:rsidRDefault="00DA689A" w:rsidP="00DA689A">
      <w:pPr>
        <w:tabs>
          <w:tab w:val="left" w:pos="851"/>
        </w:tabs>
        <w:jc w:val="both"/>
      </w:pPr>
    </w:p>
    <w:p w:rsidR="00DA689A" w:rsidRPr="00B505D4" w:rsidRDefault="00DA689A" w:rsidP="00DA689A">
      <w:pPr>
        <w:tabs>
          <w:tab w:val="left" w:pos="851"/>
        </w:tabs>
        <w:jc w:val="both"/>
      </w:pPr>
      <w:r w:rsidRPr="00B505D4">
        <w:t xml:space="preserve">O valor de R$ 146 refere-se </w:t>
      </w:r>
      <w:r w:rsidR="00C166AA" w:rsidRPr="00B505D4">
        <w:t>à</w:t>
      </w:r>
      <w:r w:rsidRPr="00B505D4">
        <w:t xml:space="preserve"> devolução de repasses recebidos para investimento, apropriados como Adiantamentos para Futuro Aumento de Capital (AFAC) cujo registro de </w:t>
      </w:r>
      <w:r w:rsidR="00114397">
        <w:t xml:space="preserve">estorno no SIAFI ocorrerá em janeiro de </w:t>
      </w:r>
      <w:r w:rsidRPr="00B505D4">
        <w:t>2018.</w:t>
      </w:r>
    </w:p>
    <w:p w:rsidR="00DA689A" w:rsidRPr="00DA689A" w:rsidRDefault="00DA689A" w:rsidP="00DA689A">
      <w:pPr>
        <w:tabs>
          <w:tab w:val="left" w:pos="851"/>
        </w:tabs>
        <w:jc w:val="both"/>
        <w:rPr>
          <w:color w:val="548DD4" w:themeColor="text2" w:themeTint="99"/>
        </w:rPr>
      </w:pPr>
    </w:p>
    <w:p w:rsidR="00DA689A" w:rsidRPr="00156D56" w:rsidRDefault="00DA689A" w:rsidP="00DA689A">
      <w:pPr>
        <w:tabs>
          <w:tab w:val="left" w:pos="851"/>
        </w:tabs>
        <w:jc w:val="both"/>
      </w:pPr>
      <w:r w:rsidRPr="00156D56">
        <w:t xml:space="preserve">O valor de (R$ 1.922) no grupo Custos dos Serviços e (R$ 466) no grupo Despesas Operacionais, referem-se a despesas </w:t>
      </w:r>
      <w:r w:rsidR="00156D56" w:rsidRPr="00156D56">
        <w:t>com</w:t>
      </w:r>
      <w:r w:rsidRPr="00156D56">
        <w:t xml:space="preserve"> Serviços de Vigilância e Tecnologia da Informação, registradas na contabilidade societária em 2017 e no SIAFI em janeiro de 2018.</w:t>
      </w:r>
    </w:p>
    <w:p w:rsidR="00DA689A" w:rsidRPr="00DA689A" w:rsidRDefault="00DA689A" w:rsidP="00DA689A">
      <w:pPr>
        <w:tabs>
          <w:tab w:val="left" w:pos="851"/>
        </w:tabs>
        <w:jc w:val="both"/>
        <w:rPr>
          <w:color w:val="548DD4" w:themeColor="text2" w:themeTint="99"/>
        </w:rPr>
      </w:pPr>
    </w:p>
    <w:p w:rsidR="00DA689A" w:rsidRPr="00F5334A" w:rsidRDefault="00DA689A" w:rsidP="00DA689A">
      <w:pPr>
        <w:tabs>
          <w:tab w:val="left" w:pos="851"/>
        </w:tabs>
        <w:jc w:val="both"/>
      </w:pPr>
      <w:r w:rsidRPr="00F5334A">
        <w:t>O valor de (R$ 24.271) no grupo Outras Receitas e Despesas, refere-se a: R$ 14.626 reversão de subvenções recebidas para custeio e apropriadas em  conta de Receita Diferida e de  (R$ 34.278)  à reversão do saldo existente em 31/12/2016 na conta Custo Diferido, em virtude da mudança de critério contábil conforme definido na Nota de nº 0</w:t>
      </w:r>
      <w:r w:rsidR="0088680E" w:rsidRPr="00F5334A">
        <w:t>2</w:t>
      </w:r>
      <w:r w:rsidRPr="00F5334A">
        <w:t xml:space="preserve">, letra “b", e (R$ 658)  refere-se a baixa de </w:t>
      </w:r>
      <w:r w:rsidR="00703EB0" w:rsidRPr="00F5334A">
        <w:t>A</w:t>
      </w:r>
      <w:r w:rsidRPr="00F5334A">
        <w:t xml:space="preserve">diantamento de </w:t>
      </w:r>
      <w:r w:rsidR="00703EB0" w:rsidRPr="00F5334A">
        <w:t>C</w:t>
      </w:r>
      <w:r w:rsidRPr="00F5334A">
        <w:t xml:space="preserve">onvênios com </w:t>
      </w:r>
      <w:r w:rsidR="00703EB0" w:rsidRPr="00F5334A">
        <w:t>O</w:t>
      </w:r>
      <w:r w:rsidRPr="00F5334A">
        <w:t xml:space="preserve">utras </w:t>
      </w:r>
      <w:r w:rsidR="00703EB0" w:rsidRPr="00F5334A">
        <w:t>E</w:t>
      </w:r>
      <w:r w:rsidRPr="00F5334A">
        <w:t xml:space="preserve">ntidades atendendo a mudança de critério contábil da CCONT/STN a qual define </w:t>
      </w:r>
      <w:r w:rsidR="00304957" w:rsidRPr="00F5334A">
        <w:t xml:space="preserve">que a partir de 2017 </w:t>
      </w:r>
      <w:r w:rsidRPr="00F5334A">
        <w:t xml:space="preserve">o registro destes adiantamentos  </w:t>
      </w:r>
      <w:r w:rsidR="00304957" w:rsidRPr="00F5334A">
        <w:t xml:space="preserve">deve ser </w:t>
      </w:r>
      <w:r w:rsidRPr="00F5334A">
        <w:t xml:space="preserve"> em contas de Controle e (R$ 5.961)  ajuste do registro de baixa das parcelas pagas em 2017 referente ao financiamento do Tempo de Serviço Passado (TSP)</w:t>
      </w:r>
      <w:r w:rsidR="00C50C3B" w:rsidRPr="00F5334A">
        <w:t xml:space="preserve"> o qual foi provisionado integralmente em 201</w:t>
      </w:r>
      <w:r w:rsidR="00C166AA">
        <w:t>5</w:t>
      </w:r>
      <w:r w:rsidR="00653770" w:rsidRPr="00F5334A">
        <w:t>.</w:t>
      </w:r>
    </w:p>
    <w:p w:rsidR="0053510B" w:rsidRPr="00DA689A" w:rsidRDefault="0053510B" w:rsidP="0053510B">
      <w:pPr>
        <w:tabs>
          <w:tab w:val="left" w:pos="851"/>
        </w:tabs>
        <w:jc w:val="both"/>
      </w:pPr>
    </w:p>
    <w:p w:rsidR="0053510B" w:rsidRPr="003552F3" w:rsidRDefault="0053510B" w:rsidP="0053510B">
      <w:pPr>
        <w:tabs>
          <w:tab w:val="left" w:pos="851"/>
        </w:tabs>
        <w:jc w:val="both"/>
      </w:pPr>
      <w:r w:rsidRPr="002E5061">
        <w:t xml:space="preserve">O valor de (R$ </w:t>
      </w:r>
      <w:r w:rsidR="00D07B36">
        <w:t>86.251</w:t>
      </w:r>
      <w:r w:rsidRPr="002E5061">
        <w:t>) no grupo Resultado Financeiro, refere</w:t>
      </w:r>
      <w:r w:rsidR="00F5334A">
        <w:t>-se</w:t>
      </w:r>
      <w:r w:rsidRPr="002E5061">
        <w:t xml:space="preserve"> ao valor </w:t>
      </w:r>
      <w:r w:rsidR="00C166AA">
        <w:t>de</w:t>
      </w:r>
      <w:r w:rsidR="00834BE1">
        <w:t xml:space="preserve"> </w:t>
      </w:r>
      <w:r w:rsidR="00C166AA">
        <w:t>(</w:t>
      </w:r>
      <w:r w:rsidR="00834BE1">
        <w:t>R$ 84.039)</w:t>
      </w:r>
      <w:r w:rsidR="00C166AA">
        <w:t xml:space="preserve"> </w:t>
      </w:r>
      <w:r w:rsidRPr="002E5061">
        <w:t xml:space="preserve">da correção monetária pela SELIC </w:t>
      </w:r>
      <w:r w:rsidR="00F5334A">
        <w:t xml:space="preserve">incidente </w:t>
      </w:r>
      <w:r w:rsidRPr="002E5061">
        <w:t xml:space="preserve">sobre os Repasses recebidos da União para Investimento e reconhecidos no Passivo Não Circulante como Adiantamento para Futuro Aumento de Capital </w:t>
      </w:r>
      <w:r w:rsidR="0001441A">
        <w:t>(</w:t>
      </w:r>
      <w:r w:rsidRPr="002E5061">
        <w:t>AFAC), conforme Decreto nº 8.945 de 2016. Este valor foi registrado em conta de resultado do exercício de 2017 enquanto que no SIAFI foi registrado em conta de ajustes de exercícios anteriores</w:t>
      </w:r>
      <w:r w:rsidRPr="003552F3">
        <w:t>.</w:t>
      </w:r>
      <w:r w:rsidR="00834BE1">
        <w:t xml:space="preserve"> E ao valor de (R$ 2.212) referente ao ajuste do valor da correção registrado no SAIFI com base na taxa diária da Receita Federal e na Societária calculada com base na taxa do Banco Central, </w:t>
      </w:r>
      <w:r w:rsidR="005A7052">
        <w:t xml:space="preserve">a </w:t>
      </w:r>
      <w:r w:rsidR="00834BE1">
        <w:t>diferença</w:t>
      </w:r>
      <w:r w:rsidR="005A7052">
        <w:t xml:space="preserve"> será </w:t>
      </w:r>
      <w:r w:rsidR="00834BE1">
        <w:t xml:space="preserve"> apropriada no SI</w:t>
      </w:r>
      <w:r w:rsidR="00C166AA">
        <w:t xml:space="preserve">AFI em fevereiro de </w:t>
      </w:r>
      <w:r w:rsidR="00834BE1">
        <w:t>2018.</w:t>
      </w:r>
    </w:p>
    <w:p w:rsidR="007B53E0" w:rsidRDefault="007B53E0" w:rsidP="00006F42">
      <w:pPr>
        <w:tabs>
          <w:tab w:val="left" w:pos="851"/>
        </w:tabs>
        <w:jc w:val="both"/>
        <w:rPr>
          <w:b/>
        </w:rPr>
      </w:pPr>
    </w:p>
    <w:p w:rsidR="00043C55" w:rsidRDefault="00043C55" w:rsidP="00006F42">
      <w:pPr>
        <w:tabs>
          <w:tab w:val="left" w:pos="851"/>
        </w:tabs>
        <w:jc w:val="both"/>
        <w:rPr>
          <w:b/>
        </w:rPr>
      </w:pPr>
    </w:p>
    <w:p w:rsidR="005131D0" w:rsidRDefault="005131D0" w:rsidP="00006F42">
      <w:pPr>
        <w:tabs>
          <w:tab w:val="left" w:pos="851"/>
        </w:tabs>
        <w:jc w:val="both"/>
        <w:rPr>
          <w:b/>
        </w:rPr>
      </w:pPr>
    </w:p>
    <w:p w:rsidR="00FA1210" w:rsidRDefault="003552F3" w:rsidP="00144BC6">
      <w:pPr>
        <w:pStyle w:val="Ttulo"/>
        <w:numPr>
          <w:ilvl w:val="0"/>
          <w:numId w:val="24"/>
        </w:numPr>
        <w:outlineLvl w:val="0"/>
      </w:pPr>
      <w:bookmarkStart w:id="74" w:name="_Toc512497290"/>
      <w:r>
        <w:lastRenderedPageBreak/>
        <w:t xml:space="preserve">Conciliação </w:t>
      </w:r>
      <w:r w:rsidR="00FA1210" w:rsidRPr="002072E4">
        <w:t>dos Re</w:t>
      </w:r>
      <w:r>
        <w:t>passes Recebidos</w:t>
      </w:r>
      <w:r w:rsidR="00FA1210" w:rsidRPr="002072E4">
        <w:t xml:space="preserve"> como Adiantamento para Futuro Aumento de</w:t>
      </w:r>
      <w:r w:rsidR="002072E4" w:rsidRPr="002072E4">
        <w:t xml:space="preserve"> </w:t>
      </w:r>
      <w:r w:rsidR="00FA1210" w:rsidRPr="002072E4">
        <w:t>Capital</w:t>
      </w:r>
      <w:r w:rsidR="0088331F">
        <w:t xml:space="preserve"> e seu Reflexo na Coordenação-Geral de Participações Societárias (COPAR)</w:t>
      </w:r>
      <w:bookmarkEnd w:id="74"/>
    </w:p>
    <w:p w:rsidR="005131D0" w:rsidRPr="005131D0" w:rsidRDefault="005131D0" w:rsidP="005131D0"/>
    <w:p w:rsidR="003552F3" w:rsidRDefault="003552F3" w:rsidP="003552F3"/>
    <w:p w:rsidR="00B92B58" w:rsidRDefault="003552F3" w:rsidP="001045BD">
      <w:pPr>
        <w:tabs>
          <w:tab w:val="left" w:pos="851"/>
        </w:tabs>
        <w:jc w:val="both"/>
      </w:pPr>
      <w:r>
        <w:t>Foram</w:t>
      </w:r>
      <w:r w:rsidR="00FA1210">
        <w:t xml:space="preserve"> registrados no HCPA os seguintes valores como Adiantamento para Fu</w:t>
      </w:r>
      <w:r w:rsidR="00B92B58">
        <w:t>turo Aumento de Capital Social:</w:t>
      </w:r>
    </w:p>
    <w:p w:rsidR="00B92B58" w:rsidRDefault="00B92B58" w:rsidP="001045BD">
      <w:pPr>
        <w:tabs>
          <w:tab w:val="left" w:pos="851"/>
        </w:tabs>
        <w:jc w:val="both"/>
      </w:pPr>
    </w:p>
    <w:tbl>
      <w:tblPr>
        <w:tblStyle w:val="Tabelacomgrade"/>
        <w:tblW w:w="0" w:type="auto"/>
        <w:tblInd w:w="108" w:type="dxa"/>
        <w:tblLook w:val="04A0" w:firstRow="1" w:lastRow="0" w:firstColumn="1" w:lastColumn="0" w:noHBand="0" w:noVBand="1"/>
      </w:tblPr>
      <w:tblGrid>
        <w:gridCol w:w="2410"/>
        <w:gridCol w:w="2410"/>
        <w:gridCol w:w="2126"/>
        <w:gridCol w:w="2126"/>
      </w:tblGrid>
      <w:tr w:rsidR="00851E72" w:rsidRPr="007B53E0" w:rsidTr="007B53E0">
        <w:tc>
          <w:tcPr>
            <w:tcW w:w="2410" w:type="dxa"/>
            <w:shd w:val="clear" w:color="auto" w:fill="FFFFFF" w:themeFill="background1"/>
          </w:tcPr>
          <w:p w:rsidR="00851E72" w:rsidRPr="007B53E0" w:rsidRDefault="00851E72" w:rsidP="00851E72">
            <w:pPr>
              <w:tabs>
                <w:tab w:val="left" w:pos="851"/>
              </w:tabs>
              <w:jc w:val="center"/>
              <w:rPr>
                <w:b/>
                <w:sz w:val="18"/>
                <w:szCs w:val="18"/>
              </w:rPr>
            </w:pPr>
            <w:r w:rsidRPr="007B53E0">
              <w:rPr>
                <w:b/>
                <w:sz w:val="18"/>
                <w:szCs w:val="18"/>
              </w:rPr>
              <w:t>Contas</w:t>
            </w:r>
          </w:p>
        </w:tc>
        <w:tc>
          <w:tcPr>
            <w:tcW w:w="2410" w:type="dxa"/>
            <w:shd w:val="clear" w:color="auto" w:fill="FFFFFF" w:themeFill="background1"/>
          </w:tcPr>
          <w:p w:rsidR="00851E72" w:rsidRPr="007B53E0" w:rsidRDefault="00851E72" w:rsidP="00851E72">
            <w:pPr>
              <w:tabs>
                <w:tab w:val="left" w:pos="851"/>
              </w:tabs>
              <w:jc w:val="center"/>
              <w:rPr>
                <w:b/>
                <w:sz w:val="18"/>
                <w:szCs w:val="18"/>
              </w:rPr>
            </w:pPr>
            <w:r w:rsidRPr="007B53E0">
              <w:rPr>
                <w:b/>
                <w:sz w:val="18"/>
                <w:szCs w:val="18"/>
              </w:rPr>
              <w:t>HCPA</w:t>
            </w:r>
          </w:p>
        </w:tc>
        <w:tc>
          <w:tcPr>
            <w:tcW w:w="2126" w:type="dxa"/>
            <w:shd w:val="clear" w:color="auto" w:fill="FFFFFF" w:themeFill="background1"/>
          </w:tcPr>
          <w:p w:rsidR="00851E72" w:rsidRPr="007B53E0" w:rsidRDefault="00851E72" w:rsidP="00851E72">
            <w:pPr>
              <w:tabs>
                <w:tab w:val="left" w:pos="851"/>
              </w:tabs>
              <w:jc w:val="center"/>
              <w:rPr>
                <w:b/>
                <w:sz w:val="18"/>
                <w:szCs w:val="18"/>
              </w:rPr>
            </w:pPr>
            <w:r w:rsidRPr="007B53E0">
              <w:rPr>
                <w:b/>
                <w:sz w:val="18"/>
                <w:szCs w:val="18"/>
              </w:rPr>
              <w:t>COPAR</w:t>
            </w:r>
          </w:p>
        </w:tc>
        <w:tc>
          <w:tcPr>
            <w:tcW w:w="2126" w:type="dxa"/>
            <w:shd w:val="clear" w:color="auto" w:fill="FFFFFF" w:themeFill="background1"/>
          </w:tcPr>
          <w:p w:rsidR="00851E72" w:rsidRPr="007B53E0" w:rsidRDefault="007F2CB7" w:rsidP="00851E72">
            <w:pPr>
              <w:tabs>
                <w:tab w:val="left" w:pos="851"/>
              </w:tabs>
              <w:jc w:val="center"/>
              <w:rPr>
                <w:b/>
                <w:sz w:val="18"/>
                <w:szCs w:val="18"/>
              </w:rPr>
            </w:pPr>
            <w:r w:rsidRPr="007B53E0">
              <w:rPr>
                <w:b/>
                <w:sz w:val="18"/>
                <w:szCs w:val="18"/>
              </w:rPr>
              <w:t>DIFER</w:t>
            </w:r>
            <w:r w:rsidR="00851E72" w:rsidRPr="007B53E0">
              <w:rPr>
                <w:b/>
                <w:sz w:val="18"/>
                <w:szCs w:val="18"/>
              </w:rPr>
              <w:t>E</w:t>
            </w:r>
            <w:r w:rsidRPr="007B53E0">
              <w:rPr>
                <w:b/>
                <w:sz w:val="18"/>
                <w:szCs w:val="18"/>
              </w:rPr>
              <w:t>N</w:t>
            </w:r>
            <w:r w:rsidR="00851E72" w:rsidRPr="007B53E0">
              <w:rPr>
                <w:b/>
                <w:sz w:val="18"/>
                <w:szCs w:val="18"/>
              </w:rPr>
              <w:t>ÇA</w:t>
            </w:r>
          </w:p>
        </w:tc>
      </w:tr>
      <w:tr w:rsidR="00851E72" w:rsidRPr="007B53E0" w:rsidTr="00D66FD2">
        <w:tc>
          <w:tcPr>
            <w:tcW w:w="2410" w:type="dxa"/>
            <w:shd w:val="clear" w:color="auto" w:fill="auto"/>
          </w:tcPr>
          <w:p w:rsidR="00851E72" w:rsidRPr="007B53E0" w:rsidRDefault="00851E72" w:rsidP="001045BD">
            <w:pPr>
              <w:tabs>
                <w:tab w:val="left" w:pos="851"/>
              </w:tabs>
              <w:jc w:val="both"/>
              <w:rPr>
                <w:sz w:val="18"/>
                <w:szCs w:val="18"/>
              </w:rPr>
            </w:pPr>
            <w:r w:rsidRPr="007B53E0">
              <w:rPr>
                <w:sz w:val="18"/>
                <w:szCs w:val="18"/>
              </w:rPr>
              <w:t>AFAC/PNC</w:t>
            </w:r>
          </w:p>
        </w:tc>
        <w:tc>
          <w:tcPr>
            <w:tcW w:w="2410" w:type="dxa"/>
            <w:shd w:val="clear" w:color="auto" w:fill="auto"/>
          </w:tcPr>
          <w:p w:rsidR="00851E72" w:rsidRPr="007B53E0" w:rsidRDefault="00851E72" w:rsidP="00B92B58">
            <w:pPr>
              <w:tabs>
                <w:tab w:val="left" w:pos="851"/>
              </w:tabs>
              <w:jc w:val="right"/>
              <w:rPr>
                <w:sz w:val="18"/>
                <w:szCs w:val="18"/>
              </w:rPr>
            </w:pPr>
            <w:r w:rsidRPr="007B53E0">
              <w:rPr>
                <w:sz w:val="18"/>
                <w:szCs w:val="18"/>
              </w:rPr>
              <w:t>327.988</w:t>
            </w:r>
          </w:p>
        </w:tc>
        <w:tc>
          <w:tcPr>
            <w:tcW w:w="2126" w:type="dxa"/>
            <w:shd w:val="clear" w:color="auto" w:fill="auto"/>
          </w:tcPr>
          <w:p w:rsidR="00851E72" w:rsidRPr="007B53E0" w:rsidRDefault="00851E72" w:rsidP="00851E72">
            <w:pPr>
              <w:tabs>
                <w:tab w:val="left" w:pos="851"/>
              </w:tabs>
              <w:jc w:val="right"/>
              <w:rPr>
                <w:sz w:val="18"/>
                <w:szCs w:val="18"/>
              </w:rPr>
            </w:pPr>
            <w:r w:rsidRPr="007B53E0">
              <w:rPr>
                <w:sz w:val="18"/>
                <w:szCs w:val="18"/>
              </w:rPr>
              <w:t>327.988</w:t>
            </w:r>
          </w:p>
        </w:tc>
        <w:tc>
          <w:tcPr>
            <w:tcW w:w="2126" w:type="dxa"/>
            <w:shd w:val="clear" w:color="auto" w:fill="auto"/>
          </w:tcPr>
          <w:p w:rsidR="00851E72" w:rsidRPr="007B53E0" w:rsidRDefault="00851E72" w:rsidP="00035BAC">
            <w:pPr>
              <w:tabs>
                <w:tab w:val="left" w:pos="851"/>
              </w:tabs>
              <w:jc w:val="right"/>
              <w:rPr>
                <w:sz w:val="18"/>
                <w:szCs w:val="18"/>
              </w:rPr>
            </w:pPr>
            <w:r w:rsidRPr="007B53E0">
              <w:rPr>
                <w:sz w:val="18"/>
                <w:szCs w:val="18"/>
              </w:rPr>
              <w:t>-</w:t>
            </w:r>
          </w:p>
        </w:tc>
      </w:tr>
      <w:tr w:rsidR="00851E72" w:rsidRPr="007B53E0" w:rsidTr="00D66FD2">
        <w:tc>
          <w:tcPr>
            <w:tcW w:w="2410" w:type="dxa"/>
            <w:shd w:val="clear" w:color="auto" w:fill="auto"/>
          </w:tcPr>
          <w:p w:rsidR="00851E72" w:rsidRPr="007B53E0" w:rsidRDefault="00851E72" w:rsidP="001045BD">
            <w:pPr>
              <w:tabs>
                <w:tab w:val="left" w:pos="851"/>
              </w:tabs>
              <w:jc w:val="both"/>
              <w:rPr>
                <w:sz w:val="18"/>
                <w:szCs w:val="18"/>
              </w:rPr>
            </w:pPr>
            <w:r w:rsidRPr="007B53E0">
              <w:rPr>
                <w:sz w:val="18"/>
                <w:szCs w:val="18"/>
              </w:rPr>
              <w:t>Correção/SELIC</w:t>
            </w:r>
          </w:p>
        </w:tc>
        <w:tc>
          <w:tcPr>
            <w:tcW w:w="2410" w:type="dxa"/>
            <w:shd w:val="clear" w:color="auto" w:fill="auto"/>
          </w:tcPr>
          <w:p w:rsidR="003E0441" w:rsidRPr="007B53E0" w:rsidRDefault="003E0441" w:rsidP="003E0441">
            <w:pPr>
              <w:tabs>
                <w:tab w:val="left" w:pos="851"/>
              </w:tabs>
              <w:jc w:val="right"/>
              <w:rPr>
                <w:sz w:val="18"/>
                <w:szCs w:val="18"/>
              </w:rPr>
            </w:pPr>
            <w:r w:rsidRPr="007B53E0">
              <w:rPr>
                <w:sz w:val="18"/>
                <w:szCs w:val="18"/>
              </w:rPr>
              <w:t>127.102</w:t>
            </w:r>
          </w:p>
        </w:tc>
        <w:tc>
          <w:tcPr>
            <w:tcW w:w="2126" w:type="dxa"/>
            <w:shd w:val="clear" w:color="auto" w:fill="auto"/>
          </w:tcPr>
          <w:p w:rsidR="00851E72" w:rsidRPr="007B53E0" w:rsidRDefault="002072E4" w:rsidP="00851E72">
            <w:pPr>
              <w:tabs>
                <w:tab w:val="left" w:pos="851"/>
              </w:tabs>
              <w:jc w:val="right"/>
              <w:rPr>
                <w:sz w:val="18"/>
                <w:szCs w:val="18"/>
              </w:rPr>
            </w:pPr>
            <w:r w:rsidRPr="007B53E0">
              <w:rPr>
                <w:sz w:val="18"/>
                <w:szCs w:val="18"/>
              </w:rPr>
              <w:t>124.890</w:t>
            </w:r>
          </w:p>
        </w:tc>
        <w:tc>
          <w:tcPr>
            <w:tcW w:w="2126" w:type="dxa"/>
            <w:shd w:val="clear" w:color="auto" w:fill="auto"/>
          </w:tcPr>
          <w:p w:rsidR="00851E72" w:rsidRPr="007B53E0" w:rsidRDefault="003E0441" w:rsidP="00035BAC">
            <w:pPr>
              <w:tabs>
                <w:tab w:val="left" w:pos="851"/>
              </w:tabs>
              <w:jc w:val="right"/>
              <w:rPr>
                <w:sz w:val="18"/>
                <w:szCs w:val="18"/>
              </w:rPr>
            </w:pPr>
            <w:r w:rsidRPr="007B53E0">
              <w:rPr>
                <w:sz w:val="18"/>
                <w:szCs w:val="18"/>
              </w:rPr>
              <w:t>2.212</w:t>
            </w:r>
          </w:p>
        </w:tc>
      </w:tr>
      <w:tr w:rsidR="00851E72" w:rsidRPr="00B02271" w:rsidTr="00D66FD2">
        <w:tc>
          <w:tcPr>
            <w:tcW w:w="2410" w:type="dxa"/>
            <w:shd w:val="clear" w:color="auto" w:fill="auto"/>
          </w:tcPr>
          <w:p w:rsidR="00851E72" w:rsidRPr="007B53E0" w:rsidRDefault="00851E72" w:rsidP="001045BD">
            <w:pPr>
              <w:tabs>
                <w:tab w:val="left" w:pos="851"/>
              </w:tabs>
              <w:jc w:val="both"/>
              <w:rPr>
                <w:sz w:val="18"/>
                <w:szCs w:val="18"/>
              </w:rPr>
            </w:pPr>
            <w:r w:rsidRPr="007B53E0">
              <w:rPr>
                <w:sz w:val="18"/>
                <w:szCs w:val="18"/>
              </w:rPr>
              <w:t>AFAC/PL</w:t>
            </w:r>
          </w:p>
        </w:tc>
        <w:tc>
          <w:tcPr>
            <w:tcW w:w="2410" w:type="dxa"/>
            <w:shd w:val="clear" w:color="auto" w:fill="auto"/>
          </w:tcPr>
          <w:p w:rsidR="00851E72" w:rsidRPr="007B53E0" w:rsidRDefault="00851E72" w:rsidP="007F2CB7">
            <w:pPr>
              <w:tabs>
                <w:tab w:val="left" w:pos="851"/>
              </w:tabs>
              <w:jc w:val="right"/>
              <w:rPr>
                <w:sz w:val="18"/>
                <w:szCs w:val="18"/>
              </w:rPr>
            </w:pPr>
            <w:r w:rsidRPr="007B53E0">
              <w:rPr>
                <w:sz w:val="18"/>
                <w:szCs w:val="18"/>
              </w:rPr>
              <w:t>165.</w:t>
            </w:r>
            <w:r w:rsidR="007F2CB7" w:rsidRPr="007B53E0">
              <w:rPr>
                <w:sz w:val="18"/>
                <w:szCs w:val="18"/>
              </w:rPr>
              <w:t>273</w:t>
            </w:r>
          </w:p>
        </w:tc>
        <w:tc>
          <w:tcPr>
            <w:tcW w:w="2126" w:type="dxa"/>
            <w:shd w:val="clear" w:color="auto" w:fill="auto"/>
          </w:tcPr>
          <w:p w:rsidR="00851E72" w:rsidRPr="007B53E0" w:rsidRDefault="00851E72" w:rsidP="00851E72">
            <w:pPr>
              <w:tabs>
                <w:tab w:val="left" w:pos="851"/>
              </w:tabs>
              <w:jc w:val="right"/>
              <w:rPr>
                <w:sz w:val="18"/>
                <w:szCs w:val="18"/>
              </w:rPr>
            </w:pPr>
            <w:r w:rsidRPr="007B53E0">
              <w:rPr>
                <w:sz w:val="18"/>
                <w:szCs w:val="18"/>
              </w:rPr>
              <w:t>93.437</w:t>
            </w:r>
          </w:p>
        </w:tc>
        <w:tc>
          <w:tcPr>
            <w:tcW w:w="2126" w:type="dxa"/>
            <w:shd w:val="clear" w:color="auto" w:fill="auto"/>
          </w:tcPr>
          <w:p w:rsidR="00851E72" w:rsidRPr="00B02271" w:rsidRDefault="00851E72" w:rsidP="007F2CB7">
            <w:pPr>
              <w:tabs>
                <w:tab w:val="left" w:pos="851"/>
              </w:tabs>
              <w:jc w:val="right"/>
              <w:rPr>
                <w:sz w:val="18"/>
                <w:szCs w:val="18"/>
              </w:rPr>
            </w:pPr>
            <w:r w:rsidRPr="007B53E0">
              <w:rPr>
                <w:sz w:val="18"/>
                <w:szCs w:val="18"/>
              </w:rPr>
              <w:t>71.</w:t>
            </w:r>
            <w:r w:rsidR="007F2CB7" w:rsidRPr="007B53E0">
              <w:rPr>
                <w:sz w:val="18"/>
                <w:szCs w:val="18"/>
              </w:rPr>
              <w:t>836</w:t>
            </w:r>
          </w:p>
        </w:tc>
      </w:tr>
      <w:tr w:rsidR="00ED655B" w:rsidRPr="00ED655B" w:rsidTr="00D66FD2">
        <w:tc>
          <w:tcPr>
            <w:tcW w:w="2410" w:type="dxa"/>
            <w:shd w:val="clear" w:color="auto" w:fill="auto"/>
          </w:tcPr>
          <w:p w:rsidR="00ED655B" w:rsidRPr="00ED655B" w:rsidRDefault="00ED655B" w:rsidP="001045BD">
            <w:pPr>
              <w:tabs>
                <w:tab w:val="left" w:pos="851"/>
              </w:tabs>
              <w:jc w:val="both"/>
              <w:rPr>
                <w:b/>
                <w:sz w:val="18"/>
                <w:szCs w:val="18"/>
              </w:rPr>
            </w:pPr>
            <w:r w:rsidRPr="00ED655B">
              <w:rPr>
                <w:b/>
                <w:sz w:val="18"/>
                <w:szCs w:val="18"/>
              </w:rPr>
              <w:t>Total</w:t>
            </w:r>
          </w:p>
        </w:tc>
        <w:tc>
          <w:tcPr>
            <w:tcW w:w="2410" w:type="dxa"/>
            <w:shd w:val="clear" w:color="auto" w:fill="auto"/>
          </w:tcPr>
          <w:p w:rsidR="00ED655B" w:rsidRPr="00ED655B" w:rsidRDefault="00ED655B" w:rsidP="007F2CB7">
            <w:pPr>
              <w:tabs>
                <w:tab w:val="left" w:pos="851"/>
              </w:tabs>
              <w:jc w:val="right"/>
              <w:rPr>
                <w:b/>
                <w:sz w:val="18"/>
                <w:szCs w:val="18"/>
              </w:rPr>
            </w:pPr>
            <w:r w:rsidRPr="00ED655B">
              <w:rPr>
                <w:b/>
                <w:sz w:val="18"/>
                <w:szCs w:val="18"/>
              </w:rPr>
              <w:t>620.363</w:t>
            </w:r>
          </w:p>
        </w:tc>
        <w:tc>
          <w:tcPr>
            <w:tcW w:w="2126" w:type="dxa"/>
            <w:shd w:val="clear" w:color="auto" w:fill="auto"/>
          </w:tcPr>
          <w:p w:rsidR="00ED655B" w:rsidRPr="00ED655B" w:rsidRDefault="00ED655B" w:rsidP="00851E72">
            <w:pPr>
              <w:tabs>
                <w:tab w:val="left" w:pos="851"/>
              </w:tabs>
              <w:jc w:val="right"/>
              <w:rPr>
                <w:b/>
                <w:sz w:val="18"/>
                <w:szCs w:val="18"/>
              </w:rPr>
            </w:pPr>
            <w:r w:rsidRPr="00ED655B">
              <w:rPr>
                <w:b/>
                <w:sz w:val="18"/>
                <w:szCs w:val="18"/>
              </w:rPr>
              <w:t>546.315</w:t>
            </w:r>
          </w:p>
        </w:tc>
        <w:tc>
          <w:tcPr>
            <w:tcW w:w="2126" w:type="dxa"/>
            <w:shd w:val="clear" w:color="auto" w:fill="auto"/>
          </w:tcPr>
          <w:p w:rsidR="00ED655B" w:rsidRPr="00ED655B" w:rsidRDefault="00ED655B" w:rsidP="007F2CB7">
            <w:pPr>
              <w:tabs>
                <w:tab w:val="left" w:pos="851"/>
              </w:tabs>
              <w:jc w:val="right"/>
              <w:rPr>
                <w:b/>
                <w:sz w:val="18"/>
                <w:szCs w:val="18"/>
              </w:rPr>
            </w:pPr>
            <w:r w:rsidRPr="00ED655B">
              <w:rPr>
                <w:b/>
                <w:sz w:val="18"/>
                <w:szCs w:val="18"/>
              </w:rPr>
              <w:t>74.048</w:t>
            </w:r>
          </w:p>
        </w:tc>
      </w:tr>
    </w:tbl>
    <w:p w:rsidR="00006F42" w:rsidRDefault="00FA1210" w:rsidP="001045BD">
      <w:pPr>
        <w:tabs>
          <w:tab w:val="left" w:pos="851"/>
        </w:tabs>
        <w:jc w:val="both"/>
      </w:pPr>
      <w:r>
        <w:t xml:space="preserve"> </w:t>
      </w:r>
    </w:p>
    <w:p w:rsidR="00D45AE3" w:rsidRDefault="00D45AE3" w:rsidP="001045BD">
      <w:pPr>
        <w:tabs>
          <w:tab w:val="left" w:pos="851"/>
        </w:tabs>
        <w:jc w:val="both"/>
      </w:pPr>
      <w:r w:rsidRPr="00FE52DC">
        <w:t>O valor de R</w:t>
      </w:r>
      <w:r w:rsidR="007F2CB7">
        <w:t>$</w:t>
      </w:r>
      <w:r w:rsidR="0088331F">
        <w:t xml:space="preserve"> 71.836</w:t>
      </w:r>
      <w:r w:rsidRPr="00FE52DC">
        <w:t xml:space="preserve"> refere-se aos valores </w:t>
      </w:r>
      <w:r w:rsidR="00BD1B57" w:rsidRPr="00FE52DC">
        <w:t xml:space="preserve">recebidos </w:t>
      </w:r>
      <w:r w:rsidR="00F20028">
        <w:t>em</w:t>
      </w:r>
      <w:r w:rsidR="00BD1B57" w:rsidRPr="00FE52DC">
        <w:t xml:space="preserve"> 2017 anteriores </w:t>
      </w:r>
      <w:r w:rsidR="00DA2F33" w:rsidRPr="00FE52DC">
        <w:t>à</w:t>
      </w:r>
      <w:r w:rsidR="00BD1B57" w:rsidRPr="00FE52DC">
        <w:t xml:space="preserve"> mudança de critério contábil</w:t>
      </w:r>
      <w:r w:rsidR="005A6F8B">
        <w:t xml:space="preserve"> e o</w:t>
      </w:r>
      <w:r w:rsidR="00AD59FD">
        <w:t>s valores</w:t>
      </w:r>
      <w:r w:rsidR="00714F12">
        <w:t xml:space="preserve"> transferidos por outros órgãos,</w:t>
      </w:r>
      <w:r w:rsidR="005A6F8B">
        <w:t xml:space="preserve"> </w:t>
      </w:r>
      <w:r w:rsidR="00AD59FD">
        <w:t>não provenientes d</w:t>
      </w:r>
      <w:r w:rsidR="00F20028">
        <w:t>a Secretari</w:t>
      </w:r>
      <w:r w:rsidR="005A6F8B">
        <w:t>a de Planejamento e Orçamento (</w:t>
      </w:r>
      <w:r w:rsidR="00F20028">
        <w:t>SPO/MEC</w:t>
      </w:r>
      <w:r w:rsidR="005A6F8B">
        <w:t>)</w:t>
      </w:r>
      <w:r w:rsidR="00F20028">
        <w:t>.</w:t>
      </w:r>
      <w:r w:rsidR="003E0441">
        <w:t xml:space="preserve"> Quanto ao valor de R$ 2.212, refere-se ao complemento da correção</w:t>
      </w:r>
      <w:r w:rsidR="009408DD">
        <w:t xml:space="preserve">/SELIC </w:t>
      </w:r>
      <w:r w:rsidR="003E0441">
        <w:t xml:space="preserve">com base na taxa </w:t>
      </w:r>
      <w:r w:rsidR="009408DD">
        <w:t>diária publicada pelo Banco Central</w:t>
      </w:r>
      <w:r w:rsidR="003E0441">
        <w:t xml:space="preserve">, </w:t>
      </w:r>
      <w:r w:rsidR="005A7052">
        <w:t xml:space="preserve">o </w:t>
      </w:r>
      <w:r w:rsidR="003E0441">
        <w:t>registro</w:t>
      </w:r>
      <w:r w:rsidR="005A7052">
        <w:t xml:space="preserve"> será</w:t>
      </w:r>
      <w:r w:rsidR="003E0441">
        <w:t xml:space="preserve"> realizado no SIAFI em 2018.</w:t>
      </w:r>
    </w:p>
    <w:p w:rsidR="00C166AA" w:rsidRDefault="00C166AA" w:rsidP="001045BD">
      <w:pPr>
        <w:tabs>
          <w:tab w:val="left" w:pos="851"/>
        </w:tabs>
        <w:jc w:val="both"/>
      </w:pPr>
    </w:p>
    <w:p w:rsidR="00C166AA" w:rsidRDefault="00C166AA" w:rsidP="001045BD">
      <w:pPr>
        <w:tabs>
          <w:tab w:val="left" w:pos="851"/>
        </w:tabs>
        <w:jc w:val="both"/>
      </w:pPr>
      <w:r w:rsidRPr="00ED655B">
        <w:t>O valor de R$ 620.363 foi incorporado ao capital social do HCPA em març</w:t>
      </w:r>
      <w:r w:rsidR="00ED655B" w:rsidRPr="00ED655B">
        <w:t xml:space="preserve">o de 2018 conforme aprovação da </w:t>
      </w:r>
      <w:r w:rsidRPr="00ED655B">
        <w:t>Assembleia Geral Extraordinária.</w:t>
      </w:r>
    </w:p>
    <w:p w:rsidR="0087569F" w:rsidRDefault="0087569F" w:rsidP="001045BD">
      <w:pPr>
        <w:tabs>
          <w:tab w:val="left" w:pos="851"/>
        </w:tabs>
        <w:jc w:val="both"/>
      </w:pPr>
    </w:p>
    <w:p w:rsidR="0087569F" w:rsidRDefault="0087569F" w:rsidP="001045BD">
      <w:pPr>
        <w:tabs>
          <w:tab w:val="left" w:pos="851"/>
        </w:tabs>
        <w:jc w:val="both"/>
      </w:pPr>
    </w:p>
    <w:p w:rsidR="00526DF3" w:rsidRPr="002072E4" w:rsidRDefault="00526DF3" w:rsidP="00385011">
      <w:pPr>
        <w:pStyle w:val="Ttulo"/>
        <w:numPr>
          <w:ilvl w:val="0"/>
          <w:numId w:val="24"/>
        </w:numPr>
        <w:outlineLvl w:val="0"/>
      </w:pPr>
      <w:bookmarkStart w:id="75" w:name="_Toc512497291"/>
      <w:r w:rsidRPr="002072E4">
        <w:t>Remunerações Pagas a Empregados e Administradores</w:t>
      </w:r>
      <w:bookmarkEnd w:id="75"/>
    </w:p>
    <w:p w:rsidR="00526DF3" w:rsidRPr="009E76F0" w:rsidRDefault="00526DF3" w:rsidP="00526DF3"/>
    <w:p w:rsidR="00526DF3" w:rsidRPr="00FD7B48" w:rsidRDefault="00526DF3" w:rsidP="00682950">
      <w:pPr>
        <w:jc w:val="both"/>
      </w:pPr>
      <w:r w:rsidRPr="00FD7B48">
        <w:t>De acordo com a Resolução nº 03</w:t>
      </w:r>
      <w:r w:rsidR="00097000">
        <w:t>,</w:t>
      </w:r>
      <w:r w:rsidRPr="00FD7B48">
        <w:t xml:space="preserve"> de 31 de dezembro de 2010 da Comissão Interministerial de Governança Corporativa e de Administração de Participações Societárias da União (CGPAR) publicada no Diário Oficial da União em 28 de março de 2011, apresentamos o quadro abaixo. </w:t>
      </w:r>
      <w:r w:rsidR="003C6E4F">
        <w:t>O valor da remuner</w:t>
      </w:r>
      <w:r w:rsidR="00374E27">
        <w:t>ação co</w:t>
      </w:r>
      <w:r w:rsidR="003C6E4F">
        <w:t>ntempla</w:t>
      </w:r>
      <w:r w:rsidRPr="00FD7B48">
        <w:t xml:space="preserve"> os adicionais fixos.</w:t>
      </w:r>
    </w:p>
    <w:p w:rsidR="00526DF3" w:rsidRPr="00FD7B48" w:rsidRDefault="00526DF3" w:rsidP="00682950">
      <w:pPr>
        <w:jc w:val="both"/>
      </w:pPr>
    </w:p>
    <w:tbl>
      <w:tblPr>
        <w:tblW w:w="9120" w:type="dxa"/>
        <w:tblInd w:w="60" w:type="dxa"/>
        <w:tblLayout w:type="fixed"/>
        <w:tblCellMar>
          <w:left w:w="70" w:type="dxa"/>
          <w:right w:w="70" w:type="dxa"/>
        </w:tblCellMar>
        <w:tblLook w:val="04A0" w:firstRow="1" w:lastRow="0" w:firstColumn="1" w:lastColumn="0" w:noHBand="0" w:noVBand="1"/>
      </w:tblPr>
      <w:tblGrid>
        <w:gridCol w:w="814"/>
        <w:gridCol w:w="1520"/>
        <w:gridCol w:w="1427"/>
        <w:gridCol w:w="1206"/>
        <w:gridCol w:w="1608"/>
        <w:gridCol w:w="1340"/>
        <w:gridCol w:w="1205"/>
      </w:tblGrid>
      <w:tr w:rsidR="00FD7B48" w:rsidRPr="00B02271" w:rsidTr="007B53E0">
        <w:trPr>
          <w:trHeight w:val="247"/>
        </w:trPr>
        <w:tc>
          <w:tcPr>
            <w:tcW w:w="814" w:type="dxa"/>
            <w:vMerge w:val="restart"/>
            <w:tcBorders>
              <w:top w:val="single" w:sz="8" w:space="0" w:color="auto"/>
              <w:left w:val="single" w:sz="8" w:space="0" w:color="auto"/>
              <w:right w:val="single" w:sz="8" w:space="0" w:color="auto"/>
            </w:tcBorders>
            <w:shd w:val="clear" w:color="auto" w:fill="FFFFFF" w:themeFill="background1"/>
            <w:vAlign w:val="center"/>
            <w:hideMark/>
          </w:tcPr>
          <w:p w:rsidR="00526DF3" w:rsidRPr="00B02271" w:rsidRDefault="00526DF3" w:rsidP="007B53E0">
            <w:pPr>
              <w:jc w:val="center"/>
              <w:rPr>
                <w:b/>
                <w:bCs/>
                <w:sz w:val="18"/>
                <w:szCs w:val="18"/>
              </w:rPr>
            </w:pPr>
          </w:p>
          <w:p w:rsidR="00526DF3" w:rsidRPr="00B02271" w:rsidRDefault="00526DF3" w:rsidP="007B53E0">
            <w:pPr>
              <w:jc w:val="center"/>
              <w:rPr>
                <w:b/>
                <w:bCs/>
                <w:sz w:val="18"/>
                <w:szCs w:val="18"/>
              </w:rPr>
            </w:pPr>
            <w:r w:rsidRPr="00B02271">
              <w:rPr>
                <w:b/>
                <w:bCs/>
                <w:sz w:val="18"/>
                <w:szCs w:val="18"/>
              </w:rPr>
              <w:t>Mensal</w:t>
            </w:r>
          </w:p>
        </w:tc>
        <w:tc>
          <w:tcPr>
            <w:tcW w:w="4153" w:type="dxa"/>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526DF3" w:rsidRPr="00B02271" w:rsidRDefault="00526DF3" w:rsidP="009E76F0">
            <w:pPr>
              <w:jc w:val="center"/>
              <w:rPr>
                <w:b/>
                <w:bCs/>
                <w:sz w:val="18"/>
                <w:szCs w:val="18"/>
              </w:rPr>
            </w:pPr>
            <w:r w:rsidRPr="00B02271">
              <w:rPr>
                <w:b/>
                <w:bCs/>
                <w:sz w:val="18"/>
                <w:szCs w:val="18"/>
              </w:rPr>
              <w:t>201</w:t>
            </w:r>
            <w:r w:rsidR="009E76F0" w:rsidRPr="00B02271">
              <w:rPr>
                <w:b/>
                <w:bCs/>
                <w:sz w:val="18"/>
                <w:szCs w:val="18"/>
              </w:rPr>
              <w:t>7</w:t>
            </w:r>
            <w:r w:rsidR="00C23663">
              <w:rPr>
                <w:b/>
                <w:bCs/>
                <w:sz w:val="18"/>
                <w:szCs w:val="18"/>
              </w:rPr>
              <w:t xml:space="preserve"> – R$</w:t>
            </w:r>
          </w:p>
        </w:tc>
        <w:tc>
          <w:tcPr>
            <w:tcW w:w="4153" w:type="dxa"/>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526DF3" w:rsidRPr="00B02271" w:rsidRDefault="00526DF3" w:rsidP="002F4C6D">
            <w:pPr>
              <w:jc w:val="center"/>
              <w:rPr>
                <w:b/>
                <w:bCs/>
                <w:sz w:val="18"/>
                <w:szCs w:val="18"/>
              </w:rPr>
            </w:pPr>
            <w:r w:rsidRPr="00B02271">
              <w:rPr>
                <w:b/>
                <w:bCs/>
                <w:sz w:val="18"/>
                <w:szCs w:val="18"/>
              </w:rPr>
              <w:t>201</w:t>
            </w:r>
            <w:r w:rsidR="002F4C6D" w:rsidRPr="00B02271">
              <w:rPr>
                <w:b/>
                <w:bCs/>
                <w:sz w:val="18"/>
                <w:szCs w:val="18"/>
              </w:rPr>
              <w:t>6</w:t>
            </w:r>
            <w:r w:rsidR="00C23663">
              <w:rPr>
                <w:b/>
                <w:bCs/>
                <w:sz w:val="18"/>
                <w:szCs w:val="18"/>
              </w:rPr>
              <w:t xml:space="preserve"> – R$</w:t>
            </w:r>
          </w:p>
        </w:tc>
      </w:tr>
      <w:tr w:rsidR="00FD7B48" w:rsidRPr="00B02271" w:rsidTr="007B53E0">
        <w:trPr>
          <w:trHeight w:val="233"/>
        </w:trPr>
        <w:tc>
          <w:tcPr>
            <w:tcW w:w="814" w:type="dxa"/>
            <w:vMerge/>
            <w:tcBorders>
              <w:left w:val="single" w:sz="8" w:space="0" w:color="auto"/>
              <w:right w:val="single" w:sz="8" w:space="0" w:color="auto"/>
            </w:tcBorders>
            <w:shd w:val="clear" w:color="auto" w:fill="FFFFFF" w:themeFill="background1"/>
            <w:vAlign w:val="center"/>
            <w:hideMark/>
          </w:tcPr>
          <w:p w:rsidR="00526DF3" w:rsidRPr="00B02271" w:rsidRDefault="00526DF3" w:rsidP="007B53E0">
            <w:pPr>
              <w:jc w:val="center"/>
              <w:rPr>
                <w:b/>
                <w:bCs/>
                <w:sz w:val="18"/>
                <w:szCs w:val="18"/>
              </w:rPr>
            </w:pPr>
          </w:p>
        </w:tc>
        <w:tc>
          <w:tcPr>
            <w:tcW w:w="1520" w:type="dxa"/>
            <w:tcBorders>
              <w:top w:val="nil"/>
              <w:left w:val="nil"/>
              <w:right w:val="single" w:sz="8" w:space="0" w:color="auto"/>
            </w:tcBorders>
            <w:shd w:val="clear" w:color="auto" w:fill="FFFFFF" w:themeFill="background1"/>
            <w:vAlign w:val="center"/>
            <w:hideMark/>
          </w:tcPr>
          <w:p w:rsidR="00526DF3" w:rsidRPr="00B02271" w:rsidRDefault="00526DF3" w:rsidP="007B53E0">
            <w:pPr>
              <w:jc w:val="center"/>
              <w:rPr>
                <w:b/>
                <w:bCs/>
                <w:sz w:val="18"/>
                <w:szCs w:val="18"/>
              </w:rPr>
            </w:pPr>
            <w:r w:rsidRPr="00B02271">
              <w:rPr>
                <w:b/>
                <w:bCs/>
                <w:sz w:val="18"/>
                <w:szCs w:val="18"/>
              </w:rPr>
              <w:t>Remuneração</w:t>
            </w:r>
          </w:p>
        </w:tc>
        <w:tc>
          <w:tcPr>
            <w:tcW w:w="1427" w:type="dxa"/>
            <w:tcBorders>
              <w:top w:val="nil"/>
              <w:left w:val="nil"/>
              <w:right w:val="single" w:sz="8" w:space="0" w:color="auto"/>
            </w:tcBorders>
            <w:shd w:val="clear" w:color="auto" w:fill="FFFFFF" w:themeFill="background1"/>
            <w:vAlign w:val="center"/>
            <w:hideMark/>
          </w:tcPr>
          <w:p w:rsidR="00526DF3" w:rsidRPr="00B02271" w:rsidRDefault="00526DF3" w:rsidP="007B53E0">
            <w:pPr>
              <w:jc w:val="center"/>
              <w:rPr>
                <w:b/>
                <w:bCs/>
                <w:sz w:val="18"/>
                <w:szCs w:val="18"/>
              </w:rPr>
            </w:pPr>
            <w:r w:rsidRPr="00B02271">
              <w:rPr>
                <w:b/>
                <w:bCs/>
                <w:sz w:val="18"/>
                <w:szCs w:val="18"/>
              </w:rPr>
              <w:t>Remuneração</w:t>
            </w:r>
          </w:p>
        </w:tc>
        <w:tc>
          <w:tcPr>
            <w:tcW w:w="120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526DF3" w:rsidRPr="00B02271" w:rsidRDefault="00526DF3" w:rsidP="007B53E0">
            <w:pPr>
              <w:jc w:val="center"/>
              <w:rPr>
                <w:b/>
                <w:bCs/>
                <w:sz w:val="18"/>
                <w:szCs w:val="18"/>
              </w:rPr>
            </w:pPr>
            <w:r w:rsidRPr="00B02271">
              <w:rPr>
                <w:b/>
                <w:bCs/>
                <w:sz w:val="18"/>
                <w:szCs w:val="18"/>
              </w:rPr>
              <w:t>Salário Base</w:t>
            </w:r>
          </w:p>
          <w:p w:rsidR="00526DF3" w:rsidRPr="00B02271" w:rsidRDefault="00526DF3" w:rsidP="007B53E0">
            <w:pPr>
              <w:jc w:val="center"/>
              <w:rPr>
                <w:b/>
                <w:bCs/>
                <w:sz w:val="18"/>
                <w:szCs w:val="18"/>
              </w:rPr>
            </w:pPr>
            <w:r w:rsidRPr="00B02271">
              <w:rPr>
                <w:b/>
                <w:bCs/>
                <w:sz w:val="18"/>
                <w:szCs w:val="18"/>
              </w:rPr>
              <w:t>Empregados</w:t>
            </w:r>
          </w:p>
        </w:tc>
        <w:tc>
          <w:tcPr>
            <w:tcW w:w="1608" w:type="dxa"/>
            <w:tcBorders>
              <w:top w:val="nil"/>
              <w:left w:val="nil"/>
              <w:right w:val="single" w:sz="8" w:space="0" w:color="auto"/>
            </w:tcBorders>
            <w:shd w:val="clear" w:color="auto" w:fill="FFFFFF" w:themeFill="background1"/>
            <w:vAlign w:val="center"/>
            <w:hideMark/>
          </w:tcPr>
          <w:p w:rsidR="00526DF3" w:rsidRPr="00B02271" w:rsidRDefault="00526DF3" w:rsidP="007B53E0">
            <w:pPr>
              <w:jc w:val="center"/>
              <w:rPr>
                <w:b/>
                <w:bCs/>
                <w:sz w:val="18"/>
                <w:szCs w:val="18"/>
              </w:rPr>
            </w:pPr>
            <w:r w:rsidRPr="00B02271">
              <w:rPr>
                <w:b/>
                <w:bCs/>
                <w:sz w:val="18"/>
                <w:szCs w:val="18"/>
              </w:rPr>
              <w:t>Remuneração</w:t>
            </w:r>
          </w:p>
        </w:tc>
        <w:tc>
          <w:tcPr>
            <w:tcW w:w="1340" w:type="dxa"/>
            <w:tcBorders>
              <w:top w:val="nil"/>
              <w:left w:val="nil"/>
              <w:right w:val="single" w:sz="8" w:space="0" w:color="auto"/>
            </w:tcBorders>
            <w:shd w:val="clear" w:color="auto" w:fill="FFFFFF" w:themeFill="background1"/>
            <w:vAlign w:val="center"/>
            <w:hideMark/>
          </w:tcPr>
          <w:p w:rsidR="00526DF3" w:rsidRPr="00B02271" w:rsidRDefault="00526DF3" w:rsidP="007B53E0">
            <w:pPr>
              <w:jc w:val="center"/>
              <w:rPr>
                <w:b/>
                <w:bCs/>
                <w:sz w:val="18"/>
                <w:szCs w:val="18"/>
              </w:rPr>
            </w:pPr>
            <w:r w:rsidRPr="00B02271">
              <w:rPr>
                <w:b/>
                <w:bCs/>
                <w:sz w:val="18"/>
                <w:szCs w:val="18"/>
              </w:rPr>
              <w:t>Remuneração</w:t>
            </w:r>
          </w:p>
        </w:tc>
        <w:tc>
          <w:tcPr>
            <w:tcW w:w="120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526DF3" w:rsidRPr="00B02271" w:rsidRDefault="00526DF3" w:rsidP="007B53E0">
            <w:pPr>
              <w:jc w:val="center"/>
              <w:rPr>
                <w:b/>
                <w:bCs/>
                <w:sz w:val="18"/>
                <w:szCs w:val="18"/>
              </w:rPr>
            </w:pPr>
            <w:r w:rsidRPr="00B02271">
              <w:rPr>
                <w:b/>
                <w:bCs/>
                <w:sz w:val="18"/>
                <w:szCs w:val="18"/>
              </w:rPr>
              <w:t>Salário Base Empregados</w:t>
            </w:r>
          </w:p>
        </w:tc>
      </w:tr>
      <w:tr w:rsidR="00FD7B48" w:rsidRPr="00B02271" w:rsidTr="007B53E0">
        <w:trPr>
          <w:trHeight w:val="247"/>
        </w:trPr>
        <w:tc>
          <w:tcPr>
            <w:tcW w:w="814" w:type="dxa"/>
            <w:vMerge/>
            <w:tcBorders>
              <w:left w:val="single" w:sz="8" w:space="0" w:color="auto"/>
              <w:bottom w:val="single" w:sz="8" w:space="0" w:color="000000"/>
              <w:right w:val="single" w:sz="8" w:space="0" w:color="auto"/>
            </w:tcBorders>
            <w:shd w:val="clear" w:color="auto" w:fill="C2D69B" w:themeFill="accent3" w:themeFillTint="99"/>
            <w:vAlign w:val="center"/>
            <w:hideMark/>
          </w:tcPr>
          <w:p w:rsidR="00526DF3" w:rsidRPr="00B02271" w:rsidRDefault="00526DF3" w:rsidP="007B53E0">
            <w:pPr>
              <w:jc w:val="center"/>
              <w:rPr>
                <w:b/>
                <w:bCs/>
                <w:sz w:val="18"/>
                <w:szCs w:val="18"/>
              </w:rPr>
            </w:pPr>
          </w:p>
        </w:tc>
        <w:tc>
          <w:tcPr>
            <w:tcW w:w="1520" w:type="dxa"/>
            <w:tcBorders>
              <w:top w:val="nil"/>
              <w:left w:val="nil"/>
              <w:bottom w:val="single" w:sz="8" w:space="0" w:color="auto"/>
              <w:right w:val="single" w:sz="8" w:space="0" w:color="auto"/>
            </w:tcBorders>
            <w:shd w:val="clear" w:color="auto" w:fill="FFFFFF" w:themeFill="background1"/>
            <w:vAlign w:val="center"/>
            <w:hideMark/>
          </w:tcPr>
          <w:p w:rsidR="00526DF3" w:rsidRPr="007B53E0" w:rsidRDefault="00526DF3" w:rsidP="007B53E0">
            <w:pPr>
              <w:jc w:val="center"/>
              <w:rPr>
                <w:b/>
                <w:bCs/>
                <w:sz w:val="18"/>
                <w:szCs w:val="18"/>
              </w:rPr>
            </w:pPr>
            <w:r w:rsidRPr="007B53E0">
              <w:rPr>
                <w:b/>
                <w:bCs/>
                <w:sz w:val="18"/>
                <w:szCs w:val="18"/>
              </w:rPr>
              <w:t>Administradores</w:t>
            </w:r>
          </w:p>
        </w:tc>
        <w:tc>
          <w:tcPr>
            <w:tcW w:w="1427" w:type="dxa"/>
            <w:tcBorders>
              <w:top w:val="nil"/>
              <w:left w:val="nil"/>
              <w:bottom w:val="single" w:sz="8" w:space="0" w:color="auto"/>
              <w:right w:val="single" w:sz="8" w:space="0" w:color="auto"/>
            </w:tcBorders>
            <w:shd w:val="clear" w:color="auto" w:fill="FFFFFF" w:themeFill="background1"/>
            <w:vAlign w:val="center"/>
            <w:hideMark/>
          </w:tcPr>
          <w:p w:rsidR="00526DF3" w:rsidRPr="007B53E0" w:rsidRDefault="00526DF3" w:rsidP="007B53E0">
            <w:pPr>
              <w:jc w:val="center"/>
              <w:rPr>
                <w:b/>
                <w:bCs/>
                <w:sz w:val="18"/>
                <w:szCs w:val="18"/>
              </w:rPr>
            </w:pPr>
            <w:r w:rsidRPr="007B53E0">
              <w:rPr>
                <w:b/>
                <w:bCs/>
                <w:sz w:val="18"/>
                <w:szCs w:val="18"/>
              </w:rPr>
              <w:t>Empregados</w:t>
            </w:r>
          </w:p>
        </w:tc>
        <w:tc>
          <w:tcPr>
            <w:tcW w:w="1206" w:type="dxa"/>
            <w:vMerge/>
            <w:tcBorders>
              <w:top w:val="nil"/>
              <w:left w:val="single" w:sz="8" w:space="0" w:color="auto"/>
              <w:bottom w:val="single" w:sz="8" w:space="0" w:color="000000"/>
              <w:right w:val="single" w:sz="8" w:space="0" w:color="auto"/>
            </w:tcBorders>
            <w:shd w:val="clear" w:color="auto" w:fill="C2D69B" w:themeFill="accent3" w:themeFillTint="99"/>
            <w:vAlign w:val="center"/>
            <w:hideMark/>
          </w:tcPr>
          <w:p w:rsidR="00526DF3" w:rsidRPr="00B02271" w:rsidRDefault="00526DF3" w:rsidP="007B53E0">
            <w:pPr>
              <w:jc w:val="center"/>
              <w:rPr>
                <w:b/>
                <w:bCs/>
                <w:sz w:val="18"/>
                <w:szCs w:val="18"/>
              </w:rPr>
            </w:pPr>
          </w:p>
        </w:tc>
        <w:tc>
          <w:tcPr>
            <w:tcW w:w="1608" w:type="dxa"/>
            <w:tcBorders>
              <w:top w:val="nil"/>
              <w:left w:val="nil"/>
              <w:bottom w:val="single" w:sz="8" w:space="0" w:color="auto"/>
              <w:right w:val="single" w:sz="8" w:space="0" w:color="auto"/>
            </w:tcBorders>
            <w:shd w:val="clear" w:color="auto" w:fill="FFFFFF" w:themeFill="background1"/>
            <w:vAlign w:val="center"/>
            <w:hideMark/>
          </w:tcPr>
          <w:p w:rsidR="00526DF3" w:rsidRPr="00B02271" w:rsidRDefault="00526DF3" w:rsidP="007B53E0">
            <w:pPr>
              <w:jc w:val="center"/>
              <w:rPr>
                <w:b/>
                <w:bCs/>
                <w:sz w:val="18"/>
                <w:szCs w:val="18"/>
              </w:rPr>
            </w:pPr>
            <w:r w:rsidRPr="00B02271">
              <w:rPr>
                <w:b/>
                <w:bCs/>
                <w:sz w:val="18"/>
                <w:szCs w:val="18"/>
              </w:rPr>
              <w:t>Administradores</w:t>
            </w:r>
          </w:p>
        </w:tc>
        <w:tc>
          <w:tcPr>
            <w:tcW w:w="1340" w:type="dxa"/>
            <w:tcBorders>
              <w:top w:val="nil"/>
              <w:left w:val="nil"/>
              <w:bottom w:val="single" w:sz="8" w:space="0" w:color="auto"/>
              <w:right w:val="single" w:sz="8" w:space="0" w:color="auto"/>
            </w:tcBorders>
            <w:shd w:val="clear" w:color="auto" w:fill="FFFFFF" w:themeFill="background1"/>
            <w:vAlign w:val="center"/>
            <w:hideMark/>
          </w:tcPr>
          <w:p w:rsidR="00526DF3" w:rsidRPr="00B02271" w:rsidRDefault="00526DF3" w:rsidP="007B53E0">
            <w:pPr>
              <w:jc w:val="center"/>
              <w:rPr>
                <w:b/>
                <w:bCs/>
                <w:sz w:val="18"/>
                <w:szCs w:val="18"/>
              </w:rPr>
            </w:pPr>
            <w:r w:rsidRPr="00B02271">
              <w:rPr>
                <w:b/>
                <w:bCs/>
                <w:sz w:val="18"/>
                <w:szCs w:val="18"/>
              </w:rPr>
              <w:t>Empregados</w:t>
            </w:r>
          </w:p>
        </w:tc>
        <w:tc>
          <w:tcPr>
            <w:tcW w:w="1205" w:type="dxa"/>
            <w:vMerge/>
            <w:tcBorders>
              <w:top w:val="nil"/>
              <w:left w:val="single" w:sz="8" w:space="0" w:color="auto"/>
              <w:bottom w:val="single" w:sz="8" w:space="0" w:color="000000"/>
              <w:right w:val="single" w:sz="8" w:space="0" w:color="auto"/>
            </w:tcBorders>
            <w:shd w:val="clear" w:color="auto" w:fill="C2D69B" w:themeFill="accent3" w:themeFillTint="99"/>
            <w:vAlign w:val="center"/>
            <w:hideMark/>
          </w:tcPr>
          <w:p w:rsidR="00526DF3" w:rsidRPr="00B02271" w:rsidRDefault="00526DF3" w:rsidP="00E82794">
            <w:pPr>
              <w:jc w:val="right"/>
              <w:rPr>
                <w:b/>
                <w:bCs/>
                <w:sz w:val="18"/>
                <w:szCs w:val="18"/>
              </w:rPr>
            </w:pPr>
          </w:p>
        </w:tc>
      </w:tr>
      <w:tr w:rsidR="00FD7B48" w:rsidRPr="00B02271" w:rsidTr="00BC0F5D">
        <w:trPr>
          <w:trHeight w:val="247"/>
        </w:trPr>
        <w:tc>
          <w:tcPr>
            <w:tcW w:w="814" w:type="dxa"/>
            <w:tcBorders>
              <w:top w:val="nil"/>
              <w:left w:val="single" w:sz="8" w:space="0" w:color="auto"/>
              <w:bottom w:val="single" w:sz="8" w:space="0" w:color="auto"/>
              <w:right w:val="single" w:sz="8" w:space="0" w:color="auto"/>
            </w:tcBorders>
            <w:shd w:val="clear" w:color="auto" w:fill="auto"/>
            <w:vAlign w:val="center"/>
            <w:hideMark/>
          </w:tcPr>
          <w:p w:rsidR="00526DF3" w:rsidRPr="00B02271" w:rsidRDefault="00526DF3" w:rsidP="007B53E0">
            <w:pPr>
              <w:jc w:val="center"/>
              <w:rPr>
                <w:b/>
                <w:bCs/>
                <w:sz w:val="18"/>
                <w:szCs w:val="18"/>
              </w:rPr>
            </w:pPr>
            <w:r w:rsidRPr="00B02271">
              <w:rPr>
                <w:b/>
                <w:bCs/>
                <w:sz w:val="18"/>
                <w:szCs w:val="18"/>
              </w:rPr>
              <w:t>Maior</w:t>
            </w:r>
          </w:p>
        </w:tc>
        <w:tc>
          <w:tcPr>
            <w:tcW w:w="1520" w:type="dxa"/>
            <w:tcBorders>
              <w:top w:val="nil"/>
              <w:left w:val="nil"/>
              <w:bottom w:val="single" w:sz="8" w:space="0" w:color="auto"/>
              <w:right w:val="single" w:sz="8" w:space="0" w:color="auto"/>
            </w:tcBorders>
            <w:shd w:val="clear" w:color="auto" w:fill="auto"/>
            <w:vAlign w:val="center"/>
            <w:hideMark/>
          </w:tcPr>
          <w:p w:rsidR="00526DF3" w:rsidRPr="00B02271" w:rsidRDefault="00C23663" w:rsidP="00E82794">
            <w:pPr>
              <w:jc w:val="right"/>
              <w:rPr>
                <w:sz w:val="18"/>
                <w:szCs w:val="18"/>
              </w:rPr>
            </w:pPr>
            <w:r>
              <w:rPr>
                <w:sz w:val="18"/>
                <w:szCs w:val="18"/>
              </w:rPr>
              <w:t>33.763</w:t>
            </w:r>
          </w:p>
        </w:tc>
        <w:tc>
          <w:tcPr>
            <w:tcW w:w="1427" w:type="dxa"/>
            <w:tcBorders>
              <w:top w:val="nil"/>
              <w:left w:val="nil"/>
              <w:bottom w:val="single" w:sz="8" w:space="0" w:color="auto"/>
              <w:right w:val="single" w:sz="8" w:space="0" w:color="auto"/>
            </w:tcBorders>
            <w:shd w:val="clear" w:color="auto" w:fill="auto"/>
            <w:vAlign w:val="center"/>
            <w:hideMark/>
          </w:tcPr>
          <w:p w:rsidR="00526DF3" w:rsidRPr="00B02271" w:rsidRDefault="00526DF3" w:rsidP="00C23663">
            <w:pPr>
              <w:jc w:val="right"/>
              <w:rPr>
                <w:sz w:val="18"/>
                <w:szCs w:val="18"/>
              </w:rPr>
            </w:pPr>
            <w:r w:rsidRPr="00B02271">
              <w:rPr>
                <w:sz w:val="18"/>
                <w:szCs w:val="18"/>
              </w:rPr>
              <w:t>3</w:t>
            </w:r>
            <w:r w:rsidR="00C23663">
              <w:rPr>
                <w:sz w:val="18"/>
                <w:szCs w:val="18"/>
              </w:rPr>
              <w:t>3.763</w:t>
            </w:r>
          </w:p>
        </w:tc>
        <w:tc>
          <w:tcPr>
            <w:tcW w:w="1206" w:type="dxa"/>
            <w:tcBorders>
              <w:top w:val="nil"/>
              <w:left w:val="nil"/>
              <w:bottom w:val="single" w:sz="8" w:space="0" w:color="auto"/>
              <w:right w:val="single" w:sz="8" w:space="0" w:color="auto"/>
            </w:tcBorders>
            <w:shd w:val="clear" w:color="auto" w:fill="auto"/>
            <w:vAlign w:val="center"/>
            <w:hideMark/>
          </w:tcPr>
          <w:p w:rsidR="00526DF3" w:rsidRPr="00B02271" w:rsidRDefault="00C23663" w:rsidP="00E82794">
            <w:pPr>
              <w:jc w:val="right"/>
              <w:rPr>
                <w:sz w:val="18"/>
                <w:szCs w:val="18"/>
              </w:rPr>
            </w:pPr>
            <w:r>
              <w:rPr>
                <w:sz w:val="18"/>
                <w:szCs w:val="18"/>
              </w:rPr>
              <w:t>22.870</w:t>
            </w:r>
          </w:p>
        </w:tc>
        <w:tc>
          <w:tcPr>
            <w:tcW w:w="1608" w:type="dxa"/>
            <w:tcBorders>
              <w:top w:val="nil"/>
              <w:left w:val="nil"/>
              <w:bottom w:val="single" w:sz="8" w:space="0" w:color="auto"/>
              <w:right w:val="single" w:sz="8" w:space="0" w:color="auto"/>
            </w:tcBorders>
            <w:shd w:val="clear" w:color="auto" w:fill="auto"/>
            <w:vAlign w:val="center"/>
            <w:hideMark/>
          </w:tcPr>
          <w:p w:rsidR="00526DF3" w:rsidRPr="00B02271" w:rsidRDefault="00C23663" w:rsidP="00E82794">
            <w:pPr>
              <w:jc w:val="right"/>
              <w:rPr>
                <w:sz w:val="18"/>
                <w:szCs w:val="18"/>
              </w:rPr>
            </w:pPr>
            <w:r>
              <w:rPr>
                <w:sz w:val="18"/>
                <w:szCs w:val="18"/>
              </w:rPr>
              <w:t>33.763</w:t>
            </w:r>
          </w:p>
        </w:tc>
        <w:tc>
          <w:tcPr>
            <w:tcW w:w="1340" w:type="dxa"/>
            <w:tcBorders>
              <w:top w:val="nil"/>
              <w:left w:val="nil"/>
              <w:bottom w:val="single" w:sz="8" w:space="0" w:color="auto"/>
              <w:right w:val="single" w:sz="8" w:space="0" w:color="auto"/>
            </w:tcBorders>
            <w:shd w:val="clear" w:color="auto" w:fill="auto"/>
            <w:vAlign w:val="center"/>
            <w:hideMark/>
          </w:tcPr>
          <w:p w:rsidR="00526DF3" w:rsidRPr="00B02271" w:rsidRDefault="00C23663" w:rsidP="00E82794">
            <w:pPr>
              <w:jc w:val="right"/>
              <w:rPr>
                <w:sz w:val="18"/>
                <w:szCs w:val="18"/>
              </w:rPr>
            </w:pPr>
            <w:r>
              <w:rPr>
                <w:sz w:val="18"/>
                <w:szCs w:val="18"/>
              </w:rPr>
              <w:t>33.763</w:t>
            </w:r>
          </w:p>
        </w:tc>
        <w:tc>
          <w:tcPr>
            <w:tcW w:w="1205" w:type="dxa"/>
            <w:tcBorders>
              <w:top w:val="nil"/>
              <w:left w:val="nil"/>
              <w:bottom w:val="single" w:sz="8" w:space="0" w:color="auto"/>
              <w:right w:val="single" w:sz="8" w:space="0" w:color="auto"/>
            </w:tcBorders>
            <w:shd w:val="clear" w:color="auto" w:fill="auto"/>
            <w:vAlign w:val="center"/>
            <w:hideMark/>
          </w:tcPr>
          <w:p w:rsidR="00526DF3" w:rsidRPr="00B02271" w:rsidRDefault="00C23663" w:rsidP="00E82794">
            <w:pPr>
              <w:jc w:val="right"/>
              <w:rPr>
                <w:sz w:val="18"/>
                <w:szCs w:val="18"/>
              </w:rPr>
            </w:pPr>
            <w:r>
              <w:rPr>
                <w:sz w:val="18"/>
                <w:szCs w:val="18"/>
              </w:rPr>
              <w:t>20.892</w:t>
            </w:r>
          </w:p>
        </w:tc>
      </w:tr>
      <w:tr w:rsidR="00FD7B48" w:rsidRPr="00B02271" w:rsidTr="00BC0F5D">
        <w:trPr>
          <w:trHeight w:val="247"/>
        </w:trPr>
        <w:tc>
          <w:tcPr>
            <w:tcW w:w="814" w:type="dxa"/>
            <w:tcBorders>
              <w:top w:val="nil"/>
              <w:left w:val="single" w:sz="8" w:space="0" w:color="auto"/>
              <w:bottom w:val="single" w:sz="8" w:space="0" w:color="auto"/>
              <w:right w:val="single" w:sz="8" w:space="0" w:color="auto"/>
            </w:tcBorders>
            <w:shd w:val="clear" w:color="auto" w:fill="auto"/>
            <w:vAlign w:val="center"/>
            <w:hideMark/>
          </w:tcPr>
          <w:p w:rsidR="00526DF3" w:rsidRPr="00B02271" w:rsidRDefault="00526DF3" w:rsidP="007B53E0">
            <w:pPr>
              <w:jc w:val="center"/>
              <w:rPr>
                <w:b/>
                <w:bCs/>
                <w:sz w:val="18"/>
                <w:szCs w:val="18"/>
              </w:rPr>
            </w:pPr>
            <w:r w:rsidRPr="00B02271">
              <w:rPr>
                <w:b/>
                <w:bCs/>
                <w:sz w:val="18"/>
                <w:szCs w:val="18"/>
              </w:rPr>
              <w:t>Menor</w:t>
            </w:r>
          </w:p>
        </w:tc>
        <w:tc>
          <w:tcPr>
            <w:tcW w:w="1520" w:type="dxa"/>
            <w:tcBorders>
              <w:top w:val="nil"/>
              <w:left w:val="nil"/>
              <w:bottom w:val="single" w:sz="8" w:space="0" w:color="auto"/>
              <w:right w:val="single" w:sz="8" w:space="0" w:color="auto"/>
            </w:tcBorders>
            <w:shd w:val="clear" w:color="auto" w:fill="auto"/>
            <w:vAlign w:val="center"/>
            <w:hideMark/>
          </w:tcPr>
          <w:p w:rsidR="00526DF3" w:rsidRPr="00B02271" w:rsidRDefault="00C23663" w:rsidP="00E82794">
            <w:pPr>
              <w:jc w:val="right"/>
              <w:rPr>
                <w:sz w:val="18"/>
                <w:szCs w:val="18"/>
              </w:rPr>
            </w:pPr>
            <w:r>
              <w:rPr>
                <w:sz w:val="18"/>
                <w:szCs w:val="18"/>
              </w:rPr>
              <w:t>33.763</w:t>
            </w:r>
          </w:p>
        </w:tc>
        <w:tc>
          <w:tcPr>
            <w:tcW w:w="1427" w:type="dxa"/>
            <w:tcBorders>
              <w:top w:val="nil"/>
              <w:left w:val="nil"/>
              <w:bottom w:val="single" w:sz="8" w:space="0" w:color="auto"/>
              <w:right w:val="single" w:sz="8" w:space="0" w:color="auto"/>
            </w:tcBorders>
            <w:shd w:val="clear" w:color="auto" w:fill="auto"/>
            <w:vAlign w:val="center"/>
            <w:hideMark/>
          </w:tcPr>
          <w:p w:rsidR="00526DF3" w:rsidRPr="00B02271" w:rsidRDefault="00C23663" w:rsidP="00E82794">
            <w:pPr>
              <w:jc w:val="right"/>
              <w:rPr>
                <w:sz w:val="18"/>
                <w:szCs w:val="18"/>
              </w:rPr>
            </w:pPr>
            <w:r>
              <w:rPr>
                <w:sz w:val="18"/>
                <w:szCs w:val="18"/>
              </w:rPr>
              <w:t>1.846</w:t>
            </w:r>
          </w:p>
        </w:tc>
        <w:tc>
          <w:tcPr>
            <w:tcW w:w="1206" w:type="dxa"/>
            <w:tcBorders>
              <w:top w:val="nil"/>
              <w:left w:val="nil"/>
              <w:bottom w:val="single" w:sz="8" w:space="0" w:color="auto"/>
              <w:right w:val="single" w:sz="8" w:space="0" w:color="auto"/>
            </w:tcBorders>
            <w:shd w:val="clear" w:color="auto" w:fill="auto"/>
            <w:vAlign w:val="center"/>
            <w:hideMark/>
          </w:tcPr>
          <w:p w:rsidR="00526DF3" w:rsidRPr="00B02271" w:rsidRDefault="00C23663" w:rsidP="00E82794">
            <w:pPr>
              <w:jc w:val="right"/>
              <w:rPr>
                <w:sz w:val="18"/>
                <w:szCs w:val="18"/>
              </w:rPr>
            </w:pPr>
            <w:r>
              <w:rPr>
                <w:sz w:val="18"/>
                <w:szCs w:val="18"/>
              </w:rPr>
              <w:t>1.524</w:t>
            </w:r>
          </w:p>
        </w:tc>
        <w:tc>
          <w:tcPr>
            <w:tcW w:w="1608" w:type="dxa"/>
            <w:tcBorders>
              <w:top w:val="nil"/>
              <w:left w:val="nil"/>
              <w:bottom w:val="single" w:sz="8" w:space="0" w:color="auto"/>
              <w:right w:val="single" w:sz="8" w:space="0" w:color="auto"/>
            </w:tcBorders>
            <w:shd w:val="clear" w:color="auto" w:fill="auto"/>
            <w:vAlign w:val="center"/>
            <w:hideMark/>
          </w:tcPr>
          <w:p w:rsidR="00526DF3" w:rsidRPr="00B02271" w:rsidRDefault="002F4C6D" w:rsidP="00C23663">
            <w:pPr>
              <w:jc w:val="right"/>
              <w:rPr>
                <w:sz w:val="18"/>
                <w:szCs w:val="18"/>
              </w:rPr>
            </w:pPr>
            <w:r w:rsidRPr="00B02271">
              <w:rPr>
                <w:sz w:val="18"/>
                <w:szCs w:val="18"/>
              </w:rPr>
              <w:t>3</w:t>
            </w:r>
            <w:r w:rsidR="00C23663">
              <w:rPr>
                <w:sz w:val="18"/>
                <w:szCs w:val="18"/>
              </w:rPr>
              <w:t>3.763</w:t>
            </w:r>
          </w:p>
        </w:tc>
        <w:tc>
          <w:tcPr>
            <w:tcW w:w="1340" w:type="dxa"/>
            <w:tcBorders>
              <w:top w:val="nil"/>
              <w:left w:val="nil"/>
              <w:bottom w:val="single" w:sz="8" w:space="0" w:color="auto"/>
              <w:right w:val="single" w:sz="8" w:space="0" w:color="auto"/>
            </w:tcBorders>
            <w:shd w:val="clear" w:color="auto" w:fill="auto"/>
            <w:vAlign w:val="center"/>
            <w:hideMark/>
          </w:tcPr>
          <w:p w:rsidR="00526DF3" w:rsidRPr="00B02271" w:rsidRDefault="00C23663" w:rsidP="00E82794">
            <w:pPr>
              <w:jc w:val="right"/>
              <w:rPr>
                <w:sz w:val="18"/>
                <w:szCs w:val="18"/>
              </w:rPr>
            </w:pPr>
            <w:r>
              <w:rPr>
                <w:sz w:val="18"/>
                <w:szCs w:val="18"/>
              </w:rPr>
              <w:t>1.749</w:t>
            </w:r>
          </w:p>
        </w:tc>
        <w:tc>
          <w:tcPr>
            <w:tcW w:w="1205" w:type="dxa"/>
            <w:tcBorders>
              <w:top w:val="nil"/>
              <w:left w:val="nil"/>
              <w:bottom w:val="single" w:sz="8" w:space="0" w:color="auto"/>
              <w:right w:val="single" w:sz="8" w:space="0" w:color="auto"/>
            </w:tcBorders>
            <w:shd w:val="clear" w:color="auto" w:fill="auto"/>
            <w:vAlign w:val="center"/>
            <w:hideMark/>
          </w:tcPr>
          <w:p w:rsidR="00526DF3" w:rsidRPr="00B02271" w:rsidRDefault="00C23663" w:rsidP="00E82794">
            <w:pPr>
              <w:jc w:val="right"/>
              <w:rPr>
                <w:sz w:val="18"/>
                <w:szCs w:val="18"/>
              </w:rPr>
            </w:pPr>
            <w:r>
              <w:rPr>
                <w:sz w:val="18"/>
                <w:szCs w:val="18"/>
              </w:rPr>
              <w:t>1.397</w:t>
            </w:r>
          </w:p>
        </w:tc>
      </w:tr>
      <w:tr w:rsidR="00526DF3" w:rsidRPr="00B02271" w:rsidTr="00BC0F5D">
        <w:trPr>
          <w:trHeight w:val="247"/>
        </w:trPr>
        <w:tc>
          <w:tcPr>
            <w:tcW w:w="814" w:type="dxa"/>
            <w:tcBorders>
              <w:top w:val="nil"/>
              <w:left w:val="single" w:sz="8" w:space="0" w:color="auto"/>
              <w:bottom w:val="single" w:sz="8" w:space="0" w:color="auto"/>
              <w:right w:val="single" w:sz="8" w:space="0" w:color="auto"/>
            </w:tcBorders>
            <w:shd w:val="clear" w:color="auto" w:fill="auto"/>
            <w:vAlign w:val="center"/>
            <w:hideMark/>
          </w:tcPr>
          <w:p w:rsidR="00526DF3" w:rsidRPr="00B02271" w:rsidRDefault="00526DF3" w:rsidP="007B53E0">
            <w:pPr>
              <w:jc w:val="center"/>
              <w:rPr>
                <w:b/>
                <w:bCs/>
                <w:sz w:val="18"/>
                <w:szCs w:val="18"/>
              </w:rPr>
            </w:pPr>
            <w:r w:rsidRPr="00B02271">
              <w:rPr>
                <w:b/>
                <w:bCs/>
                <w:sz w:val="18"/>
                <w:szCs w:val="18"/>
              </w:rPr>
              <w:t>Média</w:t>
            </w:r>
          </w:p>
        </w:tc>
        <w:tc>
          <w:tcPr>
            <w:tcW w:w="1520" w:type="dxa"/>
            <w:tcBorders>
              <w:top w:val="nil"/>
              <w:left w:val="nil"/>
              <w:bottom w:val="single" w:sz="8" w:space="0" w:color="auto"/>
              <w:right w:val="single" w:sz="8" w:space="0" w:color="auto"/>
            </w:tcBorders>
            <w:shd w:val="clear" w:color="auto" w:fill="auto"/>
            <w:vAlign w:val="center"/>
            <w:hideMark/>
          </w:tcPr>
          <w:p w:rsidR="00526DF3" w:rsidRPr="00B02271" w:rsidRDefault="0035175F" w:rsidP="00C23663">
            <w:pPr>
              <w:jc w:val="right"/>
              <w:rPr>
                <w:sz w:val="18"/>
                <w:szCs w:val="18"/>
              </w:rPr>
            </w:pPr>
            <w:r w:rsidRPr="00B02271">
              <w:rPr>
                <w:sz w:val="18"/>
                <w:szCs w:val="18"/>
              </w:rPr>
              <w:t>3</w:t>
            </w:r>
            <w:r w:rsidR="00C23663">
              <w:rPr>
                <w:sz w:val="18"/>
                <w:szCs w:val="18"/>
              </w:rPr>
              <w:t>3.763</w:t>
            </w:r>
          </w:p>
        </w:tc>
        <w:tc>
          <w:tcPr>
            <w:tcW w:w="1427" w:type="dxa"/>
            <w:tcBorders>
              <w:top w:val="nil"/>
              <w:left w:val="nil"/>
              <w:bottom w:val="single" w:sz="8" w:space="0" w:color="auto"/>
              <w:right w:val="single" w:sz="8" w:space="0" w:color="auto"/>
            </w:tcBorders>
            <w:shd w:val="clear" w:color="auto" w:fill="auto"/>
            <w:vAlign w:val="center"/>
            <w:hideMark/>
          </w:tcPr>
          <w:p w:rsidR="00526DF3" w:rsidRPr="00B02271" w:rsidRDefault="00C23663" w:rsidP="00E82794">
            <w:pPr>
              <w:jc w:val="right"/>
              <w:rPr>
                <w:sz w:val="18"/>
                <w:szCs w:val="18"/>
              </w:rPr>
            </w:pPr>
            <w:r>
              <w:rPr>
                <w:sz w:val="18"/>
                <w:szCs w:val="18"/>
              </w:rPr>
              <w:t>6.852</w:t>
            </w:r>
          </w:p>
        </w:tc>
        <w:tc>
          <w:tcPr>
            <w:tcW w:w="1206" w:type="dxa"/>
            <w:tcBorders>
              <w:top w:val="nil"/>
              <w:left w:val="nil"/>
              <w:bottom w:val="single" w:sz="8" w:space="0" w:color="auto"/>
              <w:right w:val="single" w:sz="8" w:space="0" w:color="auto"/>
            </w:tcBorders>
            <w:shd w:val="clear" w:color="auto" w:fill="auto"/>
            <w:vAlign w:val="center"/>
            <w:hideMark/>
          </w:tcPr>
          <w:p w:rsidR="00526DF3" w:rsidRPr="00B02271" w:rsidRDefault="00C23663" w:rsidP="00E82794">
            <w:pPr>
              <w:jc w:val="right"/>
              <w:rPr>
                <w:sz w:val="18"/>
                <w:szCs w:val="18"/>
              </w:rPr>
            </w:pPr>
            <w:r>
              <w:rPr>
                <w:sz w:val="18"/>
                <w:szCs w:val="18"/>
              </w:rPr>
              <w:t>5.153</w:t>
            </w:r>
          </w:p>
        </w:tc>
        <w:tc>
          <w:tcPr>
            <w:tcW w:w="1608" w:type="dxa"/>
            <w:tcBorders>
              <w:top w:val="nil"/>
              <w:left w:val="nil"/>
              <w:bottom w:val="single" w:sz="8" w:space="0" w:color="auto"/>
              <w:right w:val="single" w:sz="8" w:space="0" w:color="auto"/>
            </w:tcBorders>
            <w:shd w:val="clear" w:color="auto" w:fill="auto"/>
            <w:vAlign w:val="center"/>
            <w:hideMark/>
          </w:tcPr>
          <w:p w:rsidR="00526DF3" w:rsidRPr="00B02271" w:rsidRDefault="002F4C6D" w:rsidP="00C23663">
            <w:pPr>
              <w:jc w:val="right"/>
              <w:rPr>
                <w:sz w:val="18"/>
                <w:szCs w:val="18"/>
              </w:rPr>
            </w:pPr>
            <w:r w:rsidRPr="00B02271">
              <w:rPr>
                <w:sz w:val="18"/>
                <w:szCs w:val="18"/>
              </w:rPr>
              <w:t>3</w:t>
            </w:r>
            <w:r w:rsidR="00C23663">
              <w:rPr>
                <w:sz w:val="18"/>
                <w:szCs w:val="18"/>
              </w:rPr>
              <w:t>3.763</w:t>
            </w:r>
          </w:p>
        </w:tc>
        <w:tc>
          <w:tcPr>
            <w:tcW w:w="1340" w:type="dxa"/>
            <w:tcBorders>
              <w:top w:val="nil"/>
              <w:left w:val="nil"/>
              <w:bottom w:val="single" w:sz="8" w:space="0" w:color="auto"/>
              <w:right w:val="single" w:sz="8" w:space="0" w:color="auto"/>
            </w:tcBorders>
            <w:shd w:val="clear" w:color="auto" w:fill="auto"/>
            <w:vAlign w:val="center"/>
            <w:hideMark/>
          </w:tcPr>
          <w:p w:rsidR="00526DF3" w:rsidRPr="00B02271" w:rsidRDefault="00C23663" w:rsidP="00E82794">
            <w:pPr>
              <w:jc w:val="right"/>
              <w:rPr>
                <w:sz w:val="18"/>
                <w:szCs w:val="18"/>
              </w:rPr>
            </w:pPr>
            <w:r>
              <w:rPr>
                <w:sz w:val="18"/>
                <w:szCs w:val="18"/>
              </w:rPr>
              <w:t>6.239</w:t>
            </w:r>
          </w:p>
        </w:tc>
        <w:tc>
          <w:tcPr>
            <w:tcW w:w="1205" w:type="dxa"/>
            <w:tcBorders>
              <w:top w:val="nil"/>
              <w:left w:val="nil"/>
              <w:bottom w:val="single" w:sz="8" w:space="0" w:color="auto"/>
              <w:right w:val="single" w:sz="8" w:space="0" w:color="auto"/>
            </w:tcBorders>
            <w:shd w:val="clear" w:color="auto" w:fill="auto"/>
            <w:vAlign w:val="center"/>
            <w:hideMark/>
          </w:tcPr>
          <w:p w:rsidR="00526DF3" w:rsidRPr="00B02271" w:rsidRDefault="00C23663" w:rsidP="00E82794">
            <w:pPr>
              <w:jc w:val="right"/>
              <w:rPr>
                <w:sz w:val="18"/>
                <w:szCs w:val="18"/>
              </w:rPr>
            </w:pPr>
            <w:r>
              <w:rPr>
                <w:sz w:val="18"/>
                <w:szCs w:val="18"/>
              </w:rPr>
              <w:t>4.696</w:t>
            </w:r>
          </w:p>
        </w:tc>
      </w:tr>
    </w:tbl>
    <w:p w:rsidR="00526DF3" w:rsidRPr="00FD7B48" w:rsidRDefault="00526DF3" w:rsidP="00E40A57">
      <w:pPr>
        <w:jc w:val="center"/>
      </w:pPr>
    </w:p>
    <w:p w:rsidR="00526DF3" w:rsidRDefault="00526DF3" w:rsidP="00E40A57">
      <w:pPr>
        <w:tabs>
          <w:tab w:val="left" w:pos="851"/>
        </w:tabs>
        <w:jc w:val="center"/>
        <w:rPr>
          <w:b/>
        </w:rPr>
      </w:pPr>
    </w:p>
    <w:tbl>
      <w:tblPr>
        <w:tblW w:w="0" w:type="auto"/>
        <w:tblLook w:val="01E0" w:firstRow="1" w:lastRow="1" w:firstColumn="1" w:lastColumn="1" w:noHBand="0" w:noVBand="0"/>
      </w:tblPr>
      <w:tblGrid>
        <w:gridCol w:w="4606"/>
        <w:gridCol w:w="4606"/>
      </w:tblGrid>
      <w:tr w:rsidR="009E55A1" w:rsidRPr="00FD7B48" w:rsidTr="00964B94">
        <w:tc>
          <w:tcPr>
            <w:tcW w:w="9212" w:type="dxa"/>
            <w:gridSpan w:val="2"/>
          </w:tcPr>
          <w:p w:rsidR="009E55A1" w:rsidRPr="00FD7B48" w:rsidRDefault="009E55A1" w:rsidP="00964B94">
            <w:pPr>
              <w:jc w:val="center"/>
            </w:pPr>
            <w:bookmarkStart w:id="76" w:name="_Toc457909667"/>
            <w:bookmarkStart w:id="77" w:name="_Toc457910655"/>
          </w:p>
          <w:p w:rsidR="009E55A1" w:rsidRPr="00FD7B48" w:rsidRDefault="009E55A1" w:rsidP="00964B94">
            <w:pPr>
              <w:jc w:val="center"/>
            </w:pPr>
            <w:proofErr w:type="gramStart"/>
            <w:r w:rsidRPr="00FD7B48">
              <w:t>Prof.</w:t>
            </w:r>
            <w:proofErr w:type="gramEnd"/>
            <w:r w:rsidRPr="00FD7B48">
              <w:t xml:space="preserve"> </w:t>
            </w:r>
            <w:bookmarkEnd w:id="76"/>
            <w:bookmarkEnd w:id="77"/>
            <w:r w:rsidRPr="00FD7B48">
              <w:t xml:space="preserve">Nadine Oliveira </w:t>
            </w:r>
            <w:proofErr w:type="spellStart"/>
            <w:r w:rsidRPr="00FD7B48">
              <w:t>Clausell</w:t>
            </w:r>
            <w:proofErr w:type="spellEnd"/>
          </w:p>
        </w:tc>
      </w:tr>
      <w:tr w:rsidR="009E55A1" w:rsidRPr="00FD7B48" w:rsidTr="00964B94">
        <w:tc>
          <w:tcPr>
            <w:tcW w:w="9212" w:type="dxa"/>
            <w:gridSpan w:val="2"/>
          </w:tcPr>
          <w:p w:rsidR="009E55A1" w:rsidRPr="00FD7B48" w:rsidRDefault="00222B2B" w:rsidP="00964B94">
            <w:pPr>
              <w:jc w:val="center"/>
            </w:pPr>
            <w:r>
              <w:t>Diretora-</w:t>
            </w:r>
            <w:r w:rsidR="009E55A1" w:rsidRPr="00FD7B48">
              <w:t>Presidente</w:t>
            </w:r>
          </w:p>
          <w:p w:rsidR="009E55A1" w:rsidRDefault="009E55A1" w:rsidP="00964B94">
            <w:pPr>
              <w:jc w:val="center"/>
              <w:rPr>
                <w:b/>
              </w:rPr>
            </w:pPr>
          </w:p>
          <w:p w:rsidR="009E55A1" w:rsidRDefault="009E55A1" w:rsidP="00964B94">
            <w:pPr>
              <w:jc w:val="center"/>
              <w:rPr>
                <w:b/>
              </w:rPr>
            </w:pPr>
          </w:p>
          <w:p w:rsidR="00344CEE" w:rsidRDefault="00344CEE" w:rsidP="00964B94">
            <w:pPr>
              <w:jc w:val="center"/>
              <w:rPr>
                <w:b/>
              </w:rPr>
            </w:pPr>
          </w:p>
          <w:p w:rsidR="00697DA8" w:rsidRDefault="00697DA8" w:rsidP="00964B94">
            <w:pPr>
              <w:jc w:val="center"/>
              <w:rPr>
                <w:b/>
              </w:rPr>
            </w:pPr>
          </w:p>
          <w:p w:rsidR="009E55A1" w:rsidRPr="00FD7B48" w:rsidRDefault="009E55A1" w:rsidP="00964B94">
            <w:pPr>
              <w:jc w:val="center"/>
              <w:rPr>
                <w:b/>
              </w:rPr>
            </w:pPr>
          </w:p>
        </w:tc>
      </w:tr>
      <w:tr w:rsidR="009E55A1" w:rsidRPr="00FD7B48" w:rsidTr="00964B94">
        <w:tc>
          <w:tcPr>
            <w:tcW w:w="9212" w:type="dxa"/>
            <w:gridSpan w:val="2"/>
          </w:tcPr>
          <w:tbl>
            <w:tblPr>
              <w:tblW w:w="0" w:type="auto"/>
              <w:tblLook w:val="01E0" w:firstRow="1" w:lastRow="1" w:firstColumn="1" w:lastColumn="1" w:noHBand="0" w:noVBand="0"/>
            </w:tblPr>
            <w:tblGrid>
              <w:gridCol w:w="4490"/>
              <w:gridCol w:w="4491"/>
            </w:tblGrid>
            <w:tr w:rsidR="009E55A1" w:rsidRPr="00FD7B48" w:rsidTr="00964B94">
              <w:tc>
                <w:tcPr>
                  <w:tcW w:w="4490" w:type="dxa"/>
                  <w:tcBorders>
                    <w:top w:val="nil"/>
                    <w:left w:val="nil"/>
                    <w:bottom w:val="nil"/>
                    <w:right w:val="nil"/>
                  </w:tcBorders>
                </w:tcPr>
                <w:p w:rsidR="009E55A1" w:rsidRPr="00FD7B48" w:rsidRDefault="009E55A1" w:rsidP="00964B94">
                  <w:pPr>
                    <w:jc w:val="center"/>
                  </w:pPr>
                  <w:r w:rsidRPr="00FD7B48">
                    <w:t>Prof. Milton Berger</w:t>
                  </w:r>
                </w:p>
              </w:tc>
              <w:tc>
                <w:tcPr>
                  <w:tcW w:w="4491" w:type="dxa"/>
                  <w:tcBorders>
                    <w:top w:val="nil"/>
                    <w:left w:val="nil"/>
                    <w:bottom w:val="nil"/>
                    <w:right w:val="nil"/>
                  </w:tcBorders>
                </w:tcPr>
                <w:p w:rsidR="009E55A1" w:rsidRPr="00FD7B48" w:rsidRDefault="009E55A1" w:rsidP="00964B94">
                  <w:pPr>
                    <w:jc w:val="center"/>
                  </w:pPr>
                  <w:r>
                    <w:t xml:space="preserve">          </w:t>
                  </w:r>
                  <w:r w:rsidRPr="00FD7B48">
                    <w:t xml:space="preserve">Me. Jorge </w:t>
                  </w:r>
                  <w:proofErr w:type="spellStart"/>
                  <w:r w:rsidRPr="00FD7B48">
                    <w:t>Luis</w:t>
                  </w:r>
                  <w:proofErr w:type="spellEnd"/>
                  <w:r w:rsidRPr="00FD7B48">
                    <w:t xml:space="preserve"> </w:t>
                  </w:r>
                  <w:proofErr w:type="spellStart"/>
                  <w:r w:rsidRPr="00FD7B48">
                    <w:t>Bajerski</w:t>
                  </w:r>
                  <w:proofErr w:type="spellEnd"/>
                </w:p>
              </w:tc>
            </w:tr>
            <w:tr w:rsidR="009E55A1" w:rsidRPr="00FD7B48" w:rsidTr="00964B94">
              <w:tc>
                <w:tcPr>
                  <w:tcW w:w="4490" w:type="dxa"/>
                  <w:tcBorders>
                    <w:top w:val="nil"/>
                    <w:left w:val="nil"/>
                    <w:bottom w:val="nil"/>
                    <w:right w:val="nil"/>
                  </w:tcBorders>
                </w:tcPr>
                <w:p w:rsidR="00697DA8" w:rsidRDefault="00222B2B" w:rsidP="00964B94">
                  <w:pPr>
                    <w:jc w:val="center"/>
                  </w:pPr>
                  <w:r>
                    <w:t>Diretor-Médico</w:t>
                  </w:r>
                </w:p>
                <w:p w:rsidR="009E55A1" w:rsidRPr="00FD7B48" w:rsidRDefault="009E55A1" w:rsidP="00222B2B">
                  <w:pPr>
                    <w:jc w:val="center"/>
                  </w:pPr>
                  <w:r w:rsidRPr="00FD7B48">
                    <w:t xml:space="preserve"> </w:t>
                  </w:r>
                </w:p>
              </w:tc>
              <w:tc>
                <w:tcPr>
                  <w:tcW w:w="4491" w:type="dxa"/>
                  <w:tcBorders>
                    <w:top w:val="nil"/>
                    <w:left w:val="nil"/>
                    <w:bottom w:val="nil"/>
                    <w:right w:val="nil"/>
                  </w:tcBorders>
                </w:tcPr>
                <w:p w:rsidR="009E55A1" w:rsidRDefault="009E55A1" w:rsidP="00964B94">
                  <w:r w:rsidRPr="00FD7B48">
                    <w:t xml:space="preserve">                    </w:t>
                  </w:r>
                  <w:r w:rsidR="00222B2B">
                    <w:t xml:space="preserve">        </w:t>
                  </w:r>
                  <w:r w:rsidRPr="00FD7B48">
                    <w:t xml:space="preserve"> </w:t>
                  </w:r>
                  <w:r w:rsidR="00222B2B">
                    <w:t>Diretor</w:t>
                  </w:r>
                  <w:r w:rsidR="0082561D">
                    <w:t xml:space="preserve"> </w:t>
                  </w:r>
                  <w:r w:rsidRPr="00FD7B48">
                    <w:t>Administrativo</w:t>
                  </w:r>
                </w:p>
                <w:p w:rsidR="0082561D" w:rsidRDefault="0082561D" w:rsidP="00964B94"/>
                <w:p w:rsidR="009E55A1" w:rsidRDefault="009E55A1" w:rsidP="00964B94"/>
                <w:p w:rsidR="009E55A1" w:rsidRDefault="009E55A1" w:rsidP="00964B94"/>
                <w:p w:rsidR="009E55A1" w:rsidRPr="00FD7B48" w:rsidRDefault="009E55A1" w:rsidP="00964B94"/>
              </w:tc>
            </w:tr>
          </w:tbl>
          <w:p w:rsidR="009E55A1" w:rsidRPr="00FD7B48" w:rsidRDefault="009E55A1" w:rsidP="00964B94">
            <w:pPr>
              <w:rPr>
                <w:b/>
              </w:rPr>
            </w:pPr>
          </w:p>
        </w:tc>
      </w:tr>
      <w:tr w:rsidR="009E55A1" w:rsidRPr="00FD7B48" w:rsidTr="00964B94">
        <w:tc>
          <w:tcPr>
            <w:tcW w:w="4606" w:type="dxa"/>
          </w:tcPr>
          <w:p w:rsidR="009E55A1" w:rsidRPr="00FD7B48" w:rsidRDefault="009E55A1" w:rsidP="00964B94">
            <w:pPr>
              <w:jc w:val="center"/>
            </w:pPr>
            <w:r>
              <w:t xml:space="preserve">Contadora Neiva Teresinha </w:t>
            </w:r>
            <w:proofErr w:type="spellStart"/>
            <w:r>
              <w:t>Finato</w:t>
            </w:r>
            <w:proofErr w:type="spellEnd"/>
          </w:p>
        </w:tc>
        <w:tc>
          <w:tcPr>
            <w:tcW w:w="4606" w:type="dxa"/>
          </w:tcPr>
          <w:p w:rsidR="009E55A1" w:rsidRPr="00FD7B48" w:rsidRDefault="00697DA8" w:rsidP="00964B94">
            <w:pPr>
              <w:jc w:val="center"/>
            </w:pPr>
            <w:r>
              <w:t xml:space="preserve">Luciana Raupp Rios </w:t>
            </w:r>
            <w:proofErr w:type="spellStart"/>
            <w:r>
              <w:t>Wohlgemuth</w:t>
            </w:r>
            <w:proofErr w:type="spellEnd"/>
          </w:p>
        </w:tc>
      </w:tr>
      <w:tr w:rsidR="009E55A1" w:rsidRPr="00FD7B48" w:rsidTr="00964B94">
        <w:tc>
          <w:tcPr>
            <w:tcW w:w="4606" w:type="dxa"/>
          </w:tcPr>
          <w:p w:rsidR="009E55A1" w:rsidRPr="00FD7B48" w:rsidRDefault="004A409E" w:rsidP="00964B94">
            <w:pPr>
              <w:jc w:val="center"/>
            </w:pPr>
            <w:r>
              <w:t xml:space="preserve">Coord. de Gestão </w:t>
            </w:r>
            <w:r w:rsidR="009E55A1">
              <w:t>Contábil - CRC/RS n° 5</w:t>
            </w:r>
            <w:r w:rsidR="009E55A1" w:rsidRPr="00FD7B48">
              <w:t>3.292</w:t>
            </w:r>
          </w:p>
        </w:tc>
        <w:tc>
          <w:tcPr>
            <w:tcW w:w="4606" w:type="dxa"/>
          </w:tcPr>
          <w:p w:rsidR="009E55A1" w:rsidRPr="00FD7B48" w:rsidRDefault="00697DA8" w:rsidP="00964B94">
            <w:pPr>
              <w:jc w:val="center"/>
            </w:pPr>
            <w:r>
              <w:t>Contadora – CRC/RS nº 69.663</w:t>
            </w:r>
          </w:p>
        </w:tc>
      </w:tr>
      <w:tr w:rsidR="009E55A1" w:rsidRPr="00FD7B48" w:rsidTr="00964B94">
        <w:trPr>
          <w:gridAfter w:val="1"/>
          <w:wAfter w:w="4606" w:type="dxa"/>
        </w:trPr>
        <w:tc>
          <w:tcPr>
            <w:tcW w:w="4606" w:type="dxa"/>
          </w:tcPr>
          <w:p w:rsidR="009E55A1" w:rsidRPr="00FD7B48" w:rsidRDefault="009E55A1" w:rsidP="00964B94">
            <w:pPr>
              <w:jc w:val="center"/>
            </w:pPr>
          </w:p>
        </w:tc>
      </w:tr>
      <w:tr w:rsidR="009E55A1" w:rsidRPr="00FD7B48" w:rsidTr="00964B94">
        <w:trPr>
          <w:gridAfter w:val="1"/>
          <w:wAfter w:w="4606" w:type="dxa"/>
        </w:trPr>
        <w:tc>
          <w:tcPr>
            <w:tcW w:w="4606" w:type="dxa"/>
          </w:tcPr>
          <w:p w:rsidR="009E55A1" w:rsidRPr="00FD7B48" w:rsidRDefault="009E55A1" w:rsidP="00964B94">
            <w:pPr>
              <w:jc w:val="center"/>
            </w:pPr>
          </w:p>
        </w:tc>
      </w:tr>
    </w:tbl>
    <w:p w:rsidR="009E55A1" w:rsidRPr="00FD7B48" w:rsidRDefault="009E55A1" w:rsidP="007B53E0">
      <w:pPr>
        <w:tabs>
          <w:tab w:val="left" w:pos="851"/>
        </w:tabs>
        <w:rPr>
          <w:b/>
        </w:rPr>
      </w:pPr>
    </w:p>
    <w:sectPr w:rsidR="009E55A1" w:rsidRPr="00FD7B48" w:rsidSect="00F6269A">
      <w:headerReference w:type="default" r:id="rId19"/>
      <w:headerReference w:type="first" r:id="rId20"/>
      <w:pgSz w:w="11907" w:h="16839" w:code="9"/>
      <w:pgMar w:top="1418"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749" w:rsidRDefault="00E11749">
      <w:r>
        <w:separator/>
      </w:r>
    </w:p>
  </w:endnote>
  <w:endnote w:type="continuationSeparator" w:id="0">
    <w:p w:rsidR="00E11749" w:rsidRDefault="00E1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749" w:rsidRDefault="00E11749">
      <w:r>
        <w:separator/>
      </w:r>
    </w:p>
  </w:footnote>
  <w:footnote w:type="continuationSeparator" w:id="0">
    <w:p w:rsidR="00E11749" w:rsidRDefault="00E11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49" w:rsidRDefault="00F06B1B" w:rsidP="00BB79D4">
    <w:pPr>
      <w:pStyle w:val="Cabealho"/>
    </w:pPr>
    <w:sdt>
      <w:sdtPr>
        <w:id w:val="-1937894443"/>
        <w:docPartObj>
          <w:docPartGallery w:val="Page Numbers (Margins)"/>
          <w:docPartUnique/>
        </w:docPartObj>
      </w:sdtPr>
      <w:sdtEndPr/>
      <w:sdtContent>
        <w:r w:rsidR="00E11749">
          <w:rPr>
            <w:noProof/>
          </w:rPr>
          <mc:AlternateContent>
            <mc:Choice Requires="wps">
              <w:drawing>
                <wp:anchor distT="0" distB="0" distL="114300" distR="114300" simplePos="0" relativeHeight="251692032" behindDoc="0" locked="0" layoutInCell="0" allowOverlap="1" wp14:anchorId="0C465569" wp14:editId="01474277">
                  <wp:simplePos x="0" y="0"/>
                  <wp:positionH relativeFrom="rightMargin">
                    <wp:align>center</wp:align>
                  </wp:positionH>
                  <wp:positionV relativeFrom="margin">
                    <wp:align>bottom</wp:align>
                  </wp:positionV>
                  <wp:extent cx="510540" cy="2183130"/>
                  <wp:effectExtent l="0" t="0" r="0" b="0"/>
                  <wp:wrapNone/>
                  <wp:docPr id="1"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749" w:rsidRPr="00E52C3C" w:rsidRDefault="00E11749">
                              <w:pPr>
                                <w:pStyle w:val="Rodap"/>
                                <w:rPr>
                                  <w:rFonts w:eastAsiaTheme="majorEastAsia"/>
                                  <w:sz w:val="16"/>
                                  <w:szCs w:val="16"/>
                                </w:rPr>
                              </w:pPr>
                              <w:r w:rsidRPr="00E52C3C">
                                <w:rPr>
                                  <w:rFonts w:eastAsiaTheme="majorEastAsia"/>
                                  <w:sz w:val="16"/>
                                  <w:szCs w:val="16"/>
                                </w:rPr>
                                <w:t>Página</w:t>
                              </w:r>
                              <w:r>
                                <w:rPr>
                                  <w:rFonts w:eastAsiaTheme="majorEastAsia"/>
                                  <w:sz w:val="16"/>
                                  <w:szCs w:val="16"/>
                                </w:rPr>
                                <w:t xml:space="preserve"> </w:t>
                              </w:r>
                              <w:r w:rsidRPr="00E52C3C">
                                <w:rPr>
                                  <w:rFonts w:eastAsiaTheme="minorEastAsia"/>
                                  <w:sz w:val="16"/>
                                  <w:szCs w:val="16"/>
                                </w:rPr>
                                <w:fldChar w:fldCharType="begin"/>
                              </w:r>
                              <w:r w:rsidRPr="00E52C3C">
                                <w:rPr>
                                  <w:sz w:val="16"/>
                                  <w:szCs w:val="16"/>
                                </w:rPr>
                                <w:instrText>PAGE    \* MERGEFORMAT</w:instrText>
                              </w:r>
                              <w:r w:rsidRPr="00E52C3C">
                                <w:rPr>
                                  <w:rFonts w:eastAsiaTheme="minorEastAsia"/>
                                  <w:sz w:val="16"/>
                                  <w:szCs w:val="16"/>
                                </w:rPr>
                                <w:fldChar w:fldCharType="separate"/>
                              </w:r>
                              <w:r w:rsidR="00F06B1B" w:rsidRPr="00F06B1B">
                                <w:rPr>
                                  <w:rFonts w:eastAsiaTheme="majorEastAsia"/>
                                  <w:noProof/>
                                  <w:sz w:val="16"/>
                                  <w:szCs w:val="16"/>
                                </w:rPr>
                                <w:t>2</w:t>
                              </w:r>
                              <w:r w:rsidRPr="00E52C3C">
                                <w:rPr>
                                  <w:rFonts w:eastAsiaTheme="majorEastAsia"/>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0;margin-top:0;width:40.2pt;height:171.9pt;z-index:2516920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dzsgIAAJ4FAAAOAAAAZHJzL2Uyb0RvYy54bWysVNuOmzAQfa/Uf7D8znIJJICWrLYhVJW2&#10;7arbfoADBqyCTW0nZFX1Z/or/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" o:allowincell="f" filled="f" stroked="f">
                  <v:textbox style="layout-flow:vertical;mso-layout-flow-alt:bottom-to-top;mso-fit-shape-to-text:t">
                    <w:txbxContent>
                      <w:p w:rsidR="00E11749" w:rsidRPr="00E52C3C" w:rsidRDefault="00E11749">
                        <w:pPr>
                          <w:pStyle w:val="Rodap"/>
                          <w:rPr>
                            <w:rFonts w:eastAsiaTheme="majorEastAsia"/>
                            <w:sz w:val="16"/>
                            <w:szCs w:val="16"/>
                          </w:rPr>
                        </w:pPr>
                        <w:r w:rsidRPr="00E52C3C">
                          <w:rPr>
                            <w:rFonts w:eastAsiaTheme="majorEastAsia"/>
                            <w:sz w:val="16"/>
                            <w:szCs w:val="16"/>
                          </w:rPr>
                          <w:t>Página</w:t>
                        </w:r>
                        <w:r>
                          <w:rPr>
                            <w:rFonts w:eastAsiaTheme="majorEastAsia"/>
                            <w:sz w:val="16"/>
                            <w:szCs w:val="16"/>
                          </w:rPr>
                          <w:t xml:space="preserve"> </w:t>
                        </w:r>
                        <w:r w:rsidRPr="00E52C3C">
                          <w:rPr>
                            <w:rFonts w:eastAsiaTheme="minorEastAsia"/>
                            <w:sz w:val="16"/>
                            <w:szCs w:val="16"/>
                          </w:rPr>
                          <w:fldChar w:fldCharType="begin"/>
                        </w:r>
                        <w:r w:rsidRPr="00E52C3C">
                          <w:rPr>
                            <w:sz w:val="16"/>
                            <w:szCs w:val="16"/>
                          </w:rPr>
                          <w:instrText>PAGE    \* MERGEFORMAT</w:instrText>
                        </w:r>
                        <w:r w:rsidRPr="00E52C3C">
                          <w:rPr>
                            <w:rFonts w:eastAsiaTheme="minorEastAsia"/>
                            <w:sz w:val="16"/>
                            <w:szCs w:val="16"/>
                          </w:rPr>
                          <w:fldChar w:fldCharType="separate"/>
                        </w:r>
                        <w:r w:rsidR="00F06B1B" w:rsidRPr="00F06B1B">
                          <w:rPr>
                            <w:rFonts w:eastAsiaTheme="majorEastAsia"/>
                            <w:noProof/>
                            <w:sz w:val="16"/>
                            <w:szCs w:val="16"/>
                          </w:rPr>
                          <w:t>2</w:t>
                        </w:r>
                        <w:r w:rsidRPr="00E52C3C">
                          <w:rPr>
                            <w:rFonts w:eastAsiaTheme="majorEastAsia"/>
                            <w:sz w:val="16"/>
                            <w:szCs w:val="16"/>
                          </w:rPr>
                          <w:fldChar w:fldCharType="end"/>
                        </w:r>
                      </w:p>
                    </w:txbxContent>
                  </v:textbox>
                  <w10:wrap anchorx="margin" anchory="margin"/>
                </v:rect>
              </w:pict>
            </mc:Fallback>
          </mc:AlternateContent>
        </w:r>
      </w:sdtContent>
    </w:sdt>
    <w:r w:rsidR="00E11749">
      <w:rPr>
        <w:noProof/>
      </w:rPr>
      <w:drawing>
        <wp:anchor distT="0" distB="0" distL="114300" distR="114300" simplePos="0" relativeHeight="251671552" behindDoc="1" locked="0" layoutInCell="1" allowOverlap="1" wp14:anchorId="545EF2E1" wp14:editId="59987163">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6" name="Imagem 6"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1749" w:rsidRDefault="00E11749" w:rsidP="00BB79D4">
    <w:pPr>
      <w:pStyle w:val="Cabealho"/>
    </w:pPr>
  </w:p>
  <w:p w:rsidR="00E11749" w:rsidRDefault="00E11749" w:rsidP="00BB79D4">
    <w:pPr>
      <w:pStyle w:val="Cabealho"/>
    </w:pPr>
  </w:p>
  <w:p w:rsidR="00E11749" w:rsidRDefault="00E11749" w:rsidP="00BB79D4">
    <w:pPr>
      <w:pStyle w:val="Ttulo2"/>
      <w:jc w:val="left"/>
      <w:rPr>
        <w:b w:val="0"/>
        <w:sz w:val="20"/>
      </w:rPr>
    </w:pPr>
  </w:p>
  <w:p w:rsidR="00E11749" w:rsidRDefault="00E11749" w:rsidP="00BB79D4">
    <w:pPr>
      <w:pStyle w:val="Ttulo2"/>
      <w:jc w:val="left"/>
      <w:rPr>
        <w:b w:val="0"/>
        <w:sz w:val="20"/>
      </w:rPr>
    </w:pPr>
  </w:p>
  <w:p w:rsidR="00E11749" w:rsidRPr="00CD7310" w:rsidRDefault="00E11749" w:rsidP="00BB79D4">
    <w:pPr>
      <w:pStyle w:val="Ttulo1"/>
      <w:jc w:val="left"/>
    </w:pPr>
    <w:r>
      <w:t>Demonstrações Financeiras</w:t>
    </w:r>
  </w:p>
  <w:p w:rsidR="00E11749" w:rsidRPr="00F44460" w:rsidRDefault="00E11749" w:rsidP="00BB79D4">
    <w:pPr>
      <w:pStyle w:val="Ttulo2"/>
      <w:jc w:val="left"/>
      <w:rPr>
        <w:sz w:val="16"/>
        <w:szCs w:val="16"/>
      </w:rPr>
    </w:pPr>
    <w:r>
      <w:rPr>
        <w:sz w:val="20"/>
      </w:rPr>
      <w:t>Exercício findo em 31 de dezembro</w:t>
    </w:r>
    <w:r w:rsidRPr="00F44460">
      <w:rPr>
        <w:sz w:val="20"/>
      </w:rPr>
      <w:t xml:space="preserve"> </w:t>
    </w:r>
    <w:r>
      <w:rPr>
        <w:sz w:val="20"/>
      </w:rPr>
      <w:t>de 2017</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49" w:rsidRDefault="00F06B1B" w:rsidP="009F4A48">
    <w:pPr>
      <w:pStyle w:val="Cabealho"/>
    </w:pPr>
    <w:sdt>
      <w:sdtPr>
        <w:id w:val="554977182"/>
        <w:docPartObj>
          <w:docPartGallery w:val="Page Numbers (Margins)"/>
          <w:docPartUnique/>
        </w:docPartObj>
      </w:sdtPr>
      <w:sdtEndPr/>
      <w:sdtContent>
        <w:r w:rsidR="00E11749">
          <w:rPr>
            <w:noProof/>
          </w:rPr>
          <mc:AlternateContent>
            <mc:Choice Requires="wps">
              <w:drawing>
                <wp:anchor distT="0" distB="0" distL="114300" distR="114300" simplePos="0" relativeHeight="251694080" behindDoc="0" locked="0" layoutInCell="0" allowOverlap="1" wp14:anchorId="33F1C7D7" wp14:editId="5D8C469D">
                  <wp:simplePos x="0" y="0"/>
                  <wp:positionH relativeFrom="rightMargin">
                    <wp:align>center</wp:align>
                  </wp:positionH>
                  <wp:positionV relativeFrom="margin">
                    <wp:align>bottom</wp:align>
                  </wp:positionV>
                  <wp:extent cx="510540" cy="2183130"/>
                  <wp:effectExtent l="0" t="0" r="0" b="0"/>
                  <wp:wrapNone/>
                  <wp:docPr id="2"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749" w:rsidRPr="008450AC" w:rsidRDefault="00E11749">
                              <w:pPr>
                                <w:pStyle w:val="Rodap"/>
                                <w:rPr>
                                  <w:rFonts w:eastAsiaTheme="majorEastAsia"/>
                                  <w:sz w:val="16"/>
                                  <w:szCs w:val="16"/>
                                </w:rPr>
                              </w:pPr>
                              <w:r w:rsidRPr="008450AC">
                                <w:rPr>
                                  <w:rFonts w:eastAsiaTheme="majorEastAsia"/>
                                  <w:sz w:val="16"/>
                                  <w:szCs w:val="16"/>
                                </w:rPr>
                                <w:t>Página</w:t>
                              </w:r>
                              <w:r>
                                <w:rPr>
                                  <w:rFonts w:eastAsiaTheme="majorEastAsia"/>
                                  <w:sz w:val="16"/>
                                  <w:szCs w:val="16"/>
                                </w:rPr>
                                <w:t xml:space="preserve"> </w:t>
                              </w:r>
                              <w:r w:rsidRPr="008450AC">
                                <w:rPr>
                                  <w:rFonts w:eastAsiaTheme="minorEastAsia"/>
                                  <w:sz w:val="16"/>
                                  <w:szCs w:val="16"/>
                                </w:rPr>
                                <w:fldChar w:fldCharType="begin"/>
                              </w:r>
                              <w:r w:rsidRPr="008450AC">
                                <w:rPr>
                                  <w:sz w:val="16"/>
                                  <w:szCs w:val="16"/>
                                </w:rPr>
                                <w:instrText>PAGE    \* MERGEFORMAT</w:instrText>
                              </w:r>
                              <w:r w:rsidRPr="008450AC">
                                <w:rPr>
                                  <w:rFonts w:eastAsiaTheme="minorEastAsia"/>
                                  <w:sz w:val="16"/>
                                  <w:szCs w:val="16"/>
                                </w:rPr>
                                <w:fldChar w:fldCharType="separate"/>
                              </w:r>
                              <w:r w:rsidR="00F06B1B" w:rsidRPr="00F06B1B">
                                <w:rPr>
                                  <w:rFonts w:eastAsiaTheme="majorEastAsia"/>
                                  <w:noProof/>
                                  <w:sz w:val="16"/>
                                  <w:szCs w:val="16"/>
                                </w:rPr>
                                <w:t>14</w:t>
                              </w:r>
                              <w:r w:rsidRPr="008450AC">
                                <w:rPr>
                                  <w:rFonts w:eastAsiaTheme="majorEastAsia"/>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0;margin-top:0;width:40.2pt;height:171.9pt;z-index:2516940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ui4SFrcCAACl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rsidR="00E11749" w:rsidRPr="008450AC" w:rsidRDefault="00E11749">
                        <w:pPr>
                          <w:pStyle w:val="Rodap"/>
                          <w:rPr>
                            <w:rFonts w:eastAsiaTheme="majorEastAsia"/>
                            <w:sz w:val="16"/>
                            <w:szCs w:val="16"/>
                          </w:rPr>
                        </w:pPr>
                        <w:r w:rsidRPr="008450AC">
                          <w:rPr>
                            <w:rFonts w:eastAsiaTheme="majorEastAsia"/>
                            <w:sz w:val="16"/>
                            <w:szCs w:val="16"/>
                          </w:rPr>
                          <w:t>Página</w:t>
                        </w:r>
                        <w:r>
                          <w:rPr>
                            <w:rFonts w:eastAsiaTheme="majorEastAsia"/>
                            <w:sz w:val="16"/>
                            <w:szCs w:val="16"/>
                          </w:rPr>
                          <w:t xml:space="preserve"> </w:t>
                        </w:r>
                        <w:r w:rsidRPr="008450AC">
                          <w:rPr>
                            <w:rFonts w:eastAsiaTheme="minorEastAsia"/>
                            <w:sz w:val="16"/>
                            <w:szCs w:val="16"/>
                          </w:rPr>
                          <w:fldChar w:fldCharType="begin"/>
                        </w:r>
                        <w:r w:rsidRPr="008450AC">
                          <w:rPr>
                            <w:sz w:val="16"/>
                            <w:szCs w:val="16"/>
                          </w:rPr>
                          <w:instrText>PAGE    \* MERGEFORMAT</w:instrText>
                        </w:r>
                        <w:r w:rsidRPr="008450AC">
                          <w:rPr>
                            <w:rFonts w:eastAsiaTheme="minorEastAsia"/>
                            <w:sz w:val="16"/>
                            <w:szCs w:val="16"/>
                          </w:rPr>
                          <w:fldChar w:fldCharType="separate"/>
                        </w:r>
                        <w:r w:rsidR="00F06B1B" w:rsidRPr="00F06B1B">
                          <w:rPr>
                            <w:rFonts w:eastAsiaTheme="majorEastAsia"/>
                            <w:noProof/>
                            <w:sz w:val="16"/>
                            <w:szCs w:val="16"/>
                          </w:rPr>
                          <w:t>14</w:t>
                        </w:r>
                        <w:r w:rsidRPr="008450AC">
                          <w:rPr>
                            <w:rFonts w:eastAsiaTheme="majorEastAsia"/>
                            <w:sz w:val="16"/>
                            <w:szCs w:val="16"/>
                          </w:rPr>
                          <w:fldChar w:fldCharType="end"/>
                        </w:r>
                      </w:p>
                    </w:txbxContent>
                  </v:textbox>
                  <w10:wrap anchorx="margin" anchory="margin"/>
                </v:rect>
              </w:pict>
            </mc:Fallback>
          </mc:AlternateContent>
        </w:r>
      </w:sdtContent>
    </w:sdt>
    <w:r w:rsidR="00E11749">
      <w:rPr>
        <w:noProof/>
      </w:rPr>
      <w:drawing>
        <wp:anchor distT="0" distB="0" distL="114300" distR="114300" simplePos="0" relativeHeight="251687936" behindDoc="1" locked="0" layoutInCell="1" allowOverlap="1" wp14:anchorId="697DE81F" wp14:editId="1E3EED77">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19" name="Imagem 19"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E11749" w:rsidRDefault="00E11749" w:rsidP="009F4A48">
    <w:pPr>
      <w:pStyle w:val="Cabealho"/>
    </w:pPr>
  </w:p>
  <w:p w:rsidR="00E11749" w:rsidRDefault="00E11749" w:rsidP="002A4D93">
    <w:pPr>
      <w:pStyle w:val="Ttulo2"/>
      <w:jc w:val="left"/>
      <w:rPr>
        <w:b w:val="0"/>
        <w:sz w:val="20"/>
      </w:rPr>
    </w:pPr>
  </w:p>
  <w:p w:rsidR="00E11749" w:rsidRDefault="00E11749" w:rsidP="002A4D93">
    <w:pPr>
      <w:pStyle w:val="Ttulo2"/>
      <w:jc w:val="left"/>
      <w:rPr>
        <w:b w:val="0"/>
        <w:sz w:val="20"/>
      </w:rPr>
    </w:pPr>
  </w:p>
  <w:p w:rsidR="00E11749" w:rsidRDefault="00E11749" w:rsidP="004A62B9">
    <w:pPr>
      <w:pStyle w:val="Ttulo2"/>
      <w:jc w:val="left"/>
      <w:rPr>
        <w:sz w:val="20"/>
      </w:rPr>
    </w:pPr>
  </w:p>
  <w:p w:rsidR="00E11749" w:rsidRDefault="00E11749" w:rsidP="00CD7310">
    <w:pPr>
      <w:pStyle w:val="Ttulo1"/>
      <w:jc w:val="left"/>
    </w:pPr>
    <w:r>
      <w:t>Notas Explicativas</w:t>
    </w:r>
  </w:p>
  <w:p w:rsidR="00E11749" w:rsidRPr="00F44460" w:rsidRDefault="00E11749" w:rsidP="004A62B9">
    <w:pPr>
      <w:pStyle w:val="Ttulo2"/>
      <w:jc w:val="left"/>
      <w:rPr>
        <w:sz w:val="16"/>
        <w:szCs w:val="16"/>
      </w:rPr>
    </w:pPr>
    <w:r>
      <w:rPr>
        <w:sz w:val="20"/>
      </w:rPr>
      <w:t>Exercício findo em 31 de dezembro</w:t>
    </w:r>
    <w:r w:rsidRPr="00F44460">
      <w:rPr>
        <w:sz w:val="20"/>
      </w:rPr>
      <w:t xml:space="preserve"> </w:t>
    </w:r>
    <w:r>
      <w:rPr>
        <w:sz w:val="20"/>
      </w:rPr>
      <w:t>de 2017</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p w:rsidR="00E11749" w:rsidRPr="009F4A48" w:rsidRDefault="00E11749" w:rsidP="009F4A48">
    <w:pPr>
      <w:pStyle w:val="Cabealh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49" w:rsidRDefault="00F06B1B" w:rsidP="00E44829">
    <w:pPr>
      <w:pStyle w:val="Cabealho"/>
    </w:pPr>
    <w:sdt>
      <w:sdtPr>
        <w:id w:val="-1910756909"/>
        <w:docPartObj>
          <w:docPartGallery w:val="Page Numbers (Margins)"/>
          <w:docPartUnique/>
        </w:docPartObj>
      </w:sdtPr>
      <w:sdtEndPr/>
      <w:sdtContent>
        <w:r w:rsidR="00E11749">
          <w:rPr>
            <w:noProof/>
          </w:rPr>
          <mc:AlternateContent>
            <mc:Choice Requires="wps">
              <w:drawing>
                <wp:anchor distT="0" distB="0" distL="114300" distR="114300" simplePos="0" relativeHeight="251706368"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11"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749" w:rsidRPr="009D32C1" w:rsidRDefault="00E11749">
                              <w:pPr>
                                <w:pStyle w:val="Rodap"/>
                                <w:rPr>
                                  <w:rFonts w:eastAsiaTheme="majorEastAsia"/>
                                  <w:sz w:val="16"/>
                                  <w:szCs w:val="16"/>
                                </w:rPr>
                              </w:pPr>
                              <w:r w:rsidRPr="009D32C1">
                                <w:rPr>
                                  <w:rFonts w:eastAsiaTheme="majorEastAsia"/>
                                  <w:sz w:val="16"/>
                                  <w:szCs w:val="16"/>
                                </w:rPr>
                                <w:t>Página</w:t>
                              </w:r>
                              <w:r w:rsidRPr="009D32C1">
                                <w:rPr>
                                  <w:rFonts w:eastAsiaTheme="minorEastAsia"/>
                                  <w:sz w:val="16"/>
                                  <w:szCs w:val="16"/>
                                </w:rPr>
                                <w:t xml:space="preserve"> 11</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_x0000_s1034" style="position:absolute;margin-left:0;margin-top:0;width:40.2pt;height:171.9pt;z-index:25170636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tJRcybcCAACm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rsidR="00E11749" w:rsidRPr="009D32C1" w:rsidRDefault="00E11749">
                        <w:pPr>
                          <w:pStyle w:val="Rodap"/>
                          <w:rPr>
                            <w:rFonts w:eastAsiaTheme="majorEastAsia"/>
                            <w:sz w:val="16"/>
                            <w:szCs w:val="16"/>
                          </w:rPr>
                        </w:pPr>
                        <w:r w:rsidRPr="009D32C1">
                          <w:rPr>
                            <w:rFonts w:eastAsiaTheme="majorEastAsia"/>
                            <w:sz w:val="16"/>
                            <w:szCs w:val="16"/>
                          </w:rPr>
                          <w:t>Página</w:t>
                        </w:r>
                        <w:r w:rsidRPr="009D32C1">
                          <w:rPr>
                            <w:rFonts w:eastAsiaTheme="minorEastAsia"/>
                            <w:sz w:val="16"/>
                            <w:szCs w:val="16"/>
                          </w:rPr>
                          <w:t xml:space="preserve"> 11</w:t>
                        </w:r>
                      </w:p>
                    </w:txbxContent>
                  </v:textbox>
                  <w10:wrap anchorx="margin" anchory="margin"/>
                </v:rect>
              </w:pict>
            </mc:Fallback>
          </mc:AlternateContent>
        </w:r>
      </w:sdtContent>
    </w:sdt>
    <w:r w:rsidR="00E11749">
      <w:rPr>
        <w:noProof/>
      </w:rPr>
      <w:drawing>
        <wp:anchor distT="0" distB="0" distL="114300" distR="114300" simplePos="0" relativeHeight="251681792" behindDoc="1" locked="0" layoutInCell="1" allowOverlap="1" wp14:anchorId="6F28BFE6" wp14:editId="0956DA50">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14" name="Imagem 14"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E11749" w:rsidRDefault="00E11749" w:rsidP="00E44829">
    <w:pPr>
      <w:pStyle w:val="Cabealho"/>
    </w:pPr>
  </w:p>
  <w:p w:rsidR="00E11749" w:rsidRDefault="00E11749" w:rsidP="00E44829">
    <w:pPr>
      <w:pStyle w:val="Cabealho"/>
    </w:pPr>
  </w:p>
  <w:p w:rsidR="00E11749" w:rsidRDefault="00E11749" w:rsidP="00E44829">
    <w:pPr>
      <w:pStyle w:val="Ttulo2"/>
      <w:jc w:val="left"/>
      <w:rPr>
        <w:b w:val="0"/>
        <w:sz w:val="20"/>
      </w:rPr>
    </w:pPr>
  </w:p>
  <w:p w:rsidR="00E11749" w:rsidRDefault="00E11749" w:rsidP="00E44829">
    <w:pPr>
      <w:pStyle w:val="Ttulo2"/>
      <w:jc w:val="left"/>
      <w:rPr>
        <w:b w:val="0"/>
        <w:sz w:val="20"/>
      </w:rPr>
    </w:pPr>
  </w:p>
  <w:p w:rsidR="00E11749" w:rsidRDefault="00E11749" w:rsidP="00CD7310">
    <w:pPr>
      <w:pStyle w:val="Ttulo1"/>
      <w:jc w:val="left"/>
    </w:pPr>
    <w:r>
      <w:t>Notas Explicativas</w:t>
    </w:r>
  </w:p>
  <w:p w:rsidR="00E11749" w:rsidRDefault="00E11749" w:rsidP="00B57CE3">
    <w:pPr>
      <w:pStyle w:val="Ttulo2"/>
      <w:jc w:val="left"/>
      <w:rPr>
        <w:sz w:val="16"/>
        <w:szCs w:val="16"/>
      </w:rPr>
    </w:pPr>
    <w:r>
      <w:rPr>
        <w:sz w:val="20"/>
      </w:rPr>
      <w:t>Exercício findo em 31 de dezembro</w:t>
    </w:r>
    <w:r w:rsidRPr="00F44460">
      <w:rPr>
        <w:sz w:val="20"/>
      </w:rPr>
      <w:t xml:space="preserve"> </w:t>
    </w:r>
    <w:r>
      <w:rPr>
        <w:sz w:val="20"/>
      </w:rPr>
      <w:t>de 2017</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p w:rsidR="00E11749" w:rsidRPr="00595A08" w:rsidRDefault="00E11749" w:rsidP="00595A08">
    <w:pP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49" w:rsidRDefault="00F06B1B" w:rsidP="00BB79D4">
    <w:pPr>
      <w:pStyle w:val="Cabealho"/>
    </w:pPr>
    <w:sdt>
      <w:sdtPr>
        <w:id w:val="1982189416"/>
        <w:docPartObj>
          <w:docPartGallery w:val="Page Numbers (Margins)"/>
          <w:docPartUnique/>
        </w:docPartObj>
      </w:sdtPr>
      <w:sdtEndPr/>
      <w:sdtContent>
        <w:r w:rsidR="00E11749">
          <w:rPr>
            <w:noProof/>
          </w:rPr>
          <mc:AlternateContent>
            <mc:Choice Requires="wps">
              <w:drawing>
                <wp:anchor distT="0" distB="0" distL="114300" distR="114300" simplePos="0" relativeHeight="251689984" behindDoc="0" locked="0" layoutInCell="0" allowOverlap="1" wp14:anchorId="7EB22397" wp14:editId="130C5D9B">
                  <wp:simplePos x="0" y="0"/>
                  <wp:positionH relativeFrom="rightMargin">
                    <wp:align>center</wp:align>
                  </wp:positionH>
                  <wp:positionV relativeFrom="margin">
                    <wp:align>bottom</wp:align>
                  </wp:positionV>
                  <wp:extent cx="510540" cy="2183130"/>
                  <wp:effectExtent l="0" t="0" r="0" b="0"/>
                  <wp:wrapNone/>
                  <wp:docPr id="57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749" w:rsidRPr="00E52C3C" w:rsidRDefault="00E11749">
                              <w:pPr>
                                <w:pStyle w:val="Rodap"/>
                                <w:rPr>
                                  <w:rFonts w:eastAsiaTheme="majorEastAsia"/>
                                  <w:sz w:val="16"/>
                                  <w:szCs w:val="16"/>
                                </w:rPr>
                              </w:pPr>
                              <w:r w:rsidRPr="00E52C3C">
                                <w:rPr>
                                  <w:rFonts w:eastAsiaTheme="majorEastAsia"/>
                                  <w:sz w:val="16"/>
                                  <w:szCs w:val="16"/>
                                </w:rPr>
                                <w:t>Página</w:t>
                              </w:r>
                              <w:r w:rsidRPr="00E52C3C">
                                <w:rPr>
                                  <w:rFonts w:eastAsiaTheme="minorEastAsia"/>
                                  <w:sz w:val="16"/>
                                  <w:szCs w:val="16"/>
                                </w:rPr>
                                <w:fldChar w:fldCharType="begin"/>
                              </w:r>
                              <w:r w:rsidRPr="00E52C3C">
                                <w:rPr>
                                  <w:sz w:val="16"/>
                                  <w:szCs w:val="16"/>
                                </w:rPr>
                                <w:instrText>PAGE    \* MERGEFORMAT</w:instrText>
                              </w:r>
                              <w:r w:rsidRPr="00E52C3C">
                                <w:rPr>
                                  <w:rFonts w:eastAsiaTheme="minorEastAsia"/>
                                  <w:sz w:val="16"/>
                                  <w:szCs w:val="16"/>
                                </w:rPr>
                                <w:fldChar w:fldCharType="separate"/>
                              </w:r>
                              <w:r w:rsidR="00F06B1B" w:rsidRPr="00F06B1B">
                                <w:rPr>
                                  <w:rFonts w:eastAsiaTheme="majorEastAsia"/>
                                  <w:noProof/>
                                  <w:sz w:val="16"/>
                                  <w:szCs w:val="16"/>
                                </w:rPr>
                                <w:t>1</w:t>
                              </w:r>
                              <w:r w:rsidRPr="00E52C3C">
                                <w:rPr>
                                  <w:rFonts w:eastAsiaTheme="majorEastAsia"/>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0;margin-top:0;width:40.2pt;height:171.9pt;z-index:2516899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v40XbLcCAACn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rsidR="00E11749" w:rsidRPr="00E52C3C" w:rsidRDefault="00E11749">
                        <w:pPr>
                          <w:pStyle w:val="Rodap"/>
                          <w:rPr>
                            <w:rFonts w:eastAsiaTheme="majorEastAsia"/>
                            <w:sz w:val="16"/>
                            <w:szCs w:val="16"/>
                          </w:rPr>
                        </w:pPr>
                        <w:r w:rsidRPr="00E52C3C">
                          <w:rPr>
                            <w:rFonts w:eastAsiaTheme="majorEastAsia"/>
                            <w:sz w:val="16"/>
                            <w:szCs w:val="16"/>
                          </w:rPr>
                          <w:t>Página</w:t>
                        </w:r>
                        <w:r w:rsidRPr="00E52C3C">
                          <w:rPr>
                            <w:rFonts w:eastAsiaTheme="minorEastAsia"/>
                            <w:sz w:val="16"/>
                            <w:szCs w:val="16"/>
                          </w:rPr>
                          <w:fldChar w:fldCharType="begin"/>
                        </w:r>
                        <w:r w:rsidRPr="00E52C3C">
                          <w:rPr>
                            <w:sz w:val="16"/>
                            <w:szCs w:val="16"/>
                          </w:rPr>
                          <w:instrText>PAGE    \* MERGEFORMAT</w:instrText>
                        </w:r>
                        <w:r w:rsidRPr="00E52C3C">
                          <w:rPr>
                            <w:rFonts w:eastAsiaTheme="minorEastAsia"/>
                            <w:sz w:val="16"/>
                            <w:szCs w:val="16"/>
                          </w:rPr>
                          <w:fldChar w:fldCharType="separate"/>
                        </w:r>
                        <w:r w:rsidR="00F06B1B" w:rsidRPr="00F06B1B">
                          <w:rPr>
                            <w:rFonts w:eastAsiaTheme="majorEastAsia"/>
                            <w:noProof/>
                            <w:sz w:val="16"/>
                            <w:szCs w:val="16"/>
                          </w:rPr>
                          <w:t>1</w:t>
                        </w:r>
                        <w:r w:rsidRPr="00E52C3C">
                          <w:rPr>
                            <w:rFonts w:eastAsiaTheme="majorEastAsia"/>
                            <w:sz w:val="16"/>
                            <w:szCs w:val="16"/>
                          </w:rPr>
                          <w:fldChar w:fldCharType="end"/>
                        </w:r>
                      </w:p>
                    </w:txbxContent>
                  </v:textbox>
                  <w10:wrap anchorx="margin" anchory="margin"/>
                </v:rect>
              </w:pict>
            </mc:Fallback>
          </mc:AlternateContent>
        </w:r>
      </w:sdtContent>
    </w:sdt>
    <w:r w:rsidR="00E11749">
      <w:rPr>
        <w:noProof/>
      </w:rPr>
      <w:drawing>
        <wp:anchor distT="0" distB="0" distL="114300" distR="114300" simplePos="0" relativeHeight="251679744" behindDoc="1" locked="0" layoutInCell="1" allowOverlap="1" wp14:anchorId="5C6FBFA0" wp14:editId="46173F6E">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8" name="Imagem 8"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E11749" w:rsidRDefault="00E11749" w:rsidP="00BB79D4">
    <w:pPr>
      <w:pStyle w:val="Cabealho"/>
    </w:pPr>
  </w:p>
  <w:p w:rsidR="00E11749" w:rsidRDefault="00E11749" w:rsidP="00BB79D4">
    <w:pPr>
      <w:pStyle w:val="Cabealho"/>
    </w:pPr>
  </w:p>
  <w:p w:rsidR="00E11749" w:rsidRDefault="00E11749" w:rsidP="00BB79D4">
    <w:pPr>
      <w:pStyle w:val="Ttulo2"/>
      <w:jc w:val="left"/>
      <w:rPr>
        <w:b w:val="0"/>
        <w:sz w:val="20"/>
      </w:rPr>
    </w:pPr>
  </w:p>
  <w:p w:rsidR="00E11749" w:rsidRDefault="00E11749" w:rsidP="00BB79D4">
    <w:pPr>
      <w:pStyle w:val="Ttulo2"/>
      <w:jc w:val="left"/>
      <w:rPr>
        <w:b w:val="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49" w:rsidRDefault="00E11749" w:rsidP="009F4A48">
    <w:pPr>
      <w:pStyle w:val="Cabealho"/>
    </w:pPr>
    <w:r>
      <w:rPr>
        <w:noProof/>
      </w:rPr>
      <w:drawing>
        <wp:anchor distT="0" distB="0" distL="114300" distR="114300" simplePos="0" relativeHeight="251651072" behindDoc="1" locked="0" layoutInCell="1" allowOverlap="1" wp14:anchorId="375C7FC1" wp14:editId="729DDEC2">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17" name="Imagem 17"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E11749" w:rsidRDefault="00E11749" w:rsidP="009F4A48">
    <w:pPr>
      <w:pStyle w:val="Cabealho"/>
    </w:pPr>
  </w:p>
  <w:p w:rsidR="00E11749" w:rsidRDefault="00E11749" w:rsidP="009F4A48">
    <w:pPr>
      <w:pStyle w:val="Cabealho"/>
    </w:pPr>
  </w:p>
  <w:p w:rsidR="00E11749" w:rsidRDefault="00E11749" w:rsidP="002A4D93">
    <w:pPr>
      <w:pStyle w:val="Ttulo2"/>
      <w:jc w:val="left"/>
      <w:rPr>
        <w:b w:val="0"/>
        <w:sz w:val="20"/>
      </w:rPr>
    </w:pPr>
  </w:p>
  <w:p w:rsidR="00E11749" w:rsidRDefault="00E11749" w:rsidP="002A4D93">
    <w:pPr>
      <w:pStyle w:val="Ttulo2"/>
      <w:jc w:val="left"/>
      <w:rPr>
        <w:b w:val="0"/>
        <w:sz w:val="20"/>
      </w:rPr>
    </w:pPr>
  </w:p>
  <w:p w:rsidR="00E11749" w:rsidRDefault="00E11749" w:rsidP="004A62B9">
    <w:pPr>
      <w:pStyle w:val="Ttulo2"/>
      <w:jc w:val="left"/>
      <w:rPr>
        <w:sz w:val="20"/>
      </w:rPr>
    </w:pPr>
    <w:r>
      <w:rPr>
        <w:sz w:val="20"/>
      </w:rPr>
      <w:t>Notas Explicativas</w:t>
    </w:r>
  </w:p>
  <w:p w:rsidR="00E11749" w:rsidRPr="00F44460" w:rsidRDefault="00E11749" w:rsidP="004A62B9">
    <w:pPr>
      <w:pStyle w:val="Ttulo2"/>
      <w:jc w:val="left"/>
      <w:rPr>
        <w:sz w:val="16"/>
        <w:szCs w:val="16"/>
      </w:rPr>
    </w:pPr>
    <w:r>
      <w:rPr>
        <w:sz w:val="20"/>
      </w:rPr>
      <w:t>Exercício findo em 30 de junho</w:t>
    </w:r>
    <w:r w:rsidRPr="00F44460">
      <w:rPr>
        <w:sz w:val="20"/>
      </w:rPr>
      <w:t xml:space="preserve"> </w:t>
    </w:r>
    <w:r w:rsidRPr="00F44460">
      <w:rPr>
        <w:sz w:val="20"/>
      </w:rPr>
      <w:br/>
    </w:r>
    <w:r w:rsidRPr="00F44460">
      <w:rPr>
        <w:sz w:val="16"/>
        <w:szCs w:val="16"/>
      </w:rPr>
      <w:t xml:space="preserve">Em milhares de reais, exceto quando indicado de outra </w:t>
    </w:r>
    <w:proofErr w:type="gramStart"/>
    <w:r w:rsidRPr="00F44460">
      <w:rPr>
        <w:sz w:val="16"/>
        <w:szCs w:val="16"/>
      </w:rPr>
      <w:t>forma</w:t>
    </w:r>
    <w:proofErr w:type="gramEnd"/>
  </w:p>
  <w:p w:rsidR="00E11749" w:rsidRPr="009F4A48" w:rsidRDefault="00E11749" w:rsidP="009F4A48">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49" w:rsidRDefault="00F06B1B" w:rsidP="00E44829">
    <w:pPr>
      <w:pStyle w:val="Cabealho"/>
    </w:pPr>
    <w:sdt>
      <w:sdtPr>
        <w:id w:val="1813434003"/>
        <w:docPartObj>
          <w:docPartGallery w:val="Page Numbers (Margins)"/>
          <w:docPartUnique/>
        </w:docPartObj>
      </w:sdtPr>
      <w:sdtEndPr/>
      <w:sdtContent>
        <w:r w:rsidR="00E11749">
          <w:rPr>
            <w:noProof/>
          </w:rPr>
          <mc:AlternateContent>
            <mc:Choice Requires="wps">
              <w:drawing>
                <wp:anchor distT="0" distB="0" distL="114300" distR="114300" simplePos="0" relativeHeight="251696128"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749" w:rsidRPr="009D32C1" w:rsidRDefault="00E11749">
                              <w:pPr>
                                <w:pStyle w:val="Rodap"/>
                                <w:rPr>
                                  <w:rFonts w:eastAsiaTheme="majorEastAsia"/>
                                  <w:sz w:val="16"/>
                                  <w:szCs w:val="16"/>
                                </w:rPr>
                              </w:pPr>
                              <w:r w:rsidRPr="009D32C1">
                                <w:rPr>
                                  <w:rFonts w:eastAsiaTheme="majorEastAsia"/>
                                  <w:sz w:val="16"/>
                                  <w:szCs w:val="16"/>
                                </w:rPr>
                                <w:t>Página</w:t>
                              </w:r>
                              <w:r w:rsidRPr="009D32C1">
                                <w:rPr>
                                  <w:rFonts w:eastAsiaTheme="minorEastAsia"/>
                                  <w:sz w:val="16"/>
                                  <w:szCs w:val="16"/>
                                </w:rPr>
                                <w:t xml:space="preserve"> 6</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_x0000_s1028" style="position:absolute;margin-left:0;margin-top:0;width:40.2pt;height:171.9pt;z-index:25169612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Lw+KQ7cCAACl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rsidR="00E11749" w:rsidRPr="009D32C1" w:rsidRDefault="00E11749">
                        <w:pPr>
                          <w:pStyle w:val="Rodap"/>
                          <w:rPr>
                            <w:rFonts w:eastAsiaTheme="majorEastAsia"/>
                            <w:sz w:val="16"/>
                            <w:szCs w:val="16"/>
                          </w:rPr>
                        </w:pPr>
                        <w:r w:rsidRPr="009D32C1">
                          <w:rPr>
                            <w:rFonts w:eastAsiaTheme="majorEastAsia"/>
                            <w:sz w:val="16"/>
                            <w:szCs w:val="16"/>
                          </w:rPr>
                          <w:t>Página</w:t>
                        </w:r>
                        <w:r w:rsidRPr="009D32C1">
                          <w:rPr>
                            <w:rFonts w:eastAsiaTheme="minorEastAsia"/>
                            <w:sz w:val="16"/>
                            <w:szCs w:val="16"/>
                          </w:rPr>
                          <w:t xml:space="preserve"> 6</w:t>
                        </w:r>
                      </w:p>
                    </w:txbxContent>
                  </v:textbox>
                  <w10:wrap anchorx="margin" anchory="margin"/>
                </v:rect>
              </w:pict>
            </mc:Fallback>
          </mc:AlternateContent>
        </w:r>
      </w:sdtContent>
    </w:sdt>
    <w:r w:rsidR="00E11749">
      <w:rPr>
        <w:noProof/>
      </w:rPr>
      <w:drawing>
        <wp:anchor distT="0" distB="0" distL="114300" distR="114300" simplePos="0" relativeHeight="251638784" behindDoc="1" locked="0" layoutInCell="1" allowOverlap="1" wp14:anchorId="2D77BBE7" wp14:editId="65705778">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18" name="Imagem 18"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E11749" w:rsidRDefault="00E11749" w:rsidP="00E44829">
    <w:pPr>
      <w:pStyle w:val="Cabealho"/>
    </w:pPr>
  </w:p>
  <w:p w:rsidR="00E11749" w:rsidRDefault="00E11749" w:rsidP="00E44829">
    <w:pPr>
      <w:pStyle w:val="Cabealho"/>
    </w:pPr>
  </w:p>
  <w:p w:rsidR="00E11749" w:rsidRDefault="00E11749" w:rsidP="00E44829">
    <w:pPr>
      <w:pStyle w:val="Ttulo2"/>
      <w:jc w:val="left"/>
      <w:rPr>
        <w:b w:val="0"/>
        <w:sz w:val="20"/>
      </w:rPr>
    </w:pPr>
  </w:p>
  <w:p w:rsidR="00E11749" w:rsidRDefault="00E11749" w:rsidP="00E44829">
    <w:pPr>
      <w:pStyle w:val="Ttulo2"/>
      <w:jc w:val="left"/>
      <w:rPr>
        <w:b w:val="0"/>
        <w:sz w:val="20"/>
      </w:rPr>
    </w:pPr>
  </w:p>
  <w:p w:rsidR="00E11749" w:rsidRPr="00CD7310" w:rsidRDefault="00E11749" w:rsidP="00CD7310">
    <w:pPr>
      <w:pStyle w:val="Ttulo1"/>
      <w:jc w:val="left"/>
    </w:pPr>
    <w:r>
      <w:t>Demonstrações Financeiras</w:t>
    </w:r>
  </w:p>
  <w:p w:rsidR="00E11749" w:rsidRDefault="00E11749" w:rsidP="00B57CE3">
    <w:pPr>
      <w:pStyle w:val="Ttulo2"/>
      <w:jc w:val="left"/>
      <w:rPr>
        <w:sz w:val="16"/>
        <w:szCs w:val="16"/>
      </w:rPr>
    </w:pPr>
    <w:r>
      <w:rPr>
        <w:sz w:val="20"/>
      </w:rPr>
      <w:t>Exercício findo em 31 de dezembro</w:t>
    </w:r>
    <w:r w:rsidRPr="00F44460">
      <w:rPr>
        <w:sz w:val="20"/>
      </w:rPr>
      <w:t xml:space="preserve"> </w:t>
    </w:r>
    <w:r>
      <w:rPr>
        <w:sz w:val="20"/>
      </w:rPr>
      <w:t>de 2017</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p w:rsidR="00E11749" w:rsidRPr="00A82EFE" w:rsidRDefault="00E11749" w:rsidP="00A82EF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49" w:rsidRDefault="00E11749" w:rsidP="009F4A48">
    <w:pPr>
      <w:pStyle w:val="Cabealho"/>
    </w:pPr>
    <w:r>
      <w:rPr>
        <w:noProof/>
      </w:rPr>
      <w:drawing>
        <wp:anchor distT="0" distB="0" distL="114300" distR="114300" simplePos="0" relativeHeight="251646976" behindDoc="1" locked="0" layoutInCell="1" allowOverlap="1" wp14:anchorId="21D88C88" wp14:editId="0B941381">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0" name="Imagem 20"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E11749" w:rsidRDefault="00E11749" w:rsidP="009F4A48">
    <w:pPr>
      <w:pStyle w:val="Cabealho"/>
    </w:pPr>
  </w:p>
  <w:p w:rsidR="00E11749" w:rsidRDefault="00E11749" w:rsidP="002A4D93">
    <w:pPr>
      <w:pStyle w:val="Ttulo2"/>
      <w:jc w:val="left"/>
      <w:rPr>
        <w:b w:val="0"/>
        <w:sz w:val="20"/>
      </w:rPr>
    </w:pPr>
  </w:p>
  <w:p w:rsidR="00E11749" w:rsidRDefault="00E11749" w:rsidP="002A4D93">
    <w:pPr>
      <w:pStyle w:val="Ttulo2"/>
      <w:jc w:val="left"/>
      <w:rPr>
        <w:b w:val="0"/>
        <w:sz w:val="20"/>
      </w:rPr>
    </w:pPr>
  </w:p>
  <w:p w:rsidR="00E11749" w:rsidRDefault="00E11749" w:rsidP="004A62B9">
    <w:pPr>
      <w:pStyle w:val="Ttulo2"/>
      <w:jc w:val="left"/>
      <w:rPr>
        <w:sz w:val="20"/>
      </w:rPr>
    </w:pPr>
  </w:p>
  <w:p w:rsidR="00E11749" w:rsidRDefault="00E11749" w:rsidP="004A62B9">
    <w:pPr>
      <w:pStyle w:val="Ttulo2"/>
      <w:jc w:val="left"/>
      <w:rPr>
        <w:sz w:val="20"/>
      </w:rPr>
    </w:pPr>
    <w:r>
      <w:rPr>
        <w:sz w:val="20"/>
      </w:rPr>
      <w:t>Fluxo de Caixa do Exercício (continuação)</w:t>
    </w:r>
  </w:p>
  <w:p w:rsidR="00E11749" w:rsidRPr="00F44460" w:rsidRDefault="00E11749" w:rsidP="004A62B9">
    <w:pPr>
      <w:pStyle w:val="Ttulo2"/>
      <w:jc w:val="left"/>
      <w:rPr>
        <w:sz w:val="16"/>
        <w:szCs w:val="16"/>
      </w:rPr>
    </w:pPr>
    <w:r>
      <w:rPr>
        <w:sz w:val="20"/>
      </w:rPr>
      <w:t>Exercício findo em 30 de junho</w:t>
    </w:r>
    <w:r w:rsidRPr="00F44460">
      <w:rPr>
        <w:sz w:val="20"/>
      </w:rPr>
      <w:t xml:space="preserve"> </w:t>
    </w:r>
    <w:r w:rsidRPr="00F44460">
      <w:rPr>
        <w:sz w:val="20"/>
      </w:rPr>
      <w:br/>
    </w:r>
    <w:r w:rsidRPr="00F44460">
      <w:rPr>
        <w:sz w:val="16"/>
        <w:szCs w:val="16"/>
      </w:rPr>
      <w:t xml:space="preserve">Em milhares de reais, exceto quando indicado de outra </w:t>
    </w:r>
    <w:proofErr w:type="gramStart"/>
    <w:r w:rsidRPr="00F44460">
      <w:rPr>
        <w:sz w:val="16"/>
        <w:szCs w:val="16"/>
      </w:rPr>
      <w:t>forma</w:t>
    </w:r>
    <w:proofErr w:type="gramEnd"/>
  </w:p>
  <w:p w:rsidR="00E11749" w:rsidRPr="009F4A48" w:rsidRDefault="00E11749" w:rsidP="009F4A48">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49" w:rsidRDefault="00F06B1B" w:rsidP="00E44829">
    <w:pPr>
      <w:pStyle w:val="Cabealho"/>
    </w:pPr>
    <w:sdt>
      <w:sdtPr>
        <w:id w:val="2004315003"/>
        <w:docPartObj>
          <w:docPartGallery w:val="Page Numbers (Margins)"/>
          <w:docPartUnique/>
        </w:docPartObj>
      </w:sdtPr>
      <w:sdtEndPr/>
      <w:sdtContent>
        <w:r w:rsidR="00E11749">
          <w:rPr>
            <w:noProof/>
          </w:rPr>
          <mc:AlternateContent>
            <mc:Choice Requires="wps">
              <w:drawing>
                <wp:anchor distT="0" distB="0" distL="114300" distR="114300" simplePos="0" relativeHeight="251698176"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749" w:rsidRPr="009D32C1" w:rsidRDefault="00E11749">
                              <w:pPr>
                                <w:pStyle w:val="Rodap"/>
                                <w:rPr>
                                  <w:rFonts w:eastAsiaTheme="majorEastAsia"/>
                                  <w:sz w:val="16"/>
                                  <w:szCs w:val="16"/>
                                </w:rPr>
                              </w:pPr>
                              <w:r w:rsidRPr="009D32C1">
                                <w:rPr>
                                  <w:rFonts w:eastAsiaTheme="majorEastAsia"/>
                                  <w:sz w:val="16"/>
                                  <w:szCs w:val="16"/>
                                </w:rPr>
                                <w:t>Página</w:t>
                              </w:r>
                              <w:r w:rsidRPr="009D32C1">
                                <w:rPr>
                                  <w:rFonts w:eastAsiaTheme="minorEastAsia"/>
                                  <w:sz w:val="16"/>
                                  <w:szCs w:val="16"/>
                                </w:rPr>
                                <w:t xml:space="preserve"> 7</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_x0000_s1029" style="position:absolute;margin-left:0;margin-top:0;width:40.2pt;height:171.9pt;z-index:2516981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" o:allowincell="f" filled="f" stroked="f">
                  <v:textbox style="layout-flow:vertical;mso-layout-flow-alt:bottom-to-top;mso-fit-shape-to-text:t">
                    <w:txbxContent>
                      <w:p w:rsidR="00E11749" w:rsidRPr="009D32C1" w:rsidRDefault="00E11749">
                        <w:pPr>
                          <w:pStyle w:val="Rodap"/>
                          <w:rPr>
                            <w:rFonts w:eastAsiaTheme="majorEastAsia"/>
                            <w:sz w:val="16"/>
                            <w:szCs w:val="16"/>
                          </w:rPr>
                        </w:pPr>
                        <w:r w:rsidRPr="009D32C1">
                          <w:rPr>
                            <w:rFonts w:eastAsiaTheme="majorEastAsia"/>
                            <w:sz w:val="16"/>
                            <w:szCs w:val="16"/>
                          </w:rPr>
                          <w:t>Página</w:t>
                        </w:r>
                        <w:r w:rsidRPr="009D32C1">
                          <w:rPr>
                            <w:rFonts w:eastAsiaTheme="minorEastAsia"/>
                            <w:sz w:val="16"/>
                            <w:szCs w:val="16"/>
                          </w:rPr>
                          <w:t xml:space="preserve"> 7</w:t>
                        </w:r>
                      </w:p>
                    </w:txbxContent>
                  </v:textbox>
                  <w10:wrap anchorx="margin" anchory="margin"/>
                </v:rect>
              </w:pict>
            </mc:Fallback>
          </mc:AlternateContent>
        </w:r>
      </w:sdtContent>
    </w:sdt>
    <w:r w:rsidR="00E11749">
      <w:rPr>
        <w:noProof/>
      </w:rPr>
      <w:drawing>
        <wp:anchor distT="0" distB="0" distL="114300" distR="114300" simplePos="0" relativeHeight="251642880" behindDoc="1" locked="0" layoutInCell="1" allowOverlap="1" wp14:anchorId="4ABCE406" wp14:editId="4B84A1CE">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1" name="Imagem 21"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E11749" w:rsidRDefault="00E11749" w:rsidP="00E44829">
    <w:pPr>
      <w:pStyle w:val="Cabealho"/>
    </w:pPr>
  </w:p>
  <w:p w:rsidR="00E11749" w:rsidRDefault="00E11749" w:rsidP="00E44829">
    <w:pPr>
      <w:pStyle w:val="Cabealho"/>
    </w:pPr>
  </w:p>
  <w:p w:rsidR="00E11749" w:rsidRDefault="00E11749" w:rsidP="00E44829">
    <w:pPr>
      <w:pStyle w:val="Ttulo2"/>
      <w:jc w:val="left"/>
      <w:rPr>
        <w:b w:val="0"/>
        <w:sz w:val="20"/>
      </w:rPr>
    </w:pPr>
  </w:p>
  <w:p w:rsidR="00E11749" w:rsidRDefault="00E11749" w:rsidP="00E44829">
    <w:pPr>
      <w:pStyle w:val="Ttulo2"/>
      <w:jc w:val="left"/>
      <w:rPr>
        <w:b w:val="0"/>
        <w:sz w:val="20"/>
      </w:rPr>
    </w:pPr>
  </w:p>
  <w:p w:rsidR="00E11749" w:rsidRDefault="00E11749" w:rsidP="00CD7310">
    <w:pPr>
      <w:pStyle w:val="Ttulo1"/>
      <w:jc w:val="left"/>
    </w:pPr>
    <w:r>
      <w:t>Demonstrações Financeiras</w:t>
    </w:r>
  </w:p>
  <w:p w:rsidR="00E11749" w:rsidRPr="00F44460" w:rsidRDefault="00E11749" w:rsidP="00B57CE3">
    <w:pPr>
      <w:pStyle w:val="Ttulo2"/>
      <w:jc w:val="left"/>
      <w:rPr>
        <w:sz w:val="16"/>
        <w:szCs w:val="16"/>
      </w:rPr>
    </w:pPr>
    <w:r>
      <w:rPr>
        <w:sz w:val="20"/>
      </w:rPr>
      <w:t>Exercício findo em 31 de dezembro</w:t>
    </w:r>
    <w:r w:rsidRPr="00F44460">
      <w:rPr>
        <w:sz w:val="20"/>
      </w:rPr>
      <w:t xml:space="preserve"> </w:t>
    </w:r>
    <w:r>
      <w:rPr>
        <w:sz w:val="20"/>
      </w:rPr>
      <w:t>de 2017</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49" w:rsidRDefault="00F06B1B" w:rsidP="009F4A48">
    <w:pPr>
      <w:pStyle w:val="Cabealho"/>
    </w:pPr>
    <w:sdt>
      <w:sdtPr>
        <w:id w:val="-1201857650"/>
        <w:docPartObj>
          <w:docPartGallery w:val="Page Numbers (Margins)"/>
          <w:docPartUnique/>
        </w:docPartObj>
      </w:sdtPr>
      <w:sdtEndPr/>
      <w:sdtContent>
        <w:r w:rsidR="00E11749">
          <w:rPr>
            <w:noProof/>
          </w:rPr>
          <mc:AlternateContent>
            <mc:Choice Requires="wps">
              <w:drawing>
                <wp:anchor distT="0" distB="0" distL="114300" distR="114300" simplePos="0" relativeHeight="251702272"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9"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749" w:rsidRPr="009D32C1" w:rsidRDefault="00E11749">
                              <w:pPr>
                                <w:pStyle w:val="Rodap"/>
                                <w:rPr>
                                  <w:rFonts w:eastAsiaTheme="majorEastAsia"/>
                                  <w:sz w:val="16"/>
                                  <w:szCs w:val="16"/>
                                </w:rPr>
                              </w:pPr>
                              <w:r w:rsidRPr="009D32C1">
                                <w:rPr>
                                  <w:rFonts w:eastAsiaTheme="majorEastAsia"/>
                                  <w:sz w:val="16"/>
                                  <w:szCs w:val="16"/>
                                </w:rPr>
                                <w:t>Página</w:t>
                              </w:r>
                              <w:r w:rsidRPr="009D32C1">
                                <w:rPr>
                                  <w:rFonts w:eastAsiaTheme="minorEastAsia"/>
                                  <w:sz w:val="16"/>
                                  <w:szCs w:val="16"/>
                                </w:rPr>
                                <w:t xml:space="preserve"> 9</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_x0000_s1030" style="position:absolute;margin-left:0;margin-top:0;width:40.2pt;height:171.9pt;z-index:25170227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TzpgKbcCAACl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rsidR="00E11749" w:rsidRPr="009D32C1" w:rsidRDefault="00E11749">
                        <w:pPr>
                          <w:pStyle w:val="Rodap"/>
                          <w:rPr>
                            <w:rFonts w:eastAsiaTheme="majorEastAsia"/>
                            <w:sz w:val="16"/>
                            <w:szCs w:val="16"/>
                          </w:rPr>
                        </w:pPr>
                        <w:r w:rsidRPr="009D32C1">
                          <w:rPr>
                            <w:rFonts w:eastAsiaTheme="majorEastAsia"/>
                            <w:sz w:val="16"/>
                            <w:szCs w:val="16"/>
                          </w:rPr>
                          <w:t>Página</w:t>
                        </w:r>
                        <w:r w:rsidRPr="009D32C1">
                          <w:rPr>
                            <w:rFonts w:eastAsiaTheme="minorEastAsia"/>
                            <w:sz w:val="16"/>
                            <w:szCs w:val="16"/>
                          </w:rPr>
                          <w:t xml:space="preserve"> 9</w:t>
                        </w:r>
                      </w:p>
                    </w:txbxContent>
                  </v:textbox>
                  <w10:wrap anchorx="margin" anchory="margin"/>
                </v:rect>
              </w:pict>
            </mc:Fallback>
          </mc:AlternateContent>
        </w:r>
      </w:sdtContent>
    </w:sdt>
    <w:r w:rsidR="00E11749">
      <w:rPr>
        <w:noProof/>
      </w:rPr>
      <w:drawing>
        <wp:anchor distT="0" distB="0" distL="114300" distR="114300" simplePos="0" relativeHeight="251659264" behindDoc="1" locked="0" layoutInCell="1" allowOverlap="1" wp14:anchorId="3A403DB1" wp14:editId="4D8B91AE">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2" name="Imagem 22"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E11749" w:rsidRDefault="00E11749" w:rsidP="009F4A48">
    <w:pPr>
      <w:pStyle w:val="Cabealho"/>
    </w:pPr>
  </w:p>
  <w:p w:rsidR="00E11749" w:rsidRDefault="00E11749" w:rsidP="002A4D93">
    <w:pPr>
      <w:pStyle w:val="Ttulo2"/>
      <w:jc w:val="left"/>
      <w:rPr>
        <w:b w:val="0"/>
        <w:sz w:val="20"/>
      </w:rPr>
    </w:pPr>
  </w:p>
  <w:p w:rsidR="00E11749" w:rsidRDefault="00E11749" w:rsidP="002A4D93">
    <w:pPr>
      <w:pStyle w:val="Ttulo2"/>
      <w:jc w:val="left"/>
      <w:rPr>
        <w:b w:val="0"/>
        <w:sz w:val="20"/>
      </w:rPr>
    </w:pPr>
  </w:p>
  <w:p w:rsidR="00E11749" w:rsidRDefault="00E11749" w:rsidP="004A62B9">
    <w:pPr>
      <w:pStyle w:val="Ttulo2"/>
      <w:jc w:val="left"/>
      <w:rPr>
        <w:sz w:val="20"/>
      </w:rPr>
    </w:pPr>
  </w:p>
  <w:p w:rsidR="00E11749" w:rsidRDefault="00E11749" w:rsidP="00DC261B">
    <w:pPr>
      <w:pStyle w:val="Ttulo1"/>
      <w:jc w:val="left"/>
    </w:pPr>
    <w:r>
      <w:t>Demonstrações Financeiras</w:t>
    </w:r>
    <w:proofErr w:type="gramStart"/>
    <w:r>
      <w:t xml:space="preserve">  </w:t>
    </w:r>
  </w:p>
  <w:p w:rsidR="00E11749" w:rsidRPr="00F44460" w:rsidRDefault="00E11749" w:rsidP="004A62B9">
    <w:pPr>
      <w:pStyle w:val="Ttulo2"/>
      <w:jc w:val="left"/>
      <w:rPr>
        <w:sz w:val="16"/>
        <w:szCs w:val="16"/>
      </w:rPr>
    </w:pPr>
    <w:proofErr w:type="gramEnd"/>
    <w:r>
      <w:rPr>
        <w:sz w:val="20"/>
      </w:rPr>
      <w:t>Exercício findo em 31 de dezembro</w:t>
    </w:r>
    <w:r w:rsidRPr="00F44460">
      <w:rPr>
        <w:sz w:val="20"/>
      </w:rPr>
      <w:t xml:space="preserve"> </w:t>
    </w:r>
    <w:r>
      <w:rPr>
        <w:sz w:val="20"/>
      </w:rPr>
      <w:t>de 2017</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p w:rsidR="00E11749" w:rsidRPr="009F4A48" w:rsidRDefault="00E11749" w:rsidP="009F4A48">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49" w:rsidRDefault="00F06B1B" w:rsidP="00E44829">
    <w:pPr>
      <w:pStyle w:val="Cabealho"/>
    </w:pPr>
    <w:sdt>
      <w:sdtPr>
        <w:id w:val="-854419781"/>
        <w:docPartObj>
          <w:docPartGallery w:val="Page Numbers (Margins)"/>
          <w:docPartUnique/>
        </w:docPartObj>
      </w:sdtPr>
      <w:sdtEndPr/>
      <w:sdtContent>
        <w:r w:rsidR="00E11749">
          <w:rPr>
            <w:noProof/>
          </w:rPr>
          <mc:AlternateContent>
            <mc:Choice Requires="wps">
              <w:drawing>
                <wp:anchor distT="0" distB="0" distL="114300" distR="114300" simplePos="0" relativeHeight="251700224"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7"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749" w:rsidRPr="009D32C1" w:rsidRDefault="00E11749">
                              <w:pPr>
                                <w:pStyle w:val="Rodap"/>
                                <w:rPr>
                                  <w:rFonts w:eastAsiaTheme="majorEastAsia"/>
                                  <w:sz w:val="16"/>
                                  <w:szCs w:val="16"/>
                                </w:rPr>
                              </w:pPr>
                              <w:r w:rsidRPr="009D32C1">
                                <w:rPr>
                                  <w:rFonts w:eastAsiaTheme="majorEastAsia"/>
                                  <w:sz w:val="16"/>
                                  <w:szCs w:val="16"/>
                                </w:rPr>
                                <w:t>Página</w:t>
                              </w:r>
                              <w:r w:rsidRPr="009D32C1">
                                <w:rPr>
                                  <w:rFonts w:eastAsiaTheme="minorEastAsia"/>
                                  <w:sz w:val="16"/>
                                  <w:szCs w:val="16"/>
                                </w:rPr>
                                <w:t xml:space="preserve"> 8</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_x0000_s1031" style="position:absolute;margin-left:0;margin-top:0;width:40.2pt;height:171.9pt;z-index:25170022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SYlPabcCAACl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rsidR="00E11749" w:rsidRPr="009D32C1" w:rsidRDefault="00E11749">
                        <w:pPr>
                          <w:pStyle w:val="Rodap"/>
                          <w:rPr>
                            <w:rFonts w:eastAsiaTheme="majorEastAsia"/>
                            <w:sz w:val="16"/>
                            <w:szCs w:val="16"/>
                          </w:rPr>
                        </w:pPr>
                        <w:r w:rsidRPr="009D32C1">
                          <w:rPr>
                            <w:rFonts w:eastAsiaTheme="majorEastAsia"/>
                            <w:sz w:val="16"/>
                            <w:szCs w:val="16"/>
                          </w:rPr>
                          <w:t>Página</w:t>
                        </w:r>
                        <w:r w:rsidRPr="009D32C1">
                          <w:rPr>
                            <w:rFonts w:eastAsiaTheme="minorEastAsia"/>
                            <w:sz w:val="16"/>
                            <w:szCs w:val="16"/>
                          </w:rPr>
                          <w:t xml:space="preserve"> 8</w:t>
                        </w:r>
                      </w:p>
                    </w:txbxContent>
                  </v:textbox>
                  <w10:wrap anchorx="margin" anchory="margin"/>
                </v:rect>
              </w:pict>
            </mc:Fallback>
          </mc:AlternateContent>
        </w:r>
      </w:sdtContent>
    </w:sdt>
    <w:r w:rsidR="00E11749">
      <w:rPr>
        <w:noProof/>
      </w:rPr>
      <w:drawing>
        <wp:anchor distT="0" distB="0" distL="114300" distR="114300" simplePos="0" relativeHeight="251655168" behindDoc="1" locked="0" layoutInCell="1" allowOverlap="1" wp14:anchorId="7E60AD01" wp14:editId="5DD9F5AC">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3" name="Imagem 23"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E11749" w:rsidRDefault="00E11749" w:rsidP="00E44829">
    <w:pPr>
      <w:pStyle w:val="Cabealho"/>
    </w:pPr>
  </w:p>
  <w:p w:rsidR="00E11749" w:rsidRDefault="00E11749" w:rsidP="00E44829">
    <w:pPr>
      <w:pStyle w:val="Cabealho"/>
    </w:pPr>
  </w:p>
  <w:p w:rsidR="00E11749" w:rsidRDefault="00E11749" w:rsidP="00E44829">
    <w:pPr>
      <w:pStyle w:val="Ttulo2"/>
      <w:jc w:val="left"/>
      <w:rPr>
        <w:b w:val="0"/>
        <w:sz w:val="20"/>
      </w:rPr>
    </w:pPr>
  </w:p>
  <w:p w:rsidR="00E11749" w:rsidRDefault="00E11749" w:rsidP="00E44829">
    <w:pPr>
      <w:pStyle w:val="Ttulo2"/>
      <w:jc w:val="left"/>
      <w:rPr>
        <w:b w:val="0"/>
        <w:sz w:val="20"/>
      </w:rPr>
    </w:pPr>
  </w:p>
  <w:p w:rsidR="00E11749" w:rsidRPr="00CD7310" w:rsidRDefault="00E11749" w:rsidP="00DC261B">
    <w:pPr>
      <w:pStyle w:val="Ttulo1"/>
      <w:jc w:val="left"/>
    </w:pPr>
    <w:r>
      <w:t>Demonstrações Financeiras</w:t>
    </w:r>
  </w:p>
  <w:p w:rsidR="00E11749" w:rsidRDefault="00E11749" w:rsidP="00B57CE3">
    <w:pPr>
      <w:pStyle w:val="Ttulo2"/>
      <w:jc w:val="left"/>
      <w:rPr>
        <w:sz w:val="16"/>
        <w:szCs w:val="16"/>
      </w:rPr>
    </w:pPr>
    <w:r>
      <w:rPr>
        <w:sz w:val="20"/>
      </w:rPr>
      <w:t>Exercício findo em 31 de dezembro</w:t>
    </w:r>
    <w:r w:rsidRPr="00F44460">
      <w:rPr>
        <w:sz w:val="20"/>
      </w:rPr>
      <w:t xml:space="preserve"> </w:t>
    </w:r>
    <w:r>
      <w:rPr>
        <w:sz w:val="20"/>
      </w:rPr>
      <w:t>de 2017</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p w:rsidR="00E11749" w:rsidRPr="00A82EFE" w:rsidRDefault="00E11749" w:rsidP="00A82EF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49" w:rsidRDefault="00F06B1B" w:rsidP="00E44829">
    <w:pPr>
      <w:pStyle w:val="Cabealho"/>
    </w:pPr>
    <w:sdt>
      <w:sdtPr>
        <w:id w:val="94456820"/>
        <w:docPartObj>
          <w:docPartGallery w:val="Page Numbers (Margins)"/>
          <w:docPartUnique/>
        </w:docPartObj>
      </w:sdtPr>
      <w:sdtEndPr/>
      <w:sdtContent>
        <w:r w:rsidR="00E11749">
          <w:rPr>
            <w:noProof/>
          </w:rPr>
          <mc:AlternateContent>
            <mc:Choice Requires="wps">
              <w:drawing>
                <wp:anchor distT="0" distB="0" distL="114300" distR="114300" simplePos="0" relativeHeight="251704320"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10"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749" w:rsidRPr="009D32C1" w:rsidRDefault="00E11749">
                              <w:pPr>
                                <w:pStyle w:val="Rodap"/>
                                <w:rPr>
                                  <w:rFonts w:eastAsiaTheme="majorEastAsia"/>
                                  <w:sz w:val="16"/>
                                  <w:szCs w:val="16"/>
                                </w:rPr>
                              </w:pPr>
                              <w:r w:rsidRPr="009D32C1">
                                <w:rPr>
                                  <w:rFonts w:eastAsiaTheme="majorEastAsia"/>
                                  <w:sz w:val="16"/>
                                  <w:szCs w:val="16"/>
                                </w:rPr>
                                <w:t>Página</w:t>
                              </w:r>
                              <w:r w:rsidRPr="009D32C1">
                                <w:rPr>
                                  <w:rFonts w:eastAsiaTheme="minorEastAsia"/>
                                  <w:sz w:val="16"/>
                                  <w:szCs w:val="16"/>
                                </w:rPr>
                                <w:t xml:space="preserve"> 10</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_x0000_s1032" style="position:absolute;margin-left:0;margin-top:0;width:40.2pt;height:171.9pt;z-index:25170432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" o:allowincell="f" filled="f" stroked="f">
                  <v:textbox style="layout-flow:vertical;mso-layout-flow-alt:bottom-to-top;mso-fit-shape-to-text:t">
                    <w:txbxContent>
                      <w:p w:rsidR="00E11749" w:rsidRPr="009D32C1" w:rsidRDefault="00E11749">
                        <w:pPr>
                          <w:pStyle w:val="Rodap"/>
                          <w:rPr>
                            <w:rFonts w:eastAsiaTheme="majorEastAsia"/>
                            <w:sz w:val="16"/>
                            <w:szCs w:val="16"/>
                          </w:rPr>
                        </w:pPr>
                        <w:r w:rsidRPr="009D32C1">
                          <w:rPr>
                            <w:rFonts w:eastAsiaTheme="majorEastAsia"/>
                            <w:sz w:val="16"/>
                            <w:szCs w:val="16"/>
                          </w:rPr>
                          <w:t>Página</w:t>
                        </w:r>
                        <w:r w:rsidRPr="009D32C1">
                          <w:rPr>
                            <w:rFonts w:eastAsiaTheme="minorEastAsia"/>
                            <w:sz w:val="16"/>
                            <w:szCs w:val="16"/>
                          </w:rPr>
                          <w:t xml:space="preserve"> 10</w:t>
                        </w:r>
                      </w:p>
                    </w:txbxContent>
                  </v:textbox>
                  <w10:wrap anchorx="margin" anchory="margin"/>
                </v:rect>
              </w:pict>
            </mc:Fallback>
          </mc:AlternateContent>
        </w:r>
      </w:sdtContent>
    </w:sdt>
    <w:r w:rsidR="00E11749">
      <w:rPr>
        <w:noProof/>
      </w:rPr>
      <w:drawing>
        <wp:anchor distT="0" distB="0" distL="114300" distR="114300" simplePos="0" relativeHeight="251663360" behindDoc="1" locked="0" layoutInCell="1" allowOverlap="1" wp14:anchorId="0DB2C07F" wp14:editId="1D8F8907">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4" name="Imagem 24"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E11749" w:rsidRDefault="00E11749" w:rsidP="00E44829">
    <w:pPr>
      <w:pStyle w:val="Cabealho"/>
    </w:pPr>
  </w:p>
  <w:p w:rsidR="00E11749" w:rsidRDefault="00E11749" w:rsidP="00E44829">
    <w:pPr>
      <w:pStyle w:val="Cabealho"/>
    </w:pPr>
  </w:p>
  <w:p w:rsidR="00E11749" w:rsidRDefault="00E11749" w:rsidP="00E44829">
    <w:pPr>
      <w:pStyle w:val="Ttulo2"/>
      <w:jc w:val="left"/>
      <w:rPr>
        <w:b w:val="0"/>
        <w:sz w:val="20"/>
      </w:rPr>
    </w:pPr>
  </w:p>
  <w:p w:rsidR="00E11749" w:rsidRDefault="00E11749" w:rsidP="00E44829">
    <w:pPr>
      <w:pStyle w:val="Ttulo2"/>
      <w:jc w:val="left"/>
      <w:rPr>
        <w:b w:val="0"/>
        <w:sz w:val="20"/>
      </w:rPr>
    </w:pPr>
  </w:p>
  <w:p w:rsidR="00E11749" w:rsidRPr="00CD7310" w:rsidRDefault="00E11749" w:rsidP="00DC261B">
    <w:pPr>
      <w:pStyle w:val="Ttulo1"/>
      <w:jc w:val="left"/>
    </w:pPr>
    <w:r>
      <w:t>Demonstrações Financeiras</w:t>
    </w:r>
  </w:p>
  <w:p w:rsidR="00E11749" w:rsidRPr="00F44460" w:rsidRDefault="00E11749" w:rsidP="00B57CE3">
    <w:pPr>
      <w:pStyle w:val="Ttulo2"/>
      <w:jc w:val="left"/>
      <w:rPr>
        <w:sz w:val="16"/>
        <w:szCs w:val="16"/>
      </w:rPr>
    </w:pPr>
    <w:r>
      <w:rPr>
        <w:sz w:val="20"/>
      </w:rPr>
      <w:t>Exercício findo em 31 de dezembro</w:t>
    </w:r>
    <w:r w:rsidRPr="00F44460">
      <w:rPr>
        <w:sz w:val="20"/>
      </w:rPr>
      <w:t xml:space="preserve"> </w:t>
    </w:r>
    <w:r>
      <w:rPr>
        <w:sz w:val="20"/>
      </w:rPr>
      <w:t>de 2017</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2A00"/>
    <w:multiLevelType w:val="hybridMultilevel"/>
    <w:tmpl w:val="E18EAC98"/>
    <w:lvl w:ilvl="0" w:tplc="C046DC3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5F5623"/>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nsid w:val="257F418F"/>
    <w:multiLevelType w:val="hybridMultilevel"/>
    <w:tmpl w:val="B5B0C526"/>
    <w:lvl w:ilvl="0" w:tplc="250477F6">
      <w:start w:val="1"/>
      <w:numFmt w:val="lowerLetter"/>
      <w:lvlText w:val="(%1)"/>
      <w:lvlJc w:val="left"/>
      <w:pPr>
        <w:ind w:left="11" w:hanging="360"/>
      </w:pPr>
      <w:rPr>
        <w:rFonts w:hint="default"/>
      </w:rPr>
    </w:lvl>
    <w:lvl w:ilvl="1" w:tplc="23386EC4">
      <w:start w:val="1"/>
      <w:numFmt w:val="lowerLetter"/>
      <w:lvlText w:val="(%2)"/>
      <w:lvlJc w:val="right"/>
      <w:pPr>
        <w:ind w:left="731" w:hanging="360"/>
      </w:pPr>
      <w:rPr>
        <w:rFonts w:hint="default"/>
      </w:rPr>
    </w:lvl>
    <w:lvl w:ilvl="2" w:tplc="EC0AEC14">
      <w:start w:val="31"/>
      <w:numFmt w:val="decimal"/>
      <w:lvlText w:val="%3"/>
      <w:lvlJc w:val="left"/>
      <w:pPr>
        <w:ind w:left="1631" w:hanging="360"/>
      </w:pPr>
      <w:rPr>
        <w:rFonts w:hint="default"/>
      </w:r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
    <w:nsid w:val="34BD004A"/>
    <w:multiLevelType w:val="hybridMultilevel"/>
    <w:tmpl w:val="EE6AF7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8E61A94"/>
    <w:multiLevelType w:val="hybridMultilevel"/>
    <w:tmpl w:val="D2C0A91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39F229BA"/>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6">
    <w:nsid w:val="39F518D3"/>
    <w:multiLevelType w:val="hybridMultilevel"/>
    <w:tmpl w:val="F3AC9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146579D"/>
    <w:multiLevelType w:val="hybridMultilevel"/>
    <w:tmpl w:val="11681DE6"/>
    <w:lvl w:ilvl="0" w:tplc="C040D6BC">
      <w:start w:val="1"/>
      <w:numFmt w:val="decimalZero"/>
      <w:pStyle w:val="Ttulo"/>
      <w:lvlText w:val="%1"/>
      <w:lvlJc w:val="left"/>
      <w:pPr>
        <w:ind w:left="705" w:hanging="705"/>
      </w:pPr>
      <w:rPr>
        <w:rFonts w:hint="default"/>
      </w:rPr>
    </w:lvl>
    <w:lvl w:ilvl="1" w:tplc="6F00C600">
      <w:start w:val="1"/>
      <w:numFmt w:val="lowerLetter"/>
      <w:lvlText w:val="(%2)"/>
      <w:lvlJc w:val="left"/>
      <w:pPr>
        <w:ind w:left="716" w:hanging="705"/>
      </w:pPr>
      <w:rPr>
        <w:rFonts w:hint="default"/>
      </w:r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8">
    <w:nsid w:val="5C6721DE"/>
    <w:multiLevelType w:val="hybridMultilevel"/>
    <w:tmpl w:val="C8BC8870"/>
    <w:lvl w:ilvl="0" w:tplc="2216F5A8">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D513D87"/>
    <w:multiLevelType w:val="hybridMultilevel"/>
    <w:tmpl w:val="51BE7268"/>
    <w:lvl w:ilvl="0" w:tplc="5D2855B4">
      <w:start w:val="1"/>
      <w:numFmt w:val="lowerLetter"/>
      <w:lvlText w:val="%1)"/>
      <w:lvlJc w:val="left"/>
      <w:pPr>
        <w:ind w:left="720" w:hanging="360"/>
      </w:pPr>
      <w:rPr>
        <w:rFonts w:ascii="Courier New" w:hAnsi="Courier New" w:cs="Courier Ne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D92024B"/>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1">
    <w:nsid w:val="6D1748B2"/>
    <w:multiLevelType w:val="hybridMultilevel"/>
    <w:tmpl w:val="52F038BC"/>
    <w:lvl w:ilvl="0" w:tplc="23386EC4">
      <w:start w:val="1"/>
      <w:numFmt w:val="lowerLetter"/>
      <w:lvlText w:val="(%1)"/>
      <w:lvlJc w:val="right"/>
      <w:pPr>
        <w:ind w:left="73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D4F3C20"/>
    <w:multiLevelType w:val="hybridMultilevel"/>
    <w:tmpl w:val="3594D64E"/>
    <w:lvl w:ilvl="0" w:tplc="5CFCB310">
      <w:start w:val="1"/>
      <w:numFmt w:val="decimal"/>
      <w:lvlText w:val="%1"/>
      <w:lvlJc w:val="left"/>
      <w:pPr>
        <w:ind w:left="1020" w:hanging="870"/>
      </w:pPr>
      <w:rPr>
        <w:rFonts w:hint="default"/>
      </w:rPr>
    </w:lvl>
    <w:lvl w:ilvl="1" w:tplc="04160019" w:tentative="1">
      <w:start w:val="1"/>
      <w:numFmt w:val="lowerLetter"/>
      <w:lvlText w:val="%2."/>
      <w:lvlJc w:val="left"/>
      <w:pPr>
        <w:ind w:left="1230" w:hanging="360"/>
      </w:pPr>
    </w:lvl>
    <w:lvl w:ilvl="2" w:tplc="0416001B" w:tentative="1">
      <w:start w:val="1"/>
      <w:numFmt w:val="lowerRoman"/>
      <w:lvlText w:val="%3."/>
      <w:lvlJc w:val="right"/>
      <w:pPr>
        <w:ind w:left="1950" w:hanging="180"/>
      </w:pPr>
    </w:lvl>
    <w:lvl w:ilvl="3" w:tplc="0416000F" w:tentative="1">
      <w:start w:val="1"/>
      <w:numFmt w:val="decimal"/>
      <w:lvlText w:val="%4."/>
      <w:lvlJc w:val="left"/>
      <w:pPr>
        <w:ind w:left="2670" w:hanging="360"/>
      </w:pPr>
    </w:lvl>
    <w:lvl w:ilvl="4" w:tplc="04160019" w:tentative="1">
      <w:start w:val="1"/>
      <w:numFmt w:val="lowerLetter"/>
      <w:lvlText w:val="%5."/>
      <w:lvlJc w:val="left"/>
      <w:pPr>
        <w:ind w:left="3390" w:hanging="360"/>
      </w:pPr>
    </w:lvl>
    <w:lvl w:ilvl="5" w:tplc="0416001B" w:tentative="1">
      <w:start w:val="1"/>
      <w:numFmt w:val="lowerRoman"/>
      <w:lvlText w:val="%6."/>
      <w:lvlJc w:val="right"/>
      <w:pPr>
        <w:ind w:left="4110" w:hanging="180"/>
      </w:pPr>
    </w:lvl>
    <w:lvl w:ilvl="6" w:tplc="0416000F" w:tentative="1">
      <w:start w:val="1"/>
      <w:numFmt w:val="decimal"/>
      <w:lvlText w:val="%7."/>
      <w:lvlJc w:val="left"/>
      <w:pPr>
        <w:ind w:left="4830" w:hanging="360"/>
      </w:pPr>
    </w:lvl>
    <w:lvl w:ilvl="7" w:tplc="04160019" w:tentative="1">
      <w:start w:val="1"/>
      <w:numFmt w:val="lowerLetter"/>
      <w:lvlText w:val="%8."/>
      <w:lvlJc w:val="left"/>
      <w:pPr>
        <w:ind w:left="5550" w:hanging="360"/>
      </w:pPr>
    </w:lvl>
    <w:lvl w:ilvl="8" w:tplc="0416001B" w:tentative="1">
      <w:start w:val="1"/>
      <w:numFmt w:val="lowerRoman"/>
      <w:lvlText w:val="%9."/>
      <w:lvlJc w:val="right"/>
      <w:pPr>
        <w:ind w:left="6270" w:hanging="180"/>
      </w:pPr>
    </w:lvl>
  </w:abstractNum>
  <w:num w:numId="1">
    <w:abstractNumId w:val="7"/>
  </w:num>
  <w:num w:numId="2">
    <w:abstractNumId w:val="1"/>
  </w:num>
  <w:num w:numId="3">
    <w:abstractNumId w:val="2"/>
  </w:num>
  <w:num w:numId="4">
    <w:abstractNumId w:val="11"/>
  </w:num>
  <w:num w:numId="5">
    <w:abstractNumId w:val="5"/>
  </w:num>
  <w:num w:numId="6">
    <w:abstractNumId w:val="10"/>
  </w:num>
  <w:num w:numId="7">
    <w:abstractNumId w:val="6"/>
  </w:num>
  <w:num w:numId="8">
    <w:abstractNumId w:val="7"/>
  </w:num>
  <w:num w:numId="9">
    <w:abstractNumId w:val="3"/>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4"/>
  </w:num>
  <w:num w:numId="20">
    <w:abstractNumId w:val="8"/>
  </w:num>
  <w:num w:numId="21">
    <w:abstractNumId w:val="12"/>
  </w:num>
  <w:num w:numId="22">
    <w:abstractNumId w:val="0"/>
  </w:num>
  <w:num w:numId="23">
    <w:abstractNumId w:val="9"/>
  </w:num>
  <w:num w:numId="24">
    <w:abstractNumId w:val="7"/>
  </w:num>
  <w:num w:numId="25">
    <w:abstractNumId w:val="7"/>
  </w:num>
  <w:num w:numId="2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A6"/>
    <w:rsid w:val="00000729"/>
    <w:rsid w:val="0000079B"/>
    <w:rsid w:val="000009E2"/>
    <w:rsid w:val="0000101E"/>
    <w:rsid w:val="00001303"/>
    <w:rsid w:val="00001315"/>
    <w:rsid w:val="0000170B"/>
    <w:rsid w:val="00001823"/>
    <w:rsid w:val="00001CCF"/>
    <w:rsid w:val="00002108"/>
    <w:rsid w:val="0000299F"/>
    <w:rsid w:val="00002B88"/>
    <w:rsid w:val="00003281"/>
    <w:rsid w:val="00003D60"/>
    <w:rsid w:val="00004524"/>
    <w:rsid w:val="00004AC2"/>
    <w:rsid w:val="00004B1C"/>
    <w:rsid w:val="00004B41"/>
    <w:rsid w:val="00004EFF"/>
    <w:rsid w:val="000054BB"/>
    <w:rsid w:val="00005694"/>
    <w:rsid w:val="00005764"/>
    <w:rsid w:val="00005A96"/>
    <w:rsid w:val="00005E3B"/>
    <w:rsid w:val="00006118"/>
    <w:rsid w:val="00006861"/>
    <w:rsid w:val="00006951"/>
    <w:rsid w:val="00006A15"/>
    <w:rsid w:val="00006ED3"/>
    <w:rsid w:val="00006F42"/>
    <w:rsid w:val="00006FF9"/>
    <w:rsid w:val="000072A1"/>
    <w:rsid w:val="000078F8"/>
    <w:rsid w:val="00007A0D"/>
    <w:rsid w:val="00010122"/>
    <w:rsid w:val="00010E01"/>
    <w:rsid w:val="00011067"/>
    <w:rsid w:val="00011ED6"/>
    <w:rsid w:val="000120FD"/>
    <w:rsid w:val="0001214D"/>
    <w:rsid w:val="00012724"/>
    <w:rsid w:val="000128E0"/>
    <w:rsid w:val="00012CA5"/>
    <w:rsid w:val="00012F99"/>
    <w:rsid w:val="00013280"/>
    <w:rsid w:val="00013613"/>
    <w:rsid w:val="0001374B"/>
    <w:rsid w:val="00013922"/>
    <w:rsid w:val="00013A68"/>
    <w:rsid w:val="00013ABE"/>
    <w:rsid w:val="00013C42"/>
    <w:rsid w:val="00013CF4"/>
    <w:rsid w:val="00014195"/>
    <w:rsid w:val="000143CE"/>
    <w:rsid w:val="0001441A"/>
    <w:rsid w:val="000145C7"/>
    <w:rsid w:val="00014611"/>
    <w:rsid w:val="00014924"/>
    <w:rsid w:val="00014BA5"/>
    <w:rsid w:val="00015252"/>
    <w:rsid w:val="00015C31"/>
    <w:rsid w:val="00015CBF"/>
    <w:rsid w:val="00015E50"/>
    <w:rsid w:val="000160C4"/>
    <w:rsid w:val="000163CC"/>
    <w:rsid w:val="00016880"/>
    <w:rsid w:val="000168E2"/>
    <w:rsid w:val="0001701E"/>
    <w:rsid w:val="00017DB8"/>
    <w:rsid w:val="00017E9C"/>
    <w:rsid w:val="00017FEA"/>
    <w:rsid w:val="00020A8E"/>
    <w:rsid w:val="0002100F"/>
    <w:rsid w:val="000217A7"/>
    <w:rsid w:val="00021927"/>
    <w:rsid w:val="00021BC1"/>
    <w:rsid w:val="00021C5F"/>
    <w:rsid w:val="00021E44"/>
    <w:rsid w:val="00021E6C"/>
    <w:rsid w:val="00022061"/>
    <w:rsid w:val="00022734"/>
    <w:rsid w:val="00023411"/>
    <w:rsid w:val="000235E9"/>
    <w:rsid w:val="00023C0A"/>
    <w:rsid w:val="00023E3D"/>
    <w:rsid w:val="00024957"/>
    <w:rsid w:val="00025597"/>
    <w:rsid w:val="0002662E"/>
    <w:rsid w:val="00026C13"/>
    <w:rsid w:val="000271D2"/>
    <w:rsid w:val="000275C8"/>
    <w:rsid w:val="000279E2"/>
    <w:rsid w:val="00027EB8"/>
    <w:rsid w:val="0003003B"/>
    <w:rsid w:val="00030148"/>
    <w:rsid w:val="00030155"/>
    <w:rsid w:val="00030187"/>
    <w:rsid w:val="00030AF7"/>
    <w:rsid w:val="0003152B"/>
    <w:rsid w:val="00031851"/>
    <w:rsid w:val="0003187A"/>
    <w:rsid w:val="000319C1"/>
    <w:rsid w:val="00031D7A"/>
    <w:rsid w:val="00031E2D"/>
    <w:rsid w:val="00031E6D"/>
    <w:rsid w:val="000327B9"/>
    <w:rsid w:val="00032CCA"/>
    <w:rsid w:val="00032E3B"/>
    <w:rsid w:val="000331E6"/>
    <w:rsid w:val="00033450"/>
    <w:rsid w:val="00033490"/>
    <w:rsid w:val="0003394A"/>
    <w:rsid w:val="000341A6"/>
    <w:rsid w:val="0003444E"/>
    <w:rsid w:val="000346B8"/>
    <w:rsid w:val="000350D0"/>
    <w:rsid w:val="000352A1"/>
    <w:rsid w:val="00035359"/>
    <w:rsid w:val="000354D1"/>
    <w:rsid w:val="0003571A"/>
    <w:rsid w:val="0003581D"/>
    <w:rsid w:val="00035948"/>
    <w:rsid w:val="00035A8D"/>
    <w:rsid w:val="00035BAC"/>
    <w:rsid w:val="0003618B"/>
    <w:rsid w:val="00036190"/>
    <w:rsid w:val="000361F7"/>
    <w:rsid w:val="00036B71"/>
    <w:rsid w:val="000374DC"/>
    <w:rsid w:val="000376AC"/>
    <w:rsid w:val="000377F5"/>
    <w:rsid w:val="000401C8"/>
    <w:rsid w:val="000404B9"/>
    <w:rsid w:val="000408D5"/>
    <w:rsid w:val="00040A20"/>
    <w:rsid w:val="00041581"/>
    <w:rsid w:val="000418F8"/>
    <w:rsid w:val="0004212A"/>
    <w:rsid w:val="000425DA"/>
    <w:rsid w:val="00042AE7"/>
    <w:rsid w:val="00042CD7"/>
    <w:rsid w:val="000434FE"/>
    <w:rsid w:val="00043631"/>
    <w:rsid w:val="00043720"/>
    <w:rsid w:val="000438A3"/>
    <w:rsid w:val="00043C55"/>
    <w:rsid w:val="00044020"/>
    <w:rsid w:val="0004407D"/>
    <w:rsid w:val="00044607"/>
    <w:rsid w:val="000448C2"/>
    <w:rsid w:val="00044C31"/>
    <w:rsid w:val="00044E44"/>
    <w:rsid w:val="0004510C"/>
    <w:rsid w:val="00045AAE"/>
    <w:rsid w:val="00045FE0"/>
    <w:rsid w:val="00046140"/>
    <w:rsid w:val="00046A03"/>
    <w:rsid w:val="00046A5D"/>
    <w:rsid w:val="00046C84"/>
    <w:rsid w:val="00046E92"/>
    <w:rsid w:val="00047651"/>
    <w:rsid w:val="0004788E"/>
    <w:rsid w:val="00047ACF"/>
    <w:rsid w:val="00047D38"/>
    <w:rsid w:val="0005000C"/>
    <w:rsid w:val="00050366"/>
    <w:rsid w:val="000504FC"/>
    <w:rsid w:val="0005056E"/>
    <w:rsid w:val="000507B0"/>
    <w:rsid w:val="00050962"/>
    <w:rsid w:val="00050EB8"/>
    <w:rsid w:val="00051164"/>
    <w:rsid w:val="0005119E"/>
    <w:rsid w:val="00052E99"/>
    <w:rsid w:val="00053006"/>
    <w:rsid w:val="00053078"/>
    <w:rsid w:val="00053235"/>
    <w:rsid w:val="00053A9D"/>
    <w:rsid w:val="00053DE5"/>
    <w:rsid w:val="000544BC"/>
    <w:rsid w:val="0005461D"/>
    <w:rsid w:val="00054A37"/>
    <w:rsid w:val="00054B57"/>
    <w:rsid w:val="00054B7A"/>
    <w:rsid w:val="00054C7F"/>
    <w:rsid w:val="000550CD"/>
    <w:rsid w:val="00056181"/>
    <w:rsid w:val="0005629C"/>
    <w:rsid w:val="00056513"/>
    <w:rsid w:val="00056948"/>
    <w:rsid w:val="00056EC4"/>
    <w:rsid w:val="00057551"/>
    <w:rsid w:val="000577C7"/>
    <w:rsid w:val="000578A5"/>
    <w:rsid w:val="000579AD"/>
    <w:rsid w:val="00057D83"/>
    <w:rsid w:val="00060272"/>
    <w:rsid w:val="00060461"/>
    <w:rsid w:val="000604BB"/>
    <w:rsid w:val="00061293"/>
    <w:rsid w:val="00061850"/>
    <w:rsid w:val="00061867"/>
    <w:rsid w:val="0006193B"/>
    <w:rsid w:val="0006199C"/>
    <w:rsid w:val="00061AB4"/>
    <w:rsid w:val="00061DCF"/>
    <w:rsid w:val="00062097"/>
    <w:rsid w:val="00062534"/>
    <w:rsid w:val="0006288E"/>
    <w:rsid w:val="00062EF3"/>
    <w:rsid w:val="0006315B"/>
    <w:rsid w:val="0006352E"/>
    <w:rsid w:val="0006363D"/>
    <w:rsid w:val="000636B8"/>
    <w:rsid w:val="00063B15"/>
    <w:rsid w:val="00064303"/>
    <w:rsid w:val="00064D35"/>
    <w:rsid w:val="00064FBC"/>
    <w:rsid w:val="0006513E"/>
    <w:rsid w:val="00065BD4"/>
    <w:rsid w:val="00065EF6"/>
    <w:rsid w:val="000661C6"/>
    <w:rsid w:val="00066285"/>
    <w:rsid w:val="00066492"/>
    <w:rsid w:val="000668B9"/>
    <w:rsid w:val="00066C08"/>
    <w:rsid w:val="00067139"/>
    <w:rsid w:val="0006721A"/>
    <w:rsid w:val="00067441"/>
    <w:rsid w:val="0006779D"/>
    <w:rsid w:val="000679FA"/>
    <w:rsid w:val="000704DF"/>
    <w:rsid w:val="000704EF"/>
    <w:rsid w:val="00070586"/>
    <w:rsid w:val="0007079F"/>
    <w:rsid w:val="00071211"/>
    <w:rsid w:val="00071795"/>
    <w:rsid w:val="00071A1D"/>
    <w:rsid w:val="00072193"/>
    <w:rsid w:val="000721AB"/>
    <w:rsid w:val="00072343"/>
    <w:rsid w:val="000726BD"/>
    <w:rsid w:val="000727ED"/>
    <w:rsid w:val="0007363B"/>
    <w:rsid w:val="00073745"/>
    <w:rsid w:val="00073AD6"/>
    <w:rsid w:val="00074040"/>
    <w:rsid w:val="0007408C"/>
    <w:rsid w:val="000746A0"/>
    <w:rsid w:val="00074AFB"/>
    <w:rsid w:val="0007537F"/>
    <w:rsid w:val="00075754"/>
    <w:rsid w:val="00075C79"/>
    <w:rsid w:val="00076374"/>
    <w:rsid w:val="000769AF"/>
    <w:rsid w:val="00076C3A"/>
    <w:rsid w:val="0007747C"/>
    <w:rsid w:val="000776CD"/>
    <w:rsid w:val="00077B80"/>
    <w:rsid w:val="00077C3B"/>
    <w:rsid w:val="00077E3A"/>
    <w:rsid w:val="00077EED"/>
    <w:rsid w:val="00077FCA"/>
    <w:rsid w:val="00080260"/>
    <w:rsid w:val="000808C0"/>
    <w:rsid w:val="000809A5"/>
    <w:rsid w:val="00080A8B"/>
    <w:rsid w:val="000816A7"/>
    <w:rsid w:val="000825E0"/>
    <w:rsid w:val="00082680"/>
    <w:rsid w:val="000828C8"/>
    <w:rsid w:val="000829AE"/>
    <w:rsid w:val="00082B3C"/>
    <w:rsid w:val="00082E3E"/>
    <w:rsid w:val="00082F3A"/>
    <w:rsid w:val="00083012"/>
    <w:rsid w:val="000830DC"/>
    <w:rsid w:val="00083227"/>
    <w:rsid w:val="000832C7"/>
    <w:rsid w:val="00083615"/>
    <w:rsid w:val="00083F5C"/>
    <w:rsid w:val="000841C1"/>
    <w:rsid w:val="00084325"/>
    <w:rsid w:val="00084676"/>
    <w:rsid w:val="00084731"/>
    <w:rsid w:val="00084755"/>
    <w:rsid w:val="00084873"/>
    <w:rsid w:val="00085082"/>
    <w:rsid w:val="00085C97"/>
    <w:rsid w:val="00086236"/>
    <w:rsid w:val="00086477"/>
    <w:rsid w:val="00086B0E"/>
    <w:rsid w:val="00086B92"/>
    <w:rsid w:val="00086C5A"/>
    <w:rsid w:val="0008726E"/>
    <w:rsid w:val="000872EF"/>
    <w:rsid w:val="00087307"/>
    <w:rsid w:val="00087361"/>
    <w:rsid w:val="00087612"/>
    <w:rsid w:val="000878BD"/>
    <w:rsid w:val="00087FA1"/>
    <w:rsid w:val="000902F4"/>
    <w:rsid w:val="000904B1"/>
    <w:rsid w:val="00090784"/>
    <w:rsid w:val="00090C52"/>
    <w:rsid w:val="00090D2C"/>
    <w:rsid w:val="000912FF"/>
    <w:rsid w:val="00091E5B"/>
    <w:rsid w:val="00091FEC"/>
    <w:rsid w:val="000922B2"/>
    <w:rsid w:val="00092962"/>
    <w:rsid w:val="00093182"/>
    <w:rsid w:val="000939FA"/>
    <w:rsid w:val="00093A03"/>
    <w:rsid w:val="00093AFF"/>
    <w:rsid w:val="000941CE"/>
    <w:rsid w:val="000942A4"/>
    <w:rsid w:val="000945F4"/>
    <w:rsid w:val="0009461F"/>
    <w:rsid w:val="0009497F"/>
    <w:rsid w:val="00094BA0"/>
    <w:rsid w:val="00094BEC"/>
    <w:rsid w:val="00095107"/>
    <w:rsid w:val="000953C8"/>
    <w:rsid w:val="00095839"/>
    <w:rsid w:val="00095A53"/>
    <w:rsid w:val="00095C30"/>
    <w:rsid w:val="00095D1D"/>
    <w:rsid w:val="00095EC7"/>
    <w:rsid w:val="00096182"/>
    <w:rsid w:val="00096BED"/>
    <w:rsid w:val="00096CF3"/>
    <w:rsid w:val="00096F5F"/>
    <w:rsid w:val="00096FF5"/>
    <w:rsid w:val="00097000"/>
    <w:rsid w:val="00097013"/>
    <w:rsid w:val="000A02E2"/>
    <w:rsid w:val="000A0340"/>
    <w:rsid w:val="000A087C"/>
    <w:rsid w:val="000A0B13"/>
    <w:rsid w:val="000A0DE2"/>
    <w:rsid w:val="000A1025"/>
    <w:rsid w:val="000A1304"/>
    <w:rsid w:val="000A14DC"/>
    <w:rsid w:val="000A1E4D"/>
    <w:rsid w:val="000A2382"/>
    <w:rsid w:val="000A2717"/>
    <w:rsid w:val="000A2F2B"/>
    <w:rsid w:val="000A3449"/>
    <w:rsid w:val="000A3603"/>
    <w:rsid w:val="000A364F"/>
    <w:rsid w:val="000A3801"/>
    <w:rsid w:val="000A3931"/>
    <w:rsid w:val="000A3A50"/>
    <w:rsid w:val="000A40F4"/>
    <w:rsid w:val="000A4216"/>
    <w:rsid w:val="000A43F3"/>
    <w:rsid w:val="000A4610"/>
    <w:rsid w:val="000A57AA"/>
    <w:rsid w:val="000A585F"/>
    <w:rsid w:val="000A5870"/>
    <w:rsid w:val="000A5F91"/>
    <w:rsid w:val="000A63DE"/>
    <w:rsid w:val="000A6414"/>
    <w:rsid w:val="000A654B"/>
    <w:rsid w:val="000A67CF"/>
    <w:rsid w:val="000A6A29"/>
    <w:rsid w:val="000A6A2B"/>
    <w:rsid w:val="000A74E1"/>
    <w:rsid w:val="000A7A58"/>
    <w:rsid w:val="000B0150"/>
    <w:rsid w:val="000B0411"/>
    <w:rsid w:val="000B049A"/>
    <w:rsid w:val="000B0763"/>
    <w:rsid w:val="000B0868"/>
    <w:rsid w:val="000B0B22"/>
    <w:rsid w:val="000B0B91"/>
    <w:rsid w:val="000B0CC0"/>
    <w:rsid w:val="000B0CD6"/>
    <w:rsid w:val="000B12AF"/>
    <w:rsid w:val="000B1DFC"/>
    <w:rsid w:val="000B28BF"/>
    <w:rsid w:val="000B2CE5"/>
    <w:rsid w:val="000B2DDE"/>
    <w:rsid w:val="000B319A"/>
    <w:rsid w:val="000B3ACB"/>
    <w:rsid w:val="000B3EF3"/>
    <w:rsid w:val="000B4110"/>
    <w:rsid w:val="000B42F6"/>
    <w:rsid w:val="000B45BB"/>
    <w:rsid w:val="000B54FD"/>
    <w:rsid w:val="000B5614"/>
    <w:rsid w:val="000B59BC"/>
    <w:rsid w:val="000B5BC4"/>
    <w:rsid w:val="000B66B6"/>
    <w:rsid w:val="000B6815"/>
    <w:rsid w:val="000B6B43"/>
    <w:rsid w:val="000B7283"/>
    <w:rsid w:val="000B740A"/>
    <w:rsid w:val="000B7B4C"/>
    <w:rsid w:val="000B7BF2"/>
    <w:rsid w:val="000B7D22"/>
    <w:rsid w:val="000B7E16"/>
    <w:rsid w:val="000C0229"/>
    <w:rsid w:val="000C03E7"/>
    <w:rsid w:val="000C05F0"/>
    <w:rsid w:val="000C074E"/>
    <w:rsid w:val="000C0C9D"/>
    <w:rsid w:val="000C0E7A"/>
    <w:rsid w:val="000C115D"/>
    <w:rsid w:val="000C19B7"/>
    <w:rsid w:val="000C1BD8"/>
    <w:rsid w:val="000C1C15"/>
    <w:rsid w:val="000C1FAB"/>
    <w:rsid w:val="000C1FFE"/>
    <w:rsid w:val="000C2867"/>
    <w:rsid w:val="000C2AD9"/>
    <w:rsid w:val="000C2BBA"/>
    <w:rsid w:val="000C345E"/>
    <w:rsid w:val="000C3B34"/>
    <w:rsid w:val="000C3C95"/>
    <w:rsid w:val="000C3FB3"/>
    <w:rsid w:val="000C4462"/>
    <w:rsid w:val="000C4EC5"/>
    <w:rsid w:val="000C594B"/>
    <w:rsid w:val="000C594E"/>
    <w:rsid w:val="000C5ABB"/>
    <w:rsid w:val="000C5CE1"/>
    <w:rsid w:val="000C614B"/>
    <w:rsid w:val="000C668A"/>
    <w:rsid w:val="000C68B4"/>
    <w:rsid w:val="000C6A6B"/>
    <w:rsid w:val="000C6C0F"/>
    <w:rsid w:val="000C6D19"/>
    <w:rsid w:val="000C73DB"/>
    <w:rsid w:val="000C7587"/>
    <w:rsid w:val="000C7963"/>
    <w:rsid w:val="000C7A7C"/>
    <w:rsid w:val="000C7B4D"/>
    <w:rsid w:val="000C7DF5"/>
    <w:rsid w:val="000C7EFA"/>
    <w:rsid w:val="000D0161"/>
    <w:rsid w:val="000D03AA"/>
    <w:rsid w:val="000D06BA"/>
    <w:rsid w:val="000D07EC"/>
    <w:rsid w:val="000D0BD4"/>
    <w:rsid w:val="000D0D2D"/>
    <w:rsid w:val="000D0DB6"/>
    <w:rsid w:val="000D1009"/>
    <w:rsid w:val="000D1065"/>
    <w:rsid w:val="000D12B8"/>
    <w:rsid w:val="000D13A3"/>
    <w:rsid w:val="000D171A"/>
    <w:rsid w:val="000D1892"/>
    <w:rsid w:val="000D1953"/>
    <w:rsid w:val="000D2169"/>
    <w:rsid w:val="000D21A0"/>
    <w:rsid w:val="000D21B9"/>
    <w:rsid w:val="000D237A"/>
    <w:rsid w:val="000D2668"/>
    <w:rsid w:val="000D2796"/>
    <w:rsid w:val="000D2980"/>
    <w:rsid w:val="000D2D79"/>
    <w:rsid w:val="000D2E8C"/>
    <w:rsid w:val="000D34DD"/>
    <w:rsid w:val="000D3571"/>
    <w:rsid w:val="000D371E"/>
    <w:rsid w:val="000D3E9E"/>
    <w:rsid w:val="000D416A"/>
    <w:rsid w:val="000D51BF"/>
    <w:rsid w:val="000D54A8"/>
    <w:rsid w:val="000D5F84"/>
    <w:rsid w:val="000D614B"/>
    <w:rsid w:val="000D61C8"/>
    <w:rsid w:val="000D63FA"/>
    <w:rsid w:val="000D662E"/>
    <w:rsid w:val="000D696C"/>
    <w:rsid w:val="000D6A4D"/>
    <w:rsid w:val="000D6B3A"/>
    <w:rsid w:val="000D6E0C"/>
    <w:rsid w:val="000D6F74"/>
    <w:rsid w:val="000D71E1"/>
    <w:rsid w:val="000D7258"/>
    <w:rsid w:val="000D7786"/>
    <w:rsid w:val="000D7D1F"/>
    <w:rsid w:val="000E004E"/>
    <w:rsid w:val="000E059D"/>
    <w:rsid w:val="000E05A3"/>
    <w:rsid w:val="000E069D"/>
    <w:rsid w:val="000E08AA"/>
    <w:rsid w:val="000E0F7E"/>
    <w:rsid w:val="000E10ED"/>
    <w:rsid w:val="000E151B"/>
    <w:rsid w:val="000E16A3"/>
    <w:rsid w:val="000E1D73"/>
    <w:rsid w:val="000E2550"/>
    <w:rsid w:val="000E2743"/>
    <w:rsid w:val="000E291A"/>
    <w:rsid w:val="000E3107"/>
    <w:rsid w:val="000E310E"/>
    <w:rsid w:val="000E35C0"/>
    <w:rsid w:val="000E3912"/>
    <w:rsid w:val="000E3A37"/>
    <w:rsid w:val="000E3A6E"/>
    <w:rsid w:val="000E4DCE"/>
    <w:rsid w:val="000E5071"/>
    <w:rsid w:val="000E5C66"/>
    <w:rsid w:val="000E63D5"/>
    <w:rsid w:val="000E64BF"/>
    <w:rsid w:val="000E6980"/>
    <w:rsid w:val="000E6D9E"/>
    <w:rsid w:val="000E72DB"/>
    <w:rsid w:val="000E7A0F"/>
    <w:rsid w:val="000F017D"/>
    <w:rsid w:val="000F022A"/>
    <w:rsid w:val="000F023E"/>
    <w:rsid w:val="000F0712"/>
    <w:rsid w:val="000F1589"/>
    <w:rsid w:val="000F1A9A"/>
    <w:rsid w:val="000F2106"/>
    <w:rsid w:val="000F2351"/>
    <w:rsid w:val="000F24A1"/>
    <w:rsid w:val="000F2629"/>
    <w:rsid w:val="000F2FF5"/>
    <w:rsid w:val="000F3263"/>
    <w:rsid w:val="000F35FF"/>
    <w:rsid w:val="000F3C99"/>
    <w:rsid w:val="000F446C"/>
    <w:rsid w:val="000F46F6"/>
    <w:rsid w:val="000F48E2"/>
    <w:rsid w:val="000F4C2A"/>
    <w:rsid w:val="000F4CC1"/>
    <w:rsid w:val="000F4E66"/>
    <w:rsid w:val="000F54A5"/>
    <w:rsid w:val="000F555F"/>
    <w:rsid w:val="000F565A"/>
    <w:rsid w:val="000F63D7"/>
    <w:rsid w:val="000F7502"/>
    <w:rsid w:val="000F7767"/>
    <w:rsid w:val="000F7A06"/>
    <w:rsid w:val="000F7E1B"/>
    <w:rsid w:val="000F7E34"/>
    <w:rsid w:val="0010051A"/>
    <w:rsid w:val="00100536"/>
    <w:rsid w:val="00100620"/>
    <w:rsid w:val="0010076B"/>
    <w:rsid w:val="00100941"/>
    <w:rsid w:val="0010094B"/>
    <w:rsid w:val="00100B32"/>
    <w:rsid w:val="001012C6"/>
    <w:rsid w:val="001017FF"/>
    <w:rsid w:val="00101816"/>
    <w:rsid w:val="00101A3A"/>
    <w:rsid w:val="00102028"/>
    <w:rsid w:val="001020A4"/>
    <w:rsid w:val="001023CD"/>
    <w:rsid w:val="001026AC"/>
    <w:rsid w:val="00102AD1"/>
    <w:rsid w:val="00102B99"/>
    <w:rsid w:val="00102C83"/>
    <w:rsid w:val="00102E99"/>
    <w:rsid w:val="00103835"/>
    <w:rsid w:val="00103A34"/>
    <w:rsid w:val="00103DFB"/>
    <w:rsid w:val="00103E7B"/>
    <w:rsid w:val="00103F2A"/>
    <w:rsid w:val="00103F88"/>
    <w:rsid w:val="00104059"/>
    <w:rsid w:val="00104064"/>
    <w:rsid w:val="00104128"/>
    <w:rsid w:val="0010437C"/>
    <w:rsid w:val="001045BD"/>
    <w:rsid w:val="00104EE1"/>
    <w:rsid w:val="00105F81"/>
    <w:rsid w:val="001063F2"/>
    <w:rsid w:val="0010641F"/>
    <w:rsid w:val="0010643A"/>
    <w:rsid w:val="001079A8"/>
    <w:rsid w:val="00107E5A"/>
    <w:rsid w:val="00110230"/>
    <w:rsid w:val="00110653"/>
    <w:rsid w:val="00110962"/>
    <w:rsid w:val="00110C3E"/>
    <w:rsid w:val="001110B2"/>
    <w:rsid w:val="0011126B"/>
    <w:rsid w:val="0011175F"/>
    <w:rsid w:val="00111AD6"/>
    <w:rsid w:val="00111C45"/>
    <w:rsid w:val="00112194"/>
    <w:rsid w:val="00112301"/>
    <w:rsid w:val="001127B5"/>
    <w:rsid w:val="001130AC"/>
    <w:rsid w:val="00113306"/>
    <w:rsid w:val="001135AD"/>
    <w:rsid w:val="001135EB"/>
    <w:rsid w:val="001137C8"/>
    <w:rsid w:val="00113870"/>
    <w:rsid w:val="00113CCA"/>
    <w:rsid w:val="00113CEA"/>
    <w:rsid w:val="00113EEC"/>
    <w:rsid w:val="00113F84"/>
    <w:rsid w:val="00114397"/>
    <w:rsid w:val="001143A8"/>
    <w:rsid w:val="00114407"/>
    <w:rsid w:val="00114896"/>
    <w:rsid w:val="00115066"/>
    <w:rsid w:val="0011539D"/>
    <w:rsid w:val="00115850"/>
    <w:rsid w:val="00116496"/>
    <w:rsid w:val="001166A7"/>
    <w:rsid w:val="00116BD5"/>
    <w:rsid w:val="00116EBB"/>
    <w:rsid w:val="00116EDF"/>
    <w:rsid w:val="00116F41"/>
    <w:rsid w:val="0011702F"/>
    <w:rsid w:val="00117044"/>
    <w:rsid w:val="00117327"/>
    <w:rsid w:val="0011756D"/>
    <w:rsid w:val="0011794C"/>
    <w:rsid w:val="00117EF3"/>
    <w:rsid w:val="00120F38"/>
    <w:rsid w:val="00121225"/>
    <w:rsid w:val="001213BE"/>
    <w:rsid w:val="00121578"/>
    <w:rsid w:val="00121BF3"/>
    <w:rsid w:val="00122083"/>
    <w:rsid w:val="00122208"/>
    <w:rsid w:val="0012256E"/>
    <w:rsid w:val="00122596"/>
    <w:rsid w:val="0012276D"/>
    <w:rsid w:val="001229EA"/>
    <w:rsid w:val="00122E24"/>
    <w:rsid w:val="00123428"/>
    <w:rsid w:val="00123627"/>
    <w:rsid w:val="00123DCC"/>
    <w:rsid w:val="00123EA2"/>
    <w:rsid w:val="00124184"/>
    <w:rsid w:val="001241BB"/>
    <w:rsid w:val="00124240"/>
    <w:rsid w:val="00124275"/>
    <w:rsid w:val="00124494"/>
    <w:rsid w:val="0012458F"/>
    <w:rsid w:val="00124654"/>
    <w:rsid w:val="00124725"/>
    <w:rsid w:val="0012487D"/>
    <w:rsid w:val="00124DF6"/>
    <w:rsid w:val="00125094"/>
    <w:rsid w:val="001250E4"/>
    <w:rsid w:val="0012561F"/>
    <w:rsid w:val="00125974"/>
    <w:rsid w:val="00125D81"/>
    <w:rsid w:val="00126084"/>
    <w:rsid w:val="0012670E"/>
    <w:rsid w:val="00126CA8"/>
    <w:rsid w:val="00126CE8"/>
    <w:rsid w:val="00126EDC"/>
    <w:rsid w:val="0012715C"/>
    <w:rsid w:val="00127294"/>
    <w:rsid w:val="00127526"/>
    <w:rsid w:val="001276E5"/>
    <w:rsid w:val="001277D5"/>
    <w:rsid w:val="00127ACE"/>
    <w:rsid w:val="00127F6D"/>
    <w:rsid w:val="001300AE"/>
    <w:rsid w:val="00130248"/>
    <w:rsid w:val="00130308"/>
    <w:rsid w:val="001304D6"/>
    <w:rsid w:val="00130AC6"/>
    <w:rsid w:val="00130B05"/>
    <w:rsid w:val="00130C7A"/>
    <w:rsid w:val="00131778"/>
    <w:rsid w:val="00131890"/>
    <w:rsid w:val="00131AA6"/>
    <w:rsid w:val="001326C4"/>
    <w:rsid w:val="001327C0"/>
    <w:rsid w:val="00132CDE"/>
    <w:rsid w:val="00132CFC"/>
    <w:rsid w:val="00132F6D"/>
    <w:rsid w:val="001330D1"/>
    <w:rsid w:val="0013333B"/>
    <w:rsid w:val="0013464A"/>
    <w:rsid w:val="00134FEF"/>
    <w:rsid w:val="00135999"/>
    <w:rsid w:val="00135E1C"/>
    <w:rsid w:val="00137510"/>
    <w:rsid w:val="00137681"/>
    <w:rsid w:val="001376BB"/>
    <w:rsid w:val="0014010D"/>
    <w:rsid w:val="001408E9"/>
    <w:rsid w:val="00140D6C"/>
    <w:rsid w:val="001411BE"/>
    <w:rsid w:val="00141281"/>
    <w:rsid w:val="00141ADA"/>
    <w:rsid w:val="00141F10"/>
    <w:rsid w:val="00141F76"/>
    <w:rsid w:val="001423AB"/>
    <w:rsid w:val="0014286B"/>
    <w:rsid w:val="0014292D"/>
    <w:rsid w:val="0014327E"/>
    <w:rsid w:val="001436BA"/>
    <w:rsid w:val="001438F6"/>
    <w:rsid w:val="00143BCE"/>
    <w:rsid w:val="00143CD3"/>
    <w:rsid w:val="00144352"/>
    <w:rsid w:val="00144878"/>
    <w:rsid w:val="00144BC6"/>
    <w:rsid w:val="00144D6E"/>
    <w:rsid w:val="00145345"/>
    <w:rsid w:val="00145380"/>
    <w:rsid w:val="001454B3"/>
    <w:rsid w:val="0014562E"/>
    <w:rsid w:val="00145B0D"/>
    <w:rsid w:val="00146077"/>
    <w:rsid w:val="00146177"/>
    <w:rsid w:val="00146211"/>
    <w:rsid w:val="00146447"/>
    <w:rsid w:val="001467C4"/>
    <w:rsid w:val="001475BD"/>
    <w:rsid w:val="001476EA"/>
    <w:rsid w:val="00147956"/>
    <w:rsid w:val="00150175"/>
    <w:rsid w:val="001503B0"/>
    <w:rsid w:val="001508F7"/>
    <w:rsid w:val="00150C1F"/>
    <w:rsid w:val="00150C27"/>
    <w:rsid w:val="00150DFA"/>
    <w:rsid w:val="00150EDC"/>
    <w:rsid w:val="00151002"/>
    <w:rsid w:val="001510FA"/>
    <w:rsid w:val="001515CF"/>
    <w:rsid w:val="001518B9"/>
    <w:rsid w:val="00151947"/>
    <w:rsid w:val="00151A5B"/>
    <w:rsid w:val="00151CE0"/>
    <w:rsid w:val="00152171"/>
    <w:rsid w:val="001523A6"/>
    <w:rsid w:val="0015287E"/>
    <w:rsid w:val="001528FF"/>
    <w:rsid w:val="001529E4"/>
    <w:rsid w:val="00152DEC"/>
    <w:rsid w:val="001531CC"/>
    <w:rsid w:val="00153700"/>
    <w:rsid w:val="001541B2"/>
    <w:rsid w:val="001544A5"/>
    <w:rsid w:val="00154B86"/>
    <w:rsid w:val="00154DB4"/>
    <w:rsid w:val="00154F96"/>
    <w:rsid w:val="001553C9"/>
    <w:rsid w:val="00155598"/>
    <w:rsid w:val="00155BB7"/>
    <w:rsid w:val="00155F4E"/>
    <w:rsid w:val="00156052"/>
    <w:rsid w:val="001562BF"/>
    <w:rsid w:val="00156906"/>
    <w:rsid w:val="00156B50"/>
    <w:rsid w:val="00156CED"/>
    <w:rsid w:val="00156D56"/>
    <w:rsid w:val="00157B3B"/>
    <w:rsid w:val="00157BF7"/>
    <w:rsid w:val="00157C72"/>
    <w:rsid w:val="0016091F"/>
    <w:rsid w:val="00160CEA"/>
    <w:rsid w:val="00160F6E"/>
    <w:rsid w:val="001610B2"/>
    <w:rsid w:val="00161354"/>
    <w:rsid w:val="00161BBF"/>
    <w:rsid w:val="00161E41"/>
    <w:rsid w:val="001620EE"/>
    <w:rsid w:val="00162133"/>
    <w:rsid w:val="001624C0"/>
    <w:rsid w:val="001626AF"/>
    <w:rsid w:val="00163296"/>
    <w:rsid w:val="001639CD"/>
    <w:rsid w:val="00163FAE"/>
    <w:rsid w:val="001641FE"/>
    <w:rsid w:val="001642F9"/>
    <w:rsid w:val="0016450E"/>
    <w:rsid w:val="00164529"/>
    <w:rsid w:val="00164823"/>
    <w:rsid w:val="00164A11"/>
    <w:rsid w:val="00164F1F"/>
    <w:rsid w:val="00165D68"/>
    <w:rsid w:val="00165E19"/>
    <w:rsid w:val="0016618E"/>
    <w:rsid w:val="0016627C"/>
    <w:rsid w:val="001666B8"/>
    <w:rsid w:val="0016670A"/>
    <w:rsid w:val="0016683E"/>
    <w:rsid w:val="00166CBD"/>
    <w:rsid w:val="00166D60"/>
    <w:rsid w:val="00166D6E"/>
    <w:rsid w:val="00166DA5"/>
    <w:rsid w:val="00166E7D"/>
    <w:rsid w:val="001670D0"/>
    <w:rsid w:val="00167154"/>
    <w:rsid w:val="001678B4"/>
    <w:rsid w:val="001678E4"/>
    <w:rsid w:val="00167B72"/>
    <w:rsid w:val="00167F9C"/>
    <w:rsid w:val="00167FA1"/>
    <w:rsid w:val="00170485"/>
    <w:rsid w:val="0017058D"/>
    <w:rsid w:val="001708BF"/>
    <w:rsid w:val="00170BFC"/>
    <w:rsid w:val="00170CB4"/>
    <w:rsid w:val="00170DD8"/>
    <w:rsid w:val="00170E03"/>
    <w:rsid w:val="00170E22"/>
    <w:rsid w:val="00170EA0"/>
    <w:rsid w:val="00170F80"/>
    <w:rsid w:val="00171156"/>
    <w:rsid w:val="00171472"/>
    <w:rsid w:val="00171DB4"/>
    <w:rsid w:val="00171F9C"/>
    <w:rsid w:val="00172578"/>
    <w:rsid w:val="0017331B"/>
    <w:rsid w:val="0017398B"/>
    <w:rsid w:val="00173D8E"/>
    <w:rsid w:val="00174B8E"/>
    <w:rsid w:val="00174EE4"/>
    <w:rsid w:val="00175431"/>
    <w:rsid w:val="0017553A"/>
    <w:rsid w:val="00175713"/>
    <w:rsid w:val="0017575C"/>
    <w:rsid w:val="00175796"/>
    <w:rsid w:val="001757B6"/>
    <w:rsid w:val="00175A5E"/>
    <w:rsid w:val="00176083"/>
    <w:rsid w:val="001763E2"/>
    <w:rsid w:val="001765C8"/>
    <w:rsid w:val="00176C34"/>
    <w:rsid w:val="00176C71"/>
    <w:rsid w:val="001772E2"/>
    <w:rsid w:val="0017738F"/>
    <w:rsid w:val="001773E9"/>
    <w:rsid w:val="0017782F"/>
    <w:rsid w:val="0017788C"/>
    <w:rsid w:val="00177A68"/>
    <w:rsid w:val="00177B1E"/>
    <w:rsid w:val="0018037E"/>
    <w:rsid w:val="0018096F"/>
    <w:rsid w:val="00180A7B"/>
    <w:rsid w:val="00180D86"/>
    <w:rsid w:val="00180DC3"/>
    <w:rsid w:val="00180DE8"/>
    <w:rsid w:val="00180E54"/>
    <w:rsid w:val="00181455"/>
    <w:rsid w:val="00181E11"/>
    <w:rsid w:val="00182341"/>
    <w:rsid w:val="00182AAF"/>
    <w:rsid w:val="00182BAA"/>
    <w:rsid w:val="00183CA7"/>
    <w:rsid w:val="00183E24"/>
    <w:rsid w:val="00184019"/>
    <w:rsid w:val="001840DE"/>
    <w:rsid w:val="001846E1"/>
    <w:rsid w:val="00184B9E"/>
    <w:rsid w:val="00184C6A"/>
    <w:rsid w:val="00184E41"/>
    <w:rsid w:val="00184EA3"/>
    <w:rsid w:val="00184ED3"/>
    <w:rsid w:val="00184FA9"/>
    <w:rsid w:val="00184FF3"/>
    <w:rsid w:val="00185CAD"/>
    <w:rsid w:val="001860F0"/>
    <w:rsid w:val="001862E4"/>
    <w:rsid w:val="00186845"/>
    <w:rsid w:val="00186978"/>
    <w:rsid w:val="00186F05"/>
    <w:rsid w:val="00186F4B"/>
    <w:rsid w:val="001870D3"/>
    <w:rsid w:val="00187108"/>
    <w:rsid w:val="00190231"/>
    <w:rsid w:val="001903CB"/>
    <w:rsid w:val="00190646"/>
    <w:rsid w:val="001906FE"/>
    <w:rsid w:val="00190DE4"/>
    <w:rsid w:val="00190E48"/>
    <w:rsid w:val="00191793"/>
    <w:rsid w:val="00191E8F"/>
    <w:rsid w:val="001925FD"/>
    <w:rsid w:val="0019262E"/>
    <w:rsid w:val="00192985"/>
    <w:rsid w:val="00192FFD"/>
    <w:rsid w:val="00193031"/>
    <w:rsid w:val="0019416D"/>
    <w:rsid w:val="0019427F"/>
    <w:rsid w:val="00194C33"/>
    <w:rsid w:val="0019513E"/>
    <w:rsid w:val="0019562B"/>
    <w:rsid w:val="0019590C"/>
    <w:rsid w:val="0019601C"/>
    <w:rsid w:val="001960E2"/>
    <w:rsid w:val="001964B4"/>
    <w:rsid w:val="00196B73"/>
    <w:rsid w:val="00196CB0"/>
    <w:rsid w:val="00196D90"/>
    <w:rsid w:val="00196D9E"/>
    <w:rsid w:val="00196DDF"/>
    <w:rsid w:val="00196FC4"/>
    <w:rsid w:val="00197035"/>
    <w:rsid w:val="00197411"/>
    <w:rsid w:val="00197FDE"/>
    <w:rsid w:val="001A064B"/>
    <w:rsid w:val="001A06D7"/>
    <w:rsid w:val="001A071D"/>
    <w:rsid w:val="001A0783"/>
    <w:rsid w:val="001A08EB"/>
    <w:rsid w:val="001A0B13"/>
    <w:rsid w:val="001A13E1"/>
    <w:rsid w:val="001A17B9"/>
    <w:rsid w:val="001A1DC1"/>
    <w:rsid w:val="001A2A78"/>
    <w:rsid w:val="001A2BF7"/>
    <w:rsid w:val="001A2EB8"/>
    <w:rsid w:val="001A395F"/>
    <w:rsid w:val="001A4308"/>
    <w:rsid w:val="001A4C32"/>
    <w:rsid w:val="001A4C6E"/>
    <w:rsid w:val="001A606C"/>
    <w:rsid w:val="001A615F"/>
    <w:rsid w:val="001A67B5"/>
    <w:rsid w:val="001A6825"/>
    <w:rsid w:val="001A6944"/>
    <w:rsid w:val="001A6968"/>
    <w:rsid w:val="001A6C54"/>
    <w:rsid w:val="001A6CF9"/>
    <w:rsid w:val="001A703C"/>
    <w:rsid w:val="001A7303"/>
    <w:rsid w:val="001A73B0"/>
    <w:rsid w:val="001A755B"/>
    <w:rsid w:val="001A77F0"/>
    <w:rsid w:val="001A7825"/>
    <w:rsid w:val="001B007D"/>
    <w:rsid w:val="001B00A2"/>
    <w:rsid w:val="001B05C6"/>
    <w:rsid w:val="001B1787"/>
    <w:rsid w:val="001B1985"/>
    <w:rsid w:val="001B1BEE"/>
    <w:rsid w:val="001B1DBF"/>
    <w:rsid w:val="001B204E"/>
    <w:rsid w:val="001B213C"/>
    <w:rsid w:val="001B21AA"/>
    <w:rsid w:val="001B220E"/>
    <w:rsid w:val="001B2249"/>
    <w:rsid w:val="001B22C7"/>
    <w:rsid w:val="001B2A63"/>
    <w:rsid w:val="001B2E04"/>
    <w:rsid w:val="001B311B"/>
    <w:rsid w:val="001B3199"/>
    <w:rsid w:val="001B35DD"/>
    <w:rsid w:val="001B360F"/>
    <w:rsid w:val="001B376D"/>
    <w:rsid w:val="001B3905"/>
    <w:rsid w:val="001B43F7"/>
    <w:rsid w:val="001B4DA5"/>
    <w:rsid w:val="001B59F9"/>
    <w:rsid w:val="001B5B0C"/>
    <w:rsid w:val="001B5C82"/>
    <w:rsid w:val="001B5CA8"/>
    <w:rsid w:val="001B6000"/>
    <w:rsid w:val="001B67BC"/>
    <w:rsid w:val="001B6A34"/>
    <w:rsid w:val="001B6F84"/>
    <w:rsid w:val="001B7081"/>
    <w:rsid w:val="001B7947"/>
    <w:rsid w:val="001B7C4E"/>
    <w:rsid w:val="001B7C53"/>
    <w:rsid w:val="001C0CC1"/>
    <w:rsid w:val="001C10A2"/>
    <w:rsid w:val="001C10D0"/>
    <w:rsid w:val="001C1151"/>
    <w:rsid w:val="001C1C4D"/>
    <w:rsid w:val="001C1F6F"/>
    <w:rsid w:val="001C20D3"/>
    <w:rsid w:val="001C2903"/>
    <w:rsid w:val="001C2D6C"/>
    <w:rsid w:val="001C2F38"/>
    <w:rsid w:val="001C31D1"/>
    <w:rsid w:val="001C37C7"/>
    <w:rsid w:val="001C3946"/>
    <w:rsid w:val="001C3D8A"/>
    <w:rsid w:val="001C405D"/>
    <w:rsid w:val="001C4421"/>
    <w:rsid w:val="001C4C7B"/>
    <w:rsid w:val="001C4C8F"/>
    <w:rsid w:val="001C500E"/>
    <w:rsid w:val="001C51F6"/>
    <w:rsid w:val="001C5456"/>
    <w:rsid w:val="001C5703"/>
    <w:rsid w:val="001C5779"/>
    <w:rsid w:val="001C5BFC"/>
    <w:rsid w:val="001C65BB"/>
    <w:rsid w:val="001C6F81"/>
    <w:rsid w:val="001C755B"/>
    <w:rsid w:val="001C77AE"/>
    <w:rsid w:val="001C785E"/>
    <w:rsid w:val="001C7895"/>
    <w:rsid w:val="001C78C8"/>
    <w:rsid w:val="001C7983"/>
    <w:rsid w:val="001D0439"/>
    <w:rsid w:val="001D06AB"/>
    <w:rsid w:val="001D08BD"/>
    <w:rsid w:val="001D0908"/>
    <w:rsid w:val="001D0A3B"/>
    <w:rsid w:val="001D1113"/>
    <w:rsid w:val="001D156C"/>
    <w:rsid w:val="001D1793"/>
    <w:rsid w:val="001D1E33"/>
    <w:rsid w:val="001D23F8"/>
    <w:rsid w:val="001D2CC2"/>
    <w:rsid w:val="001D2F26"/>
    <w:rsid w:val="001D3479"/>
    <w:rsid w:val="001D3718"/>
    <w:rsid w:val="001D385B"/>
    <w:rsid w:val="001D4202"/>
    <w:rsid w:val="001D4EFF"/>
    <w:rsid w:val="001D4F46"/>
    <w:rsid w:val="001D5069"/>
    <w:rsid w:val="001D562F"/>
    <w:rsid w:val="001D5890"/>
    <w:rsid w:val="001D5994"/>
    <w:rsid w:val="001D5FA2"/>
    <w:rsid w:val="001D6014"/>
    <w:rsid w:val="001D608C"/>
    <w:rsid w:val="001D6554"/>
    <w:rsid w:val="001D6980"/>
    <w:rsid w:val="001D6B7F"/>
    <w:rsid w:val="001D6F40"/>
    <w:rsid w:val="001D715C"/>
    <w:rsid w:val="001D734A"/>
    <w:rsid w:val="001D7435"/>
    <w:rsid w:val="001D75D0"/>
    <w:rsid w:val="001D76E7"/>
    <w:rsid w:val="001D78DD"/>
    <w:rsid w:val="001E01B8"/>
    <w:rsid w:val="001E0C2C"/>
    <w:rsid w:val="001E0C4F"/>
    <w:rsid w:val="001E1C29"/>
    <w:rsid w:val="001E1D04"/>
    <w:rsid w:val="001E1E1C"/>
    <w:rsid w:val="001E222E"/>
    <w:rsid w:val="001E2760"/>
    <w:rsid w:val="001E2900"/>
    <w:rsid w:val="001E2B34"/>
    <w:rsid w:val="001E2B88"/>
    <w:rsid w:val="001E30A7"/>
    <w:rsid w:val="001E3133"/>
    <w:rsid w:val="001E3421"/>
    <w:rsid w:val="001E356F"/>
    <w:rsid w:val="001E3966"/>
    <w:rsid w:val="001E3A5C"/>
    <w:rsid w:val="001E451E"/>
    <w:rsid w:val="001E49F4"/>
    <w:rsid w:val="001E5063"/>
    <w:rsid w:val="001E534E"/>
    <w:rsid w:val="001E56E7"/>
    <w:rsid w:val="001E580B"/>
    <w:rsid w:val="001E68C4"/>
    <w:rsid w:val="001E6EB3"/>
    <w:rsid w:val="001E6F26"/>
    <w:rsid w:val="001E74A8"/>
    <w:rsid w:val="001E76C6"/>
    <w:rsid w:val="001E7B50"/>
    <w:rsid w:val="001F01F8"/>
    <w:rsid w:val="001F0219"/>
    <w:rsid w:val="001F06D2"/>
    <w:rsid w:val="001F078F"/>
    <w:rsid w:val="001F08A2"/>
    <w:rsid w:val="001F08DB"/>
    <w:rsid w:val="001F09E8"/>
    <w:rsid w:val="001F1146"/>
    <w:rsid w:val="001F18F8"/>
    <w:rsid w:val="001F1E08"/>
    <w:rsid w:val="001F1F52"/>
    <w:rsid w:val="001F2030"/>
    <w:rsid w:val="001F24A6"/>
    <w:rsid w:val="001F2623"/>
    <w:rsid w:val="001F27B9"/>
    <w:rsid w:val="001F28AD"/>
    <w:rsid w:val="001F28E8"/>
    <w:rsid w:val="001F2B9E"/>
    <w:rsid w:val="001F2C40"/>
    <w:rsid w:val="001F2C87"/>
    <w:rsid w:val="001F2C96"/>
    <w:rsid w:val="001F34BB"/>
    <w:rsid w:val="001F3C7E"/>
    <w:rsid w:val="001F3DD9"/>
    <w:rsid w:val="001F3F2D"/>
    <w:rsid w:val="001F43DC"/>
    <w:rsid w:val="001F4559"/>
    <w:rsid w:val="001F499B"/>
    <w:rsid w:val="001F499E"/>
    <w:rsid w:val="001F49ED"/>
    <w:rsid w:val="001F4E10"/>
    <w:rsid w:val="001F5166"/>
    <w:rsid w:val="001F519A"/>
    <w:rsid w:val="001F6184"/>
    <w:rsid w:val="001F61EE"/>
    <w:rsid w:val="001F6240"/>
    <w:rsid w:val="001F6469"/>
    <w:rsid w:val="001F6984"/>
    <w:rsid w:val="001F6A8B"/>
    <w:rsid w:val="001F6FD7"/>
    <w:rsid w:val="001F6FE2"/>
    <w:rsid w:val="001F7388"/>
    <w:rsid w:val="001F7450"/>
    <w:rsid w:val="001F74A2"/>
    <w:rsid w:val="001F78C9"/>
    <w:rsid w:val="001F7B79"/>
    <w:rsid w:val="001F7BD3"/>
    <w:rsid w:val="001F7C3B"/>
    <w:rsid w:val="001F7D2D"/>
    <w:rsid w:val="00200A0F"/>
    <w:rsid w:val="00200FCE"/>
    <w:rsid w:val="00201070"/>
    <w:rsid w:val="002010E3"/>
    <w:rsid w:val="002011E8"/>
    <w:rsid w:val="0020133F"/>
    <w:rsid w:val="00201A08"/>
    <w:rsid w:val="00201B82"/>
    <w:rsid w:val="00201F8A"/>
    <w:rsid w:val="002020EC"/>
    <w:rsid w:val="0020218F"/>
    <w:rsid w:val="00202BEF"/>
    <w:rsid w:val="00202CFB"/>
    <w:rsid w:val="002032C6"/>
    <w:rsid w:val="0020388C"/>
    <w:rsid w:val="00203B6A"/>
    <w:rsid w:val="00203C29"/>
    <w:rsid w:val="002044CC"/>
    <w:rsid w:val="0020454D"/>
    <w:rsid w:val="00204619"/>
    <w:rsid w:val="00204BF1"/>
    <w:rsid w:val="00204C3E"/>
    <w:rsid w:val="002052BA"/>
    <w:rsid w:val="00205301"/>
    <w:rsid w:val="0020576F"/>
    <w:rsid w:val="00205816"/>
    <w:rsid w:val="00205A75"/>
    <w:rsid w:val="00205D41"/>
    <w:rsid w:val="00205EE8"/>
    <w:rsid w:val="00206125"/>
    <w:rsid w:val="00206795"/>
    <w:rsid w:val="00206B2B"/>
    <w:rsid w:val="00206C71"/>
    <w:rsid w:val="00206E65"/>
    <w:rsid w:val="00207136"/>
    <w:rsid w:val="0020729F"/>
    <w:rsid w:val="002072E4"/>
    <w:rsid w:val="002075ED"/>
    <w:rsid w:val="002077D0"/>
    <w:rsid w:val="00207B74"/>
    <w:rsid w:val="00207C5E"/>
    <w:rsid w:val="00207ECD"/>
    <w:rsid w:val="00210715"/>
    <w:rsid w:val="00210BF9"/>
    <w:rsid w:val="00210E62"/>
    <w:rsid w:val="0021103F"/>
    <w:rsid w:val="00211D4E"/>
    <w:rsid w:val="00211E02"/>
    <w:rsid w:val="00211FFE"/>
    <w:rsid w:val="00212C4C"/>
    <w:rsid w:val="00212CC0"/>
    <w:rsid w:val="00212E15"/>
    <w:rsid w:val="002134E6"/>
    <w:rsid w:val="0021391F"/>
    <w:rsid w:val="00213A23"/>
    <w:rsid w:val="00213EBE"/>
    <w:rsid w:val="002141DA"/>
    <w:rsid w:val="002145BC"/>
    <w:rsid w:val="0021495B"/>
    <w:rsid w:val="00214A0B"/>
    <w:rsid w:val="00214C0F"/>
    <w:rsid w:val="00214EAD"/>
    <w:rsid w:val="002154E3"/>
    <w:rsid w:val="00215D23"/>
    <w:rsid w:val="00215D60"/>
    <w:rsid w:val="002167AB"/>
    <w:rsid w:val="00217008"/>
    <w:rsid w:val="0021718A"/>
    <w:rsid w:val="002171ED"/>
    <w:rsid w:val="0021724A"/>
    <w:rsid w:val="002177F5"/>
    <w:rsid w:val="002179F6"/>
    <w:rsid w:val="00217C5B"/>
    <w:rsid w:val="00217D61"/>
    <w:rsid w:val="00217D86"/>
    <w:rsid w:val="00220279"/>
    <w:rsid w:val="00220707"/>
    <w:rsid w:val="00220937"/>
    <w:rsid w:val="0022151B"/>
    <w:rsid w:val="002217D2"/>
    <w:rsid w:val="00221864"/>
    <w:rsid w:val="00221F7E"/>
    <w:rsid w:val="00221FC7"/>
    <w:rsid w:val="00222B2B"/>
    <w:rsid w:val="00222B43"/>
    <w:rsid w:val="00222E8A"/>
    <w:rsid w:val="00223444"/>
    <w:rsid w:val="00223C95"/>
    <w:rsid w:val="0022403A"/>
    <w:rsid w:val="00224353"/>
    <w:rsid w:val="00224A85"/>
    <w:rsid w:val="00224D06"/>
    <w:rsid w:val="00224DCC"/>
    <w:rsid w:val="00225324"/>
    <w:rsid w:val="0022538F"/>
    <w:rsid w:val="00225816"/>
    <w:rsid w:val="002258A9"/>
    <w:rsid w:val="00225B1A"/>
    <w:rsid w:val="00225CEC"/>
    <w:rsid w:val="00225E03"/>
    <w:rsid w:val="00225F8D"/>
    <w:rsid w:val="0022620D"/>
    <w:rsid w:val="00226AC7"/>
    <w:rsid w:val="00226DE3"/>
    <w:rsid w:val="00227697"/>
    <w:rsid w:val="00227814"/>
    <w:rsid w:val="0022797A"/>
    <w:rsid w:val="00227EA7"/>
    <w:rsid w:val="00227F0D"/>
    <w:rsid w:val="00230909"/>
    <w:rsid w:val="0023094C"/>
    <w:rsid w:val="00230C89"/>
    <w:rsid w:val="00230EA8"/>
    <w:rsid w:val="00230F22"/>
    <w:rsid w:val="002315C7"/>
    <w:rsid w:val="002319B2"/>
    <w:rsid w:val="00231A34"/>
    <w:rsid w:val="00231BFC"/>
    <w:rsid w:val="00232457"/>
    <w:rsid w:val="002326B7"/>
    <w:rsid w:val="00232EA0"/>
    <w:rsid w:val="00232FCA"/>
    <w:rsid w:val="00233156"/>
    <w:rsid w:val="002331F0"/>
    <w:rsid w:val="00233CEA"/>
    <w:rsid w:val="00233EA9"/>
    <w:rsid w:val="00233F15"/>
    <w:rsid w:val="00234037"/>
    <w:rsid w:val="00234463"/>
    <w:rsid w:val="00234B51"/>
    <w:rsid w:val="00235304"/>
    <w:rsid w:val="00235DB1"/>
    <w:rsid w:val="00235E47"/>
    <w:rsid w:val="0023647C"/>
    <w:rsid w:val="00236864"/>
    <w:rsid w:val="00236AC8"/>
    <w:rsid w:val="00236BF3"/>
    <w:rsid w:val="00236E48"/>
    <w:rsid w:val="00236EC8"/>
    <w:rsid w:val="0023704D"/>
    <w:rsid w:val="0023709A"/>
    <w:rsid w:val="002401A2"/>
    <w:rsid w:val="002402F9"/>
    <w:rsid w:val="00240479"/>
    <w:rsid w:val="00240548"/>
    <w:rsid w:val="00240563"/>
    <w:rsid w:val="002408E3"/>
    <w:rsid w:val="00240AA3"/>
    <w:rsid w:val="00240B04"/>
    <w:rsid w:val="00240C29"/>
    <w:rsid w:val="00241636"/>
    <w:rsid w:val="00241987"/>
    <w:rsid w:val="00241F72"/>
    <w:rsid w:val="002421EF"/>
    <w:rsid w:val="00242216"/>
    <w:rsid w:val="002423E9"/>
    <w:rsid w:val="00242B2B"/>
    <w:rsid w:val="00242C41"/>
    <w:rsid w:val="00242EB3"/>
    <w:rsid w:val="00243198"/>
    <w:rsid w:val="00243390"/>
    <w:rsid w:val="0024354A"/>
    <w:rsid w:val="00243A8D"/>
    <w:rsid w:val="002443F6"/>
    <w:rsid w:val="00244AA5"/>
    <w:rsid w:val="00244DE1"/>
    <w:rsid w:val="002455B3"/>
    <w:rsid w:val="00245719"/>
    <w:rsid w:val="00245B26"/>
    <w:rsid w:val="00245B63"/>
    <w:rsid w:val="00245B66"/>
    <w:rsid w:val="00245EB4"/>
    <w:rsid w:val="00246D92"/>
    <w:rsid w:val="00246E65"/>
    <w:rsid w:val="0024773F"/>
    <w:rsid w:val="002478F3"/>
    <w:rsid w:val="00247E65"/>
    <w:rsid w:val="002501AF"/>
    <w:rsid w:val="00250A2D"/>
    <w:rsid w:val="00250CA4"/>
    <w:rsid w:val="00250EE3"/>
    <w:rsid w:val="00250FD6"/>
    <w:rsid w:val="0025169A"/>
    <w:rsid w:val="002523BC"/>
    <w:rsid w:val="002537D5"/>
    <w:rsid w:val="00253D4A"/>
    <w:rsid w:val="00253DFB"/>
    <w:rsid w:val="00254354"/>
    <w:rsid w:val="00254783"/>
    <w:rsid w:val="0025479D"/>
    <w:rsid w:val="002547B2"/>
    <w:rsid w:val="00254BA7"/>
    <w:rsid w:val="0025503F"/>
    <w:rsid w:val="0025504D"/>
    <w:rsid w:val="00255103"/>
    <w:rsid w:val="00255325"/>
    <w:rsid w:val="00255405"/>
    <w:rsid w:val="002555FF"/>
    <w:rsid w:val="00256158"/>
    <w:rsid w:val="0025624A"/>
    <w:rsid w:val="0025630E"/>
    <w:rsid w:val="0025677A"/>
    <w:rsid w:val="0025698B"/>
    <w:rsid w:val="002569B7"/>
    <w:rsid w:val="00256B53"/>
    <w:rsid w:val="00256C2E"/>
    <w:rsid w:val="00256C6E"/>
    <w:rsid w:val="002575CC"/>
    <w:rsid w:val="00257663"/>
    <w:rsid w:val="00257951"/>
    <w:rsid w:val="00257A84"/>
    <w:rsid w:val="00257F25"/>
    <w:rsid w:val="00260958"/>
    <w:rsid w:val="00260A29"/>
    <w:rsid w:val="00260B18"/>
    <w:rsid w:val="00260B77"/>
    <w:rsid w:val="00260E10"/>
    <w:rsid w:val="0026103B"/>
    <w:rsid w:val="00261113"/>
    <w:rsid w:val="00261933"/>
    <w:rsid w:val="00261BB7"/>
    <w:rsid w:val="00261CAC"/>
    <w:rsid w:val="002627D3"/>
    <w:rsid w:val="002637B9"/>
    <w:rsid w:val="00263BB1"/>
    <w:rsid w:val="0026450A"/>
    <w:rsid w:val="00264C03"/>
    <w:rsid w:val="00264F1B"/>
    <w:rsid w:val="00264F28"/>
    <w:rsid w:val="00265263"/>
    <w:rsid w:val="00265385"/>
    <w:rsid w:val="00265A59"/>
    <w:rsid w:val="00265DB5"/>
    <w:rsid w:val="00265DF0"/>
    <w:rsid w:val="00265EF6"/>
    <w:rsid w:val="002666CE"/>
    <w:rsid w:val="002667BB"/>
    <w:rsid w:val="00266C99"/>
    <w:rsid w:val="00266ED9"/>
    <w:rsid w:val="00267177"/>
    <w:rsid w:val="00267438"/>
    <w:rsid w:val="00267A3A"/>
    <w:rsid w:val="002700E6"/>
    <w:rsid w:val="002702F3"/>
    <w:rsid w:val="00270407"/>
    <w:rsid w:val="002706FF"/>
    <w:rsid w:val="00270C92"/>
    <w:rsid w:val="00270FA7"/>
    <w:rsid w:val="002712EE"/>
    <w:rsid w:val="00271521"/>
    <w:rsid w:val="002718AF"/>
    <w:rsid w:val="002719C6"/>
    <w:rsid w:val="00271BB6"/>
    <w:rsid w:val="00271CD5"/>
    <w:rsid w:val="00272375"/>
    <w:rsid w:val="00272419"/>
    <w:rsid w:val="002728B6"/>
    <w:rsid w:val="00272C91"/>
    <w:rsid w:val="00272ECB"/>
    <w:rsid w:val="00273050"/>
    <w:rsid w:val="0027337E"/>
    <w:rsid w:val="00273382"/>
    <w:rsid w:val="002736CF"/>
    <w:rsid w:val="00273966"/>
    <w:rsid w:val="00273B06"/>
    <w:rsid w:val="00274888"/>
    <w:rsid w:val="00274AC3"/>
    <w:rsid w:val="00274F1E"/>
    <w:rsid w:val="00274FD1"/>
    <w:rsid w:val="002753E4"/>
    <w:rsid w:val="002754F7"/>
    <w:rsid w:val="0027559D"/>
    <w:rsid w:val="00275CE2"/>
    <w:rsid w:val="00276351"/>
    <w:rsid w:val="0027651C"/>
    <w:rsid w:val="00276B2E"/>
    <w:rsid w:val="00276C73"/>
    <w:rsid w:val="00276C7D"/>
    <w:rsid w:val="002773A4"/>
    <w:rsid w:val="00277ADF"/>
    <w:rsid w:val="00277BD8"/>
    <w:rsid w:val="00277F7D"/>
    <w:rsid w:val="00280170"/>
    <w:rsid w:val="002801FF"/>
    <w:rsid w:val="002803B8"/>
    <w:rsid w:val="00280402"/>
    <w:rsid w:val="002804DE"/>
    <w:rsid w:val="00280D49"/>
    <w:rsid w:val="00280DE6"/>
    <w:rsid w:val="00281254"/>
    <w:rsid w:val="00281730"/>
    <w:rsid w:val="00281AA9"/>
    <w:rsid w:val="00281E97"/>
    <w:rsid w:val="0028230E"/>
    <w:rsid w:val="0028244C"/>
    <w:rsid w:val="002826FB"/>
    <w:rsid w:val="00282C78"/>
    <w:rsid w:val="00282E69"/>
    <w:rsid w:val="00283112"/>
    <w:rsid w:val="002835AB"/>
    <w:rsid w:val="002838AC"/>
    <w:rsid w:val="00283A13"/>
    <w:rsid w:val="00283A5F"/>
    <w:rsid w:val="00283E49"/>
    <w:rsid w:val="00284369"/>
    <w:rsid w:val="0028490B"/>
    <w:rsid w:val="0028493E"/>
    <w:rsid w:val="00284A5D"/>
    <w:rsid w:val="0028501E"/>
    <w:rsid w:val="00285162"/>
    <w:rsid w:val="0028532E"/>
    <w:rsid w:val="00285480"/>
    <w:rsid w:val="00285529"/>
    <w:rsid w:val="00285627"/>
    <w:rsid w:val="0028566C"/>
    <w:rsid w:val="00285AF0"/>
    <w:rsid w:val="00285B82"/>
    <w:rsid w:val="00285E00"/>
    <w:rsid w:val="00286309"/>
    <w:rsid w:val="00286365"/>
    <w:rsid w:val="00286986"/>
    <w:rsid w:val="002869EA"/>
    <w:rsid w:val="00287034"/>
    <w:rsid w:val="002870F4"/>
    <w:rsid w:val="0028772B"/>
    <w:rsid w:val="002877E6"/>
    <w:rsid w:val="002900D5"/>
    <w:rsid w:val="002906B6"/>
    <w:rsid w:val="002907FE"/>
    <w:rsid w:val="00290C2E"/>
    <w:rsid w:val="00290FDB"/>
    <w:rsid w:val="00290FE3"/>
    <w:rsid w:val="00291065"/>
    <w:rsid w:val="00291350"/>
    <w:rsid w:val="0029141A"/>
    <w:rsid w:val="00292067"/>
    <w:rsid w:val="00292278"/>
    <w:rsid w:val="00292326"/>
    <w:rsid w:val="00292351"/>
    <w:rsid w:val="00292760"/>
    <w:rsid w:val="00292905"/>
    <w:rsid w:val="0029295A"/>
    <w:rsid w:val="00292D19"/>
    <w:rsid w:val="00292D56"/>
    <w:rsid w:val="00292E2A"/>
    <w:rsid w:val="00293137"/>
    <w:rsid w:val="00293462"/>
    <w:rsid w:val="002937B1"/>
    <w:rsid w:val="002939BB"/>
    <w:rsid w:val="00293D54"/>
    <w:rsid w:val="002945F9"/>
    <w:rsid w:val="002946BF"/>
    <w:rsid w:val="00294780"/>
    <w:rsid w:val="002947CE"/>
    <w:rsid w:val="002947D4"/>
    <w:rsid w:val="00294A1E"/>
    <w:rsid w:val="00294CC4"/>
    <w:rsid w:val="00295109"/>
    <w:rsid w:val="0029540B"/>
    <w:rsid w:val="0029548A"/>
    <w:rsid w:val="00295962"/>
    <w:rsid w:val="002969F0"/>
    <w:rsid w:val="00297F34"/>
    <w:rsid w:val="002A0035"/>
    <w:rsid w:val="002A068B"/>
    <w:rsid w:val="002A07A5"/>
    <w:rsid w:val="002A0903"/>
    <w:rsid w:val="002A0A08"/>
    <w:rsid w:val="002A0BA2"/>
    <w:rsid w:val="002A14B9"/>
    <w:rsid w:val="002A1A16"/>
    <w:rsid w:val="002A1E15"/>
    <w:rsid w:val="002A1ED9"/>
    <w:rsid w:val="002A1FD0"/>
    <w:rsid w:val="002A1FD2"/>
    <w:rsid w:val="002A20F2"/>
    <w:rsid w:val="002A23EF"/>
    <w:rsid w:val="002A27D7"/>
    <w:rsid w:val="002A2B0A"/>
    <w:rsid w:val="002A3ACB"/>
    <w:rsid w:val="002A4331"/>
    <w:rsid w:val="002A4438"/>
    <w:rsid w:val="002A4488"/>
    <w:rsid w:val="002A474F"/>
    <w:rsid w:val="002A4809"/>
    <w:rsid w:val="002A4886"/>
    <w:rsid w:val="002A48C7"/>
    <w:rsid w:val="002A48E4"/>
    <w:rsid w:val="002A4B8A"/>
    <w:rsid w:val="002A4D6E"/>
    <w:rsid w:val="002A4D93"/>
    <w:rsid w:val="002A527E"/>
    <w:rsid w:val="002A530F"/>
    <w:rsid w:val="002A5455"/>
    <w:rsid w:val="002A54AE"/>
    <w:rsid w:val="002A5504"/>
    <w:rsid w:val="002A5989"/>
    <w:rsid w:val="002A6048"/>
    <w:rsid w:val="002A66EF"/>
    <w:rsid w:val="002A6A3D"/>
    <w:rsid w:val="002A6AD0"/>
    <w:rsid w:val="002A713D"/>
    <w:rsid w:val="002A7691"/>
    <w:rsid w:val="002B0A26"/>
    <w:rsid w:val="002B0CD4"/>
    <w:rsid w:val="002B0DB0"/>
    <w:rsid w:val="002B10CD"/>
    <w:rsid w:val="002B14DC"/>
    <w:rsid w:val="002B14DE"/>
    <w:rsid w:val="002B1D05"/>
    <w:rsid w:val="002B1F87"/>
    <w:rsid w:val="002B2240"/>
    <w:rsid w:val="002B24BF"/>
    <w:rsid w:val="002B25D2"/>
    <w:rsid w:val="002B26ED"/>
    <w:rsid w:val="002B29DC"/>
    <w:rsid w:val="002B30C9"/>
    <w:rsid w:val="002B332F"/>
    <w:rsid w:val="002B35EA"/>
    <w:rsid w:val="002B4413"/>
    <w:rsid w:val="002B4460"/>
    <w:rsid w:val="002B4760"/>
    <w:rsid w:val="002B4929"/>
    <w:rsid w:val="002B5727"/>
    <w:rsid w:val="002B64E8"/>
    <w:rsid w:val="002B6848"/>
    <w:rsid w:val="002B6A1D"/>
    <w:rsid w:val="002B6A40"/>
    <w:rsid w:val="002B7763"/>
    <w:rsid w:val="002B788E"/>
    <w:rsid w:val="002B7AA1"/>
    <w:rsid w:val="002C0362"/>
    <w:rsid w:val="002C07C8"/>
    <w:rsid w:val="002C092D"/>
    <w:rsid w:val="002C09ED"/>
    <w:rsid w:val="002C0DFF"/>
    <w:rsid w:val="002C0E31"/>
    <w:rsid w:val="002C10BC"/>
    <w:rsid w:val="002C1278"/>
    <w:rsid w:val="002C226D"/>
    <w:rsid w:val="002C2F9A"/>
    <w:rsid w:val="002C2FC2"/>
    <w:rsid w:val="002C2FF2"/>
    <w:rsid w:val="002C30B5"/>
    <w:rsid w:val="002C3569"/>
    <w:rsid w:val="002C36BD"/>
    <w:rsid w:val="002C3A8C"/>
    <w:rsid w:val="002C3B88"/>
    <w:rsid w:val="002C3C15"/>
    <w:rsid w:val="002C3DE5"/>
    <w:rsid w:val="002C463E"/>
    <w:rsid w:val="002C4B4A"/>
    <w:rsid w:val="002C4BA1"/>
    <w:rsid w:val="002C4E11"/>
    <w:rsid w:val="002C4EBB"/>
    <w:rsid w:val="002C50A7"/>
    <w:rsid w:val="002C526F"/>
    <w:rsid w:val="002C53BF"/>
    <w:rsid w:val="002C5683"/>
    <w:rsid w:val="002C57A5"/>
    <w:rsid w:val="002C5894"/>
    <w:rsid w:val="002C58C0"/>
    <w:rsid w:val="002C64CE"/>
    <w:rsid w:val="002C6C41"/>
    <w:rsid w:val="002C6D93"/>
    <w:rsid w:val="002C703B"/>
    <w:rsid w:val="002C7282"/>
    <w:rsid w:val="002C74C8"/>
    <w:rsid w:val="002C74E3"/>
    <w:rsid w:val="002C7530"/>
    <w:rsid w:val="002C7D7C"/>
    <w:rsid w:val="002C7EFF"/>
    <w:rsid w:val="002C7F78"/>
    <w:rsid w:val="002D03E5"/>
    <w:rsid w:val="002D0AE7"/>
    <w:rsid w:val="002D124A"/>
    <w:rsid w:val="002D1532"/>
    <w:rsid w:val="002D1674"/>
    <w:rsid w:val="002D1D42"/>
    <w:rsid w:val="002D212C"/>
    <w:rsid w:val="002D2513"/>
    <w:rsid w:val="002D254E"/>
    <w:rsid w:val="002D292F"/>
    <w:rsid w:val="002D2F15"/>
    <w:rsid w:val="002D3010"/>
    <w:rsid w:val="002D355F"/>
    <w:rsid w:val="002D3C2C"/>
    <w:rsid w:val="002D3F8C"/>
    <w:rsid w:val="002D41A7"/>
    <w:rsid w:val="002D4C94"/>
    <w:rsid w:val="002D4D12"/>
    <w:rsid w:val="002D4F54"/>
    <w:rsid w:val="002D535B"/>
    <w:rsid w:val="002D56B7"/>
    <w:rsid w:val="002D5A78"/>
    <w:rsid w:val="002D5CBA"/>
    <w:rsid w:val="002D694D"/>
    <w:rsid w:val="002D6A4C"/>
    <w:rsid w:val="002D6D5E"/>
    <w:rsid w:val="002D6DF4"/>
    <w:rsid w:val="002D7199"/>
    <w:rsid w:val="002D78B9"/>
    <w:rsid w:val="002D7C6A"/>
    <w:rsid w:val="002D7D21"/>
    <w:rsid w:val="002E050C"/>
    <w:rsid w:val="002E09E0"/>
    <w:rsid w:val="002E0E32"/>
    <w:rsid w:val="002E1675"/>
    <w:rsid w:val="002E17EB"/>
    <w:rsid w:val="002E1939"/>
    <w:rsid w:val="002E1B1B"/>
    <w:rsid w:val="002E1C25"/>
    <w:rsid w:val="002E1F78"/>
    <w:rsid w:val="002E2531"/>
    <w:rsid w:val="002E271A"/>
    <w:rsid w:val="002E2D0D"/>
    <w:rsid w:val="002E317D"/>
    <w:rsid w:val="002E32BF"/>
    <w:rsid w:val="002E3DD9"/>
    <w:rsid w:val="002E4028"/>
    <w:rsid w:val="002E444E"/>
    <w:rsid w:val="002E4570"/>
    <w:rsid w:val="002E49AE"/>
    <w:rsid w:val="002E4A3E"/>
    <w:rsid w:val="002E5061"/>
    <w:rsid w:val="002E53C3"/>
    <w:rsid w:val="002E5CE7"/>
    <w:rsid w:val="002E5E3A"/>
    <w:rsid w:val="002E6028"/>
    <w:rsid w:val="002E60B7"/>
    <w:rsid w:val="002E6168"/>
    <w:rsid w:val="002E6429"/>
    <w:rsid w:val="002E6447"/>
    <w:rsid w:val="002E6585"/>
    <w:rsid w:val="002E6D3E"/>
    <w:rsid w:val="002E7348"/>
    <w:rsid w:val="002E740F"/>
    <w:rsid w:val="002E754A"/>
    <w:rsid w:val="002E77FA"/>
    <w:rsid w:val="002E7811"/>
    <w:rsid w:val="002F0751"/>
    <w:rsid w:val="002F0A44"/>
    <w:rsid w:val="002F0BB7"/>
    <w:rsid w:val="002F111A"/>
    <w:rsid w:val="002F13E8"/>
    <w:rsid w:val="002F1477"/>
    <w:rsid w:val="002F1679"/>
    <w:rsid w:val="002F17A8"/>
    <w:rsid w:val="002F17BF"/>
    <w:rsid w:val="002F2462"/>
    <w:rsid w:val="002F2A76"/>
    <w:rsid w:val="002F2A91"/>
    <w:rsid w:val="002F351C"/>
    <w:rsid w:val="002F371B"/>
    <w:rsid w:val="002F3AF1"/>
    <w:rsid w:val="002F3CAF"/>
    <w:rsid w:val="002F4410"/>
    <w:rsid w:val="002F4796"/>
    <w:rsid w:val="002F4C6D"/>
    <w:rsid w:val="002F4FFA"/>
    <w:rsid w:val="002F5CF4"/>
    <w:rsid w:val="002F5EE9"/>
    <w:rsid w:val="002F606A"/>
    <w:rsid w:val="002F6241"/>
    <w:rsid w:val="002F674C"/>
    <w:rsid w:val="002F6DF8"/>
    <w:rsid w:val="002F70C6"/>
    <w:rsid w:val="002F79D7"/>
    <w:rsid w:val="003002EB"/>
    <w:rsid w:val="003003DA"/>
    <w:rsid w:val="003008DD"/>
    <w:rsid w:val="0030094D"/>
    <w:rsid w:val="003009C5"/>
    <w:rsid w:val="00300E8B"/>
    <w:rsid w:val="00300FC2"/>
    <w:rsid w:val="00300FE5"/>
    <w:rsid w:val="00301E41"/>
    <w:rsid w:val="00301F03"/>
    <w:rsid w:val="00302AE7"/>
    <w:rsid w:val="00302D91"/>
    <w:rsid w:val="00302E4A"/>
    <w:rsid w:val="00302ED1"/>
    <w:rsid w:val="0030304F"/>
    <w:rsid w:val="003030A6"/>
    <w:rsid w:val="003030C5"/>
    <w:rsid w:val="00303445"/>
    <w:rsid w:val="00303D43"/>
    <w:rsid w:val="003041E5"/>
    <w:rsid w:val="003046F4"/>
    <w:rsid w:val="00304760"/>
    <w:rsid w:val="00304774"/>
    <w:rsid w:val="00304796"/>
    <w:rsid w:val="003047D6"/>
    <w:rsid w:val="00304936"/>
    <w:rsid w:val="00304957"/>
    <w:rsid w:val="00304E83"/>
    <w:rsid w:val="00304F05"/>
    <w:rsid w:val="00305466"/>
    <w:rsid w:val="00305521"/>
    <w:rsid w:val="00305660"/>
    <w:rsid w:val="00306798"/>
    <w:rsid w:val="003068E3"/>
    <w:rsid w:val="003069F3"/>
    <w:rsid w:val="00306FEE"/>
    <w:rsid w:val="00307192"/>
    <w:rsid w:val="00307508"/>
    <w:rsid w:val="0030774F"/>
    <w:rsid w:val="003079A9"/>
    <w:rsid w:val="003104B2"/>
    <w:rsid w:val="003104B3"/>
    <w:rsid w:val="00310540"/>
    <w:rsid w:val="0031059B"/>
    <w:rsid w:val="00310823"/>
    <w:rsid w:val="0031134A"/>
    <w:rsid w:val="00311434"/>
    <w:rsid w:val="003118CE"/>
    <w:rsid w:val="00311BA1"/>
    <w:rsid w:val="00311C38"/>
    <w:rsid w:val="003120E6"/>
    <w:rsid w:val="0031225D"/>
    <w:rsid w:val="003127AA"/>
    <w:rsid w:val="00312A91"/>
    <w:rsid w:val="00312EC9"/>
    <w:rsid w:val="00313380"/>
    <w:rsid w:val="0031357E"/>
    <w:rsid w:val="0031359B"/>
    <w:rsid w:val="00313626"/>
    <w:rsid w:val="00313730"/>
    <w:rsid w:val="003137FA"/>
    <w:rsid w:val="00313866"/>
    <w:rsid w:val="0031453C"/>
    <w:rsid w:val="0031468C"/>
    <w:rsid w:val="00314AAC"/>
    <w:rsid w:val="00314CE7"/>
    <w:rsid w:val="00314FB5"/>
    <w:rsid w:val="003155B0"/>
    <w:rsid w:val="003157EA"/>
    <w:rsid w:val="00315BDA"/>
    <w:rsid w:val="00315D11"/>
    <w:rsid w:val="00315DE3"/>
    <w:rsid w:val="00316861"/>
    <w:rsid w:val="00316C7B"/>
    <w:rsid w:val="00316CB6"/>
    <w:rsid w:val="00316CBE"/>
    <w:rsid w:val="00316F6E"/>
    <w:rsid w:val="003171E4"/>
    <w:rsid w:val="0031721A"/>
    <w:rsid w:val="00317344"/>
    <w:rsid w:val="0031755B"/>
    <w:rsid w:val="003179BA"/>
    <w:rsid w:val="00317C7A"/>
    <w:rsid w:val="00317D53"/>
    <w:rsid w:val="003200E2"/>
    <w:rsid w:val="00320189"/>
    <w:rsid w:val="00320779"/>
    <w:rsid w:val="0032094D"/>
    <w:rsid w:val="00320988"/>
    <w:rsid w:val="003209D7"/>
    <w:rsid w:val="00320F9C"/>
    <w:rsid w:val="00321414"/>
    <w:rsid w:val="00322077"/>
    <w:rsid w:val="00322149"/>
    <w:rsid w:val="003225FF"/>
    <w:rsid w:val="00322648"/>
    <w:rsid w:val="003226A3"/>
    <w:rsid w:val="00322C1D"/>
    <w:rsid w:val="00322E21"/>
    <w:rsid w:val="0032304C"/>
    <w:rsid w:val="003233F9"/>
    <w:rsid w:val="0032379D"/>
    <w:rsid w:val="00323E2A"/>
    <w:rsid w:val="00324477"/>
    <w:rsid w:val="00324680"/>
    <w:rsid w:val="00324E3B"/>
    <w:rsid w:val="00324F1B"/>
    <w:rsid w:val="00325137"/>
    <w:rsid w:val="00325946"/>
    <w:rsid w:val="00325AE0"/>
    <w:rsid w:val="0032608C"/>
    <w:rsid w:val="00326300"/>
    <w:rsid w:val="00326522"/>
    <w:rsid w:val="00326603"/>
    <w:rsid w:val="0032674C"/>
    <w:rsid w:val="00326762"/>
    <w:rsid w:val="0032695E"/>
    <w:rsid w:val="00326B33"/>
    <w:rsid w:val="00327094"/>
    <w:rsid w:val="0032726B"/>
    <w:rsid w:val="003272FC"/>
    <w:rsid w:val="0032731D"/>
    <w:rsid w:val="003275A8"/>
    <w:rsid w:val="00327761"/>
    <w:rsid w:val="003300DD"/>
    <w:rsid w:val="0033048F"/>
    <w:rsid w:val="00330BCB"/>
    <w:rsid w:val="00330DF2"/>
    <w:rsid w:val="003311D7"/>
    <w:rsid w:val="00331211"/>
    <w:rsid w:val="003312D7"/>
    <w:rsid w:val="00331649"/>
    <w:rsid w:val="00331699"/>
    <w:rsid w:val="00332149"/>
    <w:rsid w:val="003322E7"/>
    <w:rsid w:val="0033237B"/>
    <w:rsid w:val="003326EC"/>
    <w:rsid w:val="00332753"/>
    <w:rsid w:val="0033297A"/>
    <w:rsid w:val="00333778"/>
    <w:rsid w:val="003337D3"/>
    <w:rsid w:val="003337D5"/>
    <w:rsid w:val="003339C3"/>
    <w:rsid w:val="00334079"/>
    <w:rsid w:val="0033478E"/>
    <w:rsid w:val="00334DCE"/>
    <w:rsid w:val="0033605C"/>
    <w:rsid w:val="003360CC"/>
    <w:rsid w:val="00336292"/>
    <w:rsid w:val="003364B5"/>
    <w:rsid w:val="00336503"/>
    <w:rsid w:val="00336814"/>
    <w:rsid w:val="00336937"/>
    <w:rsid w:val="00336ACC"/>
    <w:rsid w:val="0033725F"/>
    <w:rsid w:val="00337A85"/>
    <w:rsid w:val="00337D32"/>
    <w:rsid w:val="00340989"/>
    <w:rsid w:val="00341322"/>
    <w:rsid w:val="003413BE"/>
    <w:rsid w:val="00341746"/>
    <w:rsid w:val="0034182A"/>
    <w:rsid w:val="00341EB2"/>
    <w:rsid w:val="00341F3D"/>
    <w:rsid w:val="00342029"/>
    <w:rsid w:val="00342788"/>
    <w:rsid w:val="00342BC3"/>
    <w:rsid w:val="0034321F"/>
    <w:rsid w:val="003432DF"/>
    <w:rsid w:val="003433A0"/>
    <w:rsid w:val="00343AA7"/>
    <w:rsid w:val="00343B10"/>
    <w:rsid w:val="00343EC5"/>
    <w:rsid w:val="00343F1E"/>
    <w:rsid w:val="00344CEE"/>
    <w:rsid w:val="00345080"/>
    <w:rsid w:val="003454D8"/>
    <w:rsid w:val="00345B27"/>
    <w:rsid w:val="003466AA"/>
    <w:rsid w:val="00346800"/>
    <w:rsid w:val="0034705D"/>
    <w:rsid w:val="00347419"/>
    <w:rsid w:val="00347686"/>
    <w:rsid w:val="00347A61"/>
    <w:rsid w:val="00347FBA"/>
    <w:rsid w:val="003504C9"/>
    <w:rsid w:val="00350E80"/>
    <w:rsid w:val="00351165"/>
    <w:rsid w:val="0035121E"/>
    <w:rsid w:val="0035124B"/>
    <w:rsid w:val="0035175F"/>
    <w:rsid w:val="00351B8C"/>
    <w:rsid w:val="00352246"/>
    <w:rsid w:val="00352300"/>
    <w:rsid w:val="0035241C"/>
    <w:rsid w:val="0035289A"/>
    <w:rsid w:val="00352C2E"/>
    <w:rsid w:val="00352E44"/>
    <w:rsid w:val="00353795"/>
    <w:rsid w:val="00353904"/>
    <w:rsid w:val="003543A3"/>
    <w:rsid w:val="00354557"/>
    <w:rsid w:val="00354890"/>
    <w:rsid w:val="00354A4E"/>
    <w:rsid w:val="00354DD7"/>
    <w:rsid w:val="00355079"/>
    <w:rsid w:val="003552F3"/>
    <w:rsid w:val="00355445"/>
    <w:rsid w:val="00355517"/>
    <w:rsid w:val="003559B7"/>
    <w:rsid w:val="00355B36"/>
    <w:rsid w:val="00355D5C"/>
    <w:rsid w:val="00356303"/>
    <w:rsid w:val="00356507"/>
    <w:rsid w:val="0035666F"/>
    <w:rsid w:val="00356D65"/>
    <w:rsid w:val="00356E96"/>
    <w:rsid w:val="003570BC"/>
    <w:rsid w:val="003571FD"/>
    <w:rsid w:val="00357236"/>
    <w:rsid w:val="00357CC1"/>
    <w:rsid w:val="00357E35"/>
    <w:rsid w:val="003600A4"/>
    <w:rsid w:val="003601F2"/>
    <w:rsid w:val="003604EB"/>
    <w:rsid w:val="00360678"/>
    <w:rsid w:val="003607F1"/>
    <w:rsid w:val="00360C7F"/>
    <w:rsid w:val="003610D5"/>
    <w:rsid w:val="003612EF"/>
    <w:rsid w:val="00361463"/>
    <w:rsid w:val="00361585"/>
    <w:rsid w:val="003617F5"/>
    <w:rsid w:val="00361DDD"/>
    <w:rsid w:val="0036266C"/>
    <w:rsid w:val="003626DF"/>
    <w:rsid w:val="0036273A"/>
    <w:rsid w:val="00362B34"/>
    <w:rsid w:val="00362BE4"/>
    <w:rsid w:val="00362D5F"/>
    <w:rsid w:val="00362E7E"/>
    <w:rsid w:val="00362F61"/>
    <w:rsid w:val="0036300F"/>
    <w:rsid w:val="00363295"/>
    <w:rsid w:val="003636A6"/>
    <w:rsid w:val="00363927"/>
    <w:rsid w:val="00363AC9"/>
    <w:rsid w:val="00363AE0"/>
    <w:rsid w:val="00363B3C"/>
    <w:rsid w:val="00363ED7"/>
    <w:rsid w:val="00364031"/>
    <w:rsid w:val="0036409F"/>
    <w:rsid w:val="00364A34"/>
    <w:rsid w:val="00364AAD"/>
    <w:rsid w:val="00364F8C"/>
    <w:rsid w:val="00364F9B"/>
    <w:rsid w:val="0036525E"/>
    <w:rsid w:val="0036556F"/>
    <w:rsid w:val="00366587"/>
    <w:rsid w:val="00366723"/>
    <w:rsid w:val="00366DF8"/>
    <w:rsid w:val="00366E02"/>
    <w:rsid w:val="00367872"/>
    <w:rsid w:val="00367C64"/>
    <w:rsid w:val="00367D4D"/>
    <w:rsid w:val="00367F6F"/>
    <w:rsid w:val="00370331"/>
    <w:rsid w:val="0037076A"/>
    <w:rsid w:val="00370C10"/>
    <w:rsid w:val="00370E79"/>
    <w:rsid w:val="0037110D"/>
    <w:rsid w:val="00371298"/>
    <w:rsid w:val="00371357"/>
    <w:rsid w:val="00371A44"/>
    <w:rsid w:val="00371BC8"/>
    <w:rsid w:val="00372224"/>
    <w:rsid w:val="00372529"/>
    <w:rsid w:val="00372D77"/>
    <w:rsid w:val="00372FD1"/>
    <w:rsid w:val="003730E9"/>
    <w:rsid w:val="003735D6"/>
    <w:rsid w:val="00373C9A"/>
    <w:rsid w:val="0037433A"/>
    <w:rsid w:val="003745D2"/>
    <w:rsid w:val="00374E27"/>
    <w:rsid w:val="0037510B"/>
    <w:rsid w:val="003752BD"/>
    <w:rsid w:val="0037588D"/>
    <w:rsid w:val="00375E04"/>
    <w:rsid w:val="00375F3B"/>
    <w:rsid w:val="00376772"/>
    <w:rsid w:val="00376D29"/>
    <w:rsid w:val="00376FDA"/>
    <w:rsid w:val="003772C1"/>
    <w:rsid w:val="003772D9"/>
    <w:rsid w:val="003773CE"/>
    <w:rsid w:val="0037775C"/>
    <w:rsid w:val="00377BF7"/>
    <w:rsid w:val="00377C1C"/>
    <w:rsid w:val="00380239"/>
    <w:rsid w:val="003807D4"/>
    <w:rsid w:val="00380A73"/>
    <w:rsid w:val="00381006"/>
    <w:rsid w:val="00381289"/>
    <w:rsid w:val="003815DC"/>
    <w:rsid w:val="00381870"/>
    <w:rsid w:val="00381C14"/>
    <w:rsid w:val="00381CF1"/>
    <w:rsid w:val="00381FA4"/>
    <w:rsid w:val="0038230E"/>
    <w:rsid w:val="003827DC"/>
    <w:rsid w:val="00382AB8"/>
    <w:rsid w:val="00383389"/>
    <w:rsid w:val="003839BA"/>
    <w:rsid w:val="00383B6E"/>
    <w:rsid w:val="00383E19"/>
    <w:rsid w:val="00384237"/>
    <w:rsid w:val="00384761"/>
    <w:rsid w:val="00384799"/>
    <w:rsid w:val="00384864"/>
    <w:rsid w:val="00384D87"/>
    <w:rsid w:val="00385011"/>
    <w:rsid w:val="00385506"/>
    <w:rsid w:val="00385786"/>
    <w:rsid w:val="0038583C"/>
    <w:rsid w:val="00385B28"/>
    <w:rsid w:val="00385D40"/>
    <w:rsid w:val="00386295"/>
    <w:rsid w:val="003862B9"/>
    <w:rsid w:val="003863ED"/>
    <w:rsid w:val="00386765"/>
    <w:rsid w:val="00386B83"/>
    <w:rsid w:val="00386C50"/>
    <w:rsid w:val="00386D8E"/>
    <w:rsid w:val="00387086"/>
    <w:rsid w:val="00387472"/>
    <w:rsid w:val="00387730"/>
    <w:rsid w:val="00387D37"/>
    <w:rsid w:val="0039019C"/>
    <w:rsid w:val="003906FD"/>
    <w:rsid w:val="00390CD3"/>
    <w:rsid w:val="00390EA5"/>
    <w:rsid w:val="003910F2"/>
    <w:rsid w:val="003911D0"/>
    <w:rsid w:val="003918AA"/>
    <w:rsid w:val="00391DD6"/>
    <w:rsid w:val="00391F6A"/>
    <w:rsid w:val="0039206F"/>
    <w:rsid w:val="00392120"/>
    <w:rsid w:val="00392A0A"/>
    <w:rsid w:val="00392B30"/>
    <w:rsid w:val="00392C89"/>
    <w:rsid w:val="00392E3B"/>
    <w:rsid w:val="0039314A"/>
    <w:rsid w:val="0039395E"/>
    <w:rsid w:val="00393DD3"/>
    <w:rsid w:val="00394A09"/>
    <w:rsid w:val="00394A29"/>
    <w:rsid w:val="00394ACE"/>
    <w:rsid w:val="00394C67"/>
    <w:rsid w:val="00394EEC"/>
    <w:rsid w:val="00394F5E"/>
    <w:rsid w:val="00395237"/>
    <w:rsid w:val="003955DF"/>
    <w:rsid w:val="00395AED"/>
    <w:rsid w:val="00395F3C"/>
    <w:rsid w:val="00396106"/>
    <w:rsid w:val="00396382"/>
    <w:rsid w:val="003963BF"/>
    <w:rsid w:val="0039641E"/>
    <w:rsid w:val="00396461"/>
    <w:rsid w:val="003968D1"/>
    <w:rsid w:val="00396D39"/>
    <w:rsid w:val="00396F1F"/>
    <w:rsid w:val="0039722C"/>
    <w:rsid w:val="003975CD"/>
    <w:rsid w:val="0039777C"/>
    <w:rsid w:val="00397E3C"/>
    <w:rsid w:val="003A056D"/>
    <w:rsid w:val="003A0631"/>
    <w:rsid w:val="003A06F5"/>
    <w:rsid w:val="003A08B0"/>
    <w:rsid w:val="003A0D33"/>
    <w:rsid w:val="003A1EAD"/>
    <w:rsid w:val="003A23E6"/>
    <w:rsid w:val="003A242B"/>
    <w:rsid w:val="003A246E"/>
    <w:rsid w:val="003A25F7"/>
    <w:rsid w:val="003A27D0"/>
    <w:rsid w:val="003A2942"/>
    <w:rsid w:val="003A2A1E"/>
    <w:rsid w:val="003A31A4"/>
    <w:rsid w:val="003A375A"/>
    <w:rsid w:val="003A3881"/>
    <w:rsid w:val="003A3A8F"/>
    <w:rsid w:val="003A3E57"/>
    <w:rsid w:val="003A41EC"/>
    <w:rsid w:val="003A47AF"/>
    <w:rsid w:val="003A4A3E"/>
    <w:rsid w:val="003A4BB7"/>
    <w:rsid w:val="003A4DBE"/>
    <w:rsid w:val="003A4F6A"/>
    <w:rsid w:val="003A51BC"/>
    <w:rsid w:val="003A52D9"/>
    <w:rsid w:val="003A5541"/>
    <w:rsid w:val="003A558C"/>
    <w:rsid w:val="003A5A25"/>
    <w:rsid w:val="003A649C"/>
    <w:rsid w:val="003A698A"/>
    <w:rsid w:val="003A7338"/>
    <w:rsid w:val="003A78AC"/>
    <w:rsid w:val="003A78B2"/>
    <w:rsid w:val="003A7B27"/>
    <w:rsid w:val="003A7E59"/>
    <w:rsid w:val="003B0D2E"/>
    <w:rsid w:val="003B139D"/>
    <w:rsid w:val="003B18D7"/>
    <w:rsid w:val="003B1C60"/>
    <w:rsid w:val="003B1EFC"/>
    <w:rsid w:val="003B28BD"/>
    <w:rsid w:val="003B298D"/>
    <w:rsid w:val="003B3211"/>
    <w:rsid w:val="003B337F"/>
    <w:rsid w:val="003B3464"/>
    <w:rsid w:val="003B375D"/>
    <w:rsid w:val="003B37A1"/>
    <w:rsid w:val="003B39E3"/>
    <w:rsid w:val="003B447B"/>
    <w:rsid w:val="003B4900"/>
    <w:rsid w:val="003B4DE3"/>
    <w:rsid w:val="003B4FE4"/>
    <w:rsid w:val="003B5C1D"/>
    <w:rsid w:val="003B5D1B"/>
    <w:rsid w:val="003B5EE2"/>
    <w:rsid w:val="003B5F93"/>
    <w:rsid w:val="003B6481"/>
    <w:rsid w:val="003B65F0"/>
    <w:rsid w:val="003B74D7"/>
    <w:rsid w:val="003B7931"/>
    <w:rsid w:val="003C09D2"/>
    <w:rsid w:val="003C0C1B"/>
    <w:rsid w:val="003C0CB1"/>
    <w:rsid w:val="003C132B"/>
    <w:rsid w:val="003C1EF6"/>
    <w:rsid w:val="003C1F50"/>
    <w:rsid w:val="003C2452"/>
    <w:rsid w:val="003C2492"/>
    <w:rsid w:val="003C2626"/>
    <w:rsid w:val="003C266B"/>
    <w:rsid w:val="003C2954"/>
    <w:rsid w:val="003C2B65"/>
    <w:rsid w:val="003C3372"/>
    <w:rsid w:val="003C3621"/>
    <w:rsid w:val="003C41CE"/>
    <w:rsid w:val="003C426A"/>
    <w:rsid w:val="003C44AD"/>
    <w:rsid w:val="003C4815"/>
    <w:rsid w:val="003C4923"/>
    <w:rsid w:val="003C4F62"/>
    <w:rsid w:val="003C501D"/>
    <w:rsid w:val="003C51A4"/>
    <w:rsid w:val="003C56ED"/>
    <w:rsid w:val="003C597E"/>
    <w:rsid w:val="003C59F0"/>
    <w:rsid w:val="003C5A18"/>
    <w:rsid w:val="003C5F16"/>
    <w:rsid w:val="003C6251"/>
    <w:rsid w:val="003C6340"/>
    <w:rsid w:val="003C661C"/>
    <w:rsid w:val="003C66DE"/>
    <w:rsid w:val="003C6BCF"/>
    <w:rsid w:val="003C6D2A"/>
    <w:rsid w:val="003C6E4F"/>
    <w:rsid w:val="003C70F3"/>
    <w:rsid w:val="003C7235"/>
    <w:rsid w:val="003D04B5"/>
    <w:rsid w:val="003D0849"/>
    <w:rsid w:val="003D08BC"/>
    <w:rsid w:val="003D0C31"/>
    <w:rsid w:val="003D0C44"/>
    <w:rsid w:val="003D15C8"/>
    <w:rsid w:val="003D1A20"/>
    <w:rsid w:val="003D1F50"/>
    <w:rsid w:val="003D2A0E"/>
    <w:rsid w:val="003D2C7F"/>
    <w:rsid w:val="003D2E35"/>
    <w:rsid w:val="003D33FF"/>
    <w:rsid w:val="003D4091"/>
    <w:rsid w:val="003D4C06"/>
    <w:rsid w:val="003D4CCA"/>
    <w:rsid w:val="003D4CD5"/>
    <w:rsid w:val="003D5111"/>
    <w:rsid w:val="003D5775"/>
    <w:rsid w:val="003D5878"/>
    <w:rsid w:val="003D590E"/>
    <w:rsid w:val="003D5B0E"/>
    <w:rsid w:val="003D5CD1"/>
    <w:rsid w:val="003D6187"/>
    <w:rsid w:val="003D6229"/>
    <w:rsid w:val="003D65A0"/>
    <w:rsid w:val="003D66C1"/>
    <w:rsid w:val="003D682E"/>
    <w:rsid w:val="003D687C"/>
    <w:rsid w:val="003D70B1"/>
    <w:rsid w:val="003D7104"/>
    <w:rsid w:val="003D7682"/>
    <w:rsid w:val="003D7CAE"/>
    <w:rsid w:val="003D7D31"/>
    <w:rsid w:val="003E0290"/>
    <w:rsid w:val="003E0441"/>
    <w:rsid w:val="003E0886"/>
    <w:rsid w:val="003E1790"/>
    <w:rsid w:val="003E180D"/>
    <w:rsid w:val="003E1BD4"/>
    <w:rsid w:val="003E20B6"/>
    <w:rsid w:val="003E2782"/>
    <w:rsid w:val="003E381A"/>
    <w:rsid w:val="003E3C67"/>
    <w:rsid w:val="003E4194"/>
    <w:rsid w:val="003E429A"/>
    <w:rsid w:val="003E431D"/>
    <w:rsid w:val="003E4528"/>
    <w:rsid w:val="003E4753"/>
    <w:rsid w:val="003E4987"/>
    <w:rsid w:val="003E5188"/>
    <w:rsid w:val="003E58CD"/>
    <w:rsid w:val="003E5C8E"/>
    <w:rsid w:val="003E5CE0"/>
    <w:rsid w:val="003E62F7"/>
    <w:rsid w:val="003E6D4E"/>
    <w:rsid w:val="003E73E9"/>
    <w:rsid w:val="003E7918"/>
    <w:rsid w:val="003E7BF9"/>
    <w:rsid w:val="003E7C18"/>
    <w:rsid w:val="003F02F0"/>
    <w:rsid w:val="003F04E5"/>
    <w:rsid w:val="003F069E"/>
    <w:rsid w:val="003F09ED"/>
    <w:rsid w:val="003F0ADF"/>
    <w:rsid w:val="003F102B"/>
    <w:rsid w:val="003F1EA3"/>
    <w:rsid w:val="003F25A3"/>
    <w:rsid w:val="003F2941"/>
    <w:rsid w:val="003F2D6C"/>
    <w:rsid w:val="003F337C"/>
    <w:rsid w:val="003F3908"/>
    <w:rsid w:val="003F4132"/>
    <w:rsid w:val="003F4BCA"/>
    <w:rsid w:val="003F50CD"/>
    <w:rsid w:val="003F514C"/>
    <w:rsid w:val="003F5A42"/>
    <w:rsid w:val="003F5A96"/>
    <w:rsid w:val="003F5D19"/>
    <w:rsid w:val="003F611B"/>
    <w:rsid w:val="003F61ED"/>
    <w:rsid w:val="003F665E"/>
    <w:rsid w:val="003F6C61"/>
    <w:rsid w:val="003F6D0A"/>
    <w:rsid w:val="003F6D4C"/>
    <w:rsid w:val="003F77D6"/>
    <w:rsid w:val="003F7A24"/>
    <w:rsid w:val="003F7EF0"/>
    <w:rsid w:val="00400183"/>
    <w:rsid w:val="00400C3F"/>
    <w:rsid w:val="00401097"/>
    <w:rsid w:val="004010FB"/>
    <w:rsid w:val="004011F5"/>
    <w:rsid w:val="00401407"/>
    <w:rsid w:val="004016A0"/>
    <w:rsid w:val="00401A22"/>
    <w:rsid w:val="00401F20"/>
    <w:rsid w:val="0040221C"/>
    <w:rsid w:val="00403606"/>
    <w:rsid w:val="00403C53"/>
    <w:rsid w:val="00403FCD"/>
    <w:rsid w:val="004041DA"/>
    <w:rsid w:val="0040428B"/>
    <w:rsid w:val="00404359"/>
    <w:rsid w:val="004043B9"/>
    <w:rsid w:val="0040469B"/>
    <w:rsid w:val="004046DB"/>
    <w:rsid w:val="00405232"/>
    <w:rsid w:val="00405367"/>
    <w:rsid w:val="004055B7"/>
    <w:rsid w:val="004058D8"/>
    <w:rsid w:val="00405C39"/>
    <w:rsid w:val="00405DC5"/>
    <w:rsid w:val="00405E24"/>
    <w:rsid w:val="00406461"/>
    <w:rsid w:val="00406549"/>
    <w:rsid w:val="00406743"/>
    <w:rsid w:val="004075F0"/>
    <w:rsid w:val="00407641"/>
    <w:rsid w:val="00407B3D"/>
    <w:rsid w:val="00407B5D"/>
    <w:rsid w:val="00407FC6"/>
    <w:rsid w:val="0041016B"/>
    <w:rsid w:val="00410850"/>
    <w:rsid w:val="004115F6"/>
    <w:rsid w:val="00411AFE"/>
    <w:rsid w:val="00411B2E"/>
    <w:rsid w:val="004121D2"/>
    <w:rsid w:val="004125AA"/>
    <w:rsid w:val="004128EB"/>
    <w:rsid w:val="00414AD5"/>
    <w:rsid w:val="00415358"/>
    <w:rsid w:val="00415A2F"/>
    <w:rsid w:val="00415C3C"/>
    <w:rsid w:val="00415CC5"/>
    <w:rsid w:val="00416254"/>
    <w:rsid w:val="004162A9"/>
    <w:rsid w:val="00416B8B"/>
    <w:rsid w:val="00416C52"/>
    <w:rsid w:val="00416C57"/>
    <w:rsid w:val="00416D67"/>
    <w:rsid w:val="00416ECF"/>
    <w:rsid w:val="00416FC3"/>
    <w:rsid w:val="00417089"/>
    <w:rsid w:val="0041748A"/>
    <w:rsid w:val="00417C5F"/>
    <w:rsid w:val="00417CD0"/>
    <w:rsid w:val="004203BE"/>
    <w:rsid w:val="00421A68"/>
    <w:rsid w:val="00421B15"/>
    <w:rsid w:val="0042235D"/>
    <w:rsid w:val="00422D3D"/>
    <w:rsid w:val="00422F45"/>
    <w:rsid w:val="00423115"/>
    <w:rsid w:val="00423A7C"/>
    <w:rsid w:val="004243A7"/>
    <w:rsid w:val="0042459B"/>
    <w:rsid w:val="00424818"/>
    <w:rsid w:val="00425888"/>
    <w:rsid w:val="0042645B"/>
    <w:rsid w:val="004265DB"/>
    <w:rsid w:val="00426A6A"/>
    <w:rsid w:val="00426EA1"/>
    <w:rsid w:val="00426F93"/>
    <w:rsid w:val="0042713E"/>
    <w:rsid w:val="004279D4"/>
    <w:rsid w:val="00427CCD"/>
    <w:rsid w:val="00430580"/>
    <w:rsid w:val="004306E4"/>
    <w:rsid w:val="00430A92"/>
    <w:rsid w:val="00431280"/>
    <w:rsid w:val="004314BC"/>
    <w:rsid w:val="004314E0"/>
    <w:rsid w:val="0043165D"/>
    <w:rsid w:val="00431AD0"/>
    <w:rsid w:val="00431EBF"/>
    <w:rsid w:val="004320E2"/>
    <w:rsid w:val="00432317"/>
    <w:rsid w:val="00432869"/>
    <w:rsid w:val="00432C12"/>
    <w:rsid w:val="00432C80"/>
    <w:rsid w:val="00432E2F"/>
    <w:rsid w:val="00433307"/>
    <w:rsid w:val="00433468"/>
    <w:rsid w:val="004336EE"/>
    <w:rsid w:val="00433938"/>
    <w:rsid w:val="00433D42"/>
    <w:rsid w:val="00433F8D"/>
    <w:rsid w:val="0043436E"/>
    <w:rsid w:val="004345A4"/>
    <w:rsid w:val="0043462C"/>
    <w:rsid w:val="00434A89"/>
    <w:rsid w:val="00435195"/>
    <w:rsid w:val="00435B68"/>
    <w:rsid w:val="0043623E"/>
    <w:rsid w:val="004362AC"/>
    <w:rsid w:val="00436AA2"/>
    <w:rsid w:val="00436DD1"/>
    <w:rsid w:val="00437EDE"/>
    <w:rsid w:val="004402FC"/>
    <w:rsid w:val="0044030C"/>
    <w:rsid w:val="00440452"/>
    <w:rsid w:val="004406B8"/>
    <w:rsid w:val="00440735"/>
    <w:rsid w:val="004409B2"/>
    <w:rsid w:val="0044149F"/>
    <w:rsid w:val="00441ACA"/>
    <w:rsid w:val="00441EFF"/>
    <w:rsid w:val="0044213E"/>
    <w:rsid w:val="00442B2E"/>
    <w:rsid w:val="0044330C"/>
    <w:rsid w:val="00443410"/>
    <w:rsid w:val="00443534"/>
    <w:rsid w:val="00443647"/>
    <w:rsid w:val="0044384F"/>
    <w:rsid w:val="00443A0E"/>
    <w:rsid w:val="00443B0B"/>
    <w:rsid w:val="00443DDF"/>
    <w:rsid w:val="00443E4A"/>
    <w:rsid w:val="00443EF9"/>
    <w:rsid w:val="004443FD"/>
    <w:rsid w:val="0044463C"/>
    <w:rsid w:val="004448F6"/>
    <w:rsid w:val="00444BD0"/>
    <w:rsid w:val="00444E64"/>
    <w:rsid w:val="00444EE9"/>
    <w:rsid w:val="00445036"/>
    <w:rsid w:val="004453D0"/>
    <w:rsid w:val="00445670"/>
    <w:rsid w:val="00445B08"/>
    <w:rsid w:val="00445BAD"/>
    <w:rsid w:val="00445BF0"/>
    <w:rsid w:val="00445C7B"/>
    <w:rsid w:val="00445D8D"/>
    <w:rsid w:val="004462B2"/>
    <w:rsid w:val="0044658F"/>
    <w:rsid w:val="004471E9"/>
    <w:rsid w:val="004472E9"/>
    <w:rsid w:val="00447490"/>
    <w:rsid w:val="00447CDA"/>
    <w:rsid w:val="00447EC4"/>
    <w:rsid w:val="00447F72"/>
    <w:rsid w:val="004507AC"/>
    <w:rsid w:val="00450F41"/>
    <w:rsid w:val="00450FDC"/>
    <w:rsid w:val="00451350"/>
    <w:rsid w:val="004513CB"/>
    <w:rsid w:val="00451433"/>
    <w:rsid w:val="004516E9"/>
    <w:rsid w:val="00451839"/>
    <w:rsid w:val="004518CB"/>
    <w:rsid w:val="00451D95"/>
    <w:rsid w:val="00451F94"/>
    <w:rsid w:val="00452147"/>
    <w:rsid w:val="00452E05"/>
    <w:rsid w:val="004535F5"/>
    <w:rsid w:val="0045398B"/>
    <w:rsid w:val="00453D06"/>
    <w:rsid w:val="0045428B"/>
    <w:rsid w:val="00454371"/>
    <w:rsid w:val="004546AE"/>
    <w:rsid w:val="00454BA3"/>
    <w:rsid w:val="00454CDB"/>
    <w:rsid w:val="00454CF3"/>
    <w:rsid w:val="0045513F"/>
    <w:rsid w:val="004553A3"/>
    <w:rsid w:val="004554D1"/>
    <w:rsid w:val="0045551D"/>
    <w:rsid w:val="0045553B"/>
    <w:rsid w:val="0045584A"/>
    <w:rsid w:val="00455873"/>
    <w:rsid w:val="00455E06"/>
    <w:rsid w:val="0045617B"/>
    <w:rsid w:val="0045631F"/>
    <w:rsid w:val="004566D4"/>
    <w:rsid w:val="00456AFE"/>
    <w:rsid w:val="00456C57"/>
    <w:rsid w:val="00460012"/>
    <w:rsid w:val="0046010C"/>
    <w:rsid w:val="00460725"/>
    <w:rsid w:val="00460764"/>
    <w:rsid w:val="00460C50"/>
    <w:rsid w:val="00460CCC"/>
    <w:rsid w:val="00460F78"/>
    <w:rsid w:val="00460FF8"/>
    <w:rsid w:val="00461286"/>
    <w:rsid w:val="00461768"/>
    <w:rsid w:val="00461A1F"/>
    <w:rsid w:val="00462448"/>
    <w:rsid w:val="004624CE"/>
    <w:rsid w:val="00462680"/>
    <w:rsid w:val="00462B98"/>
    <w:rsid w:val="00462E7D"/>
    <w:rsid w:val="00463331"/>
    <w:rsid w:val="004633CD"/>
    <w:rsid w:val="00464097"/>
    <w:rsid w:val="00464D1A"/>
    <w:rsid w:val="00464F42"/>
    <w:rsid w:val="00465D88"/>
    <w:rsid w:val="00465E82"/>
    <w:rsid w:val="00465FCE"/>
    <w:rsid w:val="00466020"/>
    <w:rsid w:val="0046656B"/>
    <w:rsid w:val="00466726"/>
    <w:rsid w:val="004671F6"/>
    <w:rsid w:val="004676CD"/>
    <w:rsid w:val="004678C6"/>
    <w:rsid w:val="00467992"/>
    <w:rsid w:val="00467A2B"/>
    <w:rsid w:val="00470139"/>
    <w:rsid w:val="00470618"/>
    <w:rsid w:val="0047082C"/>
    <w:rsid w:val="00470CEB"/>
    <w:rsid w:val="00470D34"/>
    <w:rsid w:val="0047104F"/>
    <w:rsid w:val="0047131B"/>
    <w:rsid w:val="00471435"/>
    <w:rsid w:val="004725C8"/>
    <w:rsid w:val="0047293A"/>
    <w:rsid w:val="00472BAD"/>
    <w:rsid w:val="00472E3D"/>
    <w:rsid w:val="004731BB"/>
    <w:rsid w:val="004736FF"/>
    <w:rsid w:val="00473714"/>
    <w:rsid w:val="004740B2"/>
    <w:rsid w:val="00474158"/>
    <w:rsid w:val="00474309"/>
    <w:rsid w:val="00474325"/>
    <w:rsid w:val="0047475E"/>
    <w:rsid w:val="00474DA0"/>
    <w:rsid w:val="00474DA1"/>
    <w:rsid w:val="0047539B"/>
    <w:rsid w:val="00475440"/>
    <w:rsid w:val="004758E9"/>
    <w:rsid w:val="0047623E"/>
    <w:rsid w:val="00476370"/>
    <w:rsid w:val="0047648D"/>
    <w:rsid w:val="00476B43"/>
    <w:rsid w:val="00476F1F"/>
    <w:rsid w:val="00477028"/>
    <w:rsid w:val="004772D4"/>
    <w:rsid w:val="0047751E"/>
    <w:rsid w:val="00477C2C"/>
    <w:rsid w:val="0048021C"/>
    <w:rsid w:val="004807CA"/>
    <w:rsid w:val="00480D85"/>
    <w:rsid w:val="004810CE"/>
    <w:rsid w:val="004813FD"/>
    <w:rsid w:val="00481498"/>
    <w:rsid w:val="004821CF"/>
    <w:rsid w:val="004828C0"/>
    <w:rsid w:val="00482A3E"/>
    <w:rsid w:val="00482B93"/>
    <w:rsid w:val="004830BF"/>
    <w:rsid w:val="0048369D"/>
    <w:rsid w:val="004837D5"/>
    <w:rsid w:val="00483871"/>
    <w:rsid w:val="00484249"/>
    <w:rsid w:val="004843A4"/>
    <w:rsid w:val="004843CA"/>
    <w:rsid w:val="004846D2"/>
    <w:rsid w:val="00484A42"/>
    <w:rsid w:val="00484B25"/>
    <w:rsid w:val="00484D89"/>
    <w:rsid w:val="004852DC"/>
    <w:rsid w:val="004854D2"/>
    <w:rsid w:val="00485985"/>
    <w:rsid w:val="00485ADC"/>
    <w:rsid w:val="00485BD8"/>
    <w:rsid w:val="004860CF"/>
    <w:rsid w:val="00486A17"/>
    <w:rsid w:val="00486BDC"/>
    <w:rsid w:val="004872AB"/>
    <w:rsid w:val="0048782A"/>
    <w:rsid w:val="00487925"/>
    <w:rsid w:val="00487B69"/>
    <w:rsid w:val="00487D4F"/>
    <w:rsid w:val="00487FC0"/>
    <w:rsid w:val="00490144"/>
    <w:rsid w:val="00490181"/>
    <w:rsid w:val="00490A35"/>
    <w:rsid w:val="00490C4D"/>
    <w:rsid w:val="00490FEC"/>
    <w:rsid w:val="004915DB"/>
    <w:rsid w:val="00491B62"/>
    <w:rsid w:val="00491D0E"/>
    <w:rsid w:val="00491D86"/>
    <w:rsid w:val="00491D8D"/>
    <w:rsid w:val="004923EB"/>
    <w:rsid w:val="004924D8"/>
    <w:rsid w:val="004925F0"/>
    <w:rsid w:val="00492AA4"/>
    <w:rsid w:val="00492D66"/>
    <w:rsid w:val="00492E97"/>
    <w:rsid w:val="00493525"/>
    <w:rsid w:val="00493C21"/>
    <w:rsid w:val="00493ED0"/>
    <w:rsid w:val="00494A9A"/>
    <w:rsid w:val="00494D50"/>
    <w:rsid w:val="00494E77"/>
    <w:rsid w:val="004950C6"/>
    <w:rsid w:val="00495275"/>
    <w:rsid w:val="00495E89"/>
    <w:rsid w:val="00496139"/>
    <w:rsid w:val="00496174"/>
    <w:rsid w:val="0049657E"/>
    <w:rsid w:val="004968FA"/>
    <w:rsid w:val="0049721C"/>
    <w:rsid w:val="0049725A"/>
    <w:rsid w:val="00497878"/>
    <w:rsid w:val="00497EE9"/>
    <w:rsid w:val="004A0212"/>
    <w:rsid w:val="004A0964"/>
    <w:rsid w:val="004A0CED"/>
    <w:rsid w:val="004A0D61"/>
    <w:rsid w:val="004A0DE1"/>
    <w:rsid w:val="004A0E7F"/>
    <w:rsid w:val="004A0F68"/>
    <w:rsid w:val="004A115F"/>
    <w:rsid w:val="004A11F3"/>
    <w:rsid w:val="004A1283"/>
    <w:rsid w:val="004A15D1"/>
    <w:rsid w:val="004A1708"/>
    <w:rsid w:val="004A206C"/>
    <w:rsid w:val="004A219F"/>
    <w:rsid w:val="004A2225"/>
    <w:rsid w:val="004A243C"/>
    <w:rsid w:val="004A3037"/>
    <w:rsid w:val="004A328E"/>
    <w:rsid w:val="004A3B41"/>
    <w:rsid w:val="004A3C35"/>
    <w:rsid w:val="004A3D20"/>
    <w:rsid w:val="004A3EA2"/>
    <w:rsid w:val="004A409E"/>
    <w:rsid w:val="004A416E"/>
    <w:rsid w:val="004A41DD"/>
    <w:rsid w:val="004A442C"/>
    <w:rsid w:val="004A47D7"/>
    <w:rsid w:val="004A4DBA"/>
    <w:rsid w:val="004A5335"/>
    <w:rsid w:val="004A5410"/>
    <w:rsid w:val="004A5678"/>
    <w:rsid w:val="004A59B2"/>
    <w:rsid w:val="004A5F88"/>
    <w:rsid w:val="004A62B9"/>
    <w:rsid w:val="004A6430"/>
    <w:rsid w:val="004A6774"/>
    <w:rsid w:val="004A6C2C"/>
    <w:rsid w:val="004A6E8D"/>
    <w:rsid w:val="004A753F"/>
    <w:rsid w:val="004A7A6B"/>
    <w:rsid w:val="004B0037"/>
    <w:rsid w:val="004B047E"/>
    <w:rsid w:val="004B08EE"/>
    <w:rsid w:val="004B0C24"/>
    <w:rsid w:val="004B129B"/>
    <w:rsid w:val="004B1D04"/>
    <w:rsid w:val="004B210A"/>
    <w:rsid w:val="004B2274"/>
    <w:rsid w:val="004B256A"/>
    <w:rsid w:val="004B2CB7"/>
    <w:rsid w:val="004B2E2F"/>
    <w:rsid w:val="004B335B"/>
    <w:rsid w:val="004B36EC"/>
    <w:rsid w:val="004B3745"/>
    <w:rsid w:val="004B3944"/>
    <w:rsid w:val="004B3DAB"/>
    <w:rsid w:val="004B4103"/>
    <w:rsid w:val="004B44F0"/>
    <w:rsid w:val="004B4549"/>
    <w:rsid w:val="004B46EA"/>
    <w:rsid w:val="004B4DE4"/>
    <w:rsid w:val="004B4ECC"/>
    <w:rsid w:val="004B4ECF"/>
    <w:rsid w:val="004B5253"/>
    <w:rsid w:val="004B52BD"/>
    <w:rsid w:val="004B53E1"/>
    <w:rsid w:val="004B5947"/>
    <w:rsid w:val="004B5AE6"/>
    <w:rsid w:val="004B5C80"/>
    <w:rsid w:val="004B5F95"/>
    <w:rsid w:val="004B615E"/>
    <w:rsid w:val="004B63A8"/>
    <w:rsid w:val="004B6591"/>
    <w:rsid w:val="004B6A5F"/>
    <w:rsid w:val="004B6B2A"/>
    <w:rsid w:val="004B6BE7"/>
    <w:rsid w:val="004B786B"/>
    <w:rsid w:val="004B7CA0"/>
    <w:rsid w:val="004C016A"/>
    <w:rsid w:val="004C05DB"/>
    <w:rsid w:val="004C068F"/>
    <w:rsid w:val="004C06E6"/>
    <w:rsid w:val="004C0915"/>
    <w:rsid w:val="004C0BE9"/>
    <w:rsid w:val="004C0D4F"/>
    <w:rsid w:val="004C0F3F"/>
    <w:rsid w:val="004C1053"/>
    <w:rsid w:val="004C15C6"/>
    <w:rsid w:val="004C1C9E"/>
    <w:rsid w:val="004C24DA"/>
    <w:rsid w:val="004C273C"/>
    <w:rsid w:val="004C27FF"/>
    <w:rsid w:val="004C2AB0"/>
    <w:rsid w:val="004C2BDD"/>
    <w:rsid w:val="004C2D62"/>
    <w:rsid w:val="004C2DB3"/>
    <w:rsid w:val="004C3345"/>
    <w:rsid w:val="004C3633"/>
    <w:rsid w:val="004C3703"/>
    <w:rsid w:val="004C3AE3"/>
    <w:rsid w:val="004C3B68"/>
    <w:rsid w:val="004C414F"/>
    <w:rsid w:val="004C4371"/>
    <w:rsid w:val="004C471C"/>
    <w:rsid w:val="004C4D13"/>
    <w:rsid w:val="004C4FF1"/>
    <w:rsid w:val="004C572B"/>
    <w:rsid w:val="004C5861"/>
    <w:rsid w:val="004C586A"/>
    <w:rsid w:val="004C615E"/>
    <w:rsid w:val="004C63D0"/>
    <w:rsid w:val="004C6566"/>
    <w:rsid w:val="004C6D90"/>
    <w:rsid w:val="004C705F"/>
    <w:rsid w:val="004C7317"/>
    <w:rsid w:val="004D060F"/>
    <w:rsid w:val="004D0D8D"/>
    <w:rsid w:val="004D0DFC"/>
    <w:rsid w:val="004D0F4B"/>
    <w:rsid w:val="004D0FBA"/>
    <w:rsid w:val="004D111C"/>
    <w:rsid w:val="004D1354"/>
    <w:rsid w:val="004D1387"/>
    <w:rsid w:val="004D17C8"/>
    <w:rsid w:val="004D1B18"/>
    <w:rsid w:val="004D1EE1"/>
    <w:rsid w:val="004D20E1"/>
    <w:rsid w:val="004D264B"/>
    <w:rsid w:val="004D30EC"/>
    <w:rsid w:val="004D3557"/>
    <w:rsid w:val="004D39DB"/>
    <w:rsid w:val="004D40E9"/>
    <w:rsid w:val="004D4668"/>
    <w:rsid w:val="004D4F04"/>
    <w:rsid w:val="004D5157"/>
    <w:rsid w:val="004D5639"/>
    <w:rsid w:val="004D5A96"/>
    <w:rsid w:val="004D5DA7"/>
    <w:rsid w:val="004D5DBC"/>
    <w:rsid w:val="004D6073"/>
    <w:rsid w:val="004D6087"/>
    <w:rsid w:val="004D640B"/>
    <w:rsid w:val="004D673B"/>
    <w:rsid w:val="004D6B27"/>
    <w:rsid w:val="004D762B"/>
    <w:rsid w:val="004D7876"/>
    <w:rsid w:val="004D78EB"/>
    <w:rsid w:val="004D7D2D"/>
    <w:rsid w:val="004D7F2F"/>
    <w:rsid w:val="004E037B"/>
    <w:rsid w:val="004E0FE2"/>
    <w:rsid w:val="004E14E3"/>
    <w:rsid w:val="004E160C"/>
    <w:rsid w:val="004E1858"/>
    <w:rsid w:val="004E18E1"/>
    <w:rsid w:val="004E1BCE"/>
    <w:rsid w:val="004E27E0"/>
    <w:rsid w:val="004E2927"/>
    <w:rsid w:val="004E29A9"/>
    <w:rsid w:val="004E2BA7"/>
    <w:rsid w:val="004E33F0"/>
    <w:rsid w:val="004E3565"/>
    <w:rsid w:val="004E35A4"/>
    <w:rsid w:val="004E4839"/>
    <w:rsid w:val="004E4CEB"/>
    <w:rsid w:val="004E4E1D"/>
    <w:rsid w:val="004E5660"/>
    <w:rsid w:val="004E5F74"/>
    <w:rsid w:val="004E622D"/>
    <w:rsid w:val="004E665D"/>
    <w:rsid w:val="004E6967"/>
    <w:rsid w:val="004E69D2"/>
    <w:rsid w:val="004E6A63"/>
    <w:rsid w:val="004E6CCF"/>
    <w:rsid w:val="004E7436"/>
    <w:rsid w:val="004E76D1"/>
    <w:rsid w:val="004E7934"/>
    <w:rsid w:val="004E79EF"/>
    <w:rsid w:val="004E7A27"/>
    <w:rsid w:val="004F024F"/>
    <w:rsid w:val="004F0367"/>
    <w:rsid w:val="004F0A71"/>
    <w:rsid w:val="004F0C74"/>
    <w:rsid w:val="004F0E11"/>
    <w:rsid w:val="004F0E54"/>
    <w:rsid w:val="004F187B"/>
    <w:rsid w:val="004F18A8"/>
    <w:rsid w:val="004F1B7B"/>
    <w:rsid w:val="004F1C7C"/>
    <w:rsid w:val="004F1C7D"/>
    <w:rsid w:val="004F1D2D"/>
    <w:rsid w:val="004F2197"/>
    <w:rsid w:val="004F23C7"/>
    <w:rsid w:val="004F23D3"/>
    <w:rsid w:val="004F281A"/>
    <w:rsid w:val="004F2CAD"/>
    <w:rsid w:val="004F3137"/>
    <w:rsid w:val="004F3C84"/>
    <w:rsid w:val="004F3CEC"/>
    <w:rsid w:val="004F473A"/>
    <w:rsid w:val="004F492C"/>
    <w:rsid w:val="004F50B5"/>
    <w:rsid w:val="004F5423"/>
    <w:rsid w:val="004F5453"/>
    <w:rsid w:val="004F6237"/>
    <w:rsid w:val="004F6C31"/>
    <w:rsid w:val="004F706B"/>
    <w:rsid w:val="004F7504"/>
    <w:rsid w:val="0050034D"/>
    <w:rsid w:val="0050043E"/>
    <w:rsid w:val="005005D7"/>
    <w:rsid w:val="00501345"/>
    <w:rsid w:val="005014A8"/>
    <w:rsid w:val="00501A69"/>
    <w:rsid w:val="00502106"/>
    <w:rsid w:val="00502142"/>
    <w:rsid w:val="00502385"/>
    <w:rsid w:val="0050276E"/>
    <w:rsid w:val="00502A96"/>
    <w:rsid w:val="00502B50"/>
    <w:rsid w:val="00502F96"/>
    <w:rsid w:val="00503225"/>
    <w:rsid w:val="00503FF9"/>
    <w:rsid w:val="005046E9"/>
    <w:rsid w:val="005048D7"/>
    <w:rsid w:val="00504E50"/>
    <w:rsid w:val="005052C8"/>
    <w:rsid w:val="00505535"/>
    <w:rsid w:val="00505A0B"/>
    <w:rsid w:val="00505C26"/>
    <w:rsid w:val="00505FE6"/>
    <w:rsid w:val="00507C6E"/>
    <w:rsid w:val="00510321"/>
    <w:rsid w:val="00510ADF"/>
    <w:rsid w:val="00510C50"/>
    <w:rsid w:val="00510CCE"/>
    <w:rsid w:val="00510EA2"/>
    <w:rsid w:val="0051153A"/>
    <w:rsid w:val="00511D19"/>
    <w:rsid w:val="00511EB2"/>
    <w:rsid w:val="00512864"/>
    <w:rsid w:val="00512BC4"/>
    <w:rsid w:val="00512FE5"/>
    <w:rsid w:val="0051306C"/>
    <w:rsid w:val="005131D0"/>
    <w:rsid w:val="00513395"/>
    <w:rsid w:val="00513569"/>
    <w:rsid w:val="005138AD"/>
    <w:rsid w:val="00514143"/>
    <w:rsid w:val="00514427"/>
    <w:rsid w:val="005145F7"/>
    <w:rsid w:val="00514B60"/>
    <w:rsid w:val="005150C0"/>
    <w:rsid w:val="0051541C"/>
    <w:rsid w:val="00515452"/>
    <w:rsid w:val="005155B8"/>
    <w:rsid w:val="00515EF4"/>
    <w:rsid w:val="005162CA"/>
    <w:rsid w:val="00516598"/>
    <w:rsid w:val="00516608"/>
    <w:rsid w:val="00516AE0"/>
    <w:rsid w:val="00516B4D"/>
    <w:rsid w:val="0051708A"/>
    <w:rsid w:val="00517249"/>
    <w:rsid w:val="0051787D"/>
    <w:rsid w:val="00517AD6"/>
    <w:rsid w:val="00517B4E"/>
    <w:rsid w:val="00517BE4"/>
    <w:rsid w:val="005202B0"/>
    <w:rsid w:val="005208BD"/>
    <w:rsid w:val="00520B40"/>
    <w:rsid w:val="00520BE9"/>
    <w:rsid w:val="00521853"/>
    <w:rsid w:val="005218B0"/>
    <w:rsid w:val="005218BA"/>
    <w:rsid w:val="00521A94"/>
    <w:rsid w:val="00522476"/>
    <w:rsid w:val="005225A7"/>
    <w:rsid w:val="005227FD"/>
    <w:rsid w:val="0052337A"/>
    <w:rsid w:val="005233E6"/>
    <w:rsid w:val="00523535"/>
    <w:rsid w:val="00523A96"/>
    <w:rsid w:val="00523AB3"/>
    <w:rsid w:val="00523EDE"/>
    <w:rsid w:val="00524396"/>
    <w:rsid w:val="00524419"/>
    <w:rsid w:val="00524899"/>
    <w:rsid w:val="0052489F"/>
    <w:rsid w:val="00524DD6"/>
    <w:rsid w:val="00524E3E"/>
    <w:rsid w:val="0052503F"/>
    <w:rsid w:val="005254C5"/>
    <w:rsid w:val="0052553A"/>
    <w:rsid w:val="005256E7"/>
    <w:rsid w:val="00525BD7"/>
    <w:rsid w:val="00526003"/>
    <w:rsid w:val="005260D6"/>
    <w:rsid w:val="00526471"/>
    <w:rsid w:val="005269D2"/>
    <w:rsid w:val="005269F7"/>
    <w:rsid w:val="00526AD5"/>
    <w:rsid w:val="00526DF3"/>
    <w:rsid w:val="00526E5C"/>
    <w:rsid w:val="005270DB"/>
    <w:rsid w:val="00527536"/>
    <w:rsid w:val="00527917"/>
    <w:rsid w:val="00527D27"/>
    <w:rsid w:val="00527E39"/>
    <w:rsid w:val="00527F0B"/>
    <w:rsid w:val="00527F6F"/>
    <w:rsid w:val="0053023C"/>
    <w:rsid w:val="00530568"/>
    <w:rsid w:val="00530EBD"/>
    <w:rsid w:val="00530EE3"/>
    <w:rsid w:val="0053174E"/>
    <w:rsid w:val="00531773"/>
    <w:rsid w:val="0053209A"/>
    <w:rsid w:val="005325DB"/>
    <w:rsid w:val="00532ABF"/>
    <w:rsid w:val="005331A1"/>
    <w:rsid w:val="00533432"/>
    <w:rsid w:val="005334FD"/>
    <w:rsid w:val="005339B3"/>
    <w:rsid w:val="00533D8C"/>
    <w:rsid w:val="00533FE1"/>
    <w:rsid w:val="00534046"/>
    <w:rsid w:val="00534053"/>
    <w:rsid w:val="00534620"/>
    <w:rsid w:val="0053472F"/>
    <w:rsid w:val="00534B7A"/>
    <w:rsid w:val="00534C0A"/>
    <w:rsid w:val="00534D82"/>
    <w:rsid w:val="00534E35"/>
    <w:rsid w:val="00534F49"/>
    <w:rsid w:val="00534F78"/>
    <w:rsid w:val="005350A7"/>
    <w:rsid w:val="0053510B"/>
    <w:rsid w:val="00535244"/>
    <w:rsid w:val="0053551E"/>
    <w:rsid w:val="0053597D"/>
    <w:rsid w:val="005359D1"/>
    <w:rsid w:val="00535D36"/>
    <w:rsid w:val="00536047"/>
    <w:rsid w:val="005369C5"/>
    <w:rsid w:val="00537812"/>
    <w:rsid w:val="0053788A"/>
    <w:rsid w:val="005379D2"/>
    <w:rsid w:val="00537C41"/>
    <w:rsid w:val="0054063D"/>
    <w:rsid w:val="00541030"/>
    <w:rsid w:val="00541444"/>
    <w:rsid w:val="005414A5"/>
    <w:rsid w:val="0054170E"/>
    <w:rsid w:val="005417DD"/>
    <w:rsid w:val="005418BB"/>
    <w:rsid w:val="005418EA"/>
    <w:rsid w:val="00541AED"/>
    <w:rsid w:val="00541D8F"/>
    <w:rsid w:val="00541DBA"/>
    <w:rsid w:val="00542141"/>
    <w:rsid w:val="0054254B"/>
    <w:rsid w:val="00542A99"/>
    <w:rsid w:val="00543069"/>
    <w:rsid w:val="005431C4"/>
    <w:rsid w:val="00543797"/>
    <w:rsid w:val="00543C2D"/>
    <w:rsid w:val="00543F54"/>
    <w:rsid w:val="00544067"/>
    <w:rsid w:val="005447BE"/>
    <w:rsid w:val="0054519E"/>
    <w:rsid w:val="005451BC"/>
    <w:rsid w:val="005451C5"/>
    <w:rsid w:val="0054528C"/>
    <w:rsid w:val="00545E2F"/>
    <w:rsid w:val="00546507"/>
    <w:rsid w:val="00546CA3"/>
    <w:rsid w:val="00546EF5"/>
    <w:rsid w:val="00547AAB"/>
    <w:rsid w:val="00547E85"/>
    <w:rsid w:val="005500C5"/>
    <w:rsid w:val="0055013C"/>
    <w:rsid w:val="0055016F"/>
    <w:rsid w:val="00550337"/>
    <w:rsid w:val="005509DC"/>
    <w:rsid w:val="005516AA"/>
    <w:rsid w:val="005518E9"/>
    <w:rsid w:val="00551AE3"/>
    <w:rsid w:val="00551C20"/>
    <w:rsid w:val="00551D08"/>
    <w:rsid w:val="00552186"/>
    <w:rsid w:val="005522F0"/>
    <w:rsid w:val="00552BB5"/>
    <w:rsid w:val="00552E08"/>
    <w:rsid w:val="005531A9"/>
    <w:rsid w:val="00553211"/>
    <w:rsid w:val="0055340E"/>
    <w:rsid w:val="005535F8"/>
    <w:rsid w:val="00553846"/>
    <w:rsid w:val="0055445F"/>
    <w:rsid w:val="00554BD8"/>
    <w:rsid w:val="00554C0F"/>
    <w:rsid w:val="00554C25"/>
    <w:rsid w:val="00555151"/>
    <w:rsid w:val="005557B8"/>
    <w:rsid w:val="00555942"/>
    <w:rsid w:val="00555BF0"/>
    <w:rsid w:val="00555C99"/>
    <w:rsid w:val="00555D9C"/>
    <w:rsid w:val="00555EB6"/>
    <w:rsid w:val="005567F7"/>
    <w:rsid w:val="00556BD8"/>
    <w:rsid w:val="00556E71"/>
    <w:rsid w:val="005570AB"/>
    <w:rsid w:val="00557A3F"/>
    <w:rsid w:val="00557EAE"/>
    <w:rsid w:val="00557F21"/>
    <w:rsid w:val="0056045B"/>
    <w:rsid w:val="005607ED"/>
    <w:rsid w:val="0056083A"/>
    <w:rsid w:val="00561261"/>
    <w:rsid w:val="005612C7"/>
    <w:rsid w:val="005614E4"/>
    <w:rsid w:val="00561782"/>
    <w:rsid w:val="00561866"/>
    <w:rsid w:val="005619B7"/>
    <w:rsid w:val="00562166"/>
    <w:rsid w:val="005626E4"/>
    <w:rsid w:val="005628B3"/>
    <w:rsid w:val="005628F1"/>
    <w:rsid w:val="0056297D"/>
    <w:rsid w:val="00562A56"/>
    <w:rsid w:val="00562A85"/>
    <w:rsid w:val="00562BCE"/>
    <w:rsid w:val="0056398D"/>
    <w:rsid w:val="00563BB1"/>
    <w:rsid w:val="00563DDD"/>
    <w:rsid w:val="00563DE3"/>
    <w:rsid w:val="00563EA2"/>
    <w:rsid w:val="00563EC9"/>
    <w:rsid w:val="005641A2"/>
    <w:rsid w:val="00564200"/>
    <w:rsid w:val="0056468C"/>
    <w:rsid w:val="00564A47"/>
    <w:rsid w:val="00564B6D"/>
    <w:rsid w:val="00564C66"/>
    <w:rsid w:val="00564E80"/>
    <w:rsid w:val="005651A6"/>
    <w:rsid w:val="00565BD0"/>
    <w:rsid w:val="00565D4F"/>
    <w:rsid w:val="0056673B"/>
    <w:rsid w:val="00566902"/>
    <w:rsid w:val="00566957"/>
    <w:rsid w:val="00566DD1"/>
    <w:rsid w:val="0056701C"/>
    <w:rsid w:val="005673C8"/>
    <w:rsid w:val="00567946"/>
    <w:rsid w:val="00567CEA"/>
    <w:rsid w:val="005700D7"/>
    <w:rsid w:val="0057033F"/>
    <w:rsid w:val="005703CA"/>
    <w:rsid w:val="005704B5"/>
    <w:rsid w:val="00570F2B"/>
    <w:rsid w:val="0057108A"/>
    <w:rsid w:val="00571BF9"/>
    <w:rsid w:val="00571FF9"/>
    <w:rsid w:val="00572769"/>
    <w:rsid w:val="005729B2"/>
    <w:rsid w:val="00572C9E"/>
    <w:rsid w:val="005730B7"/>
    <w:rsid w:val="00573107"/>
    <w:rsid w:val="00573916"/>
    <w:rsid w:val="00573E18"/>
    <w:rsid w:val="00574080"/>
    <w:rsid w:val="00574AA8"/>
    <w:rsid w:val="00574CF7"/>
    <w:rsid w:val="00574F3A"/>
    <w:rsid w:val="00575303"/>
    <w:rsid w:val="005759DB"/>
    <w:rsid w:val="00575CEA"/>
    <w:rsid w:val="00576014"/>
    <w:rsid w:val="005765C9"/>
    <w:rsid w:val="005765CC"/>
    <w:rsid w:val="0057673A"/>
    <w:rsid w:val="00576A9A"/>
    <w:rsid w:val="00576BA7"/>
    <w:rsid w:val="00576E4C"/>
    <w:rsid w:val="0057752E"/>
    <w:rsid w:val="005776FA"/>
    <w:rsid w:val="0057774A"/>
    <w:rsid w:val="00580250"/>
    <w:rsid w:val="00580448"/>
    <w:rsid w:val="005804C6"/>
    <w:rsid w:val="00580BDA"/>
    <w:rsid w:val="00580E85"/>
    <w:rsid w:val="0058178A"/>
    <w:rsid w:val="005828B2"/>
    <w:rsid w:val="005828BA"/>
    <w:rsid w:val="00582B7C"/>
    <w:rsid w:val="00583A9F"/>
    <w:rsid w:val="00583E2D"/>
    <w:rsid w:val="0058459A"/>
    <w:rsid w:val="00584642"/>
    <w:rsid w:val="00584816"/>
    <w:rsid w:val="005849D3"/>
    <w:rsid w:val="00584AA3"/>
    <w:rsid w:val="00585348"/>
    <w:rsid w:val="00585983"/>
    <w:rsid w:val="00585DAD"/>
    <w:rsid w:val="00585F8B"/>
    <w:rsid w:val="00586046"/>
    <w:rsid w:val="0058635D"/>
    <w:rsid w:val="00586B8C"/>
    <w:rsid w:val="00587063"/>
    <w:rsid w:val="00587A41"/>
    <w:rsid w:val="00587A46"/>
    <w:rsid w:val="00587C5A"/>
    <w:rsid w:val="00587D93"/>
    <w:rsid w:val="00590047"/>
    <w:rsid w:val="005903B3"/>
    <w:rsid w:val="0059040D"/>
    <w:rsid w:val="0059073F"/>
    <w:rsid w:val="00590E6C"/>
    <w:rsid w:val="00590FEC"/>
    <w:rsid w:val="0059147F"/>
    <w:rsid w:val="00591DA4"/>
    <w:rsid w:val="00591F74"/>
    <w:rsid w:val="00591F8B"/>
    <w:rsid w:val="00592077"/>
    <w:rsid w:val="00592344"/>
    <w:rsid w:val="005929BE"/>
    <w:rsid w:val="00592AA2"/>
    <w:rsid w:val="00592B7A"/>
    <w:rsid w:val="00592C36"/>
    <w:rsid w:val="00592C5E"/>
    <w:rsid w:val="005933F4"/>
    <w:rsid w:val="00594454"/>
    <w:rsid w:val="005949A4"/>
    <w:rsid w:val="00594AFE"/>
    <w:rsid w:val="0059505B"/>
    <w:rsid w:val="005954E0"/>
    <w:rsid w:val="00595A08"/>
    <w:rsid w:val="00596105"/>
    <w:rsid w:val="005963AE"/>
    <w:rsid w:val="00596912"/>
    <w:rsid w:val="00597200"/>
    <w:rsid w:val="00597670"/>
    <w:rsid w:val="00597C42"/>
    <w:rsid w:val="005A018C"/>
    <w:rsid w:val="005A0AD7"/>
    <w:rsid w:val="005A0BF1"/>
    <w:rsid w:val="005A0F86"/>
    <w:rsid w:val="005A19B4"/>
    <w:rsid w:val="005A1CE2"/>
    <w:rsid w:val="005A2318"/>
    <w:rsid w:val="005A2792"/>
    <w:rsid w:val="005A27BF"/>
    <w:rsid w:val="005A2F0E"/>
    <w:rsid w:val="005A3644"/>
    <w:rsid w:val="005A3B12"/>
    <w:rsid w:val="005A3C60"/>
    <w:rsid w:val="005A4400"/>
    <w:rsid w:val="005A4566"/>
    <w:rsid w:val="005A4D63"/>
    <w:rsid w:val="005A4DBB"/>
    <w:rsid w:val="005A4E69"/>
    <w:rsid w:val="005A563E"/>
    <w:rsid w:val="005A604E"/>
    <w:rsid w:val="005A627F"/>
    <w:rsid w:val="005A64EA"/>
    <w:rsid w:val="005A6F8B"/>
    <w:rsid w:val="005A7052"/>
    <w:rsid w:val="005A710F"/>
    <w:rsid w:val="005A737A"/>
    <w:rsid w:val="005A74B5"/>
    <w:rsid w:val="005A751A"/>
    <w:rsid w:val="005A759A"/>
    <w:rsid w:val="005A78D6"/>
    <w:rsid w:val="005A7ACC"/>
    <w:rsid w:val="005A7C55"/>
    <w:rsid w:val="005B02D1"/>
    <w:rsid w:val="005B030A"/>
    <w:rsid w:val="005B03C7"/>
    <w:rsid w:val="005B0555"/>
    <w:rsid w:val="005B05B2"/>
    <w:rsid w:val="005B076B"/>
    <w:rsid w:val="005B07D3"/>
    <w:rsid w:val="005B0FAD"/>
    <w:rsid w:val="005B1967"/>
    <w:rsid w:val="005B1E86"/>
    <w:rsid w:val="005B1F83"/>
    <w:rsid w:val="005B2358"/>
    <w:rsid w:val="005B256E"/>
    <w:rsid w:val="005B25F8"/>
    <w:rsid w:val="005B284F"/>
    <w:rsid w:val="005B2CD9"/>
    <w:rsid w:val="005B2F42"/>
    <w:rsid w:val="005B307C"/>
    <w:rsid w:val="005B309E"/>
    <w:rsid w:val="005B30EA"/>
    <w:rsid w:val="005B32A9"/>
    <w:rsid w:val="005B37A2"/>
    <w:rsid w:val="005B37D3"/>
    <w:rsid w:val="005B3FD2"/>
    <w:rsid w:val="005B41B8"/>
    <w:rsid w:val="005B452E"/>
    <w:rsid w:val="005B47CC"/>
    <w:rsid w:val="005B4B01"/>
    <w:rsid w:val="005B4D0C"/>
    <w:rsid w:val="005B4F71"/>
    <w:rsid w:val="005B5407"/>
    <w:rsid w:val="005B5D6E"/>
    <w:rsid w:val="005B5E00"/>
    <w:rsid w:val="005B60FF"/>
    <w:rsid w:val="005B6200"/>
    <w:rsid w:val="005B643D"/>
    <w:rsid w:val="005B6929"/>
    <w:rsid w:val="005B6A94"/>
    <w:rsid w:val="005B6B87"/>
    <w:rsid w:val="005B6C71"/>
    <w:rsid w:val="005B72A9"/>
    <w:rsid w:val="005B756A"/>
    <w:rsid w:val="005B761C"/>
    <w:rsid w:val="005B7636"/>
    <w:rsid w:val="005B7670"/>
    <w:rsid w:val="005B781E"/>
    <w:rsid w:val="005B7DB6"/>
    <w:rsid w:val="005B7E4E"/>
    <w:rsid w:val="005C098F"/>
    <w:rsid w:val="005C0F28"/>
    <w:rsid w:val="005C0F65"/>
    <w:rsid w:val="005C13B9"/>
    <w:rsid w:val="005C142F"/>
    <w:rsid w:val="005C17C7"/>
    <w:rsid w:val="005C1A06"/>
    <w:rsid w:val="005C1B73"/>
    <w:rsid w:val="005C2148"/>
    <w:rsid w:val="005C21BD"/>
    <w:rsid w:val="005C225F"/>
    <w:rsid w:val="005C2464"/>
    <w:rsid w:val="005C2AAB"/>
    <w:rsid w:val="005C2FB5"/>
    <w:rsid w:val="005C3081"/>
    <w:rsid w:val="005C30A3"/>
    <w:rsid w:val="005C3280"/>
    <w:rsid w:val="005C361B"/>
    <w:rsid w:val="005C3802"/>
    <w:rsid w:val="005C3A29"/>
    <w:rsid w:val="005C3CC0"/>
    <w:rsid w:val="005C413E"/>
    <w:rsid w:val="005C46DB"/>
    <w:rsid w:val="005C4945"/>
    <w:rsid w:val="005C4C74"/>
    <w:rsid w:val="005C4DB2"/>
    <w:rsid w:val="005C4F81"/>
    <w:rsid w:val="005C5879"/>
    <w:rsid w:val="005C5DAF"/>
    <w:rsid w:val="005C625F"/>
    <w:rsid w:val="005C6326"/>
    <w:rsid w:val="005C66BB"/>
    <w:rsid w:val="005C66D1"/>
    <w:rsid w:val="005C6EA3"/>
    <w:rsid w:val="005C728D"/>
    <w:rsid w:val="005C7653"/>
    <w:rsid w:val="005D0016"/>
    <w:rsid w:val="005D02D1"/>
    <w:rsid w:val="005D04B5"/>
    <w:rsid w:val="005D0810"/>
    <w:rsid w:val="005D144F"/>
    <w:rsid w:val="005D187B"/>
    <w:rsid w:val="005D22D7"/>
    <w:rsid w:val="005D2606"/>
    <w:rsid w:val="005D2B7D"/>
    <w:rsid w:val="005D31FC"/>
    <w:rsid w:val="005D3523"/>
    <w:rsid w:val="005D3961"/>
    <w:rsid w:val="005D3A6A"/>
    <w:rsid w:val="005D45E4"/>
    <w:rsid w:val="005D45F7"/>
    <w:rsid w:val="005D4D20"/>
    <w:rsid w:val="005D4E76"/>
    <w:rsid w:val="005D5056"/>
    <w:rsid w:val="005D51E5"/>
    <w:rsid w:val="005D5C29"/>
    <w:rsid w:val="005D5C2B"/>
    <w:rsid w:val="005D610D"/>
    <w:rsid w:val="005D66CA"/>
    <w:rsid w:val="005D68DD"/>
    <w:rsid w:val="005D6F9F"/>
    <w:rsid w:val="005D7485"/>
    <w:rsid w:val="005D7669"/>
    <w:rsid w:val="005D76F0"/>
    <w:rsid w:val="005E01E9"/>
    <w:rsid w:val="005E0459"/>
    <w:rsid w:val="005E046C"/>
    <w:rsid w:val="005E059F"/>
    <w:rsid w:val="005E05A7"/>
    <w:rsid w:val="005E0A37"/>
    <w:rsid w:val="005E0D92"/>
    <w:rsid w:val="005E13B9"/>
    <w:rsid w:val="005E199C"/>
    <w:rsid w:val="005E1B16"/>
    <w:rsid w:val="005E1D6A"/>
    <w:rsid w:val="005E2192"/>
    <w:rsid w:val="005E2BFF"/>
    <w:rsid w:val="005E2C3E"/>
    <w:rsid w:val="005E2EF6"/>
    <w:rsid w:val="005E331A"/>
    <w:rsid w:val="005E35D4"/>
    <w:rsid w:val="005E36AE"/>
    <w:rsid w:val="005E37B2"/>
    <w:rsid w:val="005E38A8"/>
    <w:rsid w:val="005E3FDF"/>
    <w:rsid w:val="005E46F3"/>
    <w:rsid w:val="005E49FF"/>
    <w:rsid w:val="005E5012"/>
    <w:rsid w:val="005E50B7"/>
    <w:rsid w:val="005E518C"/>
    <w:rsid w:val="005E5900"/>
    <w:rsid w:val="005E5AA4"/>
    <w:rsid w:val="005E5B6D"/>
    <w:rsid w:val="005E5B87"/>
    <w:rsid w:val="005E5C82"/>
    <w:rsid w:val="005E5D63"/>
    <w:rsid w:val="005E68E0"/>
    <w:rsid w:val="005E6D56"/>
    <w:rsid w:val="005E76EB"/>
    <w:rsid w:val="005E780E"/>
    <w:rsid w:val="005E78FE"/>
    <w:rsid w:val="005E7A3B"/>
    <w:rsid w:val="005E7C7B"/>
    <w:rsid w:val="005F0C19"/>
    <w:rsid w:val="005F1095"/>
    <w:rsid w:val="005F1115"/>
    <w:rsid w:val="005F12BE"/>
    <w:rsid w:val="005F1959"/>
    <w:rsid w:val="005F19D0"/>
    <w:rsid w:val="005F209D"/>
    <w:rsid w:val="005F2117"/>
    <w:rsid w:val="005F214E"/>
    <w:rsid w:val="005F2318"/>
    <w:rsid w:val="005F268E"/>
    <w:rsid w:val="005F2BA6"/>
    <w:rsid w:val="005F3071"/>
    <w:rsid w:val="005F3087"/>
    <w:rsid w:val="005F30E4"/>
    <w:rsid w:val="005F310F"/>
    <w:rsid w:val="005F3A27"/>
    <w:rsid w:val="005F3D7F"/>
    <w:rsid w:val="005F434E"/>
    <w:rsid w:val="005F4436"/>
    <w:rsid w:val="005F4B42"/>
    <w:rsid w:val="005F4D58"/>
    <w:rsid w:val="005F51DD"/>
    <w:rsid w:val="005F5208"/>
    <w:rsid w:val="005F5417"/>
    <w:rsid w:val="005F543C"/>
    <w:rsid w:val="005F5869"/>
    <w:rsid w:val="005F597E"/>
    <w:rsid w:val="005F60EA"/>
    <w:rsid w:val="005F6465"/>
    <w:rsid w:val="005F6C0D"/>
    <w:rsid w:val="005F6CD5"/>
    <w:rsid w:val="005F6FEC"/>
    <w:rsid w:val="005F732F"/>
    <w:rsid w:val="005F7A3E"/>
    <w:rsid w:val="005F7D2D"/>
    <w:rsid w:val="00600273"/>
    <w:rsid w:val="0060042F"/>
    <w:rsid w:val="00601415"/>
    <w:rsid w:val="0060150D"/>
    <w:rsid w:val="00601581"/>
    <w:rsid w:val="00601A5E"/>
    <w:rsid w:val="00601CE7"/>
    <w:rsid w:val="00601CED"/>
    <w:rsid w:val="00602034"/>
    <w:rsid w:val="00602360"/>
    <w:rsid w:val="0060239C"/>
    <w:rsid w:val="00602DF4"/>
    <w:rsid w:val="006031E6"/>
    <w:rsid w:val="00603911"/>
    <w:rsid w:val="00603BCB"/>
    <w:rsid w:val="00603C77"/>
    <w:rsid w:val="00604172"/>
    <w:rsid w:val="0060461B"/>
    <w:rsid w:val="00604B6B"/>
    <w:rsid w:val="006050BF"/>
    <w:rsid w:val="0060519C"/>
    <w:rsid w:val="006052A0"/>
    <w:rsid w:val="0060597C"/>
    <w:rsid w:val="00605BBA"/>
    <w:rsid w:val="00605CFF"/>
    <w:rsid w:val="00605ED9"/>
    <w:rsid w:val="006060D3"/>
    <w:rsid w:val="00606163"/>
    <w:rsid w:val="0060631B"/>
    <w:rsid w:val="006069CB"/>
    <w:rsid w:val="006069E9"/>
    <w:rsid w:val="00606AAD"/>
    <w:rsid w:val="00606EFF"/>
    <w:rsid w:val="0060715E"/>
    <w:rsid w:val="006071F8"/>
    <w:rsid w:val="006079A8"/>
    <w:rsid w:val="00607B71"/>
    <w:rsid w:val="00607D25"/>
    <w:rsid w:val="00607DB2"/>
    <w:rsid w:val="00610001"/>
    <w:rsid w:val="00610183"/>
    <w:rsid w:val="00610AA6"/>
    <w:rsid w:val="00610D45"/>
    <w:rsid w:val="00610F3C"/>
    <w:rsid w:val="00610FA1"/>
    <w:rsid w:val="006112B3"/>
    <w:rsid w:val="00611362"/>
    <w:rsid w:val="00611388"/>
    <w:rsid w:val="0061252B"/>
    <w:rsid w:val="00612A70"/>
    <w:rsid w:val="0061317B"/>
    <w:rsid w:val="006136C8"/>
    <w:rsid w:val="00613761"/>
    <w:rsid w:val="006138DC"/>
    <w:rsid w:val="00613906"/>
    <w:rsid w:val="0061394A"/>
    <w:rsid w:val="00613B35"/>
    <w:rsid w:val="00613BEF"/>
    <w:rsid w:val="00613D30"/>
    <w:rsid w:val="006142DC"/>
    <w:rsid w:val="0061497C"/>
    <w:rsid w:val="00615230"/>
    <w:rsid w:val="00615573"/>
    <w:rsid w:val="006157C5"/>
    <w:rsid w:val="006159CC"/>
    <w:rsid w:val="00615CBE"/>
    <w:rsid w:val="00615FAB"/>
    <w:rsid w:val="00615FF2"/>
    <w:rsid w:val="00616089"/>
    <w:rsid w:val="006163BF"/>
    <w:rsid w:val="006163FC"/>
    <w:rsid w:val="006169DD"/>
    <w:rsid w:val="00616D09"/>
    <w:rsid w:val="00617070"/>
    <w:rsid w:val="006175D6"/>
    <w:rsid w:val="00617738"/>
    <w:rsid w:val="00617B93"/>
    <w:rsid w:val="00617B9D"/>
    <w:rsid w:val="006200DD"/>
    <w:rsid w:val="00620654"/>
    <w:rsid w:val="00620AC0"/>
    <w:rsid w:val="00620DF7"/>
    <w:rsid w:val="00620FCC"/>
    <w:rsid w:val="00621221"/>
    <w:rsid w:val="0062123A"/>
    <w:rsid w:val="006214D0"/>
    <w:rsid w:val="00621733"/>
    <w:rsid w:val="0062181B"/>
    <w:rsid w:val="00621ADA"/>
    <w:rsid w:val="006225DF"/>
    <w:rsid w:val="006228B4"/>
    <w:rsid w:val="00622E84"/>
    <w:rsid w:val="006233C0"/>
    <w:rsid w:val="006239C4"/>
    <w:rsid w:val="0062402D"/>
    <w:rsid w:val="00624205"/>
    <w:rsid w:val="00624698"/>
    <w:rsid w:val="006248BB"/>
    <w:rsid w:val="00624C94"/>
    <w:rsid w:val="00624D88"/>
    <w:rsid w:val="00624EBD"/>
    <w:rsid w:val="00624F3F"/>
    <w:rsid w:val="00624F68"/>
    <w:rsid w:val="006251CD"/>
    <w:rsid w:val="006254A9"/>
    <w:rsid w:val="00625573"/>
    <w:rsid w:val="006258A3"/>
    <w:rsid w:val="00625ADE"/>
    <w:rsid w:val="006263BA"/>
    <w:rsid w:val="00626584"/>
    <w:rsid w:val="00626C59"/>
    <w:rsid w:val="00626EC5"/>
    <w:rsid w:val="00627021"/>
    <w:rsid w:val="00627800"/>
    <w:rsid w:val="00627838"/>
    <w:rsid w:val="00627C52"/>
    <w:rsid w:val="00627D44"/>
    <w:rsid w:val="00627DD5"/>
    <w:rsid w:val="00630A1E"/>
    <w:rsid w:val="00630DFC"/>
    <w:rsid w:val="006314D2"/>
    <w:rsid w:val="006315B1"/>
    <w:rsid w:val="00631B7C"/>
    <w:rsid w:val="00631BB2"/>
    <w:rsid w:val="00631E69"/>
    <w:rsid w:val="006322F9"/>
    <w:rsid w:val="0063311F"/>
    <w:rsid w:val="006336AF"/>
    <w:rsid w:val="006338C6"/>
    <w:rsid w:val="00633C7E"/>
    <w:rsid w:val="00633CA8"/>
    <w:rsid w:val="00633DD5"/>
    <w:rsid w:val="00634192"/>
    <w:rsid w:val="0063454D"/>
    <w:rsid w:val="00634662"/>
    <w:rsid w:val="0063484E"/>
    <w:rsid w:val="006348F2"/>
    <w:rsid w:val="00634C9C"/>
    <w:rsid w:val="00634CB2"/>
    <w:rsid w:val="006359BC"/>
    <w:rsid w:val="00635AD2"/>
    <w:rsid w:val="00635D72"/>
    <w:rsid w:val="00635DF6"/>
    <w:rsid w:val="0063677B"/>
    <w:rsid w:val="00636AD3"/>
    <w:rsid w:val="00636B3D"/>
    <w:rsid w:val="006378AE"/>
    <w:rsid w:val="00637DE7"/>
    <w:rsid w:val="00637E39"/>
    <w:rsid w:val="0064026E"/>
    <w:rsid w:val="0064046F"/>
    <w:rsid w:val="00640B9D"/>
    <w:rsid w:val="006415C6"/>
    <w:rsid w:val="00641898"/>
    <w:rsid w:val="00641CB9"/>
    <w:rsid w:val="00641EA1"/>
    <w:rsid w:val="00641F8B"/>
    <w:rsid w:val="0064214D"/>
    <w:rsid w:val="00642459"/>
    <w:rsid w:val="00642961"/>
    <w:rsid w:val="006429CE"/>
    <w:rsid w:val="00642A90"/>
    <w:rsid w:val="00642BD3"/>
    <w:rsid w:val="00642DDB"/>
    <w:rsid w:val="00642F2C"/>
    <w:rsid w:val="00642FFC"/>
    <w:rsid w:val="00643128"/>
    <w:rsid w:val="006431F2"/>
    <w:rsid w:val="00643C0D"/>
    <w:rsid w:val="00643D86"/>
    <w:rsid w:val="00643F0E"/>
    <w:rsid w:val="006442AB"/>
    <w:rsid w:val="006445F3"/>
    <w:rsid w:val="00644AAA"/>
    <w:rsid w:val="0064518F"/>
    <w:rsid w:val="00645381"/>
    <w:rsid w:val="006458F4"/>
    <w:rsid w:val="006463BC"/>
    <w:rsid w:val="00646836"/>
    <w:rsid w:val="006500A1"/>
    <w:rsid w:val="00650174"/>
    <w:rsid w:val="00650520"/>
    <w:rsid w:val="006507F0"/>
    <w:rsid w:val="00650CD9"/>
    <w:rsid w:val="00650E04"/>
    <w:rsid w:val="006519D9"/>
    <w:rsid w:val="00652219"/>
    <w:rsid w:val="00652388"/>
    <w:rsid w:val="006529A8"/>
    <w:rsid w:val="00652A21"/>
    <w:rsid w:val="00652C79"/>
    <w:rsid w:val="00652D63"/>
    <w:rsid w:val="0065304E"/>
    <w:rsid w:val="006531FD"/>
    <w:rsid w:val="006534B1"/>
    <w:rsid w:val="00653568"/>
    <w:rsid w:val="00653770"/>
    <w:rsid w:val="00653E82"/>
    <w:rsid w:val="00654337"/>
    <w:rsid w:val="00654822"/>
    <w:rsid w:val="00654EEB"/>
    <w:rsid w:val="00655848"/>
    <w:rsid w:val="006558E0"/>
    <w:rsid w:val="00655A5E"/>
    <w:rsid w:val="00655CC4"/>
    <w:rsid w:val="00655DF9"/>
    <w:rsid w:val="0065623B"/>
    <w:rsid w:val="00656286"/>
    <w:rsid w:val="00656944"/>
    <w:rsid w:val="006569FA"/>
    <w:rsid w:val="00656D28"/>
    <w:rsid w:val="00656DF5"/>
    <w:rsid w:val="006577DE"/>
    <w:rsid w:val="00657AC6"/>
    <w:rsid w:val="00657E32"/>
    <w:rsid w:val="00657F4D"/>
    <w:rsid w:val="006601EA"/>
    <w:rsid w:val="0066020E"/>
    <w:rsid w:val="00660362"/>
    <w:rsid w:val="006608E1"/>
    <w:rsid w:val="00660957"/>
    <w:rsid w:val="00660C71"/>
    <w:rsid w:val="00660DE5"/>
    <w:rsid w:val="00660E50"/>
    <w:rsid w:val="00660F2C"/>
    <w:rsid w:val="00660FE5"/>
    <w:rsid w:val="00661489"/>
    <w:rsid w:val="006614BC"/>
    <w:rsid w:val="00661B17"/>
    <w:rsid w:val="00661BFF"/>
    <w:rsid w:val="00661C6F"/>
    <w:rsid w:val="0066206E"/>
    <w:rsid w:val="00662A7B"/>
    <w:rsid w:val="00662E3F"/>
    <w:rsid w:val="00662F0A"/>
    <w:rsid w:val="0066365A"/>
    <w:rsid w:val="0066381B"/>
    <w:rsid w:val="0066384C"/>
    <w:rsid w:val="006638DA"/>
    <w:rsid w:val="00663AD0"/>
    <w:rsid w:val="00663D4F"/>
    <w:rsid w:val="00664099"/>
    <w:rsid w:val="006646F8"/>
    <w:rsid w:val="00664869"/>
    <w:rsid w:val="006648E3"/>
    <w:rsid w:val="006649EF"/>
    <w:rsid w:val="00664AB2"/>
    <w:rsid w:val="00664B27"/>
    <w:rsid w:val="00664EBA"/>
    <w:rsid w:val="0066548D"/>
    <w:rsid w:val="00665701"/>
    <w:rsid w:val="00665DDC"/>
    <w:rsid w:val="00665FEB"/>
    <w:rsid w:val="0066609F"/>
    <w:rsid w:val="00666C8E"/>
    <w:rsid w:val="00666F42"/>
    <w:rsid w:val="0066704E"/>
    <w:rsid w:val="006674ED"/>
    <w:rsid w:val="00667604"/>
    <w:rsid w:val="006676D6"/>
    <w:rsid w:val="00667730"/>
    <w:rsid w:val="006679DC"/>
    <w:rsid w:val="00667EFC"/>
    <w:rsid w:val="006705EA"/>
    <w:rsid w:val="0067068E"/>
    <w:rsid w:val="00670787"/>
    <w:rsid w:val="0067082E"/>
    <w:rsid w:val="00670917"/>
    <w:rsid w:val="00670C7D"/>
    <w:rsid w:val="00671417"/>
    <w:rsid w:val="00671891"/>
    <w:rsid w:val="00672333"/>
    <w:rsid w:val="00672C7F"/>
    <w:rsid w:val="00672D1C"/>
    <w:rsid w:val="0067320F"/>
    <w:rsid w:val="00673379"/>
    <w:rsid w:val="0067446E"/>
    <w:rsid w:val="00674ADD"/>
    <w:rsid w:val="00674D48"/>
    <w:rsid w:val="00674E6B"/>
    <w:rsid w:val="006758BD"/>
    <w:rsid w:val="00676C2B"/>
    <w:rsid w:val="00677571"/>
    <w:rsid w:val="00677CCE"/>
    <w:rsid w:val="0068035F"/>
    <w:rsid w:val="00680474"/>
    <w:rsid w:val="006808C8"/>
    <w:rsid w:val="00680A93"/>
    <w:rsid w:val="00680CD5"/>
    <w:rsid w:val="00680E9B"/>
    <w:rsid w:val="0068130F"/>
    <w:rsid w:val="00681425"/>
    <w:rsid w:val="006817A6"/>
    <w:rsid w:val="00681D04"/>
    <w:rsid w:val="00681FA3"/>
    <w:rsid w:val="006820BD"/>
    <w:rsid w:val="00682653"/>
    <w:rsid w:val="0068269F"/>
    <w:rsid w:val="00682940"/>
    <w:rsid w:val="00682950"/>
    <w:rsid w:val="006829C7"/>
    <w:rsid w:val="00682CFD"/>
    <w:rsid w:val="00682F4C"/>
    <w:rsid w:val="006832A9"/>
    <w:rsid w:val="00683398"/>
    <w:rsid w:val="0068357F"/>
    <w:rsid w:val="00683593"/>
    <w:rsid w:val="00683708"/>
    <w:rsid w:val="006838BF"/>
    <w:rsid w:val="0068440C"/>
    <w:rsid w:val="006845C1"/>
    <w:rsid w:val="00684684"/>
    <w:rsid w:val="00684767"/>
    <w:rsid w:val="0068552B"/>
    <w:rsid w:val="00685968"/>
    <w:rsid w:val="00685DFF"/>
    <w:rsid w:val="00686466"/>
    <w:rsid w:val="00686629"/>
    <w:rsid w:val="00686766"/>
    <w:rsid w:val="0068680D"/>
    <w:rsid w:val="00686853"/>
    <w:rsid w:val="00686A3B"/>
    <w:rsid w:val="00686C57"/>
    <w:rsid w:val="00686DC9"/>
    <w:rsid w:val="006873AE"/>
    <w:rsid w:val="006874C1"/>
    <w:rsid w:val="00687589"/>
    <w:rsid w:val="00687590"/>
    <w:rsid w:val="00687B24"/>
    <w:rsid w:val="00687E42"/>
    <w:rsid w:val="0069031F"/>
    <w:rsid w:val="00690D9C"/>
    <w:rsid w:val="00691803"/>
    <w:rsid w:val="006918C4"/>
    <w:rsid w:val="00691AA7"/>
    <w:rsid w:val="00691B37"/>
    <w:rsid w:val="00691B5D"/>
    <w:rsid w:val="0069233B"/>
    <w:rsid w:val="0069246B"/>
    <w:rsid w:val="00692C67"/>
    <w:rsid w:val="00692E66"/>
    <w:rsid w:val="00692E94"/>
    <w:rsid w:val="006934EB"/>
    <w:rsid w:val="0069385C"/>
    <w:rsid w:val="00693DC2"/>
    <w:rsid w:val="00693FA9"/>
    <w:rsid w:val="006940D6"/>
    <w:rsid w:val="00694135"/>
    <w:rsid w:val="006942F0"/>
    <w:rsid w:val="006950EF"/>
    <w:rsid w:val="006952C3"/>
    <w:rsid w:val="0069550D"/>
    <w:rsid w:val="00695550"/>
    <w:rsid w:val="00695629"/>
    <w:rsid w:val="00695A4D"/>
    <w:rsid w:val="006960B9"/>
    <w:rsid w:val="00696138"/>
    <w:rsid w:val="0069793B"/>
    <w:rsid w:val="006979E5"/>
    <w:rsid w:val="00697DA8"/>
    <w:rsid w:val="00697DF4"/>
    <w:rsid w:val="00697EB2"/>
    <w:rsid w:val="00697ECB"/>
    <w:rsid w:val="006A06C5"/>
    <w:rsid w:val="006A0A04"/>
    <w:rsid w:val="006A0FAA"/>
    <w:rsid w:val="006A156B"/>
    <w:rsid w:val="006A1814"/>
    <w:rsid w:val="006A18F1"/>
    <w:rsid w:val="006A1D2A"/>
    <w:rsid w:val="006A1FB0"/>
    <w:rsid w:val="006A2163"/>
    <w:rsid w:val="006A220F"/>
    <w:rsid w:val="006A2543"/>
    <w:rsid w:val="006A276B"/>
    <w:rsid w:val="006A3635"/>
    <w:rsid w:val="006A4B67"/>
    <w:rsid w:val="006A565B"/>
    <w:rsid w:val="006A56C8"/>
    <w:rsid w:val="006A5C72"/>
    <w:rsid w:val="006A5E15"/>
    <w:rsid w:val="006A6256"/>
    <w:rsid w:val="006A6805"/>
    <w:rsid w:val="006A6F80"/>
    <w:rsid w:val="006A7074"/>
    <w:rsid w:val="006A709B"/>
    <w:rsid w:val="006A7397"/>
    <w:rsid w:val="006A7740"/>
    <w:rsid w:val="006A783C"/>
    <w:rsid w:val="006A7CF2"/>
    <w:rsid w:val="006A7F63"/>
    <w:rsid w:val="006B05A3"/>
    <w:rsid w:val="006B0817"/>
    <w:rsid w:val="006B10C1"/>
    <w:rsid w:val="006B1C47"/>
    <w:rsid w:val="006B224A"/>
    <w:rsid w:val="006B231E"/>
    <w:rsid w:val="006B23EF"/>
    <w:rsid w:val="006B24A4"/>
    <w:rsid w:val="006B253F"/>
    <w:rsid w:val="006B2B0D"/>
    <w:rsid w:val="006B2BF1"/>
    <w:rsid w:val="006B2D67"/>
    <w:rsid w:val="006B30F7"/>
    <w:rsid w:val="006B35C8"/>
    <w:rsid w:val="006B3C15"/>
    <w:rsid w:val="006B3E07"/>
    <w:rsid w:val="006B40E6"/>
    <w:rsid w:val="006B4E7E"/>
    <w:rsid w:val="006B54A9"/>
    <w:rsid w:val="006B577C"/>
    <w:rsid w:val="006B6122"/>
    <w:rsid w:val="006B61F0"/>
    <w:rsid w:val="006B6AED"/>
    <w:rsid w:val="006B6B7C"/>
    <w:rsid w:val="006B760C"/>
    <w:rsid w:val="006B7686"/>
    <w:rsid w:val="006B79E2"/>
    <w:rsid w:val="006B7A03"/>
    <w:rsid w:val="006B7EFD"/>
    <w:rsid w:val="006C0229"/>
    <w:rsid w:val="006C05FF"/>
    <w:rsid w:val="006C07FA"/>
    <w:rsid w:val="006C0B8D"/>
    <w:rsid w:val="006C198A"/>
    <w:rsid w:val="006C2028"/>
    <w:rsid w:val="006C2317"/>
    <w:rsid w:val="006C2365"/>
    <w:rsid w:val="006C284E"/>
    <w:rsid w:val="006C29BC"/>
    <w:rsid w:val="006C38C5"/>
    <w:rsid w:val="006C3DE2"/>
    <w:rsid w:val="006C4131"/>
    <w:rsid w:val="006C41DF"/>
    <w:rsid w:val="006C53B1"/>
    <w:rsid w:val="006C5637"/>
    <w:rsid w:val="006C5C59"/>
    <w:rsid w:val="006C5F12"/>
    <w:rsid w:val="006C5FEB"/>
    <w:rsid w:val="006C60F7"/>
    <w:rsid w:val="006C62D8"/>
    <w:rsid w:val="006C6742"/>
    <w:rsid w:val="006C6985"/>
    <w:rsid w:val="006C7A4C"/>
    <w:rsid w:val="006C7DCC"/>
    <w:rsid w:val="006C7E67"/>
    <w:rsid w:val="006C7EEE"/>
    <w:rsid w:val="006D0069"/>
    <w:rsid w:val="006D0093"/>
    <w:rsid w:val="006D092B"/>
    <w:rsid w:val="006D0A47"/>
    <w:rsid w:val="006D0B48"/>
    <w:rsid w:val="006D105E"/>
    <w:rsid w:val="006D1B26"/>
    <w:rsid w:val="006D2291"/>
    <w:rsid w:val="006D2650"/>
    <w:rsid w:val="006D38CD"/>
    <w:rsid w:val="006D38E9"/>
    <w:rsid w:val="006D4D75"/>
    <w:rsid w:val="006D4F9A"/>
    <w:rsid w:val="006D4FE7"/>
    <w:rsid w:val="006D536A"/>
    <w:rsid w:val="006D5A2C"/>
    <w:rsid w:val="006D5F0C"/>
    <w:rsid w:val="006D5F1D"/>
    <w:rsid w:val="006D5FF7"/>
    <w:rsid w:val="006D6245"/>
    <w:rsid w:val="006D6380"/>
    <w:rsid w:val="006D750B"/>
    <w:rsid w:val="006D786C"/>
    <w:rsid w:val="006E034C"/>
    <w:rsid w:val="006E06C2"/>
    <w:rsid w:val="006E08EB"/>
    <w:rsid w:val="006E098E"/>
    <w:rsid w:val="006E1246"/>
    <w:rsid w:val="006E1680"/>
    <w:rsid w:val="006E171B"/>
    <w:rsid w:val="006E19AD"/>
    <w:rsid w:val="006E2045"/>
    <w:rsid w:val="006E2435"/>
    <w:rsid w:val="006E2576"/>
    <w:rsid w:val="006E26DB"/>
    <w:rsid w:val="006E286A"/>
    <w:rsid w:val="006E2BE8"/>
    <w:rsid w:val="006E2FF1"/>
    <w:rsid w:val="006E306B"/>
    <w:rsid w:val="006E3221"/>
    <w:rsid w:val="006E39DD"/>
    <w:rsid w:val="006E3D74"/>
    <w:rsid w:val="006E3E16"/>
    <w:rsid w:val="006E409A"/>
    <w:rsid w:val="006E41B6"/>
    <w:rsid w:val="006E452E"/>
    <w:rsid w:val="006E481A"/>
    <w:rsid w:val="006E4C44"/>
    <w:rsid w:val="006E4C57"/>
    <w:rsid w:val="006E5449"/>
    <w:rsid w:val="006E5812"/>
    <w:rsid w:val="006E5C11"/>
    <w:rsid w:val="006E5C13"/>
    <w:rsid w:val="006E5C58"/>
    <w:rsid w:val="006E5E16"/>
    <w:rsid w:val="006E68AD"/>
    <w:rsid w:val="006E6B6D"/>
    <w:rsid w:val="006E7878"/>
    <w:rsid w:val="006E7A29"/>
    <w:rsid w:val="006E7AD2"/>
    <w:rsid w:val="006F0038"/>
    <w:rsid w:val="006F0323"/>
    <w:rsid w:val="006F071D"/>
    <w:rsid w:val="006F0CCC"/>
    <w:rsid w:val="006F0ECA"/>
    <w:rsid w:val="006F14D1"/>
    <w:rsid w:val="006F1555"/>
    <w:rsid w:val="006F1AB5"/>
    <w:rsid w:val="006F2219"/>
    <w:rsid w:val="006F26EC"/>
    <w:rsid w:val="006F286D"/>
    <w:rsid w:val="006F2903"/>
    <w:rsid w:val="006F31E1"/>
    <w:rsid w:val="006F32D8"/>
    <w:rsid w:val="006F3339"/>
    <w:rsid w:val="006F3752"/>
    <w:rsid w:val="006F3758"/>
    <w:rsid w:val="006F3973"/>
    <w:rsid w:val="006F3A5F"/>
    <w:rsid w:val="006F3B13"/>
    <w:rsid w:val="006F3D8B"/>
    <w:rsid w:val="006F3ED7"/>
    <w:rsid w:val="006F4436"/>
    <w:rsid w:val="006F46BD"/>
    <w:rsid w:val="006F488A"/>
    <w:rsid w:val="006F4BC9"/>
    <w:rsid w:val="006F5038"/>
    <w:rsid w:val="006F5097"/>
    <w:rsid w:val="006F534B"/>
    <w:rsid w:val="006F55F5"/>
    <w:rsid w:val="006F5761"/>
    <w:rsid w:val="006F5818"/>
    <w:rsid w:val="006F5E09"/>
    <w:rsid w:val="006F5E4A"/>
    <w:rsid w:val="006F5E7C"/>
    <w:rsid w:val="006F6270"/>
    <w:rsid w:val="006F68FE"/>
    <w:rsid w:val="006F6DCF"/>
    <w:rsid w:val="007003F9"/>
    <w:rsid w:val="00700AC2"/>
    <w:rsid w:val="00700CAE"/>
    <w:rsid w:val="0070126A"/>
    <w:rsid w:val="00701300"/>
    <w:rsid w:val="007015E2"/>
    <w:rsid w:val="00701A01"/>
    <w:rsid w:val="00701B01"/>
    <w:rsid w:val="00701D10"/>
    <w:rsid w:val="007027DA"/>
    <w:rsid w:val="00702ACB"/>
    <w:rsid w:val="00702DE1"/>
    <w:rsid w:val="00702E4D"/>
    <w:rsid w:val="00702E92"/>
    <w:rsid w:val="00702F61"/>
    <w:rsid w:val="00702FF0"/>
    <w:rsid w:val="007030D1"/>
    <w:rsid w:val="007035BA"/>
    <w:rsid w:val="00703613"/>
    <w:rsid w:val="00703E95"/>
    <w:rsid w:val="00703EB0"/>
    <w:rsid w:val="007042CA"/>
    <w:rsid w:val="0070439E"/>
    <w:rsid w:val="00704446"/>
    <w:rsid w:val="00704FED"/>
    <w:rsid w:val="00705199"/>
    <w:rsid w:val="007051BD"/>
    <w:rsid w:val="007054F5"/>
    <w:rsid w:val="00705613"/>
    <w:rsid w:val="0070563C"/>
    <w:rsid w:val="00706014"/>
    <w:rsid w:val="007064F9"/>
    <w:rsid w:val="0070720D"/>
    <w:rsid w:val="007072D8"/>
    <w:rsid w:val="00707E0B"/>
    <w:rsid w:val="00707E67"/>
    <w:rsid w:val="00707FA3"/>
    <w:rsid w:val="007102CB"/>
    <w:rsid w:val="007103C8"/>
    <w:rsid w:val="0071066B"/>
    <w:rsid w:val="0071069E"/>
    <w:rsid w:val="00710A1A"/>
    <w:rsid w:val="00710AC3"/>
    <w:rsid w:val="00710D92"/>
    <w:rsid w:val="00710EAB"/>
    <w:rsid w:val="00711148"/>
    <w:rsid w:val="00711500"/>
    <w:rsid w:val="00711A51"/>
    <w:rsid w:val="00711E6D"/>
    <w:rsid w:val="00712166"/>
    <w:rsid w:val="007124C0"/>
    <w:rsid w:val="0071266A"/>
    <w:rsid w:val="007129CD"/>
    <w:rsid w:val="00712B2D"/>
    <w:rsid w:val="00712E8A"/>
    <w:rsid w:val="007134BB"/>
    <w:rsid w:val="007138FB"/>
    <w:rsid w:val="00713906"/>
    <w:rsid w:val="00713DF3"/>
    <w:rsid w:val="00713F4B"/>
    <w:rsid w:val="007148A1"/>
    <w:rsid w:val="0071491E"/>
    <w:rsid w:val="00714A6E"/>
    <w:rsid w:val="00714A74"/>
    <w:rsid w:val="00714AF9"/>
    <w:rsid w:val="00714F12"/>
    <w:rsid w:val="00714F9C"/>
    <w:rsid w:val="0071506D"/>
    <w:rsid w:val="0071506F"/>
    <w:rsid w:val="00716357"/>
    <w:rsid w:val="00716406"/>
    <w:rsid w:val="007166AA"/>
    <w:rsid w:val="007169BF"/>
    <w:rsid w:val="00716BA9"/>
    <w:rsid w:val="007172C9"/>
    <w:rsid w:val="007172F9"/>
    <w:rsid w:val="0071759B"/>
    <w:rsid w:val="007177A4"/>
    <w:rsid w:val="0072016B"/>
    <w:rsid w:val="007204C1"/>
    <w:rsid w:val="0072053B"/>
    <w:rsid w:val="007209D6"/>
    <w:rsid w:val="00720B1E"/>
    <w:rsid w:val="00720B89"/>
    <w:rsid w:val="00720EDB"/>
    <w:rsid w:val="007210F0"/>
    <w:rsid w:val="0072248E"/>
    <w:rsid w:val="00722A90"/>
    <w:rsid w:val="00722F27"/>
    <w:rsid w:val="00722FA2"/>
    <w:rsid w:val="00722FC8"/>
    <w:rsid w:val="00722FF7"/>
    <w:rsid w:val="00723136"/>
    <w:rsid w:val="007231B3"/>
    <w:rsid w:val="00723444"/>
    <w:rsid w:val="0072373A"/>
    <w:rsid w:val="00723ADF"/>
    <w:rsid w:val="00723E51"/>
    <w:rsid w:val="0072408A"/>
    <w:rsid w:val="0072446F"/>
    <w:rsid w:val="007245DD"/>
    <w:rsid w:val="007246CF"/>
    <w:rsid w:val="00724EBC"/>
    <w:rsid w:val="00724F4F"/>
    <w:rsid w:val="00724FE5"/>
    <w:rsid w:val="0072583C"/>
    <w:rsid w:val="007258FA"/>
    <w:rsid w:val="00725C05"/>
    <w:rsid w:val="0072685F"/>
    <w:rsid w:val="00726CD0"/>
    <w:rsid w:val="00726E75"/>
    <w:rsid w:val="00727154"/>
    <w:rsid w:val="0073000B"/>
    <w:rsid w:val="00730086"/>
    <w:rsid w:val="007306B4"/>
    <w:rsid w:val="00730897"/>
    <w:rsid w:val="007308B5"/>
    <w:rsid w:val="00730C53"/>
    <w:rsid w:val="00731006"/>
    <w:rsid w:val="00731154"/>
    <w:rsid w:val="00731A7E"/>
    <w:rsid w:val="00731D7E"/>
    <w:rsid w:val="0073201F"/>
    <w:rsid w:val="007323DD"/>
    <w:rsid w:val="00732AFB"/>
    <w:rsid w:val="00732CBA"/>
    <w:rsid w:val="00733341"/>
    <w:rsid w:val="0073342B"/>
    <w:rsid w:val="00734155"/>
    <w:rsid w:val="00734338"/>
    <w:rsid w:val="007348A4"/>
    <w:rsid w:val="00734989"/>
    <w:rsid w:val="007351E5"/>
    <w:rsid w:val="00735246"/>
    <w:rsid w:val="00735412"/>
    <w:rsid w:val="0073564A"/>
    <w:rsid w:val="00735834"/>
    <w:rsid w:val="00735BB5"/>
    <w:rsid w:val="007367DB"/>
    <w:rsid w:val="0073684F"/>
    <w:rsid w:val="00736A3A"/>
    <w:rsid w:val="00736BE4"/>
    <w:rsid w:val="007373FB"/>
    <w:rsid w:val="00737553"/>
    <w:rsid w:val="00740490"/>
    <w:rsid w:val="007404C4"/>
    <w:rsid w:val="00740658"/>
    <w:rsid w:val="00741399"/>
    <w:rsid w:val="0074165C"/>
    <w:rsid w:val="0074182E"/>
    <w:rsid w:val="00741C9B"/>
    <w:rsid w:val="00742291"/>
    <w:rsid w:val="00742B11"/>
    <w:rsid w:val="00742DC0"/>
    <w:rsid w:val="00742E5E"/>
    <w:rsid w:val="00743618"/>
    <w:rsid w:val="007438E3"/>
    <w:rsid w:val="00743C2B"/>
    <w:rsid w:val="007440E3"/>
    <w:rsid w:val="0074432C"/>
    <w:rsid w:val="0074442E"/>
    <w:rsid w:val="007445AE"/>
    <w:rsid w:val="0074460B"/>
    <w:rsid w:val="0074477C"/>
    <w:rsid w:val="00744C61"/>
    <w:rsid w:val="00745694"/>
    <w:rsid w:val="0074605D"/>
    <w:rsid w:val="00746090"/>
    <w:rsid w:val="00746499"/>
    <w:rsid w:val="007466A6"/>
    <w:rsid w:val="007469A7"/>
    <w:rsid w:val="00746AD6"/>
    <w:rsid w:val="0074710A"/>
    <w:rsid w:val="00747259"/>
    <w:rsid w:val="007472EA"/>
    <w:rsid w:val="0074733F"/>
    <w:rsid w:val="0074799C"/>
    <w:rsid w:val="007479BD"/>
    <w:rsid w:val="00747C52"/>
    <w:rsid w:val="0075044A"/>
    <w:rsid w:val="00751703"/>
    <w:rsid w:val="00751850"/>
    <w:rsid w:val="00751C07"/>
    <w:rsid w:val="00751DED"/>
    <w:rsid w:val="00751E7C"/>
    <w:rsid w:val="00752825"/>
    <w:rsid w:val="00752EEE"/>
    <w:rsid w:val="007533F4"/>
    <w:rsid w:val="00753678"/>
    <w:rsid w:val="00753CFD"/>
    <w:rsid w:val="0075436C"/>
    <w:rsid w:val="0075456C"/>
    <w:rsid w:val="0075468F"/>
    <w:rsid w:val="00754D99"/>
    <w:rsid w:val="00754E5C"/>
    <w:rsid w:val="00754ED8"/>
    <w:rsid w:val="00754FE0"/>
    <w:rsid w:val="00755706"/>
    <w:rsid w:val="0075666F"/>
    <w:rsid w:val="00756A9F"/>
    <w:rsid w:val="00757329"/>
    <w:rsid w:val="00760413"/>
    <w:rsid w:val="00760550"/>
    <w:rsid w:val="00760570"/>
    <w:rsid w:val="00760930"/>
    <w:rsid w:val="00760AA2"/>
    <w:rsid w:val="007612BA"/>
    <w:rsid w:val="0076134C"/>
    <w:rsid w:val="00761B55"/>
    <w:rsid w:val="00761C53"/>
    <w:rsid w:val="0076334B"/>
    <w:rsid w:val="0076367D"/>
    <w:rsid w:val="0076389A"/>
    <w:rsid w:val="00763E5B"/>
    <w:rsid w:val="00764017"/>
    <w:rsid w:val="00764032"/>
    <w:rsid w:val="007641F5"/>
    <w:rsid w:val="00764373"/>
    <w:rsid w:val="0076452D"/>
    <w:rsid w:val="00764F13"/>
    <w:rsid w:val="007657AC"/>
    <w:rsid w:val="007657FD"/>
    <w:rsid w:val="00765C49"/>
    <w:rsid w:val="00765D61"/>
    <w:rsid w:val="00765F84"/>
    <w:rsid w:val="00766290"/>
    <w:rsid w:val="007669BB"/>
    <w:rsid w:val="00766A1F"/>
    <w:rsid w:val="00766A5B"/>
    <w:rsid w:val="00766A88"/>
    <w:rsid w:val="007670BE"/>
    <w:rsid w:val="00767380"/>
    <w:rsid w:val="007675B7"/>
    <w:rsid w:val="00767996"/>
    <w:rsid w:val="00767F81"/>
    <w:rsid w:val="007701C7"/>
    <w:rsid w:val="007704DF"/>
    <w:rsid w:val="007711F2"/>
    <w:rsid w:val="0077155D"/>
    <w:rsid w:val="007729B9"/>
    <w:rsid w:val="00772F36"/>
    <w:rsid w:val="00772FE4"/>
    <w:rsid w:val="00773712"/>
    <w:rsid w:val="00773814"/>
    <w:rsid w:val="00773C69"/>
    <w:rsid w:val="007740DA"/>
    <w:rsid w:val="00774143"/>
    <w:rsid w:val="007742F6"/>
    <w:rsid w:val="00774E7A"/>
    <w:rsid w:val="00775585"/>
    <w:rsid w:val="00775F76"/>
    <w:rsid w:val="0077629F"/>
    <w:rsid w:val="0077637E"/>
    <w:rsid w:val="007764E8"/>
    <w:rsid w:val="00776595"/>
    <w:rsid w:val="0077691E"/>
    <w:rsid w:val="00776CA4"/>
    <w:rsid w:val="007773FA"/>
    <w:rsid w:val="007778F8"/>
    <w:rsid w:val="00777DF2"/>
    <w:rsid w:val="00777FCC"/>
    <w:rsid w:val="007801AB"/>
    <w:rsid w:val="0078036B"/>
    <w:rsid w:val="007803F1"/>
    <w:rsid w:val="007807EC"/>
    <w:rsid w:val="007808CF"/>
    <w:rsid w:val="007811D7"/>
    <w:rsid w:val="0078128E"/>
    <w:rsid w:val="007812D6"/>
    <w:rsid w:val="007815B3"/>
    <w:rsid w:val="007818C8"/>
    <w:rsid w:val="0078190D"/>
    <w:rsid w:val="00782201"/>
    <w:rsid w:val="007822DC"/>
    <w:rsid w:val="00783004"/>
    <w:rsid w:val="007832DE"/>
    <w:rsid w:val="00783380"/>
    <w:rsid w:val="007833C0"/>
    <w:rsid w:val="0078376D"/>
    <w:rsid w:val="007844C5"/>
    <w:rsid w:val="00785156"/>
    <w:rsid w:val="00785A24"/>
    <w:rsid w:val="00785BB9"/>
    <w:rsid w:val="00785CF9"/>
    <w:rsid w:val="007862A6"/>
    <w:rsid w:val="00786461"/>
    <w:rsid w:val="00786EB1"/>
    <w:rsid w:val="007872E4"/>
    <w:rsid w:val="00787540"/>
    <w:rsid w:val="00787737"/>
    <w:rsid w:val="00787845"/>
    <w:rsid w:val="007878D8"/>
    <w:rsid w:val="00787A13"/>
    <w:rsid w:val="00787A49"/>
    <w:rsid w:val="00787CE6"/>
    <w:rsid w:val="00790F49"/>
    <w:rsid w:val="007911A3"/>
    <w:rsid w:val="00791205"/>
    <w:rsid w:val="0079132D"/>
    <w:rsid w:val="00791D14"/>
    <w:rsid w:val="0079232B"/>
    <w:rsid w:val="00792506"/>
    <w:rsid w:val="00792872"/>
    <w:rsid w:val="00792A0D"/>
    <w:rsid w:val="00792F37"/>
    <w:rsid w:val="00793065"/>
    <w:rsid w:val="00793414"/>
    <w:rsid w:val="007935B8"/>
    <w:rsid w:val="00793A70"/>
    <w:rsid w:val="00793B0F"/>
    <w:rsid w:val="007941A9"/>
    <w:rsid w:val="00794685"/>
    <w:rsid w:val="00794C29"/>
    <w:rsid w:val="00794F9B"/>
    <w:rsid w:val="00794FB7"/>
    <w:rsid w:val="00795FF5"/>
    <w:rsid w:val="00796D2D"/>
    <w:rsid w:val="00796DFE"/>
    <w:rsid w:val="00796EA7"/>
    <w:rsid w:val="00797023"/>
    <w:rsid w:val="007974DD"/>
    <w:rsid w:val="007976AC"/>
    <w:rsid w:val="00797D48"/>
    <w:rsid w:val="007A01BB"/>
    <w:rsid w:val="007A06E7"/>
    <w:rsid w:val="007A0723"/>
    <w:rsid w:val="007A0A66"/>
    <w:rsid w:val="007A0CE9"/>
    <w:rsid w:val="007A0CF1"/>
    <w:rsid w:val="007A13F1"/>
    <w:rsid w:val="007A1469"/>
    <w:rsid w:val="007A14D2"/>
    <w:rsid w:val="007A1707"/>
    <w:rsid w:val="007A1E71"/>
    <w:rsid w:val="007A1F6B"/>
    <w:rsid w:val="007A2205"/>
    <w:rsid w:val="007A25DE"/>
    <w:rsid w:val="007A2ACE"/>
    <w:rsid w:val="007A2B83"/>
    <w:rsid w:val="007A3529"/>
    <w:rsid w:val="007A378D"/>
    <w:rsid w:val="007A3A1B"/>
    <w:rsid w:val="007A3AEF"/>
    <w:rsid w:val="007A3DDB"/>
    <w:rsid w:val="007A41EF"/>
    <w:rsid w:val="007A45CF"/>
    <w:rsid w:val="007A464B"/>
    <w:rsid w:val="007A46B3"/>
    <w:rsid w:val="007A4A4D"/>
    <w:rsid w:val="007A4DBF"/>
    <w:rsid w:val="007A4FA8"/>
    <w:rsid w:val="007A4FAD"/>
    <w:rsid w:val="007A514D"/>
    <w:rsid w:val="007A5486"/>
    <w:rsid w:val="007A556E"/>
    <w:rsid w:val="007A5571"/>
    <w:rsid w:val="007A55F9"/>
    <w:rsid w:val="007A6920"/>
    <w:rsid w:val="007A6F72"/>
    <w:rsid w:val="007A7193"/>
    <w:rsid w:val="007A7813"/>
    <w:rsid w:val="007A781E"/>
    <w:rsid w:val="007A7D72"/>
    <w:rsid w:val="007B03C9"/>
    <w:rsid w:val="007B0666"/>
    <w:rsid w:val="007B06E1"/>
    <w:rsid w:val="007B0DBB"/>
    <w:rsid w:val="007B1080"/>
    <w:rsid w:val="007B12E1"/>
    <w:rsid w:val="007B1B99"/>
    <w:rsid w:val="007B1FC1"/>
    <w:rsid w:val="007B2064"/>
    <w:rsid w:val="007B20EB"/>
    <w:rsid w:val="007B21FC"/>
    <w:rsid w:val="007B235D"/>
    <w:rsid w:val="007B26D2"/>
    <w:rsid w:val="007B295F"/>
    <w:rsid w:val="007B2DB4"/>
    <w:rsid w:val="007B367F"/>
    <w:rsid w:val="007B3D17"/>
    <w:rsid w:val="007B3FD0"/>
    <w:rsid w:val="007B3FE2"/>
    <w:rsid w:val="007B51C1"/>
    <w:rsid w:val="007B51E3"/>
    <w:rsid w:val="007B53E0"/>
    <w:rsid w:val="007B5616"/>
    <w:rsid w:val="007B5896"/>
    <w:rsid w:val="007B5A63"/>
    <w:rsid w:val="007B5BBC"/>
    <w:rsid w:val="007B5D42"/>
    <w:rsid w:val="007B6700"/>
    <w:rsid w:val="007B67C7"/>
    <w:rsid w:val="007B6CC6"/>
    <w:rsid w:val="007B714C"/>
    <w:rsid w:val="007B715B"/>
    <w:rsid w:val="007B73F0"/>
    <w:rsid w:val="007B743B"/>
    <w:rsid w:val="007B769D"/>
    <w:rsid w:val="007B79B2"/>
    <w:rsid w:val="007B7B2A"/>
    <w:rsid w:val="007B7B82"/>
    <w:rsid w:val="007B7B94"/>
    <w:rsid w:val="007C0255"/>
    <w:rsid w:val="007C0F62"/>
    <w:rsid w:val="007C164F"/>
    <w:rsid w:val="007C197F"/>
    <w:rsid w:val="007C1C39"/>
    <w:rsid w:val="007C25AE"/>
    <w:rsid w:val="007C260E"/>
    <w:rsid w:val="007C264E"/>
    <w:rsid w:val="007C2786"/>
    <w:rsid w:val="007C2AA2"/>
    <w:rsid w:val="007C2FDD"/>
    <w:rsid w:val="007C308A"/>
    <w:rsid w:val="007C3511"/>
    <w:rsid w:val="007C35DD"/>
    <w:rsid w:val="007C38AC"/>
    <w:rsid w:val="007C3B2F"/>
    <w:rsid w:val="007C3EDC"/>
    <w:rsid w:val="007C4314"/>
    <w:rsid w:val="007C467C"/>
    <w:rsid w:val="007C4EC9"/>
    <w:rsid w:val="007C53D0"/>
    <w:rsid w:val="007C55FD"/>
    <w:rsid w:val="007C59C2"/>
    <w:rsid w:val="007C5B26"/>
    <w:rsid w:val="007C5EAC"/>
    <w:rsid w:val="007C5FDF"/>
    <w:rsid w:val="007C6326"/>
    <w:rsid w:val="007C63CF"/>
    <w:rsid w:val="007C6C17"/>
    <w:rsid w:val="007C72AB"/>
    <w:rsid w:val="007C73EA"/>
    <w:rsid w:val="007C7A8C"/>
    <w:rsid w:val="007C7F37"/>
    <w:rsid w:val="007D00E3"/>
    <w:rsid w:val="007D0415"/>
    <w:rsid w:val="007D05DB"/>
    <w:rsid w:val="007D06B2"/>
    <w:rsid w:val="007D0CC8"/>
    <w:rsid w:val="007D0DEB"/>
    <w:rsid w:val="007D0FFC"/>
    <w:rsid w:val="007D1594"/>
    <w:rsid w:val="007D17DE"/>
    <w:rsid w:val="007D1AC0"/>
    <w:rsid w:val="007D1E50"/>
    <w:rsid w:val="007D22E9"/>
    <w:rsid w:val="007D2607"/>
    <w:rsid w:val="007D2A91"/>
    <w:rsid w:val="007D2A9C"/>
    <w:rsid w:val="007D2AB4"/>
    <w:rsid w:val="007D2DFF"/>
    <w:rsid w:val="007D2F8A"/>
    <w:rsid w:val="007D32D6"/>
    <w:rsid w:val="007D381C"/>
    <w:rsid w:val="007D3931"/>
    <w:rsid w:val="007D3941"/>
    <w:rsid w:val="007D3AD1"/>
    <w:rsid w:val="007D3B20"/>
    <w:rsid w:val="007D3B96"/>
    <w:rsid w:val="007D3D73"/>
    <w:rsid w:val="007D3ED0"/>
    <w:rsid w:val="007D4213"/>
    <w:rsid w:val="007D4219"/>
    <w:rsid w:val="007D4664"/>
    <w:rsid w:val="007D5027"/>
    <w:rsid w:val="007D5277"/>
    <w:rsid w:val="007D5CCC"/>
    <w:rsid w:val="007D6106"/>
    <w:rsid w:val="007D63D8"/>
    <w:rsid w:val="007D64A7"/>
    <w:rsid w:val="007D6669"/>
    <w:rsid w:val="007D6F31"/>
    <w:rsid w:val="007D6FDC"/>
    <w:rsid w:val="007D7CA5"/>
    <w:rsid w:val="007E015E"/>
    <w:rsid w:val="007E03CA"/>
    <w:rsid w:val="007E0402"/>
    <w:rsid w:val="007E0503"/>
    <w:rsid w:val="007E0A4A"/>
    <w:rsid w:val="007E1343"/>
    <w:rsid w:val="007E15E1"/>
    <w:rsid w:val="007E1A26"/>
    <w:rsid w:val="007E1A4C"/>
    <w:rsid w:val="007E1CAF"/>
    <w:rsid w:val="007E1CFF"/>
    <w:rsid w:val="007E2BFC"/>
    <w:rsid w:val="007E3853"/>
    <w:rsid w:val="007E3BB7"/>
    <w:rsid w:val="007E3EB0"/>
    <w:rsid w:val="007E4FBD"/>
    <w:rsid w:val="007E4FCE"/>
    <w:rsid w:val="007E51A2"/>
    <w:rsid w:val="007E5289"/>
    <w:rsid w:val="007E52B4"/>
    <w:rsid w:val="007E530F"/>
    <w:rsid w:val="007E534B"/>
    <w:rsid w:val="007E535F"/>
    <w:rsid w:val="007E53FE"/>
    <w:rsid w:val="007E5FEB"/>
    <w:rsid w:val="007E68EF"/>
    <w:rsid w:val="007E69DC"/>
    <w:rsid w:val="007E6E67"/>
    <w:rsid w:val="007E7395"/>
    <w:rsid w:val="007E750D"/>
    <w:rsid w:val="007E76C6"/>
    <w:rsid w:val="007E77AC"/>
    <w:rsid w:val="007E7D6C"/>
    <w:rsid w:val="007F026E"/>
    <w:rsid w:val="007F02DF"/>
    <w:rsid w:val="007F0564"/>
    <w:rsid w:val="007F0788"/>
    <w:rsid w:val="007F11C2"/>
    <w:rsid w:val="007F129F"/>
    <w:rsid w:val="007F14A7"/>
    <w:rsid w:val="007F1D0F"/>
    <w:rsid w:val="007F1E4E"/>
    <w:rsid w:val="007F22D8"/>
    <w:rsid w:val="007F272B"/>
    <w:rsid w:val="007F2A79"/>
    <w:rsid w:val="007F2CB7"/>
    <w:rsid w:val="007F2FC4"/>
    <w:rsid w:val="007F375C"/>
    <w:rsid w:val="007F3D06"/>
    <w:rsid w:val="007F3D7A"/>
    <w:rsid w:val="007F429B"/>
    <w:rsid w:val="007F451D"/>
    <w:rsid w:val="007F4777"/>
    <w:rsid w:val="007F49B7"/>
    <w:rsid w:val="007F505E"/>
    <w:rsid w:val="007F529E"/>
    <w:rsid w:val="007F5403"/>
    <w:rsid w:val="007F5555"/>
    <w:rsid w:val="007F5B79"/>
    <w:rsid w:val="007F677D"/>
    <w:rsid w:val="007F67F7"/>
    <w:rsid w:val="007F6AC1"/>
    <w:rsid w:val="007F7549"/>
    <w:rsid w:val="007F76F9"/>
    <w:rsid w:val="007F7AC0"/>
    <w:rsid w:val="007F7F93"/>
    <w:rsid w:val="00800230"/>
    <w:rsid w:val="00800397"/>
    <w:rsid w:val="00800BD4"/>
    <w:rsid w:val="00801121"/>
    <w:rsid w:val="0080116D"/>
    <w:rsid w:val="008019CA"/>
    <w:rsid w:val="00801BCD"/>
    <w:rsid w:val="008020E5"/>
    <w:rsid w:val="0080212A"/>
    <w:rsid w:val="008021C3"/>
    <w:rsid w:val="00802A3D"/>
    <w:rsid w:val="00802ECE"/>
    <w:rsid w:val="00802F8D"/>
    <w:rsid w:val="0080301A"/>
    <w:rsid w:val="00803843"/>
    <w:rsid w:val="00803BBC"/>
    <w:rsid w:val="00803F72"/>
    <w:rsid w:val="0080432F"/>
    <w:rsid w:val="008044C1"/>
    <w:rsid w:val="00804E48"/>
    <w:rsid w:val="00805202"/>
    <w:rsid w:val="00805542"/>
    <w:rsid w:val="008058E9"/>
    <w:rsid w:val="00805DDE"/>
    <w:rsid w:val="00806455"/>
    <w:rsid w:val="00806506"/>
    <w:rsid w:val="00806885"/>
    <w:rsid w:val="00806A8B"/>
    <w:rsid w:val="00806DE3"/>
    <w:rsid w:val="008074EF"/>
    <w:rsid w:val="008078E5"/>
    <w:rsid w:val="008103A1"/>
    <w:rsid w:val="00810E25"/>
    <w:rsid w:val="0081107A"/>
    <w:rsid w:val="008110D5"/>
    <w:rsid w:val="00811866"/>
    <w:rsid w:val="00811B7D"/>
    <w:rsid w:val="00811D3A"/>
    <w:rsid w:val="008120B6"/>
    <w:rsid w:val="00812583"/>
    <w:rsid w:val="00812665"/>
    <w:rsid w:val="00812AE3"/>
    <w:rsid w:val="00812C8E"/>
    <w:rsid w:val="008130BE"/>
    <w:rsid w:val="008131AC"/>
    <w:rsid w:val="0081346B"/>
    <w:rsid w:val="008140B8"/>
    <w:rsid w:val="00814285"/>
    <w:rsid w:val="00814953"/>
    <w:rsid w:val="00815726"/>
    <w:rsid w:val="0081614D"/>
    <w:rsid w:val="008166EA"/>
    <w:rsid w:val="008168F3"/>
    <w:rsid w:val="008169E1"/>
    <w:rsid w:val="00816A80"/>
    <w:rsid w:val="00816BFC"/>
    <w:rsid w:val="00816C4B"/>
    <w:rsid w:val="008171B1"/>
    <w:rsid w:val="0081721F"/>
    <w:rsid w:val="0081733C"/>
    <w:rsid w:val="008175B5"/>
    <w:rsid w:val="0081775C"/>
    <w:rsid w:val="00817DCC"/>
    <w:rsid w:val="00820BB2"/>
    <w:rsid w:val="00820E4B"/>
    <w:rsid w:val="008218F7"/>
    <w:rsid w:val="00821AF8"/>
    <w:rsid w:val="00821FE3"/>
    <w:rsid w:val="008221A3"/>
    <w:rsid w:val="00822A42"/>
    <w:rsid w:val="008232F6"/>
    <w:rsid w:val="0082331B"/>
    <w:rsid w:val="0082350A"/>
    <w:rsid w:val="008239E9"/>
    <w:rsid w:val="00823B55"/>
    <w:rsid w:val="008247B4"/>
    <w:rsid w:val="008249AA"/>
    <w:rsid w:val="00824A78"/>
    <w:rsid w:val="0082527D"/>
    <w:rsid w:val="0082561D"/>
    <w:rsid w:val="008258DC"/>
    <w:rsid w:val="00825EB7"/>
    <w:rsid w:val="00826107"/>
    <w:rsid w:val="00826269"/>
    <w:rsid w:val="00826AFB"/>
    <w:rsid w:val="00826D13"/>
    <w:rsid w:val="00826DB2"/>
    <w:rsid w:val="00826DB3"/>
    <w:rsid w:val="00826DF4"/>
    <w:rsid w:val="00827518"/>
    <w:rsid w:val="008276DB"/>
    <w:rsid w:val="00827900"/>
    <w:rsid w:val="00827AB4"/>
    <w:rsid w:val="00827EF8"/>
    <w:rsid w:val="00830301"/>
    <w:rsid w:val="00830565"/>
    <w:rsid w:val="0083077F"/>
    <w:rsid w:val="00830837"/>
    <w:rsid w:val="00831239"/>
    <w:rsid w:val="00831395"/>
    <w:rsid w:val="00831424"/>
    <w:rsid w:val="008314CB"/>
    <w:rsid w:val="008314F0"/>
    <w:rsid w:val="00831814"/>
    <w:rsid w:val="008318B6"/>
    <w:rsid w:val="00831A73"/>
    <w:rsid w:val="00831EF7"/>
    <w:rsid w:val="00831FB4"/>
    <w:rsid w:val="0083220E"/>
    <w:rsid w:val="00832223"/>
    <w:rsid w:val="0083239C"/>
    <w:rsid w:val="008323E0"/>
    <w:rsid w:val="008329C6"/>
    <w:rsid w:val="00832CDB"/>
    <w:rsid w:val="00833025"/>
    <w:rsid w:val="0083393D"/>
    <w:rsid w:val="00833A11"/>
    <w:rsid w:val="00833C86"/>
    <w:rsid w:val="00833D28"/>
    <w:rsid w:val="00833D40"/>
    <w:rsid w:val="00833D93"/>
    <w:rsid w:val="008343E1"/>
    <w:rsid w:val="008347BB"/>
    <w:rsid w:val="00834BE1"/>
    <w:rsid w:val="00834C2A"/>
    <w:rsid w:val="0083525F"/>
    <w:rsid w:val="00835AE2"/>
    <w:rsid w:val="00835BF8"/>
    <w:rsid w:val="00836359"/>
    <w:rsid w:val="00836380"/>
    <w:rsid w:val="008366D5"/>
    <w:rsid w:val="00836D8B"/>
    <w:rsid w:val="00836EBD"/>
    <w:rsid w:val="0083704F"/>
    <w:rsid w:val="0083788F"/>
    <w:rsid w:val="00837A92"/>
    <w:rsid w:val="00837E9E"/>
    <w:rsid w:val="008402DA"/>
    <w:rsid w:val="00840DD4"/>
    <w:rsid w:val="00841464"/>
    <w:rsid w:val="008417D9"/>
    <w:rsid w:val="00841837"/>
    <w:rsid w:val="00841A82"/>
    <w:rsid w:val="00841D80"/>
    <w:rsid w:val="0084287E"/>
    <w:rsid w:val="00842964"/>
    <w:rsid w:val="00842D5E"/>
    <w:rsid w:val="0084332C"/>
    <w:rsid w:val="008437E9"/>
    <w:rsid w:val="00843B0B"/>
    <w:rsid w:val="00844005"/>
    <w:rsid w:val="00844818"/>
    <w:rsid w:val="008448F0"/>
    <w:rsid w:val="00844AE3"/>
    <w:rsid w:val="008450AC"/>
    <w:rsid w:val="00845303"/>
    <w:rsid w:val="00845321"/>
    <w:rsid w:val="008455E4"/>
    <w:rsid w:val="0084584E"/>
    <w:rsid w:val="0084664C"/>
    <w:rsid w:val="00846657"/>
    <w:rsid w:val="00846B33"/>
    <w:rsid w:val="00846CB4"/>
    <w:rsid w:val="00846E30"/>
    <w:rsid w:val="00847388"/>
    <w:rsid w:val="0084773E"/>
    <w:rsid w:val="00851AC1"/>
    <w:rsid w:val="00851C3A"/>
    <w:rsid w:val="00851E72"/>
    <w:rsid w:val="00852127"/>
    <w:rsid w:val="00852220"/>
    <w:rsid w:val="008524DD"/>
    <w:rsid w:val="00852543"/>
    <w:rsid w:val="00852D49"/>
    <w:rsid w:val="00852DB8"/>
    <w:rsid w:val="008532E3"/>
    <w:rsid w:val="008533D6"/>
    <w:rsid w:val="00853A0A"/>
    <w:rsid w:val="00854257"/>
    <w:rsid w:val="008542FC"/>
    <w:rsid w:val="00854450"/>
    <w:rsid w:val="0085467B"/>
    <w:rsid w:val="00854B93"/>
    <w:rsid w:val="00855103"/>
    <w:rsid w:val="0085539E"/>
    <w:rsid w:val="008554C2"/>
    <w:rsid w:val="0085589C"/>
    <w:rsid w:val="00856031"/>
    <w:rsid w:val="008561E6"/>
    <w:rsid w:val="008575A0"/>
    <w:rsid w:val="008577A1"/>
    <w:rsid w:val="008578E0"/>
    <w:rsid w:val="008579EF"/>
    <w:rsid w:val="00857B1A"/>
    <w:rsid w:val="00857BCF"/>
    <w:rsid w:val="00857F52"/>
    <w:rsid w:val="008602C8"/>
    <w:rsid w:val="008602D0"/>
    <w:rsid w:val="008602D8"/>
    <w:rsid w:val="0086064C"/>
    <w:rsid w:val="00860C23"/>
    <w:rsid w:val="00860F1D"/>
    <w:rsid w:val="00861203"/>
    <w:rsid w:val="008614A4"/>
    <w:rsid w:val="008616B1"/>
    <w:rsid w:val="00861E0E"/>
    <w:rsid w:val="00862067"/>
    <w:rsid w:val="008621E3"/>
    <w:rsid w:val="00862539"/>
    <w:rsid w:val="0086289D"/>
    <w:rsid w:val="00862DC6"/>
    <w:rsid w:val="00862ED8"/>
    <w:rsid w:val="008634F9"/>
    <w:rsid w:val="00863993"/>
    <w:rsid w:val="00864994"/>
    <w:rsid w:val="00864DF0"/>
    <w:rsid w:val="00864E21"/>
    <w:rsid w:val="00864E6E"/>
    <w:rsid w:val="008651CA"/>
    <w:rsid w:val="00865395"/>
    <w:rsid w:val="00865831"/>
    <w:rsid w:val="00865B25"/>
    <w:rsid w:val="00865B75"/>
    <w:rsid w:val="00865C85"/>
    <w:rsid w:val="00865D39"/>
    <w:rsid w:val="00865E92"/>
    <w:rsid w:val="0086656D"/>
    <w:rsid w:val="00866730"/>
    <w:rsid w:val="008668A9"/>
    <w:rsid w:val="00866EA1"/>
    <w:rsid w:val="008670B4"/>
    <w:rsid w:val="0086715E"/>
    <w:rsid w:val="008673D6"/>
    <w:rsid w:val="00867523"/>
    <w:rsid w:val="0086768D"/>
    <w:rsid w:val="00867A81"/>
    <w:rsid w:val="00867C2D"/>
    <w:rsid w:val="00867FFB"/>
    <w:rsid w:val="00870400"/>
    <w:rsid w:val="00870C99"/>
    <w:rsid w:val="00870D51"/>
    <w:rsid w:val="008711DB"/>
    <w:rsid w:val="0087146F"/>
    <w:rsid w:val="00872017"/>
    <w:rsid w:val="0087217E"/>
    <w:rsid w:val="008721C5"/>
    <w:rsid w:val="00872349"/>
    <w:rsid w:val="008725A8"/>
    <w:rsid w:val="00872B33"/>
    <w:rsid w:val="0087358C"/>
    <w:rsid w:val="00873779"/>
    <w:rsid w:val="00873A4C"/>
    <w:rsid w:val="00873E74"/>
    <w:rsid w:val="008741F7"/>
    <w:rsid w:val="00874233"/>
    <w:rsid w:val="008743D4"/>
    <w:rsid w:val="00874407"/>
    <w:rsid w:val="00874468"/>
    <w:rsid w:val="0087450B"/>
    <w:rsid w:val="00874555"/>
    <w:rsid w:val="008748DB"/>
    <w:rsid w:val="008750DD"/>
    <w:rsid w:val="0087569F"/>
    <w:rsid w:val="0087577B"/>
    <w:rsid w:val="00875989"/>
    <w:rsid w:val="0087598F"/>
    <w:rsid w:val="008765D2"/>
    <w:rsid w:val="008767B3"/>
    <w:rsid w:val="008767D9"/>
    <w:rsid w:val="00876A6B"/>
    <w:rsid w:val="00876BD3"/>
    <w:rsid w:val="00876FF4"/>
    <w:rsid w:val="008772C9"/>
    <w:rsid w:val="00877387"/>
    <w:rsid w:val="008776A3"/>
    <w:rsid w:val="00877861"/>
    <w:rsid w:val="00877CD4"/>
    <w:rsid w:val="00877F39"/>
    <w:rsid w:val="00880259"/>
    <w:rsid w:val="0088039E"/>
    <w:rsid w:val="00880429"/>
    <w:rsid w:val="0088056B"/>
    <w:rsid w:val="00880731"/>
    <w:rsid w:val="008808BA"/>
    <w:rsid w:val="008809FF"/>
    <w:rsid w:val="00880A62"/>
    <w:rsid w:val="00880ABE"/>
    <w:rsid w:val="00880B28"/>
    <w:rsid w:val="008810BA"/>
    <w:rsid w:val="008818C8"/>
    <w:rsid w:val="00881AAF"/>
    <w:rsid w:val="00882034"/>
    <w:rsid w:val="0088206A"/>
    <w:rsid w:val="0088225B"/>
    <w:rsid w:val="008824D3"/>
    <w:rsid w:val="008826DE"/>
    <w:rsid w:val="00882988"/>
    <w:rsid w:val="0088331F"/>
    <w:rsid w:val="00883A91"/>
    <w:rsid w:val="00883BA5"/>
    <w:rsid w:val="00883F32"/>
    <w:rsid w:val="00883FC9"/>
    <w:rsid w:val="00884013"/>
    <w:rsid w:val="00884138"/>
    <w:rsid w:val="00884670"/>
    <w:rsid w:val="008846AC"/>
    <w:rsid w:val="00884A4D"/>
    <w:rsid w:val="00884B22"/>
    <w:rsid w:val="008853E7"/>
    <w:rsid w:val="0088562A"/>
    <w:rsid w:val="00885841"/>
    <w:rsid w:val="00885851"/>
    <w:rsid w:val="00885B65"/>
    <w:rsid w:val="00885BBC"/>
    <w:rsid w:val="00886274"/>
    <w:rsid w:val="00886659"/>
    <w:rsid w:val="008867D4"/>
    <w:rsid w:val="0088680E"/>
    <w:rsid w:val="00886BA4"/>
    <w:rsid w:val="00886BBB"/>
    <w:rsid w:val="00886E7F"/>
    <w:rsid w:val="00887F63"/>
    <w:rsid w:val="008902B7"/>
    <w:rsid w:val="008903D3"/>
    <w:rsid w:val="0089048A"/>
    <w:rsid w:val="00890689"/>
    <w:rsid w:val="00890EC7"/>
    <w:rsid w:val="008921CF"/>
    <w:rsid w:val="0089234C"/>
    <w:rsid w:val="00892896"/>
    <w:rsid w:val="00893566"/>
    <w:rsid w:val="00893D40"/>
    <w:rsid w:val="00893F76"/>
    <w:rsid w:val="00894315"/>
    <w:rsid w:val="008947A5"/>
    <w:rsid w:val="00894964"/>
    <w:rsid w:val="00894BCB"/>
    <w:rsid w:val="008955A0"/>
    <w:rsid w:val="008955B2"/>
    <w:rsid w:val="00895B7B"/>
    <w:rsid w:val="00895F59"/>
    <w:rsid w:val="0089602D"/>
    <w:rsid w:val="008961C1"/>
    <w:rsid w:val="00896365"/>
    <w:rsid w:val="00896438"/>
    <w:rsid w:val="00896C2C"/>
    <w:rsid w:val="008976FF"/>
    <w:rsid w:val="00897968"/>
    <w:rsid w:val="00897977"/>
    <w:rsid w:val="00897C9D"/>
    <w:rsid w:val="008A00E0"/>
    <w:rsid w:val="008A06F4"/>
    <w:rsid w:val="008A0AF5"/>
    <w:rsid w:val="008A1032"/>
    <w:rsid w:val="008A1567"/>
    <w:rsid w:val="008A180A"/>
    <w:rsid w:val="008A1E0E"/>
    <w:rsid w:val="008A1E88"/>
    <w:rsid w:val="008A20E8"/>
    <w:rsid w:val="008A26BB"/>
    <w:rsid w:val="008A3074"/>
    <w:rsid w:val="008A340D"/>
    <w:rsid w:val="008A34C2"/>
    <w:rsid w:val="008A351C"/>
    <w:rsid w:val="008A3A72"/>
    <w:rsid w:val="008A3B61"/>
    <w:rsid w:val="008A3B7E"/>
    <w:rsid w:val="008A522A"/>
    <w:rsid w:val="008A53CD"/>
    <w:rsid w:val="008A57F6"/>
    <w:rsid w:val="008A5947"/>
    <w:rsid w:val="008A5AE4"/>
    <w:rsid w:val="008A5BB0"/>
    <w:rsid w:val="008A5CCF"/>
    <w:rsid w:val="008A5E8C"/>
    <w:rsid w:val="008A5FA7"/>
    <w:rsid w:val="008A60D8"/>
    <w:rsid w:val="008A6246"/>
    <w:rsid w:val="008A62E9"/>
    <w:rsid w:val="008A690F"/>
    <w:rsid w:val="008A78DD"/>
    <w:rsid w:val="008A7DFC"/>
    <w:rsid w:val="008A7EE8"/>
    <w:rsid w:val="008B025E"/>
    <w:rsid w:val="008B05E1"/>
    <w:rsid w:val="008B09D5"/>
    <w:rsid w:val="008B09E6"/>
    <w:rsid w:val="008B0A46"/>
    <w:rsid w:val="008B0C4C"/>
    <w:rsid w:val="008B0DEB"/>
    <w:rsid w:val="008B1144"/>
    <w:rsid w:val="008B132B"/>
    <w:rsid w:val="008B16C7"/>
    <w:rsid w:val="008B1702"/>
    <w:rsid w:val="008B1EE3"/>
    <w:rsid w:val="008B209A"/>
    <w:rsid w:val="008B22E5"/>
    <w:rsid w:val="008B2D2A"/>
    <w:rsid w:val="008B2DCC"/>
    <w:rsid w:val="008B2E91"/>
    <w:rsid w:val="008B35F8"/>
    <w:rsid w:val="008B40A0"/>
    <w:rsid w:val="008B4279"/>
    <w:rsid w:val="008B43C8"/>
    <w:rsid w:val="008B52B7"/>
    <w:rsid w:val="008B55DA"/>
    <w:rsid w:val="008B5726"/>
    <w:rsid w:val="008B5793"/>
    <w:rsid w:val="008B62C1"/>
    <w:rsid w:val="008B663F"/>
    <w:rsid w:val="008B69B8"/>
    <w:rsid w:val="008B6B02"/>
    <w:rsid w:val="008B6B39"/>
    <w:rsid w:val="008B6F8C"/>
    <w:rsid w:val="008B761D"/>
    <w:rsid w:val="008B7808"/>
    <w:rsid w:val="008B7961"/>
    <w:rsid w:val="008B7B91"/>
    <w:rsid w:val="008B7FD1"/>
    <w:rsid w:val="008C00B4"/>
    <w:rsid w:val="008C00BE"/>
    <w:rsid w:val="008C0260"/>
    <w:rsid w:val="008C03DA"/>
    <w:rsid w:val="008C056D"/>
    <w:rsid w:val="008C0A34"/>
    <w:rsid w:val="008C0DC4"/>
    <w:rsid w:val="008C108B"/>
    <w:rsid w:val="008C134F"/>
    <w:rsid w:val="008C13D6"/>
    <w:rsid w:val="008C149C"/>
    <w:rsid w:val="008C15DA"/>
    <w:rsid w:val="008C1ABD"/>
    <w:rsid w:val="008C1E35"/>
    <w:rsid w:val="008C209A"/>
    <w:rsid w:val="008C2D49"/>
    <w:rsid w:val="008C301A"/>
    <w:rsid w:val="008C3CD6"/>
    <w:rsid w:val="008C46DF"/>
    <w:rsid w:val="008C4CAD"/>
    <w:rsid w:val="008C4D60"/>
    <w:rsid w:val="008C4F2C"/>
    <w:rsid w:val="008C513A"/>
    <w:rsid w:val="008C571F"/>
    <w:rsid w:val="008C590B"/>
    <w:rsid w:val="008C5A14"/>
    <w:rsid w:val="008C5CE0"/>
    <w:rsid w:val="008C5E17"/>
    <w:rsid w:val="008C5FAD"/>
    <w:rsid w:val="008C5FD5"/>
    <w:rsid w:val="008C626D"/>
    <w:rsid w:val="008C64E0"/>
    <w:rsid w:val="008C65EC"/>
    <w:rsid w:val="008C6BD2"/>
    <w:rsid w:val="008C710E"/>
    <w:rsid w:val="008C7553"/>
    <w:rsid w:val="008C7C06"/>
    <w:rsid w:val="008C7CE0"/>
    <w:rsid w:val="008D006E"/>
    <w:rsid w:val="008D0122"/>
    <w:rsid w:val="008D0340"/>
    <w:rsid w:val="008D0887"/>
    <w:rsid w:val="008D16AF"/>
    <w:rsid w:val="008D1BD9"/>
    <w:rsid w:val="008D1DA6"/>
    <w:rsid w:val="008D1DE2"/>
    <w:rsid w:val="008D1E9A"/>
    <w:rsid w:val="008D2009"/>
    <w:rsid w:val="008D21BD"/>
    <w:rsid w:val="008D2538"/>
    <w:rsid w:val="008D2A30"/>
    <w:rsid w:val="008D2D02"/>
    <w:rsid w:val="008D2D37"/>
    <w:rsid w:val="008D3747"/>
    <w:rsid w:val="008D3B79"/>
    <w:rsid w:val="008D4EBD"/>
    <w:rsid w:val="008D4F77"/>
    <w:rsid w:val="008D53D7"/>
    <w:rsid w:val="008D53E8"/>
    <w:rsid w:val="008D5754"/>
    <w:rsid w:val="008D57BD"/>
    <w:rsid w:val="008D593C"/>
    <w:rsid w:val="008D5A89"/>
    <w:rsid w:val="008D5B35"/>
    <w:rsid w:val="008D5BB7"/>
    <w:rsid w:val="008D630E"/>
    <w:rsid w:val="008D66DE"/>
    <w:rsid w:val="008D6749"/>
    <w:rsid w:val="008D6C63"/>
    <w:rsid w:val="008D72F0"/>
    <w:rsid w:val="008D7467"/>
    <w:rsid w:val="008D746D"/>
    <w:rsid w:val="008D7737"/>
    <w:rsid w:val="008D787E"/>
    <w:rsid w:val="008D7923"/>
    <w:rsid w:val="008D7992"/>
    <w:rsid w:val="008D7B7F"/>
    <w:rsid w:val="008D7C7A"/>
    <w:rsid w:val="008D7EBB"/>
    <w:rsid w:val="008E0951"/>
    <w:rsid w:val="008E0C61"/>
    <w:rsid w:val="008E0E42"/>
    <w:rsid w:val="008E1259"/>
    <w:rsid w:val="008E1D88"/>
    <w:rsid w:val="008E2ED9"/>
    <w:rsid w:val="008E3141"/>
    <w:rsid w:val="008E3191"/>
    <w:rsid w:val="008E32A9"/>
    <w:rsid w:val="008E362D"/>
    <w:rsid w:val="008E37DF"/>
    <w:rsid w:val="008E3AAA"/>
    <w:rsid w:val="008E3CCC"/>
    <w:rsid w:val="008E40E4"/>
    <w:rsid w:val="008E4210"/>
    <w:rsid w:val="008E4BA7"/>
    <w:rsid w:val="008E4BC8"/>
    <w:rsid w:val="008E518C"/>
    <w:rsid w:val="008E51B2"/>
    <w:rsid w:val="008E5377"/>
    <w:rsid w:val="008E538F"/>
    <w:rsid w:val="008E54A9"/>
    <w:rsid w:val="008E55E9"/>
    <w:rsid w:val="008E5859"/>
    <w:rsid w:val="008E5F51"/>
    <w:rsid w:val="008E61DC"/>
    <w:rsid w:val="008E6268"/>
    <w:rsid w:val="008E65FC"/>
    <w:rsid w:val="008E6B18"/>
    <w:rsid w:val="008E6B9A"/>
    <w:rsid w:val="008E6CA5"/>
    <w:rsid w:val="008E6EE3"/>
    <w:rsid w:val="008E7E47"/>
    <w:rsid w:val="008E7F01"/>
    <w:rsid w:val="008E7FA8"/>
    <w:rsid w:val="008F00D0"/>
    <w:rsid w:val="008F01DF"/>
    <w:rsid w:val="008F0681"/>
    <w:rsid w:val="008F0AA1"/>
    <w:rsid w:val="008F0CEF"/>
    <w:rsid w:val="008F11DE"/>
    <w:rsid w:val="008F1C11"/>
    <w:rsid w:val="008F1E55"/>
    <w:rsid w:val="008F2075"/>
    <w:rsid w:val="008F24EC"/>
    <w:rsid w:val="008F2A4E"/>
    <w:rsid w:val="008F34D3"/>
    <w:rsid w:val="008F3CD4"/>
    <w:rsid w:val="008F3CD6"/>
    <w:rsid w:val="008F3F8E"/>
    <w:rsid w:val="008F4601"/>
    <w:rsid w:val="008F47A7"/>
    <w:rsid w:val="008F490F"/>
    <w:rsid w:val="008F4D42"/>
    <w:rsid w:val="008F543F"/>
    <w:rsid w:val="008F5604"/>
    <w:rsid w:val="008F6D32"/>
    <w:rsid w:val="008F70DC"/>
    <w:rsid w:val="008F79BF"/>
    <w:rsid w:val="0090002E"/>
    <w:rsid w:val="009003DB"/>
    <w:rsid w:val="009004F9"/>
    <w:rsid w:val="0090064C"/>
    <w:rsid w:val="00900D15"/>
    <w:rsid w:val="00901018"/>
    <w:rsid w:val="0090111D"/>
    <w:rsid w:val="0090128A"/>
    <w:rsid w:val="009014CC"/>
    <w:rsid w:val="0090181A"/>
    <w:rsid w:val="00902025"/>
    <w:rsid w:val="0090245E"/>
    <w:rsid w:val="00902616"/>
    <w:rsid w:val="00902793"/>
    <w:rsid w:val="009035DB"/>
    <w:rsid w:val="00903C9C"/>
    <w:rsid w:val="00903D13"/>
    <w:rsid w:val="00903E87"/>
    <w:rsid w:val="00903ED4"/>
    <w:rsid w:val="009046D6"/>
    <w:rsid w:val="009048B0"/>
    <w:rsid w:val="00904B89"/>
    <w:rsid w:val="00904D6B"/>
    <w:rsid w:val="00904D89"/>
    <w:rsid w:val="00904E44"/>
    <w:rsid w:val="0090561B"/>
    <w:rsid w:val="00905CBA"/>
    <w:rsid w:val="00905D16"/>
    <w:rsid w:val="009061A7"/>
    <w:rsid w:val="009065E7"/>
    <w:rsid w:val="009066B0"/>
    <w:rsid w:val="00906A78"/>
    <w:rsid w:val="00906D61"/>
    <w:rsid w:val="0090744C"/>
    <w:rsid w:val="009079DE"/>
    <w:rsid w:val="00907CC7"/>
    <w:rsid w:val="00907D17"/>
    <w:rsid w:val="00907EDF"/>
    <w:rsid w:val="00910134"/>
    <w:rsid w:val="0091013A"/>
    <w:rsid w:val="009109D1"/>
    <w:rsid w:val="009109E3"/>
    <w:rsid w:val="00910F7C"/>
    <w:rsid w:val="0091107A"/>
    <w:rsid w:val="0091111A"/>
    <w:rsid w:val="00911369"/>
    <w:rsid w:val="0091142B"/>
    <w:rsid w:val="00911D88"/>
    <w:rsid w:val="0091206C"/>
    <w:rsid w:val="00912236"/>
    <w:rsid w:val="00912307"/>
    <w:rsid w:val="00912CD5"/>
    <w:rsid w:val="0091320C"/>
    <w:rsid w:val="0091325D"/>
    <w:rsid w:val="009135C2"/>
    <w:rsid w:val="009135C8"/>
    <w:rsid w:val="0091383C"/>
    <w:rsid w:val="00913996"/>
    <w:rsid w:val="00914168"/>
    <w:rsid w:val="00914742"/>
    <w:rsid w:val="009150D0"/>
    <w:rsid w:val="00915343"/>
    <w:rsid w:val="00915366"/>
    <w:rsid w:val="009158CE"/>
    <w:rsid w:val="00915DC6"/>
    <w:rsid w:val="009160FF"/>
    <w:rsid w:val="009167BB"/>
    <w:rsid w:val="009169C7"/>
    <w:rsid w:val="009169F8"/>
    <w:rsid w:val="00916B10"/>
    <w:rsid w:val="00916F2B"/>
    <w:rsid w:val="00916FFD"/>
    <w:rsid w:val="00917436"/>
    <w:rsid w:val="009177C8"/>
    <w:rsid w:val="00917964"/>
    <w:rsid w:val="00917A2C"/>
    <w:rsid w:val="00917ECD"/>
    <w:rsid w:val="009202BE"/>
    <w:rsid w:val="009203C7"/>
    <w:rsid w:val="0092084C"/>
    <w:rsid w:val="0092105A"/>
    <w:rsid w:val="00921282"/>
    <w:rsid w:val="009215CF"/>
    <w:rsid w:val="0092166D"/>
    <w:rsid w:val="00921746"/>
    <w:rsid w:val="00921E67"/>
    <w:rsid w:val="00922108"/>
    <w:rsid w:val="00922240"/>
    <w:rsid w:val="00922B14"/>
    <w:rsid w:val="00922BEB"/>
    <w:rsid w:val="00922CF7"/>
    <w:rsid w:val="00922E14"/>
    <w:rsid w:val="00923248"/>
    <w:rsid w:val="00923BA8"/>
    <w:rsid w:val="009245EF"/>
    <w:rsid w:val="00924721"/>
    <w:rsid w:val="0092479B"/>
    <w:rsid w:val="00924A3F"/>
    <w:rsid w:val="00924C1C"/>
    <w:rsid w:val="009256DF"/>
    <w:rsid w:val="00925888"/>
    <w:rsid w:val="0092590D"/>
    <w:rsid w:val="00926750"/>
    <w:rsid w:val="00927154"/>
    <w:rsid w:val="00927C0C"/>
    <w:rsid w:val="00927F1F"/>
    <w:rsid w:val="00930948"/>
    <w:rsid w:val="009309E7"/>
    <w:rsid w:val="0093136A"/>
    <w:rsid w:val="00931CCB"/>
    <w:rsid w:val="00932165"/>
    <w:rsid w:val="00932594"/>
    <w:rsid w:val="00932924"/>
    <w:rsid w:val="00932AE5"/>
    <w:rsid w:val="00932F8C"/>
    <w:rsid w:val="00933078"/>
    <w:rsid w:val="009336AE"/>
    <w:rsid w:val="0093383A"/>
    <w:rsid w:val="00933907"/>
    <w:rsid w:val="00933AEB"/>
    <w:rsid w:val="0093459A"/>
    <w:rsid w:val="00934A84"/>
    <w:rsid w:val="00934BDE"/>
    <w:rsid w:val="0093505C"/>
    <w:rsid w:val="00935A31"/>
    <w:rsid w:val="00935AE9"/>
    <w:rsid w:val="00935C4F"/>
    <w:rsid w:val="0093605B"/>
    <w:rsid w:val="00936B31"/>
    <w:rsid w:val="00936EDD"/>
    <w:rsid w:val="009374AD"/>
    <w:rsid w:val="009374E6"/>
    <w:rsid w:val="009378D6"/>
    <w:rsid w:val="00937C56"/>
    <w:rsid w:val="00937E80"/>
    <w:rsid w:val="00937F15"/>
    <w:rsid w:val="009400ED"/>
    <w:rsid w:val="00940684"/>
    <w:rsid w:val="009408DD"/>
    <w:rsid w:val="00940E65"/>
    <w:rsid w:val="00940E7B"/>
    <w:rsid w:val="0094138C"/>
    <w:rsid w:val="0094146C"/>
    <w:rsid w:val="0094172E"/>
    <w:rsid w:val="00941B1E"/>
    <w:rsid w:val="00942B7B"/>
    <w:rsid w:val="0094308B"/>
    <w:rsid w:val="00943A9F"/>
    <w:rsid w:val="00943ED2"/>
    <w:rsid w:val="00944044"/>
    <w:rsid w:val="009446B4"/>
    <w:rsid w:val="0094480B"/>
    <w:rsid w:val="00944BE5"/>
    <w:rsid w:val="00944DC2"/>
    <w:rsid w:val="00945172"/>
    <w:rsid w:val="009451AF"/>
    <w:rsid w:val="00945324"/>
    <w:rsid w:val="00945347"/>
    <w:rsid w:val="00945714"/>
    <w:rsid w:val="0094572C"/>
    <w:rsid w:val="009457C4"/>
    <w:rsid w:val="0094612C"/>
    <w:rsid w:val="009462ED"/>
    <w:rsid w:val="009466F7"/>
    <w:rsid w:val="00946ADD"/>
    <w:rsid w:val="00946D53"/>
    <w:rsid w:val="00946EFB"/>
    <w:rsid w:val="00946F41"/>
    <w:rsid w:val="0094711F"/>
    <w:rsid w:val="009476C3"/>
    <w:rsid w:val="009479E8"/>
    <w:rsid w:val="00947D58"/>
    <w:rsid w:val="00950000"/>
    <w:rsid w:val="009501B1"/>
    <w:rsid w:val="00950227"/>
    <w:rsid w:val="0095024C"/>
    <w:rsid w:val="00950A47"/>
    <w:rsid w:val="00950C8B"/>
    <w:rsid w:val="00950E40"/>
    <w:rsid w:val="00950E97"/>
    <w:rsid w:val="009512EB"/>
    <w:rsid w:val="0095165C"/>
    <w:rsid w:val="00951DF3"/>
    <w:rsid w:val="00951F4B"/>
    <w:rsid w:val="00952241"/>
    <w:rsid w:val="00952310"/>
    <w:rsid w:val="009524ED"/>
    <w:rsid w:val="009525A6"/>
    <w:rsid w:val="00952F2B"/>
    <w:rsid w:val="00953052"/>
    <w:rsid w:val="009532A4"/>
    <w:rsid w:val="009534B1"/>
    <w:rsid w:val="009535C3"/>
    <w:rsid w:val="009536B5"/>
    <w:rsid w:val="0095371A"/>
    <w:rsid w:val="0095372E"/>
    <w:rsid w:val="00953807"/>
    <w:rsid w:val="00953FC7"/>
    <w:rsid w:val="0095476F"/>
    <w:rsid w:val="009555A1"/>
    <w:rsid w:val="0095567C"/>
    <w:rsid w:val="0095589F"/>
    <w:rsid w:val="00955A65"/>
    <w:rsid w:val="0095604A"/>
    <w:rsid w:val="00956131"/>
    <w:rsid w:val="00956A53"/>
    <w:rsid w:val="00956EFB"/>
    <w:rsid w:val="009571F5"/>
    <w:rsid w:val="00957402"/>
    <w:rsid w:val="009578D0"/>
    <w:rsid w:val="009578D7"/>
    <w:rsid w:val="00957A13"/>
    <w:rsid w:val="00957BF4"/>
    <w:rsid w:val="00957D00"/>
    <w:rsid w:val="00957EC0"/>
    <w:rsid w:val="00957FB8"/>
    <w:rsid w:val="00960208"/>
    <w:rsid w:val="00960C63"/>
    <w:rsid w:val="00960EDA"/>
    <w:rsid w:val="00961595"/>
    <w:rsid w:val="00961A38"/>
    <w:rsid w:val="00961BF9"/>
    <w:rsid w:val="00961DB6"/>
    <w:rsid w:val="00961EC8"/>
    <w:rsid w:val="00962450"/>
    <w:rsid w:val="00962769"/>
    <w:rsid w:val="0096299E"/>
    <w:rsid w:val="009634ED"/>
    <w:rsid w:val="00963A19"/>
    <w:rsid w:val="00963AE9"/>
    <w:rsid w:val="00963BCC"/>
    <w:rsid w:val="00963EC7"/>
    <w:rsid w:val="00964052"/>
    <w:rsid w:val="00964231"/>
    <w:rsid w:val="009642EC"/>
    <w:rsid w:val="00964474"/>
    <w:rsid w:val="009645DC"/>
    <w:rsid w:val="00964882"/>
    <w:rsid w:val="00964B94"/>
    <w:rsid w:val="00964FBD"/>
    <w:rsid w:val="00965370"/>
    <w:rsid w:val="00965386"/>
    <w:rsid w:val="009657C6"/>
    <w:rsid w:val="009658D8"/>
    <w:rsid w:val="00965DDD"/>
    <w:rsid w:val="00966863"/>
    <w:rsid w:val="009669A3"/>
    <w:rsid w:val="00966D70"/>
    <w:rsid w:val="00966F38"/>
    <w:rsid w:val="009674B3"/>
    <w:rsid w:val="009675B8"/>
    <w:rsid w:val="00967FD0"/>
    <w:rsid w:val="00970091"/>
    <w:rsid w:val="00970467"/>
    <w:rsid w:val="0097059C"/>
    <w:rsid w:val="009706B7"/>
    <w:rsid w:val="00970A46"/>
    <w:rsid w:val="00970A48"/>
    <w:rsid w:val="00970D58"/>
    <w:rsid w:val="00970FD3"/>
    <w:rsid w:val="00972488"/>
    <w:rsid w:val="00972863"/>
    <w:rsid w:val="00972B3B"/>
    <w:rsid w:val="00972F13"/>
    <w:rsid w:val="0097306A"/>
    <w:rsid w:val="00974311"/>
    <w:rsid w:val="0097466C"/>
    <w:rsid w:val="00974CE4"/>
    <w:rsid w:val="009756B4"/>
    <w:rsid w:val="009759E3"/>
    <w:rsid w:val="00975C57"/>
    <w:rsid w:val="00975C9E"/>
    <w:rsid w:val="00975E0A"/>
    <w:rsid w:val="00976194"/>
    <w:rsid w:val="009762B8"/>
    <w:rsid w:val="00976373"/>
    <w:rsid w:val="00976461"/>
    <w:rsid w:val="00976FB0"/>
    <w:rsid w:val="00977170"/>
    <w:rsid w:val="00977262"/>
    <w:rsid w:val="0097777F"/>
    <w:rsid w:val="00977937"/>
    <w:rsid w:val="00977BBE"/>
    <w:rsid w:val="00980610"/>
    <w:rsid w:val="00980969"/>
    <w:rsid w:val="009811B5"/>
    <w:rsid w:val="009814D0"/>
    <w:rsid w:val="00981771"/>
    <w:rsid w:val="0098185D"/>
    <w:rsid w:val="00981D7B"/>
    <w:rsid w:val="0098279D"/>
    <w:rsid w:val="00982EE3"/>
    <w:rsid w:val="0098300A"/>
    <w:rsid w:val="0098316C"/>
    <w:rsid w:val="009833E4"/>
    <w:rsid w:val="009840F0"/>
    <w:rsid w:val="00984347"/>
    <w:rsid w:val="00984381"/>
    <w:rsid w:val="009847E7"/>
    <w:rsid w:val="00984C2E"/>
    <w:rsid w:val="00984DB7"/>
    <w:rsid w:val="009852F4"/>
    <w:rsid w:val="0098569E"/>
    <w:rsid w:val="00985753"/>
    <w:rsid w:val="0098577D"/>
    <w:rsid w:val="00985D4A"/>
    <w:rsid w:val="00985DB8"/>
    <w:rsid w:val="00986313"/>
    <w:rsid w:val="00987434"/>
    <w:rsid w:val="009875FD"/>
    <w:rsid w:val="009901FA"/>
    <w:rsid w:val="00990A77"/>
    <w:rsid w:val="00991BDF"/>
    <w:rsid w:val="00991FB2"/>
    <w:rsid w:val="009921D0"/>
    <w:rsid w:val="0099220C"/>
    <w:rsid w:val="009922E3"/>
    <w:rsid w:val="009923F0"/>
    <w:rsid w:val="00992A77"/>
    <w:rsid w:val="009937BE"/>
    <w:rsid w:val="0099387C"/>
    <w:rsid w:val="0099499B"/>
    <w:rsid w:val="00994F1A"/>
    <w:rsid w:val="00995524"/>
    <w:rsid w:val="00995AF1"/>
    <w:rsid w:val="00995D7A"/>
    <w:rsid w:val="00995DD7"/>
    <w:rsid w:val="00995E86"/>
    <w:rsid w:val="00996031"/>
    <w:rsid w:val="009965C8"/>
    <w:rsid w:val="00996F01"/>
    <w:rsid w:val="00996F21"/>
    <w:rsid w:val="009972B0"/>
    <w:rsid w:val="009972E8"/>
    <w:rsid w:val="00997531"/>
    <w:rsid w:val="00997874"/>
    <w:rsid w:val="009A001F"/>
    <w:rsid w:val="009A0275"/>
    <w:rsid w:val="009A0680"/>
    <w:rsid w:val="009A0746"/>
    <w:rsid w:val="009A07C3"/>
    <w:rsid w:val="009A0D51"/>
    <w:rsid w:val="009A0DAB"/>
    <w:rsid w:val="009A1358"/>
    <w:rsid w:val="009A1371"/>
    <w:rsid w:val="009A13D1"/>
    <w:rsid w:val="009A1568"/>
    <w:rsid w:val="009A27D2"/>
    <w:rsid w:val="009A286C"/>
    <w:rsid w:val="009A2EA9"/>
    <w:rsid w:val="009A365E"/>
    <w:rsid w:val="009A3806"/>
    <w:rsid w:val="009A3D6B"/>
    <w:rsid w:val="009A4240"/>
    <w:rsid w:val="009A4B20"/>
    <w:rsid w:val="009A503A"/>
    <w:rsid w:val="009A5113"/>
    <w:rsid w:val="009A559A"/>
    <w:rsid w:val="009A56E0"/>
    <w:rsid w:val="009A5935"/>
    <w:rsid w:val="009A59F5"/>
    <w:rsid w:val="009A5AE5"/>
    <w:rsid w:val="009A5CB1"/>
    <w:rsid w:val="009A5CD5"/>
    <w:rsid w:val="009A609A"/>
    <w:rsid w:val="009A65B8"/>
    <w:rsid w:val="009A69F3"/>
    <w:rsid w:val="009A79CC"/>
    <w:rsid w:val="009B02C0"/>
    <w:rsid w:val="009B0624"/>
    <w:rsid w:val="009B0CDF"/>
    <w:rsid w:val="009B0CE2"/>
    <w:rsid w:val="009B11A1"/>
    <w:rsid w:val="009B146E"/>
    <w:rsid w:val="009B1DCF"/>
    <w:rsid w:val="009B2758"/>
    <w:rsid w:val="009B2AF7"/>
    <w:rsid w:val="009B2BC9"/>
    <w:rsid w:val="009B3002"/>
    <w:rsid w:val="009B3147"/>
    <w:rsid w:val="009B3861"/>
    <w:rsid w:val="009B3A5D"/>
    <w:rsid w:val="009B4646"/>
    <w:rsid w:val="009B4BBC"/>
    <w:rsid w:val="009B5065"/>
    <w:rsid w:val="009B5EBD"/>
    <w:rsid w:val="009B622E"/>
    <w:rsid w:val="009B6722"/>
    <w:rsid w:val="009B6DC4"/>
    <w:rsid w:val="009B729E"/>
    <w:rsid w:val="009B7640"/>
    <w:rsid w:val="009B7FB0"/>
    <w:rsid w:val="009C0638"/>
    <w:rsid w:val="009C0959"/>
    <w:rsid w:val="009C0A57"/>
    <w:rsid w:val="009C0AF3"/>
    <w:rsid w:val="009C0B96"/>
    <w:rsid w:val="009C1160"/>
    <w:rsid w:val="009C11C2"/>
    <w:rsid w:val="009C1459"/>
    <w:rsid w:val="009C14F3"/>
    <w:rsid w:val="009C16A4"/>
    <w:rsid w:val="009C17B1"/>
    <w:rsid w:val="009C232E"/>
    <w:rsid w:val="009C23A1"/>
    <w:rsid w:val="009C249F"/>
    <w:rsid w:val="009C2685"/>
    <w:rsid w:val="009C2738"/>
    <w:rsid w:val="009C3165"/>
    <w:rsid w:val="009C3626"/>
    <w:rsid w:val="009C3774"/>
    <w:rsid w:val="009C3B77"/>
    <w:rsid w:val="009C3D9F"/>
    <w:rsid w:val="009C3EFB"/>
    <w:rsid w:val="009C471E"/>
    <w:rsid w:val="009C49C1"/>
    <w:rsid w:val="009C4E02"/>
    <w:rsid w:val="009C4E6A"/>
    <w:rsid w:val="009C5418"/>
    <w:rsid w:val="009C604F"/>
    <w:rsid w:val="009C63A5"/>
    <w:rsid w:val="009C6637"/>
    <w:rsid w:val="009C6995"/>
    <w:rsid w:val="009C7366"/>
    <w:rsid w:val="009C73A8"/>
    <w:rsid w:val="009C781F"/>
    <w:rsid w:val="009D04C3"/>
    <w:rsid w:val="009D07DE"/>
    <w:rsid w:val="009D08CD"/>
    <w:rsid w:val="009D0B29"/>
    <w:rsid w:val="009D127C"/>
    <w:rsid w:val="009D1397"/>
    <w:rsid w:val="009D14CF"/>
    <w:rsid w:val="009D16E2"/>
    <w:rsid w:val="009D17C7"/>
    <w:rsid w:val="009D1977"/>
    <w:rsid w:val="009D198C"/>
    <w:rsid w:val="009D1EC1"/>
    <w:rsid w:val="009D1FBF"/>
    <w:rsid w:val="009D24CA"/>
    <w:rsid w:val="009D2706"/>
    <w:rsid w:val="009D2819"/>
    <w:rsid w:val="009D28B3"/>
    <w:rsid w:val="009D2A68"/>
    <w:rsid w:val="009D2B9E"/>
    <w:rsid w:val="009D30A4"/>
    <w:rsid w:val="009D32C1"/>
    <w:rsid w:val="009D385A"/>
    <w:rsid w:val="009D3A6F"/>
    <w:rsid w:val="009D3AE4"/>
    <w:rsid w:val="009D48BE"/>
    <w:rsid w:val="009D4909"/>
    <w:rsid w:val="009D4D1A"/>
    <w:rsid w:val="009D4E0E"/>
    <w:rsid w:val="009D546C"/>
    <w:rsid w:val="009D54CC"/>
    <w:rsid w:val="009D5509"/>
    <w:rsid w:val="009D57C8"/>
    <w:rsid w:val="009D5A01"/>
    <w:rsid w:val="009D6005"/>
    <w:rsid w:val="009D63E5"/>
    <w:rsid w:val="009D6C22"/>
    <w:rsid w:val="009D6EC0"/>
    <w:rsid w:val="009D74DC"/>
    <w:rsid w:val="009D75BA"/>
    <w:rsid w:val="009D76F6"/>
    <w:rsid w:val="009D7A7A"/>
    <w:rsid w:val="009D7C1E"/>
    <w:rsid w:val="009D7C9A"/>
    <w:rsid w:val="009E013F"/>
    <w:rsid w:val="009E0283"/>
    <w:rsid w:val="009E02C0"/>
    <w:rsid w:val="009E0768"/>
    <w:rsid w:val="009E0812"/>
    <w:rsid w:val="009E0CC4"/>
    <w:rsid w:val="009E0D8D"/>
    <w:rsid w:val="009E0E17"/>
    <w:rsid w:val="009E1F41"/>
    <w:rsid w:val="009E20FA"/>
    <w:rsid w:val="009E2571"/>
    <w:rsid w:val="009E27F6"/>
    <w:rsid w:val="009E2BB2"/>
    <w:rsid w:val="009E2F7F"/>
    <w:rsid w:val="009E381D"/>
    <w:rsid w:val="009E3C50"/>
    <w:rsid w:val="009E4A7A"/>
    <w:rsid w:val="009E4E8F"/>
    <w:rsid w:val="009E5184"/>
    <w:rsid w:val="009E55A1"/>
    <w:rsid w:val="009E5BC8"/>
    <w:rsid w:val="009E6237"/>
    <w:rsid w:val="009E633D"/>
    <w:rsid w:val="009E6531"/>
    <w:rsid w:val="009E690C"/>
    <w:rsid w:val="009E6CB4"/>
    <w:rsid w:val="009E6CD2"/>
    <w:rsid w:val="009E6D26"/>
    <w:rsid w:val="009E7223"/>
    <w:rsid w:val="009E76F0"/>
    <w:rsid w:val="009E7777"/>
    <w:rsid w:val="009E7DC9"/>
    <w:rsid w:val="009F102A"/>
    <w:rsid w:val="009F1608"/>
    <w:rsid w:val="009F1747"/>
    <w:rsid w:val="009F201C"/>
    <w:rsid w:val="009F2ED6"/>
    <w:rsid w:val="009F3757"/>
    <w:rsid w:val="009F4132"/>
    <w:rsid w:val="009F4519"/>
    <w:rsid w:val="009F4A48"/>
    <w:rsid w:val="009F4D94"/>
    <w:rsid w:val="009F5043"/>
    <w:rsid w:val="009F5143"/>
    <w:rsid w:val="009F5247"/>
    <w:rsid w:val="009F5D59"/>
    <w:rsid w:val="009F5D69"/>
    <w:rsid w:val="009F5DB7"/>
    <w:rsid w:val="009F5EEF"/>
    <w:rsid w:val="009F5F0D"/>
    <w:rsid w:val="009F60F1"/>
    <w:rsid w:val="009F6148"/>
    <w:rsid w:val="009F6369"/>
    <w:rsid w:val="009F6CC6"/>
    <w:rsid w:val="009F724C"/>
    <w:rsid w:val="009F7406"/>
    <w:rsid w:val="009F7792"/>
    <w:rsid w:val="009F7A86"/>
    <w:rsid w:val="009F7C93"/>
    <w:rsid w:val="009F7CE4"/>
    <w:rsid w:val="00A0060B"/>
    <w:rsid w:val="00A008AB"/>
    <w:rsid w:val="00A00BA3"/>
    <w:rsid w:val="00A0141B"/>
    <w:rsid w:val="00A01924"/>
    <w:rsid w:val="00A01AB7"/>
    <w:rsid w:val="00A01B0A"/>
    <w:rsid w:val="00A01BC4"/>
    <w:rsid w:val="00A02237"/>
    <w:rsid w:val="00A0242E"/>
    <w:rsid w:val="00A026B0"/>
    <w:rsid w:val="00A02A8A"/>
    <w:rsid w:val="00A03469"/>
    <w:rsid w:val="00A0448D"/>
    <w:rsid w:val="00A04AD6"/>
    <w:rsid w:val="00A04D57"/>
    <w:rsid w:val="00A0521D"/>
    <w:rsid w:val="00A056C2"/>
    <w:rsid w:val="00A05E7E"/>
    <w:rsid w:val="00A066C7"/>
    <w:rsid w:val="00A0675B"/>
    <w:rsid w:val="00A0688F"/>
    <w:rsid w:val="00A06CF9"/>
    <w:rsid w:val="00A06F41"/>
    <w:rsid w:val="00A07449"/>
    <w:rsid w:val="00A076E4"/>
    <w:rsid w:val="00A1017C"/>
    <w:rsid w:val="00A109E5"/>
    <w:rsid w:val="00A10AD3"/>
    <w:rsid w:val="00A11615"/>
    <w:rsid w:val="00A11701"/>
    <w:rsid w:val="00A11770"/>
    <w:rsid w:val="00A11A5A"/>
    <w:rsid w:val="00A124A9"/>
    <w:rsid w:val="00A125A2"/>
    <w:rsid w:val="00A12BB3"/>
    <w:rsid w:val="00A12EAB"/>
    <w:rsid w:val="00A132D5"/>
    <w:rsid w:val="00A1332D"/>
    <w:rsid w:val="00A1391B"/>
    <w:rsid w:val="00A14000"/>
    <w:rsid w:val="00A144C8"/>
    <w:rsid w:val="00A14549"/>
    <w:rsid w:val="00A14A00"/>
    <w:rsid w:val="00A14BB5"/>
    <w:rsid w:val="00A14C68"/>
    <w:rsid w:val="00A14D6D"/>
    <w:rsid w:val="00A152A9"/>
    <w:rsid w:val="00A15372"/>
    <w:rsid w:val="00A15835"/>
    <w:rsid w:val="00A15899"/>
    <w:rsid w:val="00A15E9B"/>
    <w:rsid w:val="00A16111"/>
    <w:rsid w:val="00A1649C"/>
    <w:rsid w:val="00A165F0"/>
    <w:rsid w:val="00A17087"/>
    <w:rsid w:val="00A1750E"/>
    <w:rsid w:val="00A17747"/>
    <w:rsid w:val="00A17947"/>
    <w:rsid w:val="00A179EA"/>
    <w:rsid w:val="00A17BF2"/>
    <w:rsid w:val="00A17F4C"/>
    <w:rsid w:val="00A204F3"/>
    <w:rsid w:val="00A20966"/>
    <w:rsid w:val="00A20EDE"/>
    <w:rsid w:val="00A21222"/>
    <w:rsid w:val="00A2153B"/>
    <w:rsid w:val="00A2162C"/>
    <w:rsid w:val="00A21ED5"/>
    <w:rsid w:val="00A224EA"/>
    <w:rsid w:val="00A230CD"/>
    <w:rsid w:val="00A231DE"/>
    <w:rsid w:val="00A2323A"/>
    <w:rsid w:val="00A234A8"/>
    <w:rsid w:val="00A234E1"/>
    <w:rsid w:val="00A245EC"/>
    <w:rsid w:val="00A24772"/>
    <w:rsid w:val="00A24AF1"/>
    <w:rsid w:val="00A25000"/>
    <w:rsid w:val="00A252CC"/>
    <w:rsid w:val="00A256A1"/>
    <w:rsid w:val="00A25884"/>
    <w:rsid w:val="00A261E7"/>
    <w:rsid w:val="00A263A4"/>
    <w:rsid w:val="00A26562"/>
    <w:rsid w:val="00A268D1"/>
    <w:rsid w:val="00A26CCB"/>
    <w:rsid w:val="00A26ED8"/>
    <w:rsid w:val="00A272BA"/>
    <w:rsid w:val="00A27707"/>
    <w:rsid w:val="00A27747"/>
    <w:rsid w:val="00A27788"/>
    <w:rsid w:val="00A27AA7"/>
    <w:rsid w:val="00A27B97"/>
    <w:rsid w:val="00A27E9B"/>
    <w:rsid w:val="00A27F94"/>
    <w:rsid w:val="00A304CB"/>
    <w:rsid w:val="00A307E1"/>
    <w:rsid w:val="00A30815"/>
    <w:rsid w:val="00A30CF6"/>
    <w:rsid w:val="00A31059"/>
    <w:rsid w:val="00A311AD"/>
    <w:rsid w:val="00A3131E"/>
    <w:rsid w:val="00A315B9"/>
    <w:rsid w:val="00A3164A"/>
    <w:rsid w:val="00A3172C"/>
    <w:rsid w:val="00A318CD"/>
    <w:rsid w:val="00A31C5A"/>
    <w:rsid w:val="00A31F1D"/>
    <w:rsid w:val="00A31F70"/>
    <w:rsid w:val="00A320E1"/>
    <w:rsid w:val="00A32166"/>
    <w:rsid w:val="00A324B4"/>
    <w:rsid w:val="00A3275E"/>
    <w:rsid w:val="00A32858"/>
    <w:rsid w:val="00A3291A"/>
    <w:rsid w:val="00A32B28"/>
    <w:rsid w:val="00A32E46"/>
    <w:rsid w:val="00A32EF2"/>
    <w:rsid w:val="00A3361E"/>
    <w:rsid w:val="00A33E11"/>
    <w:rsid w:val="00A34341"/>
    <w:rsid w:val="00A348C6"/>
    <w:rsid w:val="00A34961"/>
    <w:rsid w:val="00A349F6"/>
    <w:rsid w:val="00A349FB"/>
    <w:rsid w:val="00A35070"/>
    <w:rsid w:val="00A35121"/>
    <w:rsid w:val="00A35325"/>
    <w:rsid w:val="00A3569A"/>
    <w:rsid w:val="00A35CEE"/>
    <w:rsid w:val="00A35EF4"/>
    <w:rsid w:val="00A363A7"/>
    <w:rsid w:val="00A366BD"/>
    <w:rsid w:val="00A369CA"/>
    <w:rsid w:val="00A36C62"/>
    <w:rsid w:val="00A371F3"/>
    <w:rsid w:val="00A37DD5"/>
    <w:rsid w:val="00A40E0B"/>
    <w:rsid w:val="00A41070"/>
    <w:rsid w:val="00A41359"/>
    <w:rsid w:val="00A41403"/>
    <w:rsid w:val="00A416C7"/>
    <w:rsid w:val="00A41E08"/>
    <w:rsid w:val="00A41E77"/>
    <w:rsid w:val="00A421D5"/>
    <w:rsid w:val="00A428B0"/>
    <w:rsid w:val="00A42982"/>
    <w:rsid w:val="00A435B6"/>
    <w:rsid w:val="00A4388C"/>
    <w:rsid w:val="00A43F07"/>
    <w:rsid w:val="00A4417E"/>
    <w:rsid w:val="00A44327"/>
    <w:rsid w:val="00A444E6"/>
    <w:rsid w:val="00A445B1"/>
    <w:rsid w:val="00A447D7"/>
    <w:rsid w:val="00A44B8E"/>
    <w:rsid w:val="00A44CBA"/>
    <w:rsid w:val="00A450A2"/>
    <w:rsid w:val="00A451AA"/>
    <w:rsid w:val="00A45440"/>
    <w:rsid w:val="00A455A6"/>
    <w:rsid w:val="00A45AF3"/>
    <w:rsid w:val="00A45C97"/>
    <w:rsid w:val="00A46C39"/>
    <w:rsid w:val="00A46C3B"/>
    <w:rsid w:val="00A46F73"/>
    <w:rsid w:val="00A471ED"/>
    <w:rsid w:val="00A475BD"/>
    <w:rsid w:val="00A47B88"/>
    <w:rsid w:val="00A47BF5"/>
    <w:rsid w:val="00A47C95"/>
    <w:rsid w:val="00A50187"/>
    <w:rsid w:val="00A50580"/>
    <w:rsid w:val="00A50E09"/>
    <w:rsid w:val="00A511B7"/>
    <w:rsid w:val="00A512D2"/>
    <w:rsid w:val="00A51997"/>
    <w:rsid w:val="00A51AD2"/>
    <w:rsid w:val="00A51D3F"/>
    <w:rsid w:val="00A52702"/>
    <w:rsid w:val="00A531CA"/>
    <w:rsid w:val="00A5341F"/>
    <w:rsid w:val="00A53A42"/>
    <w:rsid w:val="00A53E50"/>
    <w:rsid w:val="00A5413E"/>
    <w:rsid w:val="00A54232"/>
    <w:rsid w:val="00A543BC"/>
    <w:rsid w:val="00A54410"/>
    <w:rsid w:val="00A54F35"/>
    <w:rsid w:val="00A5567B"/>
    <w:rsid w:val="00A55851"/>
    <w:rsid w:val="00A559CC"/>
    <w:rsid w:val="00A55DCF"/>
    <w:rsid w:val="00A567F9"/>
    <w:rsid w:val="00A56A2E"/>
    <w:rsid w:val="00A56AAF"/>
    <w:rsid w:val="00A600EF"/>
    <w:rsid w:val="00A6021F"/>
    <w:rsid w:val="00A60300"/>
    <w:rsid w:val="00A60438"/>
    <w:rsid w:val="00A60D72"/>
    <w:rsid w:val="00A60DC0"/>
    <w:rsid w:val="00A61376"/>
    <w:rsid w:val="00A61645"/>
    <w:rsid w:val="00A61C49"/>
    <w:rsid w:val="00A61D3C"/>
    <w:rsid w:val="00A61D9F"/>
    <w:rsid w:val="00A61F69"/>
    <w:rsid w:val="00A621A7"/>
    <w:rsid w:val="00A625A2"/>
    <w:rsid w:val="00A63875"/>
    <w:rsid w:val="00A6390C"/>
    <w:rsid w:val="00A63A8E"/>
    <w:rsid w:val="00A63C48"/>
    <w:rsid w:val="00A63C7E"/>
    <w:rsid w:val="00A63E89"/>
    <w:rsid w:val="00A64113"/>
    <w:rsid w:val="00A6419A"/>
    <w:rsid w:val="00A643AC"/>
    <w:rsid w:val="00A650FC"/>
    <w:rsid w:val="00A65329"/>
    <w:rsid w:val="00A65424"/>
    <w:rsid w:val="00A655BB"/>
    <w:rsid w:val="00A65A2F"/>
    <w:rsid w:val="00A65AC6"/>
    <w:rsid w:val="00A65DA0"/>
    <w:rsid w:val="00A661A9"/>
    <w:rsid w:val="00A661D1"/>
    <w:rsid w:val="00A66970"/>
    <w:rsid w:val="00A6699D"/>
    <w:rsid w:val="00A66D4A"/>
    <w:rsid w:val="00A67222"/>
    <w:rsid w:val="00A6776C"/>
    <w:rsid w:val="00A67BB8"/>
    <w:rsid w:val="00A67F6E"/>
    <w:rsid w:val="00A7052B"/>
    <w:rsid w:val="00A706F0"/>
    <w:rsid w:val="00A7086A"/>
    <w:rsid w:val="00A70E68"/>
    <w:rsid w:val="00A712B3"/>
    <w:rsid w:val="00A71328"/>
    <w:rsid w:val="00A72A1A"/>
    <w:rsid w:val="00A72DA9"/>
    <w:rsid w:val="00A73AC2"/>
    <w:rsid w:val="00A73D27"/>
    <w:rsid w:val="00A73D33"/>
    <w:rsid w:val="00A74145"/>
    <w:rsid w:val="00A742A7"/>
    <w:rsid w:val="00A7469B"/>
    <w:rsid w:val="00A74DAD"/>
    <w:rsid w:val="00A74DE0"/>
    <w:rsid w:val="00A74F8E"/>
    <w:rsid w:val="00A75193"/>
    <w:rsid w:val="00A752C2"/>
    <w:rsid w:val="00A75864"/>
    <w:rsid w:val="00A75C13"/>
    <w:rsid w:val="00A76036"/>
    <w:rsid w:val="00A76111"/>
    <w:rsid w:val="00A76508"/>
    <w:rsid w:val="00A76AE6"/>
    <w:rsid w:val="00A77286"/>
    <w:rsid w:val="00A77388"/>
    <w:rsid w:val="00A77499"/>
    <w:rsid w:val="00A7755E"/>
    <w:rsid w:val="00A8018E"/>
    <w:rsid w:val="00A809DD"/>
    <w:rsid w:val="00A80AC2"/>
    <w:rsid w:val="00A811CD"/>
    <w:rsid w:val="00A81593"/>
    <w:rsid w:val="00A8162E"/>
    <w:rsid w:val="00A81F4F"/>
    <w:rsid w:val="00A81F66"/>
    <w:rsid w:val="00A8226B"/>
    <w:rsid w:val="00A8271D"/>
    <w:rsid w:val="00A82914"/>
    <w:rsid w:val="00A82EFE"/>
    <w:rsid w:val="00A82F51"/>
    <w:rsid w:val="00A833DD"/>
    <w:rsid w:val="00A83A39"/>
    <w:rsid w:val="00A83D86"/>
    <w:rsid w:val="00A843D3"/>
    <w:rsid w:val="00A846A8"/>
    <w:rsid w:val="00A847F5"/>
    <w:rsid w:val="00A84966"/>
    <w:rsid w:val="00A852D4"/>
    <w:rsid w:val="00A85882"/>
    <w:rsid w:val="00A858F1"/>
    <w:rsid w:val="00A85B4F"/>
    <w:rsid w:val="00A85CE2"/>
    <w:rsid w:val="00A85FB8"/>
    <w:rsid w:val="00A86BD5"/>
    <w:rsid w:val="00A86C4C"/>
    <w:rsid w:val="00A86CFE"/>
    <w:rsid w:val="00A86D78"/>
    <w:rsid w:val="00A8707B"/>
    <w:rsid w:val="00A8734C"/>
    <w:rsid w:val="00A87E32"/>
    <w:rsid w:val="00A901DB"/>
    <w:rsid w:val="00A90230"/>
    <w:rsid w:val="00A902F7"/>
    <w:rsid w:val="00A9045D"/>
    <w:rsid w:val="00A90DA2"/>
    <w:rsid w:val="00A912A3"/>
    <w:rsid w:val="00A9146B"/>
    <w:rsid w:val="00A91D11"/>
    <w:rsid w:val="00A91EE8"/>
    <w:rsid w:val="00A92069"/>
    <w:rsid w:val="00A92176"/>
    <w:rsid w:val="00A92A5C"/>
    <w:rsid w:val="00A92E5B"/>
    <w:rsid w:val="00A9350F"/>
    <w:rsid w:val="00A9378D"/>
    <w:rsid w:val="00A93C1D"/>
    <w:rsid w:val="00A942EF"/>
    <w:rsid w:val="00A94F05"/>
    <w:rsid w:val="00A9534B"/>
    <w:rsid w:val="00A9544C"/>
    <w:rsid w:val="00A955F4"/>
    <w:rsid w:val="00A957DA"/>
    <w:rsid w:val="00A9586D"/>
    <w:rsid w:val="00A95FE6"/>
    <w:rsid w:val="00A9688B"/>
    <w:rsid w:val="00A96B97"/>
    <w:rsid w:val="00A972DD"/>
    <w:rsid w:val="00A97C4F"/>
    <w:rsid w:val="00AA01C2"/>
    <w:rsid w:val="00AA02CC"/>
    <w:rsid w:val="00AA0510"/>
    <w:rsid w:val="00AA0769"/>
    <w:rsid w:val="00AA09E4"/>
    <w:rsid w:val="00AA1966"/>
    <w:rsid w:val="00AA1C5C"/>
    <w:rsid w:val="00AA1D46"/>
    <w:rsid w:val="00AA21E9"/>
    <w:rsid w:val="00AA2C07"/>
    <w:rsid w:val="00AA2DEA"/>
    <w:rsid w:val="00AA303E"/>
    <w:rsid w:val="00AA3546"/>
    <w:rsid w:val="00AA362C"/>
    <w:rsid w:val="00AA381F"/>
    <w:rsid w:val="00AA38D0"/>
    <w:rsid w:val="00AA3AF6"/>
    <w:rsid w:val="00AA3BC7"/>
    <w:rsid w:val="00AA3BF4"/>
    <w:rsid w:val="00AA3F0A"/>
    <w:rsid w:val="00AA48E1"/>
    <w:rsid w:val="00AA4C99"/>
    <w:rsid w:val="00AA4CC1"/>
    <w:rsid w:val="00AA4D5D"/>
    <w:rsid w:val="00AA4FE0"/>
    <w:rsid w:val="00AA5042"/>
    <w:rsid w:val="00AA5606"/>
    <w:rsid w:val="00AA573A"/>
    <w:rsid w:val="00AA57B7"/>
    <w:rsid w:val="00AA5FA7"/>
    <w:rsid w:val="00AA67E5"/>
    <w:rsid w:val="00AA7792"/>
    <w:rsid w:val="00AA77A1"/>
    <w:rsid w:val="00AA78BE"/>
    <w:rsid w:val="00AA7B63"/>
    <w:rsid w:val="00AB01B4"/>
    <w:rsid w:val="00AB03A2"/>
    <w:rsid w:val="00AB083E"/>
    <w:rsid w:val="00AB11EA"/>
    <w:rsid w:val="00AB139A"/>
    <w:rsid w:val="00AB1BD9"/>
    <w:rsid w:val="00AB1D30"/>
    <w:rsid w:val="00AB1DB3"/>
    <w:rsid w:val="00AB1E1C"/>
    <w:rsid w:val="00AB1F93"/>
    <w:rsid w:val="00AB2086"/>
    <w:rsid w:val="00AB20DE"/>
    <w:rsid w:val="00AB231E"/>
    <w:rsid w:val="00AB239B"/>
    <w:rsid w:val="00AB2F30"/>
    <w:rsid w:val="00AB2F4B"/>
    <w:rsid w:val="00AB2F88"/>
    <w:rsid w:val="00AB3221"/>
    <w:rsid w:val="00AB36BF"/>
    <w:rsid w:val="00AB3963"/>
    <w:rsid w:val="00AB3B24"/>
    <w:rsid w:val="00AB4053"/>
    <w:rsid w:val="00AB460F"/>
    <w:rsid w:val="00AB4807"/>
    <w:rsid w:val="00AB4926"/>
    <w:rsid w:val="00AB4BC7"/>
    <w:rsid w:val="00AB5337"/>
    <w:rsid w:val="00AB5916"/>
    <w:rsid w:val="00AB61F9"/>
    <w:rsid w:val="00AB7073"/>
    <w:rsid w:val="00AB75A8"/>
    <w:rsid w:val="00AB782A"/>
    <w:rsid w:val="00AB7A9D"/>
    <w:rsid w:val="00AB7C01"/>
    <w:rsid w:val="00AB7FA2"/>
    <w:rsid w:val="00AC057B"/>
    <w:rsid w:val="00AC0B7E"/>
    <w:rsid w:val="00AC151F"/>
    <w:rsid w:val="00AC1B20"/>
    <w:rsid w:val="00AC1F12"/>
    <w:rsid w:val="00AC2775"/>
    <w:rsid w:val="00AC377F"/>
    <w:rsid w:val="00AC3848"/>
    <w:rsid w:val="00AC46C5"/>
    <w:rsid w:val="00AC4B67"/>
    <w:rsid w:val="00AC4B79"/>
    <w:rsid w:val="00AC5333"/>
    <w:rsid w:val="00AC535D"/>
    <w:rsid w:val="00AC59DB"/>
    <w:rsid w:val="00AC5A71"/>
    <w:rsid w:val="00AC5ACD"/>
    <w:rsid w:val="00AC5F61"/>
    <w:rsid w:val="00AC636D"/>
    <w:rsid w:val="00AC6474"/>
    <w:rsid w:val="00AC6787"/>
    <w:rsid w:val="00AC67F9"/>
    <w:rsid w:val="00AC6A00"/>
    <w:rsid w:val="00AC6B5E"/>
    <w:rsid w:val="00AC6EC7"/>
    <w:rsid w:val="00AC76B4"/>
    <w:rsid w:val="00AC76E1"/>
    <w:rsid w:val="00AC7813"/>
    <w:rsid w:val="00AC79F2"/>
    <w:rsid w:val="00AC7D70"/>
    <w:rsid w:val="00AC7F4C"/>
    <w:rsid w:val="00AD04A9"/>
    <w:rsid w:val="00AD055F"/>
    <w:rsid w:val="00AD068B"/>
    <w:rsid w:val="00AD0BD3"/>
    <w:rsid w:val="00AD0EAD"/>
    <w:rsid w:val="00AD12CC"/>
    <w:rsid w:val="00AD1914"/>
    <w:rsid w:val="00AD19DA"/>
    <w:rsid w:val="00AD1EFF"/>
    <w:rsid w:val="00AD220F"/>
    <w:rsid w:val="00AD2616"/>
    <w:rsid w:val="00AD2863"/>
    <w:rsid w:val="00AD306D"/>
    <w:rsid w:val="00AD3120"/>
    <w:rsid w:val="00AD31F4"/>
    <w:rsid w:val="00AD33DC"/>
    <w:rsid w:val="00AD36AB"/>
    <w:rsid w:val="00AD374B"/>
    <w:rsid w:val="00AD37CB"/>
    <w:rsid w:val="00AD3895"/>
    <w:rsid w:val="00AD3ED1"/>
    <w:rsid w:val="00AD40B7"/>
    <w:rsid w:val="00AD4230"/>
    <w:rsid w:val="00AD43DE"/>
    <w:rsid w:val="00AD442F"/>
    <w:rsid w:val="00AD4654"/>
    <w:rsid w:val="00AD4C83"/>
    <w:rsid w:val="00AD57F8"/>
    <w:rsid w:val="00AD59FD"/>
    <w:rsid w:val="00AD67BE"/>
    <w:rsid w:val="00AD6EF6"/>
    <w:rsid w:val="00AD718F"/>
    <w:rsid w:val="00AD73F5"/>
    <w:rsid w:val="00AD7622"/>
    <w:rsid w:val="00AD77C0"/>
    <w:rsid w:val="00AD7946"/>
    <w:rsid w:val="00AE0EB6"/>
    <w:rsid w:val="00AE1613"/>
    <w:rsid w:val="00AE1676"/>
    <w:rsid w:val="00AE17C0"/>
    <w:rsid w:val="00AE1CD5"/>
    <w:rsid w:val="00AE223A"/>
    <w:rsid w:val="00AE26CF"/>
    <w:rsid w:val="00AE2AF8"/>
    <w:rsid w:val="00AE2F98"/>
    <w:rsid w:val="00AE3469"/>
    <w:rsid w:val="00AE3521"/>
    <w:rsid w:val="00AE363D"/>
    <w:rsid w:val="00AE39F3"/>
    <w:rsid w:val="00AE3ACF"/>
    <w:rsid w:val="00AE4944"/>
    <w:rsid w:val="00AE4969"/>
    <w:rsid w:val="00AE500A"/>
    <w:rsid w:val="00AE5510"/>
    <w:rsid w:val="00AE5634"/>
    <w:rsid w:val="00AE5671"/>
    <w:rsid w:val="00AE5754"/>
    <w:rsid w:val="00AE5A80"/>
    <w:rsid w:val="00AE617B"/>
    <w:rsid w:val="00AE673D"/>
    <w:rsid w:val="00AE70D4"/>
    <w:rsid w:val="00AE762B"/>
    <w:rsid w:val="00AE76E2"/>
    <w:rsid w:val="00AE792E"/>
    <w:rsid w:val="00AE79F7"/>
    <w:rsid w:val="00AE7A49"/>
    <w:rsid w:val="00AF0151"/>
    <w:rsid w:val="00AF0A66"/>
    <w:rsid w:val="00AF0D42"/>
    <w:rsid w:val="00AF0D6F"/>
    <w:rsid w:val="00AF0D91"/>
    <w:rsid w:val="00AF1678"/>
    <w:rsid w:val="00AF2D0D"/>
    <w:rsid w:val="00AF2D5A"/>
    <w:rsid w:val="00AF3011"/>
    <w:rsid w:val="00AF3113"/>
    <w:rsid w:val="00AF3119"/>
    <w:rsid w:val="00AF3283"/>
    <w:rsid w:val="00AF38C5"/>
    <w:rsid w:val="00AF3C55"/>
    <w:rsid w:val="00AF3DA3"/>
    <w:rsid w:val="00AF3DC7"/>
    <w:rsid w:val="00AF40DA"/>
    <w:rsid w:val="00AF423A"/>
    <w:rsid w:val="00AF43E2"/>
    <w:rsid w:val="00AF4655"/>
    <w:rsid w:val="00AF4809"/>
    <w:rsid w:val="00AF486E"/>
    <w:rsid w:val="00AF4A81"/>
    <w:rsid w:val="00AF5253"/>
    <w:rsid w:val="00AF52B8"/>
    <w:rsid w:val="00AF5876"/>
    <w:rsid w:val="00AF5E5E"/>
    <w:rsid w:val="00AF6439"/>
    <w:rsid w:val="00AF64BB"/>
    <w:rsid w:val="00AF67EC"/>
    <w:rsid w:val="00AF690C"/>
    <w:rsid w:val="00AF6B28"/>
    <w:rsid w:val="00AF6D05"/>
    <w:rsid w:val="00AF6FF3"/>
    <w:rsid w:val="00AF7336"/>
    <w:rsid w:val="00AF76D1"/>
    <w:rsid w:val="00AF7C5D"/>
    <w:rsid w:val="00B00349"/>
    <w:rsid w:val="00B0047B"/>
    <w:rsid w:val="00B004B0"/>
    <w:rsid w:val="00B005FF"/>
    <w:rsid w:val="00B00659"/>
    <w:rsid w:val="00B00DFC"/>
    <w:rsid w:val="00B01085"/>
    <w:rsid w:val="00B01588"/>
    <w:rsid w:val="00B015C3"/>
    <w:rsid w:val="00B01ADE"/>
    <w:rsid w:val="00B01BC2"/>
    <w:rsid w:val="00B01DEE"/>
    <w:rsid w:val="00B021B0"/>
    <w:rsid w:val="00B02271"/>
    <w:rsid w:val="00B02470"/>
    <w:rsid w:val="00B026A8"/>
    <w:rsid w:val="00B0278C"/>
    <w:rsid w:val="00B02810"/>
    <w:rsid w:val="00B02AC2"/>
    <w:rsid w:val="00B02ACF"/>
    <w:rsid w:val="00B02CB2"/>
    <w:rsid w:val="00B02D0C"/>
    <w:rsid w:val="00B03222"/>
    <w:rsid w:val="00B03F9F"/>
    <w:rsid w:val="00B0489F"/>
    <w:rsid w:val="00B049A0"/>
    <w:rsid w:val="00B04A30"/>
    <w:rsid w:val="00B04A59"/>
    <w:rsid w:val="00B04C81"/>
    <w:rsid w:val="00B04F88"/>
    <w:rsid w:val="00B05171"/>
    <w:rsid w:val="00B0567D"/>
    <w:rsid w:val="00B061A8"/>
    <w:rsid w:val="00B061EF"/>
    <w:rsid w:val="00B06399"/>
    <w:rsid w:val="00B064E5"/>
    <w:rsid w:val="00B06568"/>
    <w:rsid w:val="00B0683F"/>
    <w:rsid w:val="00B0690E"/>
    <w:rsid w:val="00B06AC8"/>
    <w:rsid w:val="00B06C99"/>
    <w:rsid w:val="00B06CC6"/>
    <w:rsid w:val="00B07354"/>
    <w:rsid w:val="00B07E19"/>
    <w:rsid w:val="00B07FCD"/>
    <w:rsid w:val="00B10197"/>
    <w:rsid w:val="00B1033F"/>
    <w:rsid w:val="00B10605"/>
    <w:rsid w:val="00B10DBE"/>
    <w:rsid w:val="00B1139D"/>
    <w:rsid w:val="00B1166A"/>
    <w:rsid w:val="00B1197A"/>
    <w:rsid w:val="00B11A57"/>
    <w:rsid w:val="00B11F55"/>
    <w:rsid w:val="00B1244F"/>
    <w:rsid w:val="00B1276D"/>
    <w:rsid w:val="00B12934"/>
    <w:rsid w:val="00B13038"/>
    <w:rsid w:val="00B1312E"/>
    <w:rsid w:val="00B13352"/>
    <w:rsid w:val="00B1339A"/>
    <w:rsid w:val="00B13657"/>
    <w:rsid w:val="00B1447A"/>
    <w:rsid w:val="00B146FA"/>
    <w:rsid w:val="00B149A1"/>
    <w:rsid w:val="00B14B40"/>
    <w:rsid w:val="00B14D7E"/>
    <w:rsid w:val="00B14E7A"/>
    <w:rsid w:val="00B155F0"/>
    <w:rsid w:val="00B15BC7"/>
    <w:rsid w:val="00B1607F"/>
    <w:rsid w:val="00B166F3"/>
    <w:rsid w:val="00B168BC"/>
    <w:rsid w:val="00B16B69"/>
    <w:rsid w:val="00B172A1"/>
    <w:rsid w:val="00B17DFA"/>
    <w:rsid w:val="00B201ED"/>
    <w:rsid w:val="00B202A5"/>
    <w:rsid w:val="00B20583"/>
    <w:rsid w:val="00B20774"/>
    <w:rsid w:val="00B20D97"/>
    <w:rsid w:val="00B20EF5"/>
    <w:rsid w:val="00B20F98"/>
    <w:rsid w:val="00B213C1"/>
    <w:rsid w:val="00B214BF"/>
    <w:rsid w:val="00B21545"/>
    <w:rsid w:val="00B21858"/>
    <w:rsid w:val="00B2193C"/>
    <w:rsid w:val="00B2218B"/>
    <w:rsid w:val="00B2279C"/>
    <w:rsid w:val="00B22C9A"/>
    <w:rsid w:val="00B22DAF"/>
    <w:rsid w:val="00B22FFB"/>
    <w:rsid w:val="00B23279"/>
    <w:rsid w:val="00B2356A"/>
    <w:rsid w:val="00B23588"/>
    <w:rsid w:val="00B23CB9"/>
    <w:rsid w:val="00B25369"/>
    <w:rsid w:val="00B25AC0"/>
    <w:rsid w:val="00B25D83"/>
    <w:rsid w:val="00B2658C"/>
    <w:rsid w:val="00B2678E"/>
    <w:rsid w:val="00B267B3"/>
    <w:rsid w:val="00B26A3C"/>
    <w:rsid w:val="00B26D3A"/>
    <w:rsid w:val="00B271F8"/>
    <w:rsid w:val="00B27380"/>
    <w:rsid w:val="00B27444"/>
    <w:rsid w:val="00B27A38"/>
    <w:rsid w:val="00B27C44"/>
    <w:rsid w:val="00B310A0"/>
    <w:rsid w:val="00B313D1"/>
    <w:rsid w:val="00B31687"/>
    <w:rsid w:val="00B31A38"/>
    <w:rsid w:val="00B31E0C"/>
    <w:rsid w:val="00B320FC"/>
    <w:rsid w:val="00B3213B"/>
    <w:rsid w:val="00B32160"/>
    <w:rsid w:val="00B3297F"/>
    <w:rsid w:val="00B32D25"/>
    <w:rsid w:val="00B338F6"/>
    <w:rsid w:val="00B33AA0"/>
    <w:rsid w:val="00B33F6C"/>
    <w:rsid w:val="00B34103"/>
    <w:rsid w:val="00B3417F"/>
    <w:rsid w:val="00B34243"/>
    <w:rsid w:val="00B34351"/>
    <w:rsid w:val="00B34539"/>
    <w:rsid w:val="00B3464A"/>
    <w:rsid w:val="00B34877"/>
    <w:rsid w:val="00B34919"/>
    <w:rsid w:val="00B34929"/>
    <w:rsid w:val="00B3498D"/>
    <w:rsid w:val="00B34E8F"/>
    <w:rsid w:val="00B34EF1"/>
    <w:rsid w:val="00B34F39"/>
    <w:rsid w:val="00B35315"/>
    <w:rsid w:val="00B353B2"/>
    <w:rsid w:val="00B35B58"/>
    <w:rsid w:val="00B360D2"/>
    <w:rsid w:val="00B361B0"/>
    <w:rsid w:val="00B3642D"/>
    <w:rsid w:val="00B36A98"/>
    <w:rsid w:val="00B36CA6"/>
    <w:rsid w:val="00B372D3"/>
    <w:rsid w:val="00B374AE"/>
    <w:rsid w:val="00B37545"/>
    <w:rsid w:val="00B37743"/>
    <w:rsid w:val="00B37BC1"/>
    <w:rsid w:val="00B37C1E"/>
    <w:rsid w:val="00B37F4D"/>
    <w:rsid w:val="00B40481"/>
    <w:rsid w:val="00B4050D"/>
    <w:rsid w:val="00B40FCC"/>
    <w:rsid w:val="00B41284"/>
    <w:rsid w:val="00B4142E"/>
    <w:rsid w:val="00B416CB"/>
    <w:rsid w:val="00B41A97"/>
    <w:rsid w:val="00B41C51"/>
    <w:rsid w:val="00B41D81"/>
    <w:rsid w:val="00B4231B"/>
    <w:rsid w:val="00B42B17"/>
    <w:rsid w:val="00B42B96"/>
    <w:rsid w:val="00B42EE5"/>
    <w:rsid w:val="00B434AE"/>
    <w:rsid w:val="00B4364A"/>
    <w:rsid w:val="00B43CB8"/>
    <w:rsid w:val="00B43E65"/>
    <w:rsid w:val="00B44009"/>
    <w:rsid w:val="00B441B4"/>
    <w:rsid w:val="00B441CA"/>
    <w:rsid w:val="00B44827"/>
    <w:rsid w:val="00B45274"/>
    <w:rsid w:val="00B457E8"/>
    <w:rsid w:val="00B45911"/>
    <w:rsid w:val="00B45978"/>
    <w:rsid w:val="00B4603D"/>
    <w:rsid w:val="00B460EB"/>
    <w:rsid w:val="00B46883"/>
    <w:rsid w:val="00B46976"/>
    <w:rsid w:val="00B46CF6"/>
    <w:rsid w:val="00B4755F"/>
    <w:rsid w:val="00B505D4"/>
    <w:rsid w:val="00B509EB"/>
    <w:rsid w:val="00B50DEB"/>
    <w:rsid w:val="00B50EAA"/>
    <w:rsid w:val="00B50F50"/>
    <w:rsid w:val="00B51242"/>
    <w:rsid w:val="00B51ECA"/>
    <w:rsid w:val="00B5202A"/>
    <w:rsid w:val="00B520E6"/>
    <w:rsid w:val="00B5224A"/>
    <w:rsid w:val="00B5230F"/>
    <w:rsid w:val="00B526A1"/>
    <w:rsid w:val="00B529F7"/>
    <w:rsid w:val="00B52B94"/>
    <w:rsid w:val="00B5395B"/>
    <w:rsid w:val="00B53972"/>
    <w:rsid w:val="00B53DC4"/>
    <w:rsid w:val="00B54296"/>
    <w:rsid w:val="00B5458D"/>
    <w:rsid w:val="00B545E0"/>
    <w:rsid w:val="00B549EF"/>
    <w:rsid w:val="00B552E5"/>
    <w:rsid w:val="00B55438"/>
    <w:rsid w:val="00B55780"/>
    <w:rsid w:val="00B55A28"/>
    <w:rsid w:val="00B55AB7"/>
    <w:rsid w:val="00B5608B"/>
    <w:rsid w:val="00B5662C"/>
    <w:rsid w:val="00B56A6B"/>
    <w:rsid w:val="00B56BC7"/>
    <w:rsid w:val="00B5703B"/>
    <w:rsid w:val="00B570D8"/>
    <w:rsid w:val="00B575CB"/>
    <w:rsid w:val="00B57699"/>
    <w:rsid w:val="00B57CE3"/>
    <w:rsid w:val="00B57E9B"/>
    <w:rsid w:val="00B60356"/>
    <w:rsid w:val="00B608DF"/>
    <w:rsid w:val="00B608F6"/>
    <w:rsid w:val="00B60933"/>
    <w:rsid w:val="00B609A8"/>
    <w:rsid w:val="00B613CA"/>
    <w:rsid w:val="00B61D33"/>
    <w:rsid w:val="00B621BC"/>
    <w:rsid w:val="00B62217"/>
    <w:rsid w:val="00B629A4"/>
    <w:rsid w:val="00B635B3"/>
    <w:rsid w:val="00B63802"/>
    <w:rsid w:val="00B63A81"/>
    <w:rsid w:val="00B63D52"/>
    <w:rsid w:val="00B63D73"/>
    <w:rsid w:val="00B640CC"/>
    <w:rsid w:val="00B64155"/>
    <w:rsid w:val="00B64643"/>
    <w:rsid w:val="00B648E4"/>
    <w:rsid w:val="00B649AE"/>
    <w:rsid w:val="00B649CD"/>
    <w:rsid w:val="00B64DB6"/>
    <w:rsid w:val="00B650EE"/>
    <w:rsid w:val="00B65599"/>
    <w:rsid w:val="00B655D7"/>
    <w:rsid w:val="00B6581A"/>
    <w:rsid w:val="00B65AAF"/>
    <w:rsid w:val="00B66B9C"/>
    <w:rsid w:val="00B6714B"/>
    <w:rsid w:val="00B67191"/>
    <w:rsid w:val="00B67A1F"/>
    <w:rsid w:val="00B7124C"/>
    <w:rsid w:val="00B719D7"/>
    <w:rsid w:val="00B71EDC"/>
    <w:rsid w:val="00B72338"/>
    <w:rsid w:val="00B7244A"/>
    <w:rsid w:val="00B72530"/>
    <w:rsid w:val="00B72E90"/>
    <w:rsid w:val="00B7310B"/>
    <w:rsid w:val="00B73161"/>
    <w:rsid w:val="00B736E5"/>
    <w:rsid w:val="00B738D8"/>
    <w:rsid w:val="00B73948"/>
    <w:rsid w:val="00B73E20"/>
    <w:rsid w:val="00B74B53"/>
    <w:rsid w:val="00B74CC6"/>
    <w:rsid w:val="00B74CEE"/>
    <w:rsid w:val="00B754D5"/>
    <w:rsid w:val="00B758EE"/>
    <w:rsid w:val="00B75E52"/>
    <w:rsid w:val="00B76893"/>
    <w:rsid w:val="00B7783F"/>
    <w:rsid w:val="00B77E45"/>
    <w:rsid w:val="00B8004A"/>
    <w:rsid w:val="00B8020F"/>
    <w:rsid w:val="00B80371"/>
    <w:rsid w:val="00B803BE"/>
    <w:rsid w:val="00B803E5"/>
    <w:rsid w:val="00B80634"/>
    <w:rsid w:val="00B80808"/>
    <w:rsid w:val="00B80815"/>
    <w:rsid w:val="00B80D57"/>
    <w:rsid w:val="00B81064"/>
    <w:rsid w:val="00B811DF"/>
    <w:rsid w:val="00B818C5"/>
    <w:rsid w:val="00B81D60"/>
    <w:rsid w:val="00B82497"/>
    <w:rsid w:val="00B82872"/>
    <w:rsid w:val="00B82C9F"/>
    <w:rsid w:val="00B82E81"/>
    <w:rsid w:val="00B8349B"/>
    <w:rsid w:val="00B835A1"/>
    <w:rsid w:val="00B83931"/>
    <w:rsid w:val="00B84CF1"/>
    <w:rsid w:val="00B8558D"/>
    <w:rsid w:val="00B85664"/>
    <w:rsid w:val="00B85AF2"/>
    <w:rsid w:val="00B85BDC"/>
    <w:rsid w:val="00B85DF3"/>
    <w:rsid w:val="00B85ECC"/>
    <w:rsid w:val="00B86103"/>
    <w:rsid w:val="00B865AF"/>
    <w:rsid w:val="00B86BD9"/>
    <w:rsid w:val="00B8700C"/>
    <w:rsid w:val="00B87450"/>
    <w:rsid w:val="00B878A3"/>
    <w:rsid w:val="00B878F1"/>
    <w:rsid w:val="00B87EC6"/>
    <w:rsid w:val="00B87F23"/>
    <w:rsid w:val="00B87F8B"/>
    <w:rsid w:val="00B900D1"/>
    <w:rsid w:val="00B90451"/>
    <w:rsid w:val="00B906F6"/>
    <w:rsid w:val="00B90BFC"/>
    <w:rsid w:val="00B90C25"/>
    <w:rsid w:val="00B90C26"/>
    <w:rsid w:val="00B90D21"/>
    <w:rsid w:val="00B9113F"/>
    <w:rsid w:val="00B912D0"/>
    <w:rsid w:val="00B915B1"/>
    <w:rsid w:val="00B91601"/>
    <w:rsid w:val="00B917A0"/>
    <w:rsid w:val="00B918B5"/>
    <w:rsid w:val="00B918B7"/>
    <w:rsid w:val="00B91A7A"/>
    <w:rsid w:val="00B91A7D"/>
    <w:rsid w:val="00B92A9A"/>
    <w:rsid w:val="00B92AA6"/>
    <w:rsid w:val="00B92B58"/>
    <w:rsid w:val="00B92C0F"/>
    <w:rsid w:val="00B92F46"/>
    <w:rsid w:val="00B9309D"/>
    <w:rsid w:val="00B9330B"/>
    <w:rsid w:val="00B93529"/>
    <w:rsid w:val="00B93598"/>
    <w:rsid w:val="00B939B4"/>
    <w:rsid w:val="00B93C31"/>
    <w:rsid w:val="00B93E43"/>
    <w:rsid w:val="00B94001"/>
    <w:rsid w:val="00B940AA"/>
    <w:rsid w:val="00B944A9"/>
    <w:rsid w:val="00B94871"/>
    <w:rsid w:val="00B94AAD"/>
    <w:rsid w:val="00B955C3"/>
    <w:rsid w:val="00B96107"/>
    <w:rsid w:val="00B96393"/>
    <w:rsid w:val="00B963BC"/>
    <w:rsid w:val="00B96408"/>
    <w:rsid w:val="00B965B7"/>
    <w:rsid w:val="00B9693F"/>
    <w:rsid w:val="00B96D87"/>
    <w:rsid w:val="00B971EB"/>
    <w:rsid w:val="00B97204"/>
    <w:rsid w:val="00B975B0"/>
    <w:rsid w:val="00BA0420"/>
    <w:rsid w:val="00BA0BE3"/>
    <w:rsid w:val="00BA0C2B"/>
    <w:rsid w:val="00BA1491"/>
    <w:rsid w:val="00BA1699"/>
    <w:rsid w:val="00BA16FA"/>
    <w:rsid w:val="00BA1C4E"/>
    <w:rsid w:val="00BA237F"/>
    <w:rsid w:val="00BA2530"/>
    <w:rsid w:val="00BA261C"/>
    <w:rsid w:val="00BA2B55"/>
    <w:rsid w:val="00BA2BDE"/>
    <w:rsid w:val="00BA3235"/>
    <w:rsid w:val="00BA3BB7"/>
    <w:rsid w:val="00BA3D5A"/>
    <w:rsid w:val="00BA3E58"/>
    <w:rsid w:val="00BA4027"/>
    <w:rsid w:val="00BA4855"/>
    <w:rsid w:val="00BA5095"/>
    <w:rsid w:val="00BA50BC"/>
    <w:rsid w:val="00BA5158"/>
    <w:rsid w:val="00BA5224"/>
    <w:rsid w:val="00BA6111"/>
    <w:rsid w:val="00BA6290"/>
    <w:rsid w:val="00BA6459"/>
    <w:rsid w:val="00BA66EA"/>
    <w:rsid w:val="00BA6BD5"/>
    <w:rsid w:val="00BA7701"/>
    <w:rsid w:val="00BA78FD"/>
    <w:rsid w:val="00BA7B8D"/>
    <w:rsid w:val="00BB0F5A"/>
    <w:rsid w:val="00BB105C"/>
    <w:rsid w:val="00BB10A4"/>
    <w:rsid w:val="00BB12E2"/>
    <w:rsid w:val="00BB17D3"/>
    <w:rsid w:val="00BB17DF"/>
    <w:rsid w:val="00BB1843"/>
    <w:rsid w:val="00BB217C"/>
    <w:rsid w:val="00BB21BF"/>
    <w:rsid w:val="00BB2241"/>
    <w:rsid w:val="00BB282C"/>
    <w:rsid w:val="00BB2CB3"/>
    <w:rsid w:val="00BB2D1F"/>
    <w:rsid w:val="00BB2EDD"/>
    <w:rsid w:val="00BB2F7D"/>
    <w:rsid w:val="00BB3193"/>
    <w:rsid w:val="00BB351D"/>
    <w:rsid w:val="00BB3AE1"/>
    <w:rsid w:val="00BB3B9C"/>
    <w:rsid w:val="00BB3D60"/>
    <w:rsid w:val="00BB3F0E"/>
    <w:rsid w:val="00BB40B9"/>
    <w:rsid w:val="00BB41C9"/>
    <w:rsid w:val="00BB4289"/>
    <w:rsid w:val="00BB42A2"/>
    <w:rsid w:val="00BB42E4"/>
    <w:rsid w:val="00BB445C"/>
    <w:rsid w:val="00BB448C"/>
    <w:rsid w:val="00BB467D"/>
    <w:rsid w:val="00BB46C8"/>
    <w:rsid w:val="00BB46EA"/>
    <w:rsid w:val="00BB4938"/>
    <w:rsid w:val="00BB4F3E"/>
    <w:rsid w:val="00BB52F6"/>
    <w:rsid w:val="00BB5764"/>
    <w:rsid w:val="00BB5852"/>
    <w:rsid w:val="00BB5E22"/>
    <w:rsid w:val="00BB6112"/>
    <w:rsid w:val="00BB6753"/>
    <w:rsid w:val="00BB68CA"/>
    <w:rsid w:val="00BB69AB"/>
    <w:rsid w:val="00BB6BA7"/>
    <w:rsid w:val="00BB79D4"/>
    <w:rsid w:val="00BB7A5E"/>
    <w:rsid w:val="00BC0BA3"/>
    <w:rsid w:val="00BC0D02"/>
    <w:rsid w:val="00BC0F5D"/>
    <w:rsid w:val="00BC1767"/>
    <w:rsid w:val="00BC202C"/>
    <w:rsid w:val="00BC20A7"/>
    <w:rsid w:val="00BC2124"/>
    <w:rsid w:val="00BC2942"/>
    <w:rsid w:val="00BC2A30"/>
    <w:rsid w:val="00BC2A71"/>
    <w:rsid w:val="00BC3258"/>
    <w:rsid w:val="00BC3484"/>
    <w:rsid w:val="00BC3FE8"/>
    <w:rsid w:val="00BC41BD"/>
    <w:rsid w:val="00BC494E"/>
    <w:rsid w:val="00BC49B2"/>
    <w:rsid w:val="00BC4DD9"/>
    <w:rsid w:val="00BC4F49"/>
    <w:rsid w:val="00BC4FEF"/>
    <w:rsid w:val="00BC5C42"/>
    <w:rsid w:val="00BC5CF4"/>
    <w:rsid w:val="00BC5DA6"/>
    <w:rsid w:val="00BC5F15"/>
    <w:rsid w:val="00BC6395"/>
    <w:rsid w:val="00BC646D"/>
    <w:rsid w:val="00BC6665"/>
    <w:rsid w:val="00BC6925"/>
    <w:rsid w:val="00BC699F"/>
    <w:rsid w:val="00BC6DE6"/>
    <w:rsid w:val="00BC7101"/>
    <w:rsid w:val="00BC7185"/>
    <w:rsid w:val="00BC7439"/>
    <w:rsid w:val="00BC777F"/>
    <w:rsid w:val="00BC7C1D"/>
    <w:rsid w:val="00BD0110"/>
    <w:rsid w:val="00BD06C1"/>
    <w:rsid w:val="00BD08F3"/>
    <w:rsid w:val="00BD10AD"/>
    <w:rsid w:val="00BD13AC"/>
    <w:rsid w:val="00BD13E8"/>
    <w:rsid w:val="00BD15F7"/>
    <w:rsid w:val="00BD1666"/>
    <w:rsid w:val="00BD1764"/>
    <w:rsid w:val="00BD1B57"/>
    <w:rsid w:val="00BD216D"/>
    <w:rsid w:val="00BD22BC"/>
    <w:rsid w:val="00BD2900"/>
    <w:rsid w:val="00BD29A3"/>
    <w:rsid w:val="00BD29EA"/>
    <w:rsid w:val="00BD2B9A"/>
    <w:rsid w:val="00BD2C3D"/>
    <w:rsid w:val="00BD2E0A"/>
    <w:rsid w:val="00BD3040"/>
    <w:rsid w:val="00BD32B7"/>
    <w:rsid w:val="00BD3D70"/>
    <w:rsid w:val="00BD40AC"/>
    <w:rsid w:val="00BD42A9"/>
    <w:rsid w:val="00BD436D"/>
    <w:rsid w:val="00BD4393"/>
    <w:rsid w:val="00BD4715"/>
    <w:rsid w:val="00BD4824"/>
    <w:rsid w:val="00BD4883"/>
    <w:rsid w:val="00BD48BA"/>
    <w:rsid w:val="00BD4B2F"/>
    <w:rsid w:val="00BD4C05"/>
    <w:rsid w:val="00BD4F06"/>
    <w:rsid w:val="00BD5044"/>
    <w:rsid w:val="00BD5260"/>
    <w:rsid w:val="00BD5655"/>
    <w:rsid w:val="00BD5A36"/>
    <w:rsid w:val="00BD5BF8"/>
    <w:rsid w:val="00BD5D2B"/>
    <w:rsid w:val="00BD67A5"/>
    <w:rsid w:val="00BD73AD"/>
    <w:rsid w:val="00BD797E"/>
    <w:rsid w:val="00BD7ADE"/>
    <w:rsid w:val="00BD7E6C"/>
    <w:rsid w:val="00BE056A"/>
    <w:rsid w:val="00BE0970"/>
    <w:rsid w:val="00BE0ACF"/>
    <w:rsid w:val="00BE0F2C"/>
    <w:rsid w:val="00BE1133"/>
    <w:rsid w:val="00BE13C7"/>
    <w:rsid w:val="00BE17B4"/>
    <w:rsid w:val="00BE17C0"/>
    <w:rsid w:val="00BE17D1"/>
    <w:rsid w:val="00BE1934"/>
    <w:rsid w:val="00BE1E9C"/>
    <w:rsid w:val="00BE1F08"/>
    <w:rsid w:val="00BE21C3"/>
    <w:rsid w:val="00BE2409"/>
    <w:rsid w:val="00BE25B0"/>
    <w:rsid w:val="00BE2C4D"/>
    <w:rsid w:val="00BE2D0F"/>
    <w:rsid w:val="00BE39C3"/>
    <w:rsid w:val="00BE3ADE"/>
    <w:rsid w:val="00BE3AE0"/>
    <w:rsid w:val="00BE4171"/>
    <w:rsid w:val="00BE46F6"/>
    <w:rsid w:val="00BE49F2"/>
    <w:rsid w:val="00BE4A42"/>
    <w:rsid w:val="00BE4DDE"/>
    <w:rsid w:val="00BE52FA"/>
    <w:rsid w:val="00BE64D5"/>
    <w:rsid w:val="00BE6949"/>
    <w:rsid w:val="00BE6BCB"/>
    <w:rsid w:val="00BE7AA9"/>
    <w:rsid w:val="00BE7C38"/>
    <w:rsid w:val="00BF0317"/>
    <w:rsid w:val="00BF0BAB"/>
    <w:rsid w:val="00BF1F18"/>
    <w:rsid w:val="00BF21BA"/>
    <w:rsid w:val="00BF2683"/>
    <w:rsid w:val="00BF304F"/>
    <w:rsid w:val="00BF345C"/>
    <w:rsid w:val="00BF378F"/>
    <w:rsid w:val="00BF37D4"/>
    <w:rsid w:val="00BF38DF"/>
    <w:rsid w:val="00BF3C15"/>
    <w:rsid w:val="00BF3D0C"/>
    <w:rsid w:val="00BF3D95"/>
    <w:rsid w:val="00BF3DC3"/>
    <w:rsid w:val="00BF4164"/>
    <w:rsid w:val="00BF5064"/>
    <w:rsid w:val="00BF52DE"/>
    <w:rsid w:val="00BF573B"/>
    <w:rsid w:val="00BF5742"/>
    <w:rsid w:val="00BF5C47"/>
    <w:rsid w:val="00BF696B"/>
    <w:rsid w:val="00BF730E"/>
    <w:rsid w:val="00BF749A"/>
    <w:rsid w:val="00BF7F2B"/>
    <w:rsid w:val="00C0029E"/>
    <w:rsid w:val="00C00515"/>
    <w:rsid w:val="00C007A1"/>
    <w:rsid w:val="00C0092D"/>
    <w:rsid w:val="00C00CC7"/>
    <w:rsid w:val="00C01390"/>
    <w:rsid w:val="00C0178A"/>
    <w:rsid w:val="00C019C5"/>
    <w:rsid w:val="00C019F2"/>
    <w:rsid w:val="00C01A3E"/>
    <w:rsid w:val="00C02011"/>
    <w:rsid w:val="00C02082"/>
    <w:rsid w:val="00C0256C"/>
    <w:rsid w:val="00C02B13"/>
    <w:rsid w:val="00C02DCB"/>
    <w:rsid w:val="00C02E52"/>
    <w:rsid w:val="00C03A04"/>
    <w:rsid w:val="00C03D76"/>
    <w:rsid w:val="00C03F6F"/>
    <w:rsid w:val="00C04259"/>
    <w:rsid w:val="00C0453A"/>
    <w:rsid w:val="00C04B8F"/>
    <w:rsid w:val="00C04C40"/>
    <w:rsid w:val="00C05244"/>
    <w:rsid w:val="00C05594"/>
    <w:rsid w:val="00C056AC"/>
    <w:rsid w:val="00C05AFB"/>
    <w:rsid w:val="00C05D4E"/>
    <w:rsid w:val="00C05EBA"/>
    <w:rsid w:val="00C05F3D"/>
    <w:rsid w:val="00C0612E"/>
    <w:rsid w:val="00C063A0"/>
    <w:rsid w:val="00C064B0"/>
    <w:rsid w:val="00C065E2"/>
    <w:rsid w:val="00C0668C"/>
    <w:rsid w:val="00C06A3A"/>
    <w:rsid w:val="00C06C51"/>
    <w:rsid w:val="00C0714D"/>
    <w:rsid w:val="00C074D5"/>
    <w:rsid w:val="00C0762F"/>
    <w:rsid w:val="00C0773D"/>
    <w:rsid w:val="00C079E2"/>
    <w:rsid w:val="00C1026A"/>
    <w:rsid w:val="00C1049B"/>
    <w:rsid w:val="00C113A8"/>
    <w:rsid w:val="00C113ED"/>
    <w:rsid w:val="00C1150D"/>
    <w:rsid w:val="00C115DF"/>
    <w:rsid w:val="00C11893"/>
    <w:rsid w:val="00C11930"/>
    <w:rsid w:val="00C11A6A"/>
    <w:rsid w:val="00C120C2"/>
    <w:rsid w:val="00C122ED"/>
    <w:rsid w:val="00C12692"/>
    <w:rsid w:val="00C1272D"/>
    <w:rsid w:val="00C12773"/>
    <w:rsid w:val="00C12849"/>
    <w:rsid w:val="00C12FF0"/>
    <w:rsid w:val="00C13198"/>
    <w:rsid w:val="00C13383"/>
    <w:rsid w:val="00C14614"/>
    <w:rsid w:val="00C147DE"/>
    <w:rsid w:val="00C1498B"/>
    <w:rsid w:val="00C14F20"/>
    <w:rsid w:val="00C157DB"/>
    <w:rsid w:val="00C166AA"/>
    <w:rsid w:val="00C169D8"/>
    <w:rsid w:val="00C16E47"/>
    <w:rsid w:val="00C1740F"/>
    <w:rsid w:val="00C1742A"/>
    <w:rsid w:val="00C17591"/>
    <w:rsid w:val="00C17A2E"/>
    <w:rsid w:val="00C203C0"/>
    <w:rsid w:val="00C2041D"/>
    <w:rsid w:val="00C20526"/>
    <w:rsid w:val="00C20B6B"/>
    <w:rsid w:val="00C20DD0"/>
    <w:rsid w:val="00C214BE"/>
    <w:rsid w:val="00C218FD"/>
    <w:rsid w:val="00C21908"/>
    <w:rsid w:val="00C21D61"/>
    <w:rsid w:val="00C22EED"/>
    <w:rsid w:val="00C2362C"/>
    <w:rsid w:val="00C23663"/>
    <w:rsid w:val="00C23906"/>
    <w:rsid w:val="00C23B0A"/>
    <w:rsid w:val="00C23C8E"/>
    <w:rsid w:val="00C244C7"/>
    <w:rsid w:val="00C246B2"/>
    <w:rsid w:val="00C24886"/>
    <w:rsid w:val="00C24F65"/>
    <w:rsid w:val="00C25386"/>
    <w:rsid w:val="00C25414"/>
    <w:rsid w:val="00C25987"/>
    <w:rsid w:val="00C2690E"/>
    <w:rsid w:val="00C26B67"/>
    <w:rsid w:val="00C2700A"/>
    <w:rsid w:val="00C27091"/>
    <w:rsid w:val="00C273C5"/>
    <w:rsid w:val="00C27562"/>
    <w:rsid w:val="00C275B1"/>
    <w:rsid w:val="00C27626"/>
    <w:rsid w:val="00C27A68"/>
    <w:rsid w:val="00C27D7C"/>
    <w:rsid w:val="00C27E3D"/>
    <w:rsid w:val="00C3003D"/>
    <w:rsid w:val="00C30096"/>
    <w:rsid w:val="00C30280"/>
    <w:rsid w:val="00C30627"/>
    <w:rsid w:val="00C3085D"/>
    <w:rsid w:val="00C31139"/>
    <w:rsid w:val="00C31557"/>
    <w:rsid w:val="00C31A3E"/>
    <w:rsid w:val="00C31AC2"/>
    <w:rsid w:val="00C31CD4"/>
    <w:rsid w:val="00C31E10"/>
    <w:rsid w:val="00C31FD2"/>
    <w:rsid w:val="00C32417"/>
    <w:rsid w:val="00C32586"/>
    <w:rsid w:val="00C326D5"/>
    <w:rsid w:val="00C327B6"/>
    <w:rsid w:val="00C32E8C"/>
    <w:rsid w:val="00C331B2"/>
    <w:rsid w:val="00C333A4"/>
    <w:rsid w:val="00C33812"/>
    <w:rsid w:val="00C33A40"/>
    <w:rsid w:val="00C34007"/>
    <w:rsid w:val="00C34061"/>
    <w:rsid w:val="00C34963"/>
    <w:rsid w:val="00C34F3C"/>
    <w:rsid w:val="00C35926"/>
    <w:rsid w:val="00C36467"/>
    <w:rsid w:val="00C366C0"/>
    <w:rsid w:val="00C36844"/>
    <w:rsid w:val="00C36CAD"/>
    <w:rsid w:val="00C377E8"/>
    <w:rsid w:val="00C37973"/>
    <w:rsid w:val="00C37E70"/>
    <w:rsid w:val="00C4054A"/>
    <w:rsid w:val="00C40BED"/>
    <w:rsid w:val="00C40CE1"/>
    <w:rsid w:val="00C41027"/>
    <w:rsid w:val="00C413D3"/>
    <w:rsid w:val="00C41F6C"/>
    <w:rsid w:val="00C4258E"/>
    <w:rsid w:val="00C429EB"/>
    <w:rsid w:val="00C42CEA"/>
    <w:rsid w:val="00C42D87"/>
    <w:rsid w:val="00C42E52"/>
    <w:rsid w:val="00C436B4"/>
    <w:rsid w:val="00C43866"/>
    <w:rsid w:val="00C43D68"/>
    <w:rsid w:val="00C44039"/>
    <w:rsid w:val="00C440C8"/>
    <w:rsid w:val="00C440FA"/>
    <w:rsid w:val="00C44454"/>
    <w:rsid w:val="00C445B3"/>
    <w:rsid w:val="00C446E7"/>
    <w:rsid w:val="00C44995"/>
    <w:rsid w:val="00C4502A"/>
    <w:rsid w:val="00C456A3"/>
    <w:rsid w:val="00C45935"/>
    <w:rsid w:val="00C459AE"/>
    <w:rsid w:val="00C45C61"/>
    <w:rsid w:val="00C4671F"/>
    <w:rsid w:val="00C46900"/>
    <w:rsid w:val="00C469D4"/>
    <w:rsid w:val="00C46C0C"/>
    <w:rsid w:val="00C46C9D"/>
    <w:rsid w:val="00C46EBF"/>
    <w:rsid w:val="00C473B9"/>
    <w:rsid w:val="00C4749E"/>
    <w:rsid w:val="00C47604"/>
    <w:rsid w:val="00C47922"/>
    <w:rsid w:val="00C479DF"/>
    <w:rsid w:val="00C47DEA"/>
    <w:rsid w:val="00C47E90"/>
    <w:rsid w:val="00C5033A"/>
    <w:rsid w:val="00C5064F"/>
    <w:rsid w:val="00C50A0C"/>
    <w:rsid w:val="00C50AF5"/>
    <w:rsid w:val="00C50C3B"/>
    <w:rsid w:val="00C513E1"/>
    <w:rsid w:val="00C519BC"/>
    <w:rsid w:val="00C51B84"/>
    <w:rsid w:val="00C5329D"/>
    <w:rsid w:val="00C536A8"/>
    <w:rsid w:val="00C537AA"/>
    <w:rsid w:val="00C53BAE"/>
    <w:rsid w:val="00C54635"/>
    <w:rsid w:val="00C548EE"/>
    <w:rsid w:val="00C54FDE"/>
    <w:rsid w:val="00C556BE"/>
    <w:rsid w:val="00C55949"/>
    <w:rsid w:val="00C55B4E"/>
    <w:rsid w:val="00C56098"/>
    <w:rsid w:val="00C57087"/>
    <w:rsid w:val="00C57478"/>
    <w:rsid w:val="00C575FA"/>
    <w:rsid w:val="00C6015A"/>
    <w:rsid w:val="00C60794"/>
    <w:rsid w:val="00C61887"/>
    <w:rsid w:val="00C63030"/>
    <w:rsid w:val="00C6316F"/>
    <w:rsid w:val="00C63392"/>
    <w:rsid w:val="00C6350B"/>
    <w:rsid w:val="00C648AA"/>
    <w:rsid w:val="00C64A73"/>
    <w:rsid w:val="00C64B62"/>
    <w:rsid w:val="00C65306"/>
    <w:rsid w:val="00C6532D"/>
    <w:rsid w:val="00C65472"/>
    <w:rsid w:val="00C65859"/>
    <w:rsid w:val="00C659A6"/>
    <w:rsid w:val="00C669CB"/>
    <w:rsid w:val="00C66A8F"/>
    <w:rsid w:val="00C66BEE"/>
    <w:rsid w:val="00C67154"/>
    <w:rsid w:val="00C67B3E"/>
    <w:rsid w:val="00C67C86"/>
    <w:rsid w:val="00C67DBE"/>
    <w:rsid w:val="00C706EF"/>
    <w:rsid w:val="00C710F1"/>
    <w:rsid w:val="00C7135E"/>
    <w:rsid w:val="00C7163D"/>
    <w:rsid w:val="00C71D5E"/>
    <w:rsid w:val="00C71F5C"/>
    <w:rsid w:val="00C724D8"/>
    <w:rsid w:val="00C726B8"/>
    <w:rsid w:val="00C729F5"/>
    <w:rsid w:val="00C72BBC"/>
    <w:rsid w:val="00C731AD"/>
    <w:rsid w:val="00C73820"/>
    <w:rsid w:val="00C7382E"/>
    <w:rsid w:val="00C73CDF"/>
    <w:rsid w:val="00C73F2C"/>
    <w:rsid w:val="00C7460D"/>
    <w:rsid w:val="00C74ABB"/>
    <w:rsid w:val="00C74EA2"/>
    <w:rsid w:val="00C755C6"/>
    <w:rsid w:val="00C7585A"/>
    <w:rsid w:val="00C75886"/>
    <w:rsid w:val="00C759CD"/>
    <w:rsid w:val="00C760D9"/>
    <w:rsid w:val="00C762F4"/>
    <w:rsid w:val="00C76B29"/>
    <w:rsid w:val="00C76DA4"/>
    <w:rsid w:val="00C771F7"/>
    <w:rsid w:val="00C773F2"/>
    <w:rsid w:val="00C77DB3"/>
    <w:rsid w:val="00C80225"/>
    <w:rsid w:val="00C804C8"/>
    <w:rsid w:val="00C80A18"/>
    <w:rsid w:val="00C812DB"/>
    <w:rsid w:val="00C81505"/>
    <w:rsid w:val="00C8176C"/>
    <w:rsid w:val="00C821DB"/>
    <w:rsid w:val="00C82519"/>
    <w:rsid w:val="00C825E8"/>
    <w:rsid w:val="00C8265F"/>
    <w:rsid w:val="00C827E9"/>
    <w:rsid w:val="00C82AB6"/>
    <w:rsid w:val="00C8343B"/>
    <w:rsid w:val="00C844B0"/>
    <w:rsid w:val="00C84793"/>
    <w:rsid w:val="00C85125"/>
    <w:rsid w:val="00C852B5"/>
    <w:rsid w:val="00C852CF"/>
    <w:rsid w:val="00C85789"/>
    <w:rsid w:val="00C85895"/>
    <w:rsid w:val="00C85B14"/>
    <w:rsid w:val="00C85B77"/>
    <w:rsid w:val="00C85D10"/>
    <w:rsid w:val="00C85DFE"/>
    <w:rsid w:val="00C860F4"/>
    <w:rsid w:val="00C86119"/>
    <w:rsid w:val="00C863CD"/>
    <w:rsid w:val="00C864F0"/>
    <w:rsid w:val="00C867C1"/>
    <w:rsid w:val="00C86830"/>
    <w:rsid w:val="00C87183"/>
    <w:rsid w:val="00C872F6"/>
    <w:rsid w:val="00C873DC"/>
    <w:rsid w:val="00C87934"/>
    <w:rsid w:val="00C8799F"/>
    <w:rsid w:val="00C87A17"/>
    <w:rsid w:val="00C87CB1"/>
    <w:rsid w:val="00C900FF"/>
    <w:rsid w:val="00C902A0"/>
    <w:rsid w:val="00C903C7"/>
    <w:rsid w:val="00C90494"/>
    <w:rsid w:val="00C9061E"/>
    <w:rsid w:val="00C90C0C"/>
    <w:rsid w:val="00C90D93"/>
    <w:rsid w:val="00C90DFC"/>
    <w:rsid w:val="00C91050"/>
    <w:rsid w:val="00C913F9"/>
    <w:rsid w:val="00C9158E"/>
    <w:rsid w:val="00C91A22"/>
    <w:rsid w:val="00C91BEC"/>
    <w:rsid w:val="00C91C18"/>
    <w:rsid w:val="00C921F2"/>
    <w:rsid w:val="00C928F0"/>
    <w:rsid w:val="00C92C26"/>
    <w:rsid w:val="00C92D26"/>
    <w:rsid w:val="00C930E0"/>
    <w:rsid w:val="00C93125"/>
    <w:rsid w:val="00C9336D"/>
    <w:rsid w:val="00C93A0C"/>
    <w:rsid w:val="00C93B2F"/>
    <w:rsid w:val="00C94B5F"/>
    <w:rsid w:val="00C94C2A"/>
    <w:rsid w:val="00C950D3"/>
    <w:rsid w:val="00C95109"/>
    <w:rsid w:val="00C95349"/>
    <w:rsid w:val="00C95596"/>
    <w:rsid w:val="00C957A5"/>
    <w:rsid w:val="00C95C23"/>
    <w:rsid w:val="00C95D4D"/>
    <w:rsid w:val="00C96583"/>
    <w:rsid w:val="00C96A2F"/>
    <w:rsid w:val="00C97917"/>
    <w:rsid w:val="00C97C16"/>
    <w:rsid w:val="00CA0174"/>
    <w:rsid w:val="00CA02A6"/>
    <w:rsid w:val="00CA0B28"/>
    <w:rsid w:val="00CA0C22"/>
    <w:rsid w:val="00CA0D01"/>
    <w:rsid w:val="00CA1300"/>
    <w:rsid w:val="00CA1D0A"/>
    <w:rsid w:val="00CA205D"/>
    <w:rsid w:val="00CA332C"/>
    <w:rsid w:val="00CA345B"/>
    <w:rsid w:val="00CA35F2"/>
    <w:rsid w:val="00CA3702"/>
    <w:rsid w:val="00CA38A9"/>
    <w:rsid w:val="00CA4A4A"/>
    <w:rsid w:val="00CA4D7A"/>
    <w:rsid w:val="00CA50E1"/>
    <w:rsid w:val="00CA521D"/>
    <w:rsid w:val="00CA5257"/>
    <w:rsid w:val="00CA5353"/>
    <w:rsid w:val="00CA5403"/>
    <w:rsid w:val="00CA58EF"/>
    <w:rsid w:val="00CA5DBC"/>
    <w:rsid w:val="00CA5DFA"/>
    <w:rsid w:val="00CA5E91"/>
    <w:rsid w:val="00CA64DC"/>
    <w:rsid w:val="00CA66F3"/>
    <w:rsid w:val="00CA6723"/>
    <w:rsid w:val="00CA6751"/>
    <w:rsid w:val="00CA6882"/>
    <w:rsid w:val="00CA697C"/>
    <w:rsid w:val="00CA6C50"/>
    <w:rsid w:val="00CA7108"/>
    <w:rsid w:val="00CA732C"/>
    <w:rsid w:val="00CA74BC"/>
    <w:rsid w:val="00CA7B52"/>
    <w:rsid w:val="00CA7FD3"/>
    <w:rsid w:val="00CB023B"/>
    <w:rsid w:val="00CB08FB"/>
    <w:rsid w:val="00CB0A96"/>
    <w:rsid w:val="00CB0C97"/>
    <w:rsid w:val="00CB1017"/>
    <w:rsid w:val="00CB1195"/>
    <w:rsid w:val="00CB1745"/>
    <w:rsid w:val="00CB1BF3"/>
    <w:rsid w:val="00CB22CD"/>
    <w:rsid w:val="00CB246B"/>
    <w:rsid w:val="00CB296B"/>
    <w:rsid w:val="00CB2C63"/>
    <w:rsid w:val="00CB2CEF"/>
    <w:rsid w:val="00CB2D28"/>
    <w:rsid w:val="00CB2D33"/>
    <w:rsid w:val="00CB3FB7"/>
    <w:rsid w:val="00CB4AF4"/>
    <w:rsid w:val="00CB5B11"/>
    <w:rsid w:val="00CB5C00"/>
    <w:rsid w:val="00CB5CB5"/>
    <w:rsid w:val="00CB606E"/>
    <w:rsid w:val="00CB6330"/>
    <w:rsid w:val="00CB6981"/>
    <w:rsid w:val="00CB6C2A"/>
    <w:rsid w:val="00CB77DA"/>
    <w:rsid w:val="00CB78DC"/>
    <w:rsid w:val="00CB7A0D"/>
    <w:rsid w:val="00CB7A5F"/>
    <w:rsid w:val="00CB7D03"/>
    <w:rsid w:val="00CB7F1F"/>
    <w:rsid w:val="00CB7F49"/>
    <w:rsid w:val="00CC0184"/>
    <w:rsid w:val="00CC07E9"/>
    <w:rsid w:val="00CC0EA5"/>
    <w:rsid w:val="00CC15B2"/>
    <w:rsid w:val="00CC1709"/>
    <w:rsid w:val="00CC1766"/>
    <w:rsid w:val="00CC1BDE"/>
    <w:rsid w:val="00CC1DC2"/>
    <w:rsid w:val="00CC2005"/>
    <w:rsid w:val="00CC2FCC"/>
    <w:rsid w:val="00CC3C77"/>
    <w:rsid w:val="00CC40B7"/>
    <w:rsid w:val="00CC50D2"/>
    <w:rsid w:val="00CC5400"/>
    <w:rsid w:val="00CC56C1"/>
    <w:rsid w:val="00CC591D"/>
    <w:rsid w:val="00CC61C1"/>
    <w:rsid w:val="00CC646C"/>
    <w:rsid w:val="00CC70CE"/>
    <w:rsid w:val="00CC77F2"/>
    <w:rsid w:val="00CC7857"/>
    <w:rsid w:val="00CC7D56"/>
    <w:rsid w:val="00CC7F00"/>
    <w:rsid w:val="00CD0813"/>
    <w:rsid w:val="00CD0A75"/>
    <w:rsid w:val="00CD125F"/>
    <w:rsid w:val="00CD1393"/>
    <w:rsid w:val="00CD13C8"/>
    <w:rsid w:val="00CD1F6E"/>
    <w:rsid w:val="00CD1FDD"/>
    <w:rsid w:val="00CD2071"/>
    <w:rsid w:val="00CD2602"/>
    <w:rsid w:val="00CD266D"/>
    <w:rsid w:val="00CD2D9D"/>
    <w:rsid w:val="00CD2E78"/>
    <w:rsid w:val="00CD342A"/>
    <w:rsid w:val="00CD35F9"/>
    <w:rsid w:val="00CD3697"/>
    <w:rsid w:val="00CD41DC"/>
    <w:rsid w:val="00CD4333"/>
    <w:rsid w:val="00CD4E16"/>
    <w:rsid w:val="00CD56B0"/>
    <w:rsid w:val="00CD57F3"/>
    <w:rsid w:val="00CD5D83"/>
    <w:rsid w:val="00CD5EF2"/>
    <w:rsid w:val="00CD65CA"/>
    <w:rsid w:val="00CD6600"/>
    <w:rsid w:val="00CD67CD"/>
    <w:rsid w:val="00CD6BAF"/>
    <w:rsid w:val="00CD6D7C"/>
    <w:rsid w:val="00CD70AA"/>
    <w:rsid w:val="00CD7310"/>
    <w:rsid w:val="00CE04AB"/>
    <w:rsid w:val="00CE04FF"/>
    <w:rsid w:val="00CE074B"/>
    <w:rsid w:val="00CE086E"/>
    <w:rsid w:val="00CE0B1C"/>
    <w:rsid w:val="00CE0E2A"/>
    <w:rsid w:val="00CE0E46"/>
    <w:rsid w:val="00CE12FC"/>
    <w:rsid w:val="00CE14FB"/>
    <w:rsid w:val="00CE1651"/>
    <w:rsid w:val="00CE17C0"/>
    <w:rsid w:val="00CE1856"/>
    <w:rsid w:val="00CE1998"/>
    <w:rsid w:val="00CE1C00"/>
    <w:rsid w:val="00CE22CB"/>
    <w:rsid w:val="00CE23D7"/>
    <w:rsid w:val="00CE244C"/>
    <w:rsid w:val="00CE26AA"/>
    <w:rsid w:val="00CE2D16"/>
    <w:rsid w:val="00CE36FF"/>
    <w:rsid w:val="00CE3A32"/>
    <w:rsid w:val="00CE4BEB"/>
    <w:rsid w:val="00CE4D14"/>
    <w:rsid w:val="00CE4D6D"/>
    <w:rsid w:val="00CE4D77"/>
    <w:rsid w:val="00CE4E3B"/>
    <w:rsid w:val="00CE52C2"/>
    <w:rsid w:val="00CE58BB"/>
    <w:rsid w:val="00CE6105"/>
    <w:rsid w:val="00CE6364"/>
    <w:rsid w:val="00CE66DD"/>
    <w:rsid w:val="00CE6960"/>
    <w:rsid w:val="00CE6B13"/>
    <w:rsid w:val="00CE6B6A"/>
    <w:rsid w:val="00CE6F67"/>
    <w:rsid w:val="00CE713A"/>
    <w:rsid w:val="00CE769D"/>
    <w:rsid w:val="00CE7CF1"/>
    <w:rsid w:val="00CE7EEC"/>
    <w:rsid w:val="00CE7F29"/>
    <w:rsid w:val="00CF0568"/>
    <w:rsid w:val="00CF09C0"/>
    <w:rsid w:val="00CF0B27"/>
    <w:rsid w:val="00CF0BBA"/>
    <w:rsid w:val="00CF0C1B"/>
    <w:rsid w:val="00CF0DE0"/>
    <w:rsid w:val="00CF1008"/>
    <w:rsid w:val="00CF13FB"/>
    <w:rsid w:val="00CF1761"/>
    <w:rsid w:val="00CF1BFF"/>
    <w:rsid w:val="00CF1E17"/>
    <w:rsid w:val="00CF1F36"/>
    <w:rsid w:val="00CF26DB"/>
    <w:rsid w:val="00CF2815"/>
    <w:rsid w:val="00CF2C28"/>
    <w:rsid w:val="00CF3648"/>
    <w:rsid w:val="00CF38EE"/>
    <w:rsid w:val="00CF392E"/>
    <w:rsid w:val="00CF3B25"/>
    <w:rsid w:val="00CF3BE0"/>
    <w:rsid w:val="00CF3C92"/>
    <w:rsid w:val="00CF43EA"/>
    <w:rsid w:val="00CF4606"/>
    <w:rsid w:val="00CF4721"/>
    <w:rsid w:val="00CF4883"/>
    <w:rsid w:val="00CF4BCB"/>
    <w:rsid w:val="00CF4C20"/>
    <w:rsid w:val="00CF4DCE"/>
    <w:rsid w:val="00CF514E"/>
    <w:rsid w:val="00CF521A"/>
    <w:rsid w:val="00CF5E3A"/>
    <w:rsid w:val="00CF6EC0"/>
    <w:rsid w:val="00CF7003"/>
    <w:rsid w:val="00CF74FD"/>
    <w:rsid w:val="00CF79DB"/>
    <w:rsid w:val="00CF7B58"/>
    <w:rsid w:val="00CF7C7C"/>
    <w:rsid w:val="00D0024E"/>
    <w:rsid w:val="00D0063F"/>
    <w:rsid w:val="00D00E25"/>
    <w:rsid w:val="00D01CEA"/>
    <w:rsid w:val="00D01D31"/>
    <w:rsid w:val="00D0200E"/>
    <w:rsid w:val="00D0216A"/>
    <w:rsid w:val="00D02449"/>
    <w:rsid w:val="00D02501"/>
    <w:rsid w:val="00D025AC"/>
    <w:rsid w:val="00D028B4"/>
    <w:rsid w:val="00D0307E"/>
    <w:rsid w:val="00D0316D"/>
    <w:rsid w:val="00D031E7"/>
    <w:rsid w:val="00D033AE"/>
    <w:rsid w:val="00D034B7"/>
    <w:rsid w:val="00D03A96"/>
    <w:rsid w:val="00D0410B"/>
    <w:rsid w:val="00D04717"/>
    <w:rsid w:val="00D048C8"/>
    <w:rsid w:val="00D0568D"/>
    <w:rsid w:val="00D058D2"/>
    <w:rsid w:val="00D05A1C"/>
    <w:rsid w:val="00D0605D"/>
    <w:rsid w:val="00D060B7"/>
    <w:rsid w:val="00D060D9"/>
    <w:rsid w:val="00D0619F"/>
    <w:rsid w:val="00D062CA"/>
    <w:rsid w:val="00D0654E"/>
    <w:rsid w:val="00D06EB7"/>
    <w:rsid w:val="00D07662"/>
    <w:rsid w:val="00D079B9"/>
    <w:rsid w:val="00D07A33"/>
    <w:rsid w:val="00D07B2D"/>
    <w:rsid w:val="00D07B36"/>
    <w:rsid w:val="00D10104"/>
    <w:rsid w:val="00D10328"/>
    <w:rsid w:val="00D105A9"/>
    <w:rsid w:val="00D10B1D"/>
    <w:rsid w:val="00D10B2E"/>
    <w:rsid w:val="00D11059"/>
    <w:rsid w:val="00D1146D"/>
    <w:rsid w:val="00D11C00"/>
    <w:rsid w:val="00D11D1F"/>
    <w:rsid w:val="00D11E46"/>
    <w:rsid w:val="00D11F4E"/>
    <w:rsid w:val="00D125DD"/>
    <w:rsid w:val="00D1260A"/>
    <w:rsid w:val="00D1289E"/>
    <w:rsid w:val="00D129D0"/>
    <w:rsid w:val="00D13396"/>
    <w:rsid w:val="00D133D9"/>
    <w:rsid w:val="00D133E5"/>
    <w:rsid w:val="00D13459"/>
    <w:rsid w:val="00D13B42"/>
    <w:rsid w:val="00D14247"/>
    <w:rsid w:val="00D14523"/>
    <w:rsid w:val="00D14CA2"/>
    <w:rsid w:val="00D14F8C"/>
    <w:rsid w:val="00D151F0"/>
    <w:rsid w:val="00D154A5"/>
    <w:rsid w:val="00D155DF"/>
    <w:rsid w:val="00D156DD"/>
    <w:rsid w:val="00D15B7F"/>
    <w:rsid w:val="00D163C7"/>
    <w:rsid w:val="00D1674C"/>
    <w:rsid w:val="00D16C6D"/>
    <w:rsid w:val="00D16D58"/>
    <w:rsid w:val="00D16ED1"/>
    <w:rsid w:val="00D170E9"/>
    <w:rsid w:val="00D177C5"/>
    <w:rsid w:val="00D1794F"/>
    <w:rsid w:val="00D179D4"/>
    <w:rsid w:val="00D17CD7"/>
    <w:rsid w:val="00D201F8"/>
    <w:rsid w:val="00D209AD"/>
    <w:rsid w:val="00D20E84"/>
    <w:rsid w:val="00D21336"/>
    <w:rsid w:val="00D21539"/>
    <w:rsid w:val="00D215CC"/>
    <w:rsid w:val="00D21B5D"/>
    <w:rsid w:val="00D21E3E"/>
    <w:rsid w:val="00D2238D"/>
    <w:rsid w:val="00D224FD"/>
    <w:rsid w:val="00D22B9D"/>
    <w:rsid w:val="00D22BBA"/>
    <w:rsid w:val="00D23254"/>
    <w:rsid w:val="00D23406"/>
    <w:rsid w:val="00D2384C"/>
    <w:rsid w:val="00D23AFD"/>
    <w:rsid w:val="00D23B65"/>
    <w:rsid w:val="00D23DFC"/>
    <w:rsid w:val="00D246AC"/>
    <w:rsid w:val="00D2482E"/>
    <w:rsid w:val="00D24B37"/>
    <w:rsid w:val="00D24EE2"/>
    <w:rsid w:val="00D25174"/>
    <w:rsid w:val="00D2532F"/>
    <w:rsid w:val="00D253FA"/>
    <w:rsid w:val="00D2571F"/>
    <w:rsid w:val="00D258C7"/>
    <w:rsid w:val="00D25DFC"/>
    <w:rsid w:val="00D25F25"/>
    <w:rsid w:val="00D2609B"/>
    <w:rsid w:val="00D2680A"/>
    <w:rsid w:val="00D26972"/>
    <w:rsid w:val="00D2697B"/>
    <w:rsid w:val="00D269C3"/>
    <w:rsid w:val="00D26C13"/>
    <w:rsid w:val="00D26CFE"/>
    <w:rsid w:val="00D27306"/>
    <w:rsid w:val="00D2772B"/>
    <w:rsid w:val="00D27A69"/>
    <w:rsid w:val="00D27A78"/>
    <w:rsid w:val="00D27AD9"/>
    <w:rsid w:val="00D27C5D"/>
    <w:rsid w:val="00D27EBC"/>
    <w:rsid w:val="00D303F4"/>
    <w:rsid w:val="00D30C89"/>
    <w:rsid w:val="00D31336"/>
    <w:rsid w:val="00D314D7"/>
    <w:rsid w:val="00D317FB"/>
    <w:rsid w:val="00D32BC1"/>
    <w:rsid w:val="00D3352F"/>
    <w:rsid w:val="00D33697"/>
    <w:rsid w:val="00D337F7"/>
    <w:rsid w:val="00D33A2E"/>
    <w:rsid w:val="00D33E23"/>
    <w:rsid w:val="00D33FE3"/>
    <w:rsid w:val="00D347E3"/>
    <w:rsid w:val="00D349C0"/>
    <w:rsid w:val="00D34D7E"/>
    <w:rsid w:val="00D35057"/>
    <w:rsid w:val="00D35CEE"/>
    <w:rsid w:val="00D362A9"/>
    <w:rsid w:val="00D3656E"/>
    <w:rsid w:val="00D36653"/>
    <w:rsid w:val="00D366FE"/>
    <w:rsid w:val="00D36D1D"/>
    <w:rsid w:val="00D36DDC"/>
    <w:rsid w:val="00D373F5"/>
    <w:rsid w:val="00D37571"/>
    <w:rsid w:val="00D377E5"/>
    <w:rsid w:val="00D37A3C"/>
    <w:rsid w:val="00D37C5A"/>
    <w:rsid w:val="00D403A7"/>
    <w:rsid w:val="00D4043C"/>
    <w:rsid w:val="00D411F6"/>
    <w:rsid w:val="00D4157F"/>
    <w:rsid w:val="00D41D54"/>
    <w:rsid w:val="00D420F6"/>
    <w:rsid w:val="00D4288F"/>
    <w:rsid w:val="00D42D31"/>
    <w:rsid w:val="00D42F9F"/>
    <w:rsid w:val="00D43169"/>
    <w:rsid w:val="00D431EF"/>
    <w:rsid w:val="00D43464"/>
    <w:rsid w:val="00D43554"/>
    <w:rsid w:val="00D4363B"/>
    <w:rsid w:val="00D43917"/>
    <w:rsid w:val="00D4397E"/>
    <w:rsid w:val="00D4433D"/>
    <w:rsid w:val="00D44DC6"/>
    <w:rsid w:val="00D44DD5"/>
    <w:rsid w:val="00D44F83"/>
    <w:rsid w:val="00D4506F"/>
    <w:rsid w:val="00D45534"/>
    <w:rsid w:val="00D45721"/>
    <w:rsid w:val="00D459EB"/>
    <w:rsid w:val="00D45AE3"/>
    <w:rsid w:val="00D46531"/>
    <w:rsid w:val="00D471AD"/>
    <w:rsid w:val="00D4727D"/>
    <w:rsid w:val="00D4794A"/>
    <w:rsid w:val="00D47DAC"/>
    <w:rsid w:val="00D47FA2"/>
    <w:rsid w:val="00D50134"/>
    <w:rsid w:val="00D502AD"/>
    <w:rsid w:val="00D50328"/>
    <w:rsid w:val="00D50838"/>
    <w:rsid w:val="00D50BC8"/>
    <w:rsid w:val="00D50BFD"/>
    <w:rsid w:val="00D50D56"/>
    <w:rsid w:val="00D5198D"/>
    <w:rsid w:val="00D51E4A"/>
    <w:rsid w:val="00D52859"/>
    <w:rsid w:val="00D52965"/>
    <w:rsid w:val="00D52C38"/>
    <w:rsid w:val="00D5384B"/>
    <w:rsid w:val="00D539D2"/>
    <w:rsid w:val="00D53E41"/>
    <w:rsid w:val="00D53F9B"/>
    <w:rsid w:val="00D53FC7"/>
    <w:rsid w:val="00D54054"/>
    <w:rsid w:val="00D542A5"/>
    <w:rsid w:val="00D54396"/>
    <w:rsid w:val="00D55237"/>
    <w:rsid w:val="00D557CC"/>
    <w:rsid w:val="00D567F6"/>
    <w:rsid w:val="00D56D69"/>
    <w:rsid w:val="00D56FAD"/>
    <w:rsid w:val="00D57364"/>
    <w:rsid w:val="00D576D7"/>
    <w:rsid w:val="00D576F9"/>
    <w:rsid w:val="00D57738"/>
    <w:rsid w:val="00D57751"/>
    <w:rsid w:val="00D57986"/>
    <w:rsid w:val="00D6015A"/>
    <w:rsid w:val="00D60933"/>
    <w:rsid w:val="00D60C76"/>
    <w:rsid w:val="00D60C93"/>
    <w:rsid w:val="00D610CA"/>
    <w:rsid w:val="00D611B2"/>
    <w:rsid w:val="00D61376"/>
    <w:rsid w:val="00D6157A"/>
    <w:rsid w:val="00D61F24"/>
    <w:rsid w:val="00D62206"/>
    <w:rsid w:val="00D6282F"/>
    <w:rsid w:val="00D62AD9"/>
    <w:rsid w:val="00D62C48"/>
    <w:rsid w:val="00D62F06"/>
    <w:rsid w:val="00D62F5C"/>
    <w:rsid w:val="00D630F6"/>
    <w:rsid w:val="00D63305"/>
    <w:rsid w:val="00D6351D"/>
    <w:rsid w:val="00D63B41"/>
    <w:rsid w:val="00D63D50"/>
    <w:rsid w:val="00D64594"/>
    <w:rsid w:val="00D645C9"/>
    <w:rsid w:val="00D6489B"/>
    <w:rsid w:val="00D648E7"/>
    <w:rsid w:val="00D64FC9"/>
    <w:rsid w:val="00D65884"/>
    <w:rsid w:val="00D65A1F"/>
    <w:rsid w:val="00D65D81"/>
    <w:rsid w:val="00D65FF0"/>
    <w:rsid w:val="00D661EB"/>
    <w:rsid w:val="00D6645B"/>
    <w:rsid w:val="00D66514"/>
    <w:rsid w:val="00D66C8A"/>
    <w:rsid w:val="00D66FC9"/>
    <w:rsid w:val="00D66FD2"/>
    <w:rsid w:val="00D670A2"/>
    <w:rsid w:val="00D67104"/>
    <w:rsid w:val="00D67280"/>
    <w:rsid w:val="00D673B1"/>
    <w:rsid w:val="00D678D5"/>
    <w:rsid w:val="00D67C5C"/>
    <w:rsid w:val="00D67E95"/>
    <w:rsid w:val="00D67EC3"/>
    <w:rsid w:val="00D70698"/>
    <w:rsid w:val="00D711DF"/>
    <w:rsid w:val="00D716B6"/>
    <w:rsid w:val="00D71C73"/>
    <w:rsid w:val="00D71EB7"/>
    <w:rsid w:val="00D72484"/>
    <w:rsid w:val="00D7249E"/>
    <w:rsid w:val="00D72D40"/>
    <w:rsid w:val="00D741CE"/>
    <w:rsid w:val="00D74263"/>
    <w:rsid w:val="00D7435F"/>
    <w:rsid w:val="00D7458D"/>
    <w:rsid w:val="00D745A0"/>
    <w:rsid w:val="00D74678"/>
    <w:rsid w:val="00D7485D"/>
    <w:rsid w:val="00D74A78"/>
    <w:rsid w:val="00D74CC3"/>
    <w:rsid w:val="00D75443"/>
    <w:rsid w:val="00D75C1A"/>
    <w:rsid w:val="00D75DAC"/>
    <w:rsid w:val="00D7621B"/>
    <w:rsid w:val="00D76302"/>
    <w:rsid w:val="00D764BC"/>
    <w:rsid w:val="00D76EEB"/>
    <w:rsid w:val="00D76FF9"/>
    <w:rsid w:val="00D77130"/>
    <w:rsid w:val="00D77A43"/>
    <w:rsid w:val="00D77A6A"/>
    <w:rsid w:val="00D77B81"/>
    <w:rsid w:val="00D804FA"/>
    <w:rsid w:val="00D8066A"/>
    <w:rsid w:val="00D8072C"/>
    <w:rsid w:val="00D81880"/>
    <w:rsid w:val="00D81C07"/>
    <w:rsid w:val="00D81D36"/>
    <w:rsid w:val="00D82021"/>
    <w:rsid w:val="00D820E5"/>
    <w:rsid w:val="00D82176"/>
    <w:rsid w:val="00D821C8"/>
    <w:rsid w:val="00D82F72"/>
    <w:rsid w:val="00D8313E"/>
    <w:rsid w:val="00D83E37"/>
    <w:rsid w:val="00D8448D"/>
    <w:rsid w:val="00D847C9"/>
    <w:rsid w:val="00D8505F"/>
    <w:rsid w:val="00D85B19"/>
    <w:rsid w:val="00D85B3D"/>
    <w:rsid w:val="00D863A0"/>
    <w:rsid w:val="00D863F3"/>
    <w:rsid w:val="00D8656B"/>
    <w:rsid w:val="00D8658D"/>
    <w:rsid w:val="00D86914"/>
    <w:rsid w:val="00D86BC5"/>
    <w:rsid w:val="00D86C50"/>
    <w:rsid w:val="00D86CE8"/>
    <w:rsid w:val="00D86FDC"/>
    <w:rsid w:val="00D87091"/>
    <w:rsid w:val="00D87279"/>
    <w:rsid w:val="00D87422"/>
    <w:rsid w:val="00D87817"/>
    <w:rsid w:val="00D87ABC"/>
    <w:rsid w:val="00D87B5F"/>
    <w:rsid w:val="00D87EA4"/>
    <w:rsid w:val="00D90020"/>
    <w:rsid w:val="00D901AA"/>
    <w:rsid w:val="00D90CE0"/>
    <w:rsid w:val="00D91313"/>
    <w:rsid w:val="00D91622"/>
    <w:rsid w:val="00D91A71"/>
    <w:rsid w:val="00D91AEB"/>
    <w:rsid w:val="00D91BEE"/>
    <w:rsid w:val="00D91E8F"/>
    <w:rsid w:val="00D922BD"/>
    <w:rsid w:val="00D923C7"/>
    <w:rsid w:val="00D92809"/>
    <w:rsid w:val="00D9286B"/>
    <w:rsid w:val="00D92A4D"/>
    <w:rsid w:val="00D92F32"/>
    <w:rsid w:val="00D92F5B"/>
    <w:rsid w:val="00D935CC"/>
    <w:rsid w:val="00D93B36"/>
    <w:rsid w:val="00D93BBD"/>
    <w:rsid w:val="00D93CFF"/>
    <w:rsid w:val="00D943BD"/>
    <w:rsid w:val="00D9486E"/>
    <w:rsid w:val="00D94941"/>
    <w:rsid w:val="00D949A9"/>
    <w:rsid w:val="00D94AF7"/>
    <w:rsid w:val="00D94D3B"/>
    <w:rsid w:val="00D94E5E"/>
    <w:rsid w:val="00D955B1"/>
    <w:rsid w:val="00D955FE"/>
    <w:rsid w:val="00D9587A"/>
    <w:rsid w:val="00D96331"/>
    <w:rsid w:val="00D965EC"/>
    <w:rsid w:val="00D966EB"/>
    <w:rsid w:val="00D9681A"/>
    <w:rsid w:val="00D968F4"/>
    <w:rsid w:val="00D96EE2"/>
    <w:rsid w:val="00D97520"/>
    <w:rsid w:val="00D976BF"/>
    <w:rsid w:val="00D979D1"/>
    <w:rsid w:val="00D97D10"/>
    <w:rsid w:val="00DA0108"/>
    <w:rsid w:val="00DA0364"/>
    <w:rsid w:val="00DA0F7B"/>
    <w:rsid w:val="00DA0FB2"/>
    <w:rsid w:val="00DA118D"/>
    <w:rsid w:val="00DA137B"/>
    <w:rsid w:val="00DA1427"/>
    <w:rsid w:val="00DA1621"/>
    <w:rsid w:val="00DA1A9D"/>
    <w:rsid w:val="00DA2262"/>
    <w:rsid w:val="00DA22AE"/>
    <w:rsid w:val="00DA2613"/>
    <w:rsid w:val="00DA27D5"/>
    <w:rsid w:val="00DA2F33"/>
    <w:rsid w:val="00DA2FE9"/>
    <w:rsid w:val="00DA3105"/>
    <w:rsid w:val="00DA32D2"/>
    <w:rsid w:val="00DA32E5"/>
    <w:rsid w:val="00DA3395"/>
    <w:rsid w:val="00DA3517"/>
    <w:rsid w:val="00DA3F89"/>
    <w:rsid w:val="00DA40DC"/>
    <w:rsid w:val="00DA4225"/>
    <w:rsid w:val="00DA4393"/>
    <w:rsid w:val="00DA43F2"/>
    <w:rsid w:val="00DA44AC"/>
    <w:rsid w:val="00DA450D"/>
    <w:rsid w:val="00DA499B"/>
    <w:rsid w:val="00DA4BD6"/>
    <w:rsid w:val="00DA4F97"/>
    <w:rsid w:val="00DA51EB"/>
    <w:rsid w:val="00DA52EA"/>
    <w:rsid w:val="00DA56B1"/>
    <w:rsid w:val="00DA5702"/>
    <w:rsid w:val="00DA5FFC"/>
    <w:rsid w:val="00DA602E"/>
    <w:rsid w:val="00DA646C"/>
    <w:rsid w:val="00DA689A"/>
    <w:rsid w:val="00DA7143"/>
    <w:rsid w:val="00DA75EE"/>
    <w:rsid w:val="00DA7B39"/>
    <w:rsid w:val="00DA7CF2"/>
    <w:rsid w:val="00DA7F2A"/>
    <w:rsid w:val="00DA7F80"/>
    <w:rsid w:val="00DB000B"/>
    <w:rsid w:val="00DB01B8"/>
    <w:rsid w:val="00DB01B9"/>
    <w:rsid w:val="00DB07B8"/>
    <w:rsid w:val="00DB0CE8"/>
    <w:rsid w:val="00DB1385"/>
    <w:rsid w:val="00DB16D1"/>
    <w:rsid w:val="00DB1749"/>
    <w:rsid w:val="00DB17B3"/>
    <w:rsid w:val="00DB2C45"/>
    <w:rsid w:val="00DB3607"/>
    <w:rsid w:val="00DB3BBC"/>
    <w:rsid w:val="00DB40A0"/>
    <w:rsid w:val="00DB42F1"/>
    <w:rsid w:val="00DB4475"/>
    <w:rsid w:val="00DB485D"/>
    <w:rsid w:val="00DB4866"/>
    <w:rsid w:val="00DB48E0"/>
    <w:rsid w:val="00DB4A89"/>
    <w:rsid w:val="00DB4C27"/>
    <w:rsid w:val="00DB4DDA"/>
    <w:rsid w:val="00DB577B"/>
    <w:rsid w:val="00DB6675"/>
    <w:rsid w:val="00DB67AE"/>
    <w:rsid w:val="00DB6AB2"/>
    <w:rsid w:val="00DB6D82"/>
    <w:rsid w:val="00DB6FBB"/>
    <w:rsid w:val="00DB74E7"/>
    <w:rsid w:val="00DB7655"/>
    <w:rsid w:val="00DB7C89"/>
    <w:rsid w:val="00DB7CD8"/>
    <w:rsid w:val="00DC0065"/>
    <w:rsid w:val="00DC03C2"/>
    <w:rsid w:val="00DC0632"/>
    <w:rsid w:val="00DC06B2"/>
    <w:rsid w:val="00DC0881"/>
    <w:rsid w:val="00DC09BA"/>
    <w:rsid w:val="00DC0C26"/>
    <w:rsid w:val="00DC1391"/>
    <w:rsid w:val="00DC1CCB"/>
    <w:rsid w:val="00DC1CE0"/>
    <w:rsid w:val="00DC21E3"/>
    <w:rsid w:val="00DC261B"/>
    <w:rsid w:val="00DC27A0"/>
    <w:rsid w:val="00DC2CE6"/>
    <w:rsid w:val="00DC37C7"/>
    <w:rsid w:val="00DC39FD"/>
    <w:rsid w:val="00DC41C8"/>
    <w:rsid w:val="00DC498F"/>
    <w:rsid w:val="00DC514E"/>
    <w:rsid w:val="00DC53A2"/>
    <w:rsid w:val="00DC5687"/>
    <w:rsid w:val="00DC583A"/>
    <w:rsid w:val="00DC5D80"/>
    <w:rsid w:val="00DC5DB9"/>
    <w:rsid w:val="00DC5ECB"/>
    <w:rsid w:val="00DC6772"/>
    <w:rsid w:val="00DC682F"/>
    <w:rsid w:val="00DC6BBE"/>
    <w:rsid w:val="00DC75A2"/>
    <w:rsid w:val="00DC7980"/>
    <w:rsid w:val="00DC7BA8"/>
    <w:rsid w:val="00DD03F6"/>
    <w:rsid w:val="00DD0DE0"/>
    <w:rsid w:val="00DD19FD"/>
    <w:rsid w:val="00DD1CC4"/>
    <w:rsid w:val="00DD1DBC"/>
    <w:rsid w:val="00DD1DF4"/>
    <w:rsid w:val="00DD246C"/>
    <w:rsid w:val="00DD267B"/>
    <w:rsid w:val="00DD2A0B"/>
    <w:rsid w:val="00DD2A77"/>
    <w:rsid w:val="00DD2B9A"/>
    <w:rsid w:val="00DD2C50"/>
    <w:rsid w:val="00DD3659"/>
    <w:rsid w:val="00DD37E3"/>
    <w:rsid w:val="00DD3F15"/>
    <w:rsid w:val="00DD417B"/>
    <w:rsid w:val="00DD43F4"/>
    <w:rsid w:val="00DD49EB"/>
    <w:rsid w:val="00DD4DB5"/>
    <w:rsid w:val="00DD4FBA"/>
    <w:rsid w:val="00DD566B"/>
    <w:rsid w:val="00DD64D4"/>
    <w:rsid w:val="00DD66B3"/>
    <w:rsid w:val="00DD6AB9"/>
    <w:rsid w:val="00DD6B76"/>
    <w:rsid w:val="00DD6BE4"/>
    <w:rsid w:val="00DD7271"/>
    <w:rsid w:val="00DD7448"/>
    <w:rsid w:val="00DD776D"/>
    <w:rsid w:val="00DD778A"/>
    <w:rsid w:val="00DD79DE"/>
    <w:rsid w:val="00DD79EE"/>
    <w:rsid w:val="00DD7A7D"/>
    <w:rsid w:val="00DE0080"/>
    <w:rsid w:val="00DE0323"/>
    <w:rsid w:val="00DE0F4E"/>
    <w:rsid w:val="00DE0FA8"/>
    <w:rsid w:val="00DE1208"/>
    <w:rsid w:val="00DE1244"/>
    <w:rsid w:val="00DE147B"/>
    <w:rsid w:val="00DE16CA"/>
    <w:rsid w:val="00DE182B"/>
    <w:rsid w:val="00DE1AE7"/>
    <w:rsid w:val="00DE2C04"/>
    <w:rsid w:val="00DE2F2D"/>
    <w:rsid w:val="00DE3326"/>
    <w:rsid w:val="00DE371A"/>
    <w:rsid w:val="00DE3966"/>
    <w:rsid w:val="00DE3CC6"/>
    <w:rsid w:val="00DE41D4"/>
    <w:rsid w:val="00DE43CE"/>
    <w:rsid w:val="00DE4E55"/>
    <w:rsid w:val="00DE4F86"/>
    <w:rsid w:val="00DE5252"/>
    <w:rsid w:val="00DE557C"/>
    <w:rsid w:val="00DE5872"/>
    <w:rsid w:val="00DE5A79"/>
    <w:rsid w:val="00DE5AE3"/>
    <w:rsid w:val="00DE5FF3"/>
    <w:rsid w:val="00DE60A7"/>
    <w:rsid w:val="00DE6355"/>
    <w:rsid w:val="00DE6A27"/>
    <w:rsid w:val="00DE6C08"/>
    <w:rsid w:val="00DE6E86"/>
    <w:rsid w:val="00DE7148"/>
    <w:rsid w:val="00DE76D9"/>
    <w:rsid w:val="00DE7C24"/>
    <w:rsid w:val="00DE7F37"/>
    <w:rsid w:val="00DF02DD"/>
    <w:rsid w:val="00DF1118"/>
    <w:rsid w:val="00DF11D3"/>
    <w:rsid w:val="00DF1363"/>
    <w:rsid w:val="00DF15DB"/>
    <w:rsid w:val="00DF16F7"/>
    <w:rsid w:val="00DF1F25"/>
    <w:rsid w:val="00DF22B9"/>
    <w:rsid w:val="00DF289B"/>
    <w:rsid w:val="00DF2C28"/>
    <w:rsid w:val="00DF2D48"/>
    <w:rsid w:val="00DF32ED"/>
    <w:rsid w:val="00DF3E15"/>
    <w:rsid w:val="00DF40BC"/>
    <w:rsid w:val="00DF42A2"/>
    <w:rsid w:val="00DF4B72"/>
    <w:rsid w:val="00DF4ED9"/>
    <w:rsid w:val="00DF5225"/>
    <w:rsid w:val="00DF5430"/>
    <w:rsid w:val="00DF55BD"/>
    <w:rsid w:val="00DF58DD"/>
    <w:rsid w:val="00DF60BE"/>
    <w:rsid w:val="00DF6390"/>
    <w:rsid w:val="00DF65D3"/>
    <w:rsid w:val="00DF6603"/>
    <w:rsid w:val="00DF67FA"/>
    <w:rsid w:val="00DF6E1C"/>
    <w:rsid w:val="00DF6ECF"/>
    <w:rsid w:val="00DF7235"/>
    <w:rsid w:val="00DF762B"/>
    <w:rsid w:val="00DF7747"/>
    <w:rsid w:val="00DF7B69"/>
    <w:rsid w:val="00DF7C39"/>
    <w:rsid w:val="00DF7F9E"/>
    <w:rsid w:val="00E00069"/>
    <w:rsid w:val="00E00181"/>
    <w:rsid w:val="00E002FF"/>
    <w:rsid w:val="00E00498"/>
    <w:rsid w:val="00E0073E"/>
    <w:rsid w:val="00E00A30"/>
    <w:rsid w:val="00E00C0C"/>
    <w:rsid w:val="00E00C3D"/>
    <w:rsid w:val="00E00C59"/>
    <w:rsid w:val="00E00EAB"/>
    <w:rsid w:val="00E00EFC"/>
    <w:rsid w:val="00E01320"/>
    <w:rsid w:val="00E018F0"/>
    <w:rsid w:val="00E01A6A"/>
    <w:rsid w:val="00E022E0"/>
    <w:rsid w:val="00E02309"/>
    <w:rsid w:val="00E02A1B"/>
    <w:rsid w:val="00E02F82"/>
    <w:rsid w:val="00E02FA3"/>
    <w:rsid w:val="00E032FF"/>
    <w:rsid w:val="00E03343"/>
    <w:rsid w:val="00E033AD"/>
    <w:rsid w:val="00E036D6"/>
    <w:rsid w:val="00E03763"/>
    <w:rsid w:val="00E038B0"/>
    <w:rsid w:val="00E03D30"/>
    <w:rsid w:val="00E03F25"/>
    <w:rsid w:val="00E04020"/>
    <w:rsid w:val="00E04348"/>
    <w:rsid w:val="00E046BA"/>
    <w:rsid w:val="00E04805"/>
    <w:rsid w:val="00E049FC"/>
    <w:rsid w:val="00E04E21"/>
    <w:rsid w:val="00E05160"/>
    <w:rsid w:val="00E05175"/>
    <w:rsid w:val="00E05532"/>
    <w:rsid w:val="00E058D1"/>
    <w:rsid w:val="00E058F8"/>
    <w:rsid w:val="00E05AC0"/>
    <w:rsid w:val="00E05ADB"/>
    <w:rsid w:val="00E05F54"/>
    <w:rsid w:val="00E060DF"/>
    <w:rsid w:val="00E06F86"/>
    <w:rsid w:val="00E0708E"/>
    <w:rsid w:val="00E07307"/>
    <w:rsid w:val="00E0759E"/>
    <w:rsid w:val="00E0775C"/>
    <w:rsid w:val="00E101E7"/>
    <w:rsid w:val="00E11476"/>
    <w:rsid w:val="00E115F3"/>
    <w:rsid w:val="00E11749"/>
    <w:rsid w:val="00E1186B"/>
    <w:rsid w:val="00E11F85"/>
    <w:rsid w:val="00E129F2"/>
    <w:rsid w:val="00E12E21"/>
    <w:rsid w:val="00E130F0"/>
    <w:rsid w:val="00E135D7"/>
    <w:rsid w:val="00E1384E"/>
    <w:rsid w:val="00E13A4D"/>
    <w:rsid w:val="00E13B8D"/>
    <w:rsid w:val="00E13C72"/>
    <w:rsid w:val="00E13F80"/>
    <w:rsid w:val="00E142B3"/>
    <w:rsid w:val="00E149D2"/>
    <w:rsid w:val="00E152B3"/>
    <w:rsid w:val="00E15621"/>
    <w:rsid w:val="00E15983"/>
    <w:rsid w:val="00E15EB6"/>
    <w:rsid w:val="00E1632D"/>
    <w:rsid w:val="00E166BC"/>
    <w:rsid w:val="00E166F7"/>
    <w:rsid w:val="00E16A40"/>
    <w:rsid w:val="00E17543"/>
    <w:rsid w:val="00E175A6"/>
    <w:rsid w:val="00E176E1"/>
    <w:rsid w:val="00E1770D"/>
    <w:rsid w:val="00E17AF9"/>
    <w:rsid w:val="00E17EE0"/>
    <w:rsid w:val="00E17F93"/>
    <w:rsid w:val="00E17F9E"/>
    <w:rsid w:val="00E17FE2"/>
    <w:rsid w:val="00E2099D"/>
    <w:rsid w:val="00E217EE"/>
    <w:rsid w:val="00E22160"/>
    <w:rsid w:val="00E2220C"/>
    <w:rsid w:val="00E2221E"/>
    <w:rsid w:val="00E22579"/>
    <w:rsid w:val="00E22AE9"/>
    <w:rsid w:val="00E22F2E"/>
    <w:rsid w:val="00E23161"/>
    <w:rsid w:val="00E233EB"/>
    <w:rsid w:val="00E23553"/>
    <w:rsid w:val="00E238B8"/>
    <w:rsid w:val="00E23D54"/>
    <w:rsid w:val="00E23E5D"/>
    <w:rsid w:val="00E24597"/>
    <w:rsid w:val="00E24879"/>
    <w:rsid w:val="00E24932"/>
    <w:rsid w:val="00E249A6"/>
    <w:rsid w:val="00E24D19"/>
    <w:rsid w:val="00E2537D"/>
    <w:rsid w:val="00E25CF9"/>
    <w:rsid w:val="00E25DCE"/>
    <w:rsid w:val="00E260D4"/>
    <w:rsid w:val="00E2635E"/>
    <w:rsid w:val="00E27913"/>
    <w:rsid w:val="00E27B8A"/>
    <w:rsid w:val="00E27D4D"/>
    <w:rsid w:val="00E27F77"/>
    <w:rsid w:val="00E30108"/>
    <w:rsid w:val="00E30161"/>
    <w:rsid w:val="00E301D2"/>
    <w:rsid w:val="00E30B5D"/>
    <w:rsid w:val="00E3134D"/>
    <w:rsid w:val="00E31D0C"/>
    <w:rsid w:val="00E31E0B"/>
    <w:rsid w:val="00E320AC"/>
    <w:rsid w:val="00E3210F"/>
    <w:rsid w:val="00E32640"/>
    <w:rsid w:val="00E32F18"/>
    <w:rsid w:val="00E33080"/>
    <w:rsid w:val="00E3319A"/>
    <w:rsid w:val="00E33BCB"/>
    <w:rsid w:val="00E33C17"/>
    <w:rsid w:val="00E33D2F"/>
    <w:rsid w:val="00E33D82"/>
    <w:rsid w:val="00E34089"/>
    <w:rsid w:val="00E341F1"/>
    <w:rsid w:val="00E342A3"/>
    <w:rsid w:val="00E34338"/>
    <w:rsid w:val="00E3437F"/>
    <w:rsid w:val="00E34528"/>
    <w:rsid w:val="00E346DE"/>
    <w:rsid w:val="00E34917"/>
    <w:rsid w:val="00E34C8F"/>
    <w:rsid w:val="00E3504F"/>
    <w:rsid w:val="00E35B84"/>
    <w:rsid w:val="00E35CAE"/>
    <w:rsid w:val="00E35E97"/>
    <w:rsid w:val="00E3623C"/>
    <w:rsid w:val="00E3699A"/>
    <w:rsid w:val="00E374A9"/>
    <w:rsid w:val="00E375EE"/>
    <w:rsid w:val="00E37C9A"/>
    <w:rsid w:val="00E37CA8"/>
    <w:rsid w:val="00E37DBE"/>
    <w:rsid w:val="00E37F3D"/>
    <w:rsid w:val="00E40434"/>
    <w:rsid w:val="00E40447"/>
    <w:rsid w:val="00E40546"/>
    <w:rsid w:val="00E40610"/>
    <w:rsid w:val="00E40A57"/>
    <w:rsid w:val="00E41AE2"/>
    <w:rsid w:val="00E41DC4"/>
    <w:rsid w:val="00E41FE7"/>
    <w:rsid w:val="00E420AF"/>
    <w:rsid w:val="00E42914"/>
    <w:rsid w:val="00E4293B"/>
    <w:rsid w:val="00E42D72"/>
    <w:rsid w:val="00E43092"/>
    <w:rsid w:val="00E4323C"/>
    <w:rsid w:val="00E432EC"/>
    <w:rsid w:val="00E433DF"/>
    <w:rsid w:val="00E439D2"/>
    <w:rsid w:val="00E43D74"/>
    <w:rsid w:val="00E440A1"/>
    <w:rsid w:val="00E4439F"/>
    <w:rsid w:val="00E44829"/>
    <w:rsid w:val="00E44C48"/>
    <w:rsid w:val="00E44C52"/>
    <w:rsid w:val="00E44EAC"/>
    <w:rsid w:val="00E455AD"/>
    <w:rsid w:val="00E45B19"/>
    <w:rsid w:val="00E45E77"/>
    <w:rsid w:val="00E467EC"/>
    <w:rsid w:val="00E46A82"/>
    <w:rsid w:val="00E47223"/>
    <w:rsid w:val="00E47550"/>
    <w:rsid w:val="00E47590"/>
    <w:rsid w:val="00E47740"/>
    <w:rsid w:val="00E4797D"/>
    <w:rsid w:val="00E479E4"/>
    <w:rsid w:val="00E47AA1"/>
    <w:rsid w:val="00E47BDD"/>
    <w:rsid w:val="00E47DA5"/>
    <w:rsid w:val="00E5028C"/>
    <w:rsid w:val="00E5069B"/>
    <w:rsid w:val="00E506D1"/>
    <w:rsid w:val="00E50A2E"/>
    <w:rsid w:val="00E5193F"/>
    <w:rsid w:val="00E520EB"/>
    <w:rsid w:val="00E5221A"/>
    <w:rsid w:val="00E52265"/>
    <w:rsid w:val="00E522C8"/>
    <w:rsid w:val="00E523E9"/>
    <w:rsid w:val="00E524D9"/>
    <w:rsid w:val="00E524FE"/>
    <w:rsid w:val="00E52801"/>
    <w:rsid w:val="00E52C27"/>
    <w:rsid w:val="00E52C3C"/>
    <w:rsid w:val="00E52F20"/>
    <w:rsid w:val="00E5356F"/>
    <w:rsid w:val="00E535FB"/>
    <w:rsid w:val="00E53840"/>
    <w:rsid w:val="00E53A7F"/>
    <w:rsid w:val="00E53E60"/>
    <w:rsid w:val="00E54076"/>
    <w:rsid w:val="00E54260"/>
    <w:rsid w:val="00E5440A"/>
    <w:rsid w:val="00E54617"/>
    <w:rsid w:val="00E54690"/>
    <w:rsid w:val="00E547C9"/>
    <w:rsid w:val="00E54907"/>
    <w:rsid w:val="00E549FC"/>
    <w:rsid w:val="00E54C83"/>
    <w:rsid w:val="00E54F08"/>
    <w:rsid w:val="00E55505"/>
    <w:rsid w:val="00E55AB6"/>
    <w:rsid w:val="00E56B52"/>
    <w:rsid w:val="00E574A3"/>
    <w:rsid w:val="00E575FA"/>
    <w:rsid w:val="00E57B6A"/>
    <w:rsid w:val="00E57CFF"/>
    <w:rsid w:val="00E60004"/>
    <w:rsid w:val="00E60271"/>
    <w:rsid w:val="00E602CF"/>
    <w:rsid w:val="00E60879"/>
    <w:rsid w:val="00E612B7"/>
    <w:rsid w:val="00E61BCE"/>
    <w:rsid w:val="00E61C83"/>
    <w:rsid w:val="00E61EFF"/>
    <w:rsid w:val="00E621C6"/>
    <w:rsid w:val="00E62A7C"/>
    <w:rsid w:val="00E62C98"/>
    <w:rsid w:val="00E6313F"/>
    <w:rsid w:val="00E6346D"/>
    <w:rsid w:val="00E6384E"/>
    <w:rsid w:val="00E63AE1"/>
    <w:rsid w:val="00E63C38"/>
    <w:rsid w:val="00E63F1B"/>
    <w:rsid w:val="00E641CD"/>
    <w:rsid w:val="00E64450"/>
    <w:rsid w:val="00E64A93"/>
    <w:rsid w:val="00E64DDD"/>
    <w:rsid w:val="00E651C3"/>
    <w:rsid w:val="00E65A18"/>
    <w:rsid w:val="00E65AC5"/>
    <w:rsid w:val="00E65D34"/>
    <w:rsid w:val="00E664BF"/>
    <w:rsid w:val="00E66A8C"/>
    <w:rsid w:val="00E66C35"/>
    <w:rsid w:val="00E66F8B"/>
    <w:rsid w:val="00E67125"/>
    <w:rsid w:val="00E679EC"/>
    <w:rsid w:val="00E67B12"/>
    <w:rsid w:val="00E70384"/>
    <w:rsid w:val="00E70649"/>
    <w:rsid w:val="00E70798"/>
    <w:rsid w:val="00E70836"/>
    <w:rsid w:val="00E71946"/>
    <w:rsid w:val="00E71A26"/>
    <w:rsid w:val="00E71F5A"/>
    <w:rsid w:val="00E7204D"/>
    <w:rsid w:val="00E727F7"/>
    <w:rsid w:val="00E72903"/>
    <w:rsid w:val="00E738F3"/>
    <w:rsid w:val="00E73BFC"/>
    <w:rsid w:val="00E73EE0"/>
    <w:rsid w:val="00E73F80"/>
    <w:rsid w:val="00E74067"/>
    <w:rsid w:val="00E74E8D"/>
    <w:rsid w:val="00E75115"/>
    <w:rsid w:val="00E754FA"/>
    <w:rsid w:val="00E755D8"/>
    <w:rsid w:val="00E758FB"/>
    <w:rsid w:val="00E75A44"/>
    <w:rsid w:val="00E75AFF"/>
    <w:rsid w:val="00E75C20"/>
    <w:rsid w:val="00E75FFB"/>
    <w:rsid w:val="00E760DE"/>
    <w:rsid w:val="00E765F5"/>
    <w:rsid w:val="00E76697"/>
    <w:rsid w:val="00E76742"/>
    <w:rsid w:val="00E76A6E"/>
    <w:rsid w:val="00E76C59"/>
    <w:rsid w:val="00E7748B"/>
    <w:rsid w:val="00E77C38"/>
    <w:rsid w:val="00E77D89"/>
    <w:rsid w:val="00E804D7"/>
    <w:rsid w:val="00E80857"/>
    <w:rsid w:val="00E80A24"/>
    <w:rsid w:val="00E80B7A"/>
    <w:rsid w:val="00E8134C"/>
    <w:rsid w:val="00E81819"/>
    <w:rsid w:val="00E8216D"/>
    <w:rsid w:val="00E82794"/>
    <w:rsid w:val="00E828B1"/>
    <w:rsid w:val="00E82A62"/>
    <w:rsid w:val="00E82B23"/>
    <w:rsid w:val="00E82EC3"/>
    <w:rsid w:val="00E84611"/>
    <w:rsid w:val="00E8463F"/>
    <w:rsid w:val="00E84F77"/>
    <w:rsid w:val="00E85083"/>
    <w:rsid w:val="00E852DF"/>
    <w:rsid w:val="00E85464"/>
    <w:rsid w:val="00E85477"/>
    <w:rsid w:val="00E856F1"/>
    <w:rsid w:val="00E85757"/>
    <w:rsid w:val="00E85761"/>
    <w:rsid w:val="00E859B6"/>
    <w:rsid w:val="00E85AEF"/>
    <w:rsid w:val="00E860AA"/>
    <w:rsid w:val="00E86392"/>
    <w:rsid w:val="00E863D6"/>
    <w:rsid w:val="00E8671F"/>
    <w:rsid w:val="00E867B3"/>
    <w:rsid w:val="00E86964"/>
    <w:rsid w:val="00E86E07"/>
    <w:rsid w:val="00E87205"/>
    <w:rsid w:val="00E872D5"/>
    <w:rsid w:val="00E87984"/>
    <w:rsid w:val="00E879E1"/>
    <w:rsid w:val="00E90D05"/>
    <w:rsid w:val="00E912F2"/>
    <w:rsid w:val="00E91552"/>
    <w:rsid w:val="00E91647"/>
    <w:rsid w:val="00E91850"/>
    <w:rsid w:val="00E91B2F"/>
    <w:rsid w:val="00E91BCB"/>
    <w:rsid w:val="00E91D75"/>
    <w:rsid w:val="00E922FD"/>
    <w:rsid w:val="00E92D4A"/>
    <w:rsid w:val="00E92EC3"/>
    <w:rsid w:val="00E937CE"/>
    <w:rsid w:val="00E938EA"/>
    <w:rsid w:val="00E9394C"/>
    <w:rsid w:val="00E94020"/>
    <w:rsid w:val="00E94137"/>
    <w:rsid w:val="00E94523"/>
    <w:rsid w:val="00E94AB9"/>
    <w:rsid w:val="00E94AF3"/>
    <w:rsid w:val="00E94B17"/>
    <w:rsid w:val="00E95153"/>
    <w:rsid w:val="00E954C8"/>
    <w:rsid w:val="00E95CB7"/>
    <w:rsid w:val="00E95DAB"/>
    <w:rsid w:val="00E96706"/>
    <w:rsid w:val="00E967D4"/>
    <w:rsid w:val="00E96845"/>
    <w:rsid w:val="00E968FC"/>
    <w:rsid w:val="00E96C99"/>
    <w:rsid w:val="00E96EF1"/>
    <w:rsid w:val="00E9798B"/>
    <w:rsid w:val="00E97DD8"/>
    <w:rsid w:val="00E97FAB"/>
    <w:rsid w:val="00E97FEA"/>
    <w:rsid w:val="00EA00D4"/>
    <w:rsid w:val="00EA06C5"/>
    <w:rsid w:val="00EA0749"/>
    <w:rsid w:val="00EA08AE"/>
    <w:rsid w:val="00EA0A6B"/>
    <w:rsid w:val="00EA0B34"/>
    <w:rsid w:val="00EA0CF5"/>
    <w:rsid w:val="00EA0E6A"/>
    <w:rsid w:val="00EA1119"/>
    <w:rsid w:val="00EA1137"/>
    <w:rsid w:val="00EA1261"/>
    <w:rsid w:val="00EA1982"/>
    <w:rsid w:val="00EA1AB9"/>
    <w:rsid w:val="00EA1F63"/>
    <w:rsid w:val="00EA211F"/>
    <w:rsid w:val="00EA2250"/>
    <w:rsid w:val="00EA3170"/>
    <w:rsid w:val="00EA3BE1"/>
    <w:rsid w:val="00EA3C50"/>
    <w:rsid w:val="00EA4093"/>
    <w:rsid w:val="00EA49F2"/>
    <w:rsid w:val="00EA4DFE"/>
    <w:rsid w:val="00EA548D"/>
    <w:rsid w:val="00EA5674"/>
    <w:rsid w:val="00EA5DE0"/>
    <w:rsid w:val="00EA5F06"/>
    <w:rsid w:val="00EA6843"/>
    <w:rsid w:val="00EA76D0"/>
    <w:rsid w:val="00EA7990"/>
    <w:rsid w:val="00EA7F04"/>
    <w:rsid w:val="00EB02AB"/>
    <w:rsid w:val="00EB047D"/>
    <w:rsid w:val="00EB058E"/>
    <w:rsid w:val="00EB0699"/>
    <w:rsid w:val="00EB0FB6"/>
    <w:rsid w:val="00EB17EC"/>
    <w:rsid w:val="00EB1854"/>
    <w:rsid w:val="00EB1A2F"/>
    <w:rsid w:val="00EB254F"/>
    <w:rsid w:val="00EB2F10"/>
    <w:rsid w:val="00EB3557"/>
    <w:rsid w:val="00EB3672"/>
    <w:rsid w:val="00EB37E3"/>
    <w:rsid w:val="00EB3D8E"/>
    <w:rsid w:val="00EB3DB7"/>
    <w:rsid w:val="00EB3EC6"/>
    <w:rsid w:val="00EB3FAD"/>
    <w:rsid w:val="00EB401E"/>
    <w:rsid w:val="00EB4078"/>
    <w:rsid w:val="00EB411D"/>
    <w:rsid w:val="00EB45A6"/>
    <w:rsid w:val="00EB45B9"/>
    <w:rsid w:val="00EB464D"/>
    <w:rsid w:val="00EB48A8"/>
    <w:rsid w:val="00EB4BCC"/>
    <w:rsid w:val="00EB5080"/>
    <w:rsid w:val="00EB5303"/>
    <w:rsid w:val="00EB57CC"/>
    <w:rsid w:val="00EB5840"/>
    <w:rsid w:val="00EB59F2"/>
    <w:rsid w:val="00EB620D"/>
    <w:rsid w:val="00EB630F"/>
    <w:rsid w:val="00EB6353"/>
    <w:rsid w:val="00EB6412"/>
    <w:rsid w:val="00EB643E"/>
    <w:rsid w:val="00EB6481"/>
    <w:rsid w:val="00EB6531"/>
    <w:rsid w:val="00EB6F5E"/>
    <w:rsid w:val="00EB75D4"/>
    <w:rsid w:val="00EB77AE"/>
    <w:rsid w:val="00EB78D0"/>
    <w:rsid w:val="00EC011C"/>
    <w:rsid w:val="00EC05E8"/>
    <w:rsid w:val="00EC091F"/>
    <w:rsid w:val="00EC09EB"/>
    <w:rsid w:val="00EC0B28"/>
    <w:rsid w:val="00EC0E29"/>
    <w:rsid w:val="00EC183F"/>
    <w:rsid w:val="00EC2281"/>
    <w:rsid w:val="00EC2510"/>
    <w:rsid w:val="00EC2664"/>
    <w:rsid w:val="00EC27C6"/>
    <w:rsid w:val="00EC2AC6"/>
    <w:rsid w:val="00EC2B0F"/>
    <w:rsid w:val="00EC2D4A"/>
    <w:rsid w:val="00EC3157"/>
    <w:rsid w:val="00EC33E2"/>
    <w:rsid w:val="00EC3600"/>
    <w:rsid w:val="00EC379B"/>
    <w:rsid w:val="00EC3973"/>
    <w:rsid w:val="00EC39AA"/>
    <w:rsid w:val="00EC3D2B"/>
    <w:rsid w:val="00EC4145"/>
    <w:rsid w:val="00EC41C4"/>
    <w:rsid w:val="00EC4546"/>
    <w:rsid w:val="00EC53B6"/>
    <w:rsid w:val="00EC557F"/>
    <w:rsid w:val="00EC5641"/>
    <w:rsid w:val="00EC56A3"/>
    <w:rsid w:val="00EC5C3E"/>
    <w:rsid w:val="00EC5CEB"/>
    <w:rsid w:val="00EC6168"/>
    <w:rsid w:val="00EC670F"/>
    <w:rsid w:val="00EC6769"/>
    <w:rsid w:val="00EC6A37"/>
    <w:rsid w:val="00EC6C72"/>
    <w:rsid w:val="00EC75CF"/>
    <w:rsid w:val="00EC75F0"/>
    <w:rsid w:val="00EC7939"/>
    <w:rsid w:val="00ED09AD"/>
    <w:rsid w:val="00ED1370"/>
    <w:rsid w:val="00ED19DB"/>
    <w:rsid w:val="00ED1A63"/>
    <w:rsid w:val="00ED1E8A"/>
    <w:rsid w:val="00ED24A6"/>
    <w:rsid w:val="00ED2518"/>
    <w:rsid w:val="00ED255B"/>
    <w:rsid w:val="00ED2D23"/>
    <w:rsid w:val="00ED31D1"/>
    <w:rsid w:val="00ED341D"/>
    <w:rsid w:val="00ED361F"/>
    <w:rsid w:val="00ED3802"/>
    <w:rsid w:val="00ED3ADB"/>
    <w:rsid w:val="00ED4D37"/>
    <w:rsid w:val="00ED4D7C"/>
    <w:rsid w:val="00ED50BF"/>
    <w:rsid w:val="00ED50FD"/>
    <w:rsid w:val="00ED52A4"/>
    <w:rsid w:val="00ED566F"/>
    <w:rsid w:val="00ED57D7"/>
    <w:rsid w:val="00ED5E46"/>
    <w:rsid w:val="00ED5FB7"/>
    <w:rsid w:val="00ED655B"/>
    <w:rsid w:val="00ED673B"/>
    <w:rsid w:val="00ED69BC"/>
    <w:rsid w:val="00ED6A87"/>
    <w:rsid w:val="00ED7146"/>
    <w:rsid w:val="00ED7190"/>
    <w:rsid w:val="00ED748F"/>
    <w:rsid w:val="00ED74EB"/>
    <w:rsid w:val="00EE0211"/>
    <w:rsid w:val="00EE0380"/>
    <w:rsid w:val="00EE0A6A"/>
    <w:rsid w:val="00EE10D4"/>
    <w:rsid w:val="00EE1568"/>
    <w:rsid w:val="00EE163F"/>
    <w:rsid w:val="00EE1767"/>
    <w:rsid w:val="00EE182D"/>
    <w:rsid w:val="00EE207D"/>
    <w:rsid w:val="00EE22FA"/>
    <w:rsid w:val="00EE2351"/>
    <w:rsid w:val="00EE2457"/>
    <w:rsid w:val="00EE250F"/>
    <w:rsid w:val="00EE2AAB"/>
    <w:rsid w:val="00EE2B87"/>
    <w:rsid w:val="00EE2E3C"/>
    <w:rsid w:val="00EE32DA"/>
    <w:rsid w:val="00EE3450"/>
    <w:rsid w:val="00EE3839"/>
    <w:rsid w:val="00EE399B"/>
    <w:rsid w:val="00EE39CD"/>
    <w:rsid w:val="00EE3E3B"/>
    <w:rsid w:val="00EE426B"/>
    <w:rsid w:val="00EE49D5"/>
    <w:rsid w:val="00EE4BE5"/>
    <w:rsid w:val="00EE4DF5"/>
    <w:rsid w:val="00EE4E02"/>
    <w:rsid w:val="00EE4EB2"/>
    <w:rsid w:val="00EE516E"/>
    <w:rsid w:val="00EE545A"/>
    <w:rsid w:val="00EE5726"/>
    <w:rsid w:val="00EE5840"/>
    <w:rsid w:val="00EE5BF9"/>
    <w:rsid w:val="00EE5CD0"/>
    <w:rsid w:val="00EE5D0C"/>
    <w:rsid w:val="00EE5ECA"/>
    <w:rsid w:val="00EE6694"/>
    <w:rsid w:val="00EE6D14"/>
    <w:rsid w:val="00EE7522"/>
    <w:rsid w:val="00EE76C6"/>
    <w:rsid w:val="00EE7A9E"/>
    <w:rsid w:val="00EF0271"/>
    <w:rsid w:val="00EF0389"/>
    <w:rsid w:val="00EF03D5"/>
    <w:rsid w:val="00EF09A6"/>
    <w:rsid w:val="00EF128B"/>
    <w:rsid w:val="00EF16FB"/>
    <w:rsid w:val="00EF1BF2"/>
    <w:rsid w:val="00EF1DDD"/>
    <w:rsid w:val="00EF263B"/>
    <w:rsid w:val="00EF283C"/>
    <w:rsid w:val="00EF2CDD"/>
    <w:rsid w:val="00EF2FB3"/>
    <w:rsid w:val="00EF33FD"/>
    <w:rsid w:val="00EF3496"/>
    <w:rsid w:val="00EF3626"/>
    <w:rsid w:val="00EF38DB"/>
    <w:rsid w:val="00EF3A0E"/>
    <w:rsid w:val="00EF3A53"/>
    <w:rsid w:val="00EF3BD3"/>
    <w:rsid w:val="00EF3C70"/>
    <w:rsid w:val="00EF4334"/>
    <w:rsid w:val="00EF4525"/>
    <w:rsid w:val="00EF4D99"/>
    <w:rsid w:val="00EF4FDB"/>
    <w:rsid w:val="00EF55C7"/>
    <w:rsid w:val="00EF55CA"/>
    <w:rsid w:val="00EF5880"/>
    <w:rsid w:val="00EF5BD4"/>
    <w:rsid w:val="00EF5F90"/>
    <w:rsid w:val="00EF5F9F"/>
    <w:rsid w:val="00EF618F"/>
    <w:rsid w:val="00EF6308"/>
    <w:rsid w:val="00EF6368"/>
    <w:rsid w:val="00EF666A"/>
    <w:rsid w:val="00EF691D"/>
    <w:rsid w:val="00EF6F1C"/>
    <w:rsid w:val="00EF70F4"/>
    <w:rsid w:val="00EF7713"/>
    <w:rsid w:val="00F00560"/>
    <w:rsid w:val="00F005A3"/>
    <w:rsid w:val="00F010FA"/>
    <w:rsid w:val="00F014A4"/>
    <w:rsid w:val="00F01A7E"/>
    <w:rsid w:val="00F01DBB"/>
    <w:rsid w:val="00F02335"/>
    <w:rsid w:val="00F02346"/>
    <w:rsid w:val="00F02D4D"/>
    <w:rsid w:val="00F02E58"/>
    <w:rsid w:val="00F02EC0"/>
    <w:rsid w:val="00F03250"/>
    <w:rsid w:val="00F0340E"/>
    <w:rsid w:val="00F036C3"/>
    <w:rsid w:val="00F03FC7"/>
    <w:rsid w:val="00F0495D"/>
    <w:rsid w:val="00F04A50"/>
    <w:rsid w:val="00F04FCB"/>
    <w:rsid w:val="00F055B8"/>
    <w:rsid w:val="00F05775"/>
    <w:rsid w:val="00F05BBC"/>
    <w:rsid w:val="00F06581"/>
    <w:rsid w:val="00F068B7"/>
    <w:rsid w:val="00F06B1B"/>
    <w:rsid w:val="00F07053"/>
    <w:rsid w:val="00F071DF"/>
    <w:rsid w:val="00F07486"/>
    <w:rsid w:val="00F07ADE"/>
    <w:rsid w:val="00F07EBB"/>
    <w:rsid w:val="00F07F0B"/>
    <w:rsid w:val="00F10112"/>
    <w:rsid w:val="00F10152"/>
    <w:rsid w:val="00F102FE"/>
    <w:rsid w:val="00F106B7"/>
    <w:rsid w:val="00F10CEA"/>
    <w:rsid w:val="00F10D71"/>
    <w:rsid w:val="00F10E46"/>
    <w:rsid w:val="00F11060"/>
    <w:rsid w:val="00F113B4"/>
    <w:rsid w:val="00F11A3F"/>
    <w:rsid w:val="00F11B58"/>
    <w:rsid w:val="00F11B5D"/>
    <w:rsid w:val="00F12021"/>
    <w:rsid w:val="00F12323"/>
    <w:rsid w:val="00F1267A"/>
    <w:rsid w:val="00F12C38"/>
    <w:rsid w:val="00F13072"/>
    <w:rsid w:val="00F13494"/>
    <w:rsid w:val="00F135F5"/>
    <w:rsid w:val="00F13D62"/>
    <w:rsid w:val="00F1415D"/>
    <w:rsid w:val="00F151D6"/>
    <w:rsid w:val="00F153DE"/>
    <w:rsid w:val="00F15427"/>
    <w:rsid w:val="00F15612"/>
    <w:rsid w:val="00F159E7"/>
    <w:rsid w:val="00F15E5A"/>
    <w:rsid w:val="00F15F21"/>
    <w:rsid w:val="00F160CA"/>
    <w:rsid w:val="00F1619C"/>
    <w:rsid w:val="00F16ED8"/>
    <w:rsid w:val="00F1702C"/>
    <w:rsid w:val="00F17468"/>
    <w:rsid w:val="00F17574"/>
    <w:rsid w:val="00F17B12"/>
    <w:rsid w:val="00F2001C"/>
    <w:rsid w:val="00F20028"/>
    <w:rsid w:val="00F201AA"/>
    <w:rsid w:val="00F201EB"/>
    <w:rsid w:val="00F206FA"/>
    <w:rsid w:val="00F208E4"/>
    <w:rsid w:val="00F20A6E"/>
    <w:rsid w:val="00F21095"/>
    <w:rsid w:val="00F21A7C"/>
    <w:rsid w:val="00F21D49"/>
    <w:rsid w:val="00F22726"/>
    <w:rsid w:val="00F22766"/>
    <w:rsid w:val="00F22CD3"/>
    <w:rsid w:val="00F22D2E"/>
    <w:rsid w:val="00F22D99"/>
    <w:rsid w:val="00F233DF"/>
    <w:rsid w:val="00F236D7"/>
    <w:rsid w:val="00F240B2"/>
    <w:rsid w:val="00F24292"/>
    <w:rsid w:val="00F2433D"/>
    <w:rsid w:val="00F244CC"/>
    <w:rsid w:val="00F24580"/>
    <w:rsid w:val="00F24A82"/>
    <w:rsid w:val="00F24FF3"/>
    <w:rsid w:val="00F2508E"/>
    <w:rsid w:val="00F25743"/>
    <w:rsid w:val="00F26B7C"/>
    <w:rsid w:val="00F276A9"/>
    <w:rsid w:val="00F277E2"/>
    <w:rsid w:val="00F27C83"/>
    <w:rsid w:val="00F30248"/>
    <w:rsid w:val="00F30685"/>
    <w:rsid w:val="00F31274"/>
    <w:rsid w:val="00F31407"/>
    <w:rsid w:val="00F314E1"/>
    <w:rsid w:val="00F315B8"/>
    <w:rsid w:val="00F315EA"/>
    <w:rsid w:val="00F31628"/>
    <w:rsid w:val="00F317AD"/>
    <w:rsid w:val="00F31F04"/>
    <w:rsid w:val="00F3202A"/>
    <w:rsid w:val="00F32876"/>
    <w:rsid w:val="00F32A03"/>
    <w:rsid w:val="00F32B82"/>
    <w:rsid w:val="00F32B9B"/>
    <w:rsid w:val="00F32C64"/>
    <w:rsid w:val="00F32D11"/>
    <w:rsid w:val="00F32F62"/>
    <w:rsid w:val="00F330F6"/>
    <w:rsid w:val="00F33521"/>
    <w:rsid w:val="00F3400F"/>
    <w:rsid w:val="00F343CA"/>
    <w:rsid w:val="00F34688"/>
    <w:rsid w:val="00F34882"/>
    <w:rsid w:val="00F34D57"/>
    <w:rsid w:val="00F34F4D"/>
    <w:rsid w:val="00F3537B"/>
    <w:rsid w:val="00F355C0"/>
    <w:rsid w:val="00F35BDE"/>
    <w:rsid w:val="00F35E3D"/>
    <w:rsid w:val="00F35F3C"/>
    <w:rsid w:val="00F36828"/>
    <w:rsid w:val="00F36977"/>
    <w:rsid w:val="00F369AB"/>
    <w:rsid w:val="00F369CF"/>
    <w:rsid w:val="00F374E3"/>
    <w:rsid w:val="00F37CEE"/>
    <w:rsid w:val="00F40876"/>
    <w:rsid w:val="00F40B82"/>
    <w:rsid w:val="00F40BAB"/>
    <w:rsid w:val="00F40D9B"/>
    <w:rsid w:val="00F40E97"/>
    <w:rsid w:val="00F4119A"/>
    <w:rsid w:val="00F41415"/>
    <w:rsid w:val="00F417E4"/>
    <w:rsid w:val="00F417ED"/>
    <w:rsid w:val="00F417F2"/>
    <w:rsid w:val="00F4189C"/>
    <w:rsid w:val="00F41ACE"/>
    <w:rsid w:val="00F41C8F"/>
    <w:rsid w:val="00F41DDE"/>
    <w:rsid w:val="00F426F1"/>
    <w:rsid w:val="00F42943"/>
    <w:rsid w:val="00F42AC0"/>
    <w:rsid w:val="00F4302D"/>
    <w:rsid w:val="00F4325D"/>
    <w:rsid w:val="00F433DF"/>
    <w:rsid w:val="00F43D03"/>
    <w:rsid w:val="00F441EB"/>
    <w:rsid w:val="00F4443F"/>
    <w:rsid w:val="00F44460"/>
    <w:rsid w:val="00F444A4"/>
    <w:rsid w:val="00F457F8"/>
    <w:rsid w:val="00F457FC"/>
    <w:rsid w:val="00F45A5D"/>
    <w:rsid w:val="00F45B68"/>
    <w:rsid w:val="00F45BBB"/>
    <w:rsid w:val="00F45C36"/>
    <w:rsid w:val="00F468C6"/>
    <w:rsid w:val="00F46AF7"/>
    <w:rsid w:val="00F46F5A"/>
    <w:rsid w:val="00F4724D"/>
    <w:rsid w:val="00F472D4"/>
    <w:rsid w:val="00F50599"/>
    <w:rsid w:val="00F50D36"/>
    <w:rsid w:val="00F51001"/>
    <w:rsid w:val="00F51029"/>
    <w:rsid w:val="00F51497"/>
    <w:rsid w:val="00F514C5"/>
    <w:rsid w:val="00F5175D"/>
    <w:rsid w:val="00F51CC3"/>
    <w:rsid w:val="00F51DC5"/>
    <w:rsid w:val="00F520FA"/>
    <w:rsid w:val="00F522F6"/>
    <w:rsid w:val="00F523C4"/>
    <w:rsid w:val="00F5267A"/>
    <w:rsid w:val="00F52A46"/>
    <w:rsid w:val="00F52E63"/>
    <w:rsid w:val="00F52F18"/>
    <w:rsid w:val="00F5334A"/>
    <w:rsid w:val="00F536F1"/>
    <w:rsid w:val="00F53CA7"/>
    <w:rsid w:val="00F54A6D"/>
    <w:rsid w:val="00F550C1"/>
    <w:rsid w:val="00F5576F"/>
    <w:rsid w:val="00F558E2"/>
    <w:rsid w:val="00F55A09"/>
    <w:rsid w:val="00F55C3B"/>
    <w:rsid w:val="00F55C91"/>
    <w:rsid w:val="00F5609A"/>
    <w:rsid w:val="00F561DE"/>
    <w:rsid w:val="00F5640B"/>
    <w:rsid w:val="00F56C8C"/>
    <w:rsid w:val="00F571FB"/>
    <w:rsid w:val="00F57526"/>
    <w:rsid w:val="00F57D6F"/>
    <w:rsid w:val="00F61153"/>
    <w:rsid w:val="00F61922"/>
    <w:rsid w:val="00F619D2"/>
    <w:rsid w:val="00F61A9D"/>
    <w:rsid w:val="00F62262"/>
    <w:rsid w:val="00F6244D"/>
    <w:rsid w:val="00F6269A"/>
    <w:rsid w:val="00F6287E"/>
    <w:rsid w:val="00F62CA7"/>
    <w:rsid w:val="00F62F8F"/>
    <w:rsid w:val="00F630D3"/>
    <w:rsid w:val="00F6349A"/>
    <w:rsid w:val="00F63579"/>
    <w:rsid w:val="00F637DD"/>
    <w:rsid w:val="00F6382C"/>
    <w:rsid w:val="00F639A8"/>
    <w:rsid w:val="00F640F8"/>
    <w:rsid w:val="00F64171"/>
    <w:rsid w:val="00F6417E"/>
    <w:rsid w:val="00F6419C"/>
    <w:rsid w:val="00F64405"/>
    <w:rsid w:val="00F64B4E"/>
    <w:rsid w:val="00F64BFE"/>
    <w:rsid w:val="00F64C09"/>
    <w:rsid w:val="00F651B7"/>
    <w:rsid w:val="00F659E7"/>
    <w:rsid w:val="00F659E9"/>
    <w:rsid w:val="00F65DF3"/>
    <w:rsid w:val="00F66438"/>
    <w:rsid w:val="00F66B12"/>
    <w:rsid w:val="00F66D4C"/>
    <w:rsid w:val="00F66F40"/>
    <w:rsid w:val="00F671D0"/>
    <w:rsid w:val="00F67A85"/>
    <w:rsid w:val="00F67E3E"/>
    <w:rsid w:val="00F70433"/>
    <w:rsid w:val="00F70446"/>
    <w:rsid w:val="00F70833"/>
    <w:rsid w:val="00F7092E"/>
    <w:rsid w:val="00F709AF"/>
    <w:rsid w:val="00F70DC4"/>
    <w:rsid w:val="00F70FBA"/>
    <w:rsid w:val="00F7115A"/>
    <w:rsid w:val="00F7168A"/>
    <w:rsid w:val="00F7174A"/>
    <w:rsid w:val="00F718E0"/>
    <w:rsid w:val="00F719D6"/>
    <w:rsid w:val="00F71C18"/>
    <w:rsid w:val="00F721FB"/>
    <w:rsid w:val="00F72416"/>
    <w:rsid w:val="00F72916"/>
    <w:rsid w:val="00F72BF4"/>
    <w:rsid w:val="00F72D52"/>
    <w:rsid w:val="00F72F39"/>
    <w:rsid w:val="00F73219"/>
    <w:rsid w:val="00F73660"/>
    <w:rsid w:val="00F7378C"/>
    <w:rsid w:val="00F737B3"/>
    <w:rsid w:val="00F73831"/>
    <w:rsid w:val="00F73B50"/>
    <w:rsid w:val="00F74AE8"/>
    <w:rsid w:val="00F74D00"/>
    <w:rsid w:val="00F75043"/>
    <w:rsid w:val="00F75094"/>
    <w:rsid w:val="00F75379"/>
    <w:rsid w:val="00F75463"/>
    <w:rsid w:val="00F75EFE"/>
    <w:rsid w:val="00F7638F"/>
    <w:rsid w:val="00F765FF"/>
    <w:rsid w:val="00F766CA"/>
    <w:rsid w:val="00F76F1D"/>
    <w:rsid w:val="00F77496"/>
    <w:rsid w:val="00F77697"/>
    <w:rsid w:val="00F77A29"/>
    <w:rsid w:val="00F80216"/>
    <w:rsid w:val="00F8043E"/>
    <w:rsid w:val="00F80FBE"/>
    <w:rsid w:val="00F818E3"/>
    <w:rsid w:val="00F819FD"/>
    <w:rsid w:val="00F81E3B"/>
    <w:rsid w:val="00F81EF9"/>
    <w:rsid w:val="00F82609"/>
    <w:rsid w:val="00F8294C"/>
    <w:rsid w:val="00F83046"/>
    <w:rsid w:val="00F83A32"/>
    <w:rsid w:val="00F83E0D"/>
    <w:rsid w:val="00F83E43"/>
    <w:rsid w:val="00F8408F"/>
    <w:rsid w:val="00F84551"/>
    <w:rsid w:val="00F84DF9"/>
    <w:rsid w:val="00F857B3"/>
    <w:rsid w:val="00F860E2"/>
    <w:rsid w:val="00F8631C"/>
    <w:rsid w:val="00F86425"/>
    <w:rsid w:val="00F864F0"/>
    <w:rsid w:val="00F866EE"/>
    <w:rsid w:val="00F87576"/>
    <w:rsid w:val="00F87987"/>
    <w:rsid w:val="00F9002E"/>
    <w:rsid w:val="00F90776"/>
    <w:rsid w:val="00F907C4"/>
    <w:rsid w:val="00F90C4E"/>
    <w:rsid w:val="00F90CEA"/>
    <w:rsid w:val="00F91163"/>
    <w:rsid w:val="00F912D9"/>
    <w:rsid w:val="00F9141B"/>
    <w:rsid w:val="00F916DC"/>
    <w:rsid w:val="00F91812"/>
    <w:rsid w:val="00F92064"/>
    <w:rsid w:val="00F92264"/>
    <w:rsid w:val="00F92521"/>
    <w:rsid w:val="00F927C4"/>
    <w:rsid w:val="00F92D9E"/>
    <w:rsid w:val="00F9344C"/>
    <w:rsid w:val="00F937DD"/>
    <w:rsid w:val="00F93B1D"/>
    <w:rsid w:val="00F93B84"/>
    <w:rsid w:val="00F93ED6"/>
    <w:rsid w:val="00F93FB6"/>
    <w:rsid w:val="00F940B3"/>
    <w:rsid w:val="00F945FA"/>
    <w:rsid w:val="00F94847"/>
    <w:rsid w:val="00F949A1"/>
    <w:rsid w:val="00F949F5"/>
    <w:rsid w:val="00F94F08"/>
    <w:rsid w:val="00F95269"/>
    <w:rsid w:val="00F95437"/>
    <w:rsid w:val="00F954AA"/>
    <w:rsid w:val="00F95FF9"/>
    <w:rsid w:val="00F9614C"/>
    <w:rsid w:val="00F96248"/>
    <w:rsid w:val="00F963DD"/>
    <w:rsid w:val="00F96406"/>
    <w:rsid w:val="00F96944"/>
    <w:rsid w:val="00F96B43"/>
    <w:rsid w:val="00F96B86"/>
    <w:rsid w:val="00F96D5E"/>
    <w:rsid w:val="00F977C1"/>
    <w:rsid w:val="00F97866"/>
    <w:rsid w:val="00F97A80"/>
    <w:rsid w:val="00F97C7E"/>
    <w:rsid w:val="00FA06CA"/>
    <w:rsid w:val="00FA0E2C"/>
    <w:rsid w:val="00FA1210"/>
    <w:rsid w:val="00FA14A9"/>
    <w:rsid w:val="00FA18DF"/>
    <w:rsid w:val="00FA1B4A"/>
    <w:rsid w:val="00FA1BA0"/>
    <w:rsid w:val="00FA1E4A"/>
    <w:rsid w:val="00FA2740"/>
    <w:rsid w:val="00FA2EA5"/>
    <w:rsid w:val="00FA32E0"/>
    <w:rsid w:val="00FA3445"/>
    <w:rsid w:val="00FA424C"/>
    <w:rsid w:val="00FA495A"/>
    <w:rsid w:val="00FA4B56"/>
    <w:rsid w:val="00FA532E"/>
    <w:rsid w:val="00FA53F3"/>
    <w:rsid w:val="00FA6154"/>
    <w:rsid w:val="00FA6178"/>
    <w:rsid w:val="00FA64F5"/>
    <w:rsid w:val="00FA65D0"/>
    <w:rsid w:val="00FA69B3"/>
    <w:rsid w:val="00FA6A12"/>
    <w:rsid w:val="00FA6D18"/>
    <w:rsid w:val="00FA7100"/>
    <w:rsid w:val="00FA7A39"/>
    <w:rsid w:val="00FA7D6F"/>
    <w:rsid w:val="00FB0119"/>
    <w:rsid w:val="00FB0485"/>
    <w:rsid w:val="00FB05DE"/>
    <w:rsid w:val="00FB07C7"/>
    <w:rsid w:val="00FB0902"/>
    <w:rsid w:val="00FB10DC"/>
    <w:rsid w:val="00FB1313"/>
    <w:rsid w:val="00FB174F"/>
    <w:rsid w:val="00FB188A"/>
    <w:rsid w:val="00FB2474"/>
    <w:rsid w:val="00FB2672"/>
    <w:rsid w:val="00FB3048"/>
    <w:rsid w:val="00FB33E0"/>
    <w:rsid w:val="00FB33F0"/>
    <w:rsid w:val="00FB397E"/>
    <w:rsid w:val="00FB399C"/>
    <w:rsid w:val="00FB3BBC"/>
    <w:rsid w:val="00FB3CB8"/>
    <w:rsid w:val="00FB3D37"/>
    <w:rsid w:val="00FB3E3F"/>
    <w:rsid w:val="00FB3FD0"/>
    <w:rsid w:val="00FB4C02"/>
    <w:rsid w:val="00FB59D0"/>
    <w:rsid w:val="00FB5CC3"/>
    <w:rsid w:val="00FB6636"/>
    <w:rsid w:val="00FB6A72"/>
    <w:rsid w:val="00FB6B10"/>
    <w:rsid w:val="00FB6F0B"/>
    <w:rsid w:val="00FB6F6A"/>
    <w:rsid w:val="00FB7068"/>
    <w:rsid w:val="00FB7269"/>
    <w:rsid w:val="00FB77B0"/>
    <w:rsid w:val="00FB7BA9"/>
    <w:rsid w:val="00FB7BC7"/>
    <w:rsid w:val="00FB7DC8"/>
    <w:rsid w:val="00FB7F19"/>
    <w:rsid w:val="00FC02E5"/>
    <w:rsid w:val="00FC0588"/>
    <w:rsid w:val="00FC07B4"/>
    <w:rsid w:val="00FC0984"/>
    <w:rsid w:val="00FC09AC"/>
    <w:rsid w:val="00FC0AB3"/>
    <w:rsid w:val="00FC1392"/>
    <w:rsid w:val="00FC1697"/>
    <w:rsid w:val="00FC1919"/>
    <w:rsid w:val="00FC1B23"/>
    <w:rsid w:val="00FC2109"/>
    <w:rsid w:val="00FC22B5"/>
    <w:rsid w:val="00FC2832"/>
    <w:rsid w:val="00FC2A9F"/>
    <w:rsid w:val="00FC2F24"/>
    <w:rsid w:val="00FC2F27"/>
    <w:rsid w:val="00FC318C"/>
    <w:rsid w:val="00FC33EC"/>
    <w:rsid w:val="00FC3858"/>
    <w:rsid w:val="00FC389E"/>
    <w:rsid w:val="00FC3AF8"/>
    <w:rsid w:val="00FC3F4F"/>
    <w:rsid w:val="00FC413C"/>
    <w:rsid w:val="00FC46FF"/>
    <w:rsid w:val="00FC4878"/>
    <w:rsid w:val="00FC57BB"/>
    <w:rsid w:val="00FC582C"/>
    <w:rsid w:val="00FC5978"/>
    <w:rsid w:val="00FC5E87"/>
    <w:rsid w:val="00FC7045"/>
    <w:rsid w:val="00FC7125"/>
    <w:rsid w:val="00FC727C"/>
    <w:rsid w:val="00FC786C"/>
    <w:rsid w:val="00FC787B"/>
    <w:rsid w:val="00FC794D"/>
    <w:rsid w:val="00FC7B94"/>
    <w:rsid w:val="00FC7EB9"/>
    <w:rsid w:val="00FC7EE9"/>
    <w:rsid w:val="00FD0937"/>
    <w:rsid w:val="00FD094A"/>
    <w:rsid w:val="00FD0970"/>
    <w:rsid w:val="00FD09A3"/>
    <w:rsid w:val="00FD0A85"/>
    <w:rsid w:val="00FD0C5D"/>
    <w:rsid w:val="00FD0DF7"/>
    <w:rsid w:val="00FD1002"/>
    <w:rsid w:val="00FD1490"/>
    <w:rsid w:val="00FD1547"/>
    <w:rsid w:val="00FD178A"/>
    <w:rsid w:val="00FD1A32"/>
    <w:rsid w:val="00FD228A"/>
    <w:rsid w:val="00FD22BB"/>
    <w:rsid w:val="00FD29E2"/>
    <w:rsid w:val="00FD2B5D"/>
    <w:rsid w:val="00FD2C14"/>
    <w:rsid w:val="00FD348F"/>
    <w:rsid w:val="00FD39DE"/>
    <w:rsid w:val="00FD3AB3"/>
    <w:rsid w:val="00FD49A9"/>
    <w:rsid w:val="00FD4B3F"/>
    <w:rsid w:val="00FD4D5B"/>
    <w:rsid w:val="00FD5843"/>
    <w:rsid w:val="00FD5A22"/>
    <w:rsid w:val="00FD5A76"/>
    <w:rsid w:val="00FD6129"/>
    <w:rsid w:val="00FD6450"/>
    <w:rsid w:val="00FD6B89"/>
    <w:rsid w:val="00FD73EB"/>
    <w:rsid w:val="00FD73FB"/>
    <w:rsid w:val="00FD7617"/>
    <w:rsid w:val="00FD7B48"/>
    <w:rsid w:val="00FD7D54"/>
    <w:rsid w:val="00FE0281"/>
    <w:rsid w:val="00FE0394"/>
    <w:rsid w:val="00FE0982"/>
    <w:rsid w:val="00FE09C1"/>
    <w:rsid w:val="00FE0CF2"/>
    <w:rsid w:val="00FE1039"/>
    <w:rsid w:val="00FE1337"/>
    <w:rsid w:val="00FE16A9"/>
    <w:rsid w:val="00FE195D"/>
    <w:rsid w:val="00FE1ADB"/>
    <w:rsid w:val="00FE1CDE"/>
    <w:rsid w:val="00FE1DCC"/>
    <w:rsid w:val="00FE21B5"/>
    <w:rsid w:val="00FE347A"/>
    <w:rsid w:val="00FE3C07"/>
    <w:rsid w:val="00FE3DC3"/>
    <w:rsid w:val="00FE3E6B"/>
    <w:rsid w:val="00FE4584"/>
    <w:rsid w:val="00FE4CA5"/>
    <w:rsid w:val="00FE4D15"/>
    <w:rsid w:val="00FE503F"/>
    <w:rsid w:val="00FE5280"/>
    <w:rsid w:val="00FE52DC"/>
    <w:rsid w:val="00FE574E"/>
    <w:rsid w:val="00FE5829"/>
    <w:rsid w:val="00FE586C"/>
    <w:rsid w:val="00FE58F3"/>
    <w:rsid w:val="00FE5B46"/>
    <w:rsid w:val="00FE69F6"/>
    <w:rsid w:val="00FE6BE1"/>
    <w:rsid w:val="00FE6DD2"/>
    <w:rsid w:val="00FE6E24"/>
    <w:rsid w:val="00FE7284"/>
    <w:rsid w:val="00FE746D"/>
    <w:rsid w:val="00FE752A"/>
    <w:rsid w:val="00FE78A5"/>
    <w:rsid w:val="00FF001C"/>
    <w:rsid w:val="00FF059A"/>
    <w:rsid w:val="00FF06A7"/>
    <w:rsid w:val="00FF1097"/>
    <w:rsid w:val="00FF1415"/>
    <w:rsid w:val="00FF1791"/>
    <w:rsid w:val="00FF180F"/>
    <w:rsid w:val="00FF1854"/>
    <w:rsid w:val="00FF206E"/>
    <w:rsid w:val="00FF2766"/>
    <w:rsid w:val="00FF2768"/>
    <w:rsid w:val="00FF2864"/>
    <w:rsid w:val="00FF2A96"/>
    <w:rsid w:val="00FF2ECF"/>
    <w:rsid w:val="00FF2F78"/>
    <w:rsid w:val="00FF333D"/>
    <w:rsid w:val="00FF37FE"/>
    <w:rsid w:val="00FF3A6D"/>
    <w:rsid w:val="00FF3D17"/>
    <w:rsid w:val="00FF3EF8"/>
    <w:rsid w:val="00FF4085"/>
    <w:rsid w:val="00FF46E7"/>
    <w:rsid w:val="00FF4BB2"/>
    <w:rsid w:val="00FF4CA8"/>
    <w:rsid w:val="00FF4EB9"/>
    <w:rsid w:val="00FF525D"/>
    <w:rsid w:val="00FF538B"/>
    <w:rsid w:val="00FF5970"/>
    <w:rsid w:val="00FF6127"/>
    <w:rsid w:val="00FF6339"/>
    <w:rsid w:val="00FF643D"/>
    <w:rsid w:val="00FF6677"/>
    <w:rsid w:val="00FF6B40"/>
    <w:rsid w:val="00FF6CFC"/>
    <w:rsid w:val="00FF6F6D"/>
    <w:rsid w:val="00FF74D6"/>
    <w:rsid w:val="00FF7620"/>
    <w:rsid w:val="00FF7975"/>
    <w:rsid w:val="00FF7B38"/>
    <w:rsid w:val="00FF7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5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D1"/>
    <w:rPr>
      <w:sz w:val="20"/>
      <w:szCs w:val="20"/>
    </w:rPr>
  </w:style>
  <w:style w:type="paragraph" w:styleId="Ttulo1">
    <w:name w:val="heading 1"/>
    <w:basedOn w:val="Normal"/>
    <w:next w:val="Normal"/>
    <w:link w:val="Ttulo1Char"/>
    <w:uiPriority w:val="99"/>
    <w:qFormat/>
    <w:rsid w:val="002020EC"/>
    <w:pPr>
      <w:keepNext/>
      <w:jc w:val="center"/>
      <w:outlineLvl w:val="0"/>
    </w:pPr>
    <w:rPr>
      <w:b/>
    </w:rPr>
  </w:style>
  <w:style w:type="paragraph" w:styleId="Ttulo2">
    <w:name w:val="heading 2"/>
    <w:basedOn w:val="Normal"/>
    <w:next w:val="Normal"/>
    <w:link w:val="Ttulo2Char"/>
    <w:uiPriority w:val="99"/>
    <w:qFormat/>
    <w:rsid w:val="002020EC"/>
    <w:pPr>
      <w:keepNext/>
      <w:jc w:val="both"/>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A003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2A0035"/>
    <w:rPr>
      <w:rFonts w:ascii="Cambria" w:hAnsi="Cambria" w:cs="Times New Roman"/>
      <w:b/>
      <w:bCs/>
      <w:i/>
      <w:iCs/>
      <w:sz w:val="28"/>
      <w:szCs w:val="28"/>
    </w:rPr>
  </w:style>
  <w:style w:type="paragraph" w:styleId="Rodap">
    <w:name w:val="footer"/>
    <w:basedOn w:val="Normal"/>
    <w:link w:val="RodapChar"/>
    <w:uiPriority w:val="99"/>
    <w:rsid w:val="002020EC"/>
    <w:pPr>
      <w:tabs>
        <w:tab w:val="center" w:pos="4419"/>
        <w:tab w:val="right" w:pos="8838"/>
      </w:tabs>
    </w:pPr>
  </w:style>
  <w:style w:type="character" w:customStyle="1" w:styleId="RodapChar">
    <w:name w:val="Rodapé Char"/>
    <w:basedOn w:val="Fontepargpadro"/>
    <w:link w:val="Rodap"/>
    <w:uiPriority w:val="99"/>
    <w:locked/>
    <w:rsid w:val="002A0035"/>
    <w:rPr>
      <w:rFonts w:cs="Times New Roman"/>
    </w:rPr>
  </w:style>
  <w:style w:type="character" w:styleId="Nmerodepgina">
    <w:name w:val="page number"/>
    <w:basedOn w:val="Fontepargpadro"/>
    <w:rsid w:val="002020EC"/>
    <w:rPr>
      <w:rFonts w:cs="Times New Roman"/>
    </w:rPr>
  </w:style>
  <w:style w:type="paragraph" w:styleId="Recuodecorpodetexto">
    <w:name w:val="Body Text Indent"/>
    <w:basedOn w:val="Normal"/>
    <w:link w:val="RecuodecorpodetextoChar"/>
    <w:uiPriority w:val="99"/>
    <w:rsid w:val="002020EC"/>
    <w:pPr>
      <w:ind w:left="1065"/>
      <w:jc w:val="both"/>
    </w:pPr>
  </w:style>
  <w:style w:type="character" w:customStyle="1" w:styleId="RecuodecorpodetextoChar">
    <w:name w:val="Recuo de corpo de texto Char"/>
    <w:basedOn w:val="Fontepargpadro"/>
    <w:link w:val="Recuodecorpodetexto"/>
    <w:uiPriority w:val="99"/>
    <w:semiHidden/>
    <w:locked/>
    <w:rsid w:val="002A0035"/>
    <w:rPr>
      <w:rFonts w:cs="Times New Roman"/>
    </w:rPr>
  </w:style>
  <w:style w:type="paragraph" w:styleId="Cabealho">
    <w:name w:val="header"/>
    <w:basedOn w:val="Normal"/>
    <w:link w:val="CabealhoChar"/>
    <w:uiPriority w:val="99"/>
    <w:rsid w:val="002020EC"/>
    <w:pPr>
      <w:tabs>
        <w:tab w:val="center" w:pos="4419"/>
        <w:tab w:val="right" w:pos="8838"/>
      </w:tabs>
    </w:pPr>
  </w:style>
  <w:style w:type="character" w:customStyle="1" w:styleId="CabealhoChar">
    <w:name w:val="Cabeçalho Char"/>
    <w:basedOn w:val="Fontepargpadro"/>
    <w:link w:val="Cabealho"/>
    <w:uiPriority w:val="99"/>
    <w:locked/>
    <w:rsid w:val="002A0035"/>
    <w:rPr>
      <w:rFonts w:cs="Times New Roman"/>
    </w:rPr>
  </w:style>
  <w:style w:type="character" w:styleId="Hyperlink">
    <w:name w:val="Hyperlink"/>
    <w:basedOn w:val="Fontepargpadro"/>
    <w:uiPriority w:val="99"/>
    <w:rsid w:val="007F1D0F"/>
    <w:rPr>
      <w:rFonts w:cs="Times New Roman"/>
      <w:color w:val="0000FF"/>
      <w:u w:val="single"/>
    </w:rPr>
  </w:style>
  <w:style w:type="paragraph" w:styleId="Textodebalo">
    <w:name w:val="Balloon Text"/>
    <w:basedOn w:val="Normal"/>
    <w:link w:val="TextodebaloChar"/>
    <w:uiPriority w:val="99"/>
    <w:semiHidden/>
    <w:rsid w:val="002020EC"/>
    <w:rPr>
      <w:rFonts w:ascii="Tahoma" w:hAnsi="Tahoma" w:cs="Tahoma"/>
      <w:sz w:val="16"/>
      <w:szCs w:val="16"/>
    </w:rPr>
  </w:style>
  <w:style w:type="character" w:customStyle="1" w:styleId="TextodebaloChar">
    <w:name w:val="Texto de balão Char"/>
    <w:basedOn w:val="Fontepargpadro"/>
    <w:link w:val="Textodebalo"/>
    <w:uiPriority w:val="99"/>
    <w:semiHidden/>
    <w:locked/>
    <w:rsid w:val="002A0035"/>
    <w:rPr>
      <w:rFonts w:cs="Times New Roman"/>
      <w:sz w:val="2"/>
    </w:rPr>
  </w:style>
  <w:style w:type="table" w:styleId="Tabelacomgrade">
    <w:name w:val="Table Grid"/>
    <w:basedOn w:val="Tabelanormal"/>
    <w:rsid w:val="004046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009C5"/>
    <w:rPr>
      <w:sz w:val="20"/>
      <w:szCs w:val="20"/>
    </w:rPr>
  </w:style>
  <w:style w:type="character" w:styleId="Refdecomentrio">
    <w:name w:val="annotation reference"/>
    <w:basedOn w:val="Fontepargpadro"/>
    <w:uiPriority w:val="99"/>
    <w:rsid w:val="00F055B8"/>
    <w:rPr>
      <w:rFonts w:cs="Times New Roman"/>
      <w:sz w:val="16"/>
      <w:szCs w:val="16"/>
    </w:rPr>
  </w:style>
  <w:style w:type="paragraph" w:styleId="Textodecomentrio">
    <w:name w:val="annotation text"/>
    <w:basedOn w:val="Normal"/>
    <w:link w:val="TextodecomentrioChar"/>
    <w:uiPriority w:val="99"/>
    <w:rsid w:val="00F055B8"/>
  </w:style>
  <w:style w:type="character" w:customStyle="1" w:styleId="TextodecomentrioChar">
    <w:name w:val="Texto de comentário Char"/>
    <w:basedOn w:val="Fontepargpadro"/>
    <w:link w:val="Textodecomentrio"/>
    <w:uiPriority w:val="99"/>
    <w:locked/>
    <w:rsid w:val="00F055B8"/>
    <w:rPr>
      <w:rFonts w:cs="Times New Roman"/>
    </w:rPr>
  </w:style>
  <w:style w:type="paragraph" w:styleId="Assuntodocomentrio">
    <w:name w:val="annotation subject"/>
    <w:basedOn w:val="Textodecomentrio"/>
    <w:next w:val="Textodecomentrio"/>
    <w:link w:val="AssuntodocomentrioChar"/>
    <w:uiPriority w:val="99"/>
    <w:rsid w:val="00F055B8"/>
    <w:rPr>
      <w:b/>
      <w:bCs/>
    </w:rPr>
  </w:style>
  <w:style w:type="character" w:customStyle="1" w:styleId="AssuntodocomentrioChar">
    <w:name w:val="Assunto do comentário Char"/>
    <w:basedOn w:val="TextodecomentrioChar"/>
    <w:link w:val="Assuntodocomentrio"/>
    <w:uiPriority w:val="99"/>
    <w:locked/>
    <w:rsid w:val="00F055B8"/>
    <w:rPr>
      <w:rFonts w:cs="Times New Roman"/>
      <w:b/>
      <w:bCs/>
    </w:rPr>
  </w:style>
  <w:style w:type="paragraph" w:styleId="PargrafodaLista">
    <w:name w:val="List Paragraph"/>
    <w:basedOn w:val="Normal"/>
    <w:uiPriority w:val="34"/>
    <w:qFormat/>
    <w:rsid w:val="00CA6751"/>
    <w:pPr>
      <w:ind w:left="708"/>
    </w:pPr>
  </w:style>
  <w:style w:type="paragraph" w:styleId="NormalWeb">
    <w:name w:val="Normal (Web)"/>
    <w:basedOn w:val="Normal"/>
    <w:uiPriority w:val="99"/>
    <w:rsid w:val="003009C5"/>
    <w:pPr>
      <w:autoSpaceDE w:val="0"/>
      <w:autoSpaceDN w:val="0"/>
      <w:spacing w:before="100" w:after="100"/>
    </w:pPr>
    <w:rPr>
      <w:sz w:val="24"/>
      <w:szCs w:val="24"/>
      <w:lang w:val="en-GB"/>
    </w:rPr>
  </w:style>
  <w:style w:type="paragraph" w:styleId="MapadoDocumento">
    <w:name w:val="Document Map"/>
    <w:basedOn w:val="Normal"/>
    <w:link w:val="MapadoDocumentoChar"/>
    <w:uiPriority w:val="99"/>
    <w:semiHidden/>
    <w:rsid w:val="00810E25"/>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sid w:val="002A0035"/>
    <w:rPr>
      <w:rFonts w:cs="Times New Roman"/>
      <w:sz w:val="2"/>
    </w:rPr>
  </w:style>
  <w:style w:type="character" w:styleId="Forte">
    <w:name w:val="Strong"/>
    <w:basedOn w:val="Fontepargpadro"/>
    <w:uiPriority w:val="22"/>
    <w:qFormat/>
    <w:locked/>
    <w:rsid w:val="00740490"/>
    <w:rPr>
      <w:rFonts w:cs="Times New Roman"/>
      <w:b/>
      <w:bCs/>
    </w:rPr>
  </w:style>
  <w:style w:type="paragraph" w:customStyle="1" w:styleId="EstilodireitaPadroTransparenteBranco">
    <w:name w:val="Estilo À direita Padrão: Transparente (Branco)"/>
    <w:basedOn w:val="Normal"/>
    <w:uiPriority w:val="99"/>
    <w:rsid w:val="00873779"/>
    <w:pPr>
      <w:shd w:val="clear" w:color="auto" w:fill="FFFFFF"/>
      <w:jc w:val="right"/>
    </w:pPr>
    <w:rPr>
      <w:shd w:val="clear" w:color="auto" w:fill="FFFFFF"/>
    </w:rPr>
  </w:style>
  <w:style w:type="paragraph" w:customStyle="1" w:styleId="Reviso1">
    <w:name w:val="Revisão1"/>
    <w:hidden/>
    <w:uiPriority w:val="99"/>
    <w:semiHidden/>
    <w:rsid w:val="00B20F98"/>
    <w:rPr>
      <w:sz w:val="20"/>
      <w:szCs w:val="20"/>
    </w:rPr>
  </w:style>
  <w:style w:type="paragraph" w:customStyle="1" w:styleId="PargrafodaLista1">
    <w:name w:val="Parágrafo da Lista1"/>
    <w:basedOn w:val="Normal"/>
    <w:uiPriority w:val="99"/>
    <w:qFormat/>
    <w:rsid w:val="00B20F98"/>
    <w:pPr>
      <w:ind w:left="708"/>
    </w:pPr>
  </w:style>
  <w:style w:type="paragraph" w:styleId="Textodenotaderodap">
    <w:name w:val="footnote text"/>
    <w:basedOn w:val="Normal"/>
    <w:link w:val="TextodenotaderodapChar"/>
    <w:uiPriority w:val="99"/>
    <w:semiHidden/>
    <w:rsid w:val="00196D9E"/>
    <w:rPr>
      <w:rFonts w:eastAsia="SimSun"/>
      <w:lang w:val="en-GB" w:eastAsia="zh-CN"/>
    </w:rPr>
  </w:style>
  <w:style w:type="character" w:customStyle="1" w:styleId="TextodenotaderodapChar">
    <w:name w:val="Texto de nota de rodapé Char"/>
    <w:basedOn w:val="Fontepargpadro"/>
    <w:link w:val="Textodenotaderodap"/>
    <w:uiPriority w:val="99"/>
    <w:semiHidden/>
    <w:rsid w:val="00196D9E"/>
    <w:rPr>
      <w:rFonts w:eastAsia="SimSun"/>
      <w:sz w:val="20"/>
      <w:szCs w:val="20"/>
      <w:lang w:val="en-GB" w:eastAsia="zh-CN"/>
    </w:rPr>
  </w:style>
  <w:style w:type="character" w:styleId="Refdenotaderodap">
    <w:name w:val="footnote reference"/>
    <w:basedOn w:val="Fontepargpadro"/>
    <w:uiPriority w:val="99"/>
    <w:semiHidden/>
    <w:rsid w:val="00196D9E"/>
    <w:rPr>
      <w:vertAlign w:val="superscript"/>
    </w:rPr>
  </w:style>
  <w:style w:type="character" w:styleId="nfase">
    <w:name w:val="Emphasis"/>
    <w:basedOn w:val="Fontepargpadro"/>
    <w:uiPriority w:val="20"/>
    <w:qFormat/>
    <w:locked/>
    <w:rsid w:val="00D92A4D"/>
    <w:rPr>
      <w:i/>
      <w:iCs/>
    </w:rPr>
  </w:style>
  <w:style w:type="paragraph" w:styleId="SemEspaamento">
    <w:name w:val="No Spacing"/>
    <w:link w:val="SemEspaamentoChar"/>
    <w:uiPriority w:val="1"/>
    <w:qFormat/>
    <w:rsid w:val="00766A1F"/>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766A1F"/>
    <w:rPr>
      <w:rFonts w:asciiTheme="minorHAnsi" w:eastAsiaTheme="minorEastAsia" w:hAnsiTheme="minorHAnsi" w:cstheme="minorBidi"/>
    </w:rPr>
  </w:style>
  <w:style w:type="paragraph" w:customStyle="1" w:styleId="DSLxStyle">
    <w:name w:val="DSLxStyle"/>
    <w:basedOn w:val="Normal"/>
    <w:link w:val="DSLxStyleChar"/>
    <w:rsid w:val="00766A1F"/>
    <w:pPr>
      <w:tabs>
        <w:tab w:val="left" w:pos="2977"/>
      </w:tabs>
      <w:jc w:val="right"/>
    </w:pPr>
    <w:rPr>
      <w:rFonts w:ascii="Georgia" w:eastAsia="SimSun" w:hAnsi="Georgia" w:cs="Arial"/>
      <w:color w:val="666666"/>
      <w:sz w:val="12"/>
      <w:szCs w:val="18"/>
      <w:lang w:eastAsia="zh-CN"/>
    </w:rPr>
  </w:style>
  <w:style w:type="character" w:customStyle="1" w:styleId="DSLxStyleChar">
    <w:name w:val="DSLxStyle Char"/>
    <w:basedOn w:val="Fontepargpadro"/>
    <w:link w:val="DSLxStyle"/>
    <w:rsid w:val="00766A1F"/>
    <w:rPr>
      <w:rFonts w:ascii="Georgia" w:eastAsia="SimSun" w:hAnsi="Georgia" w:cs="Arial"/>
      <w:color w:val="666666"/>
      <w:sz w:val="12"/>
      <w:szCs w:val="18"/>
      <w:lang w:eastAsia="zh-CN"/>
    </w:rPr>
  </w:style>
  <w:style w:type="paragraph" w:styleId="Sumrio1">
    <w:name w:val="toc 1"/>
    <w:basedOn w:val="Normal"/>
    <w:next w:val="Normal"/>
    <w:autoRedefine/>
    <w:uiPriority w:val="39"/>
    <w:qFormat/>
    <w:locked/>
    <w:rsid w:val="00FE5B46"/>
    <w:pPr>
      <w:tabs>
        <w:tab w:val="left" w:pos="600"/>
        <w:tab w:val="right" w:leader="dot" w:pos="9214"/>
      </w:tabs>
      <w:spacing w:before="120"/>
    </w:pPr>
    <w:rPr>
      <w:bCs/>
      <w:caps/>
      <w:noProof/>
    </w:rPr>
  </w:style>
  <w:style w:type="paragraph" w:styleId="Sumrio2">
    <w:name w:val="toc 2"/>
    <w:basedOn w:val="Normal"/>
    <w:next w:val="Normal"/>
    <w:autoRedefine/>
    <w:uiPriority w:val="39"/>
    <w:qFormat/>
    <w:locked/>
    <w:rsid w:val="0089602D"/>
    <w:pPr>
      <w:spacing w:before="240"/>
    </w:pPr>
    <w:rPr>
      <w:rFonts w:asciiTheme="minorHAnsi" w:hAnsiTheme="minorHAnsi"/>
      <w:b/>
      <w:bCs/>
    </w:rPr>
  </w:style>
  <w:style w:type="paragraph" w:styleId="Sumrio3">
    <w:name w:val="toc 3"/>
    <w:basedOn w:val="Normal"/>
    <w:next w:val="Normal"/>
    <w:autoRedefine/>
    <w:uiPriority w:val="39"/>
    <w:qFormat/>
    <w:locked/>
    <w:rsid w:val="0089602D"/>
    <w:pPr>
      <w:ind w:left="200"/>
    </w:pPr>
    <w:rPr>
      <w:rFonts w:asciiTheme="minorHAnsi" w:hAnsiTheme="minorHAnsi"/>
    </w:rPr>
  </w:style>
  <w:style w:type="paragraph" w:styleId="Sumrio4">
    <w:name w:val="toc 4"/>
    <w:basedOn w:val="Normal"/>
    <w:next w:val="Normal"/>
    <w:autoRedefine/>
    <w:locked/>
    <w:rsid w:val="0089602D"/>
    <w:pPr>
      <w:ind w:left="400"/>
    </w:pPr>
    <w:rPr>
      <w:rFonts w:asciiTheme="minorHAnsi" w:hAnsiTheme="minorHAnsi"/>
    </w:rPr>
  </w:style>
  <w:style w:type="paragraph" w:styleId="Sumrio5">
    <w:name w:val="toc 5"/>
    <w:basedOn w:val="Normal"/>
    <w:next w:val="Normal"/>
    <w:autoRedefine/>
    <w:locked/>
    <w:rsid w:val="0089602D"/>
    <w:pPr>
      <w:ind w:left="600"/>
    </w:pPr>
    <w:rPr>
      <w:rFonts w:asciiTheme="minorHAnsi" w:hAnsiTheme="minorHAnsi"/>
    </w:rPr>
  </w:style>
  <w:style w:type="paragraph" w:styleId="Sumrio6">
    <w:name w:val="toc 6"/>
    <w:basedOn w:val="Normal"/>
    <w:next w:val="Normal"/>
    <w:autoRedefine/>
    <w:locked/>
    <w:rsid w:val="0089602D"/>
    <w:pPr>
      <w:ind w:left="800"/>
    </w:pPr>
    <w:rPr>
      <w:rFonts w:asciiTheme="minorHAnsi" w:hAnsiTheme="minorHAnsi"/>
    </w:rPr>
  </w:style>
  <w:style w:type="paragraph" w:styleId="Sumrio7">
    <w:name w:val="toc 7"/>
    <w:basedOn w:val="Normal"/>
    <w:next w:val="Normal"/>
    <w:autoRedefine/>
    <w:locked/>
    <w:rsid w:val="0089602D"/>
    <w:pPr>
      <w:ind w:left="1000"/>
    </w:pPr>
    <w:rPr>
      <w:rFonts w:asciiTheme="minorHAnsi" w:hAnsiTheme="minorHAnsi"/>
    </w:rPr>
  </w:style>
  <w:style w:type="paragraph" w:styleId="Sumrio8">
    <w:name w:val="toc 8"/>
    <w:basedOn w:val="Normal"/>
    <w:next w:val="Normal"/>
    <w:autoRedefine/>
    <w:locked/>
    <w:rsid w:val="0089602D"/>
    <w:pPr>
      <w:ind w:left="1200"/>
    </w:pPr>
    <w:rPr>
      <w:rFonts w:asciiTheme="minorHAnsi" w:hAnsiTheme="minorHAnsi"/>
    </w:rPr>
  </w:style>
  <w:style w:type="paragraph" w:styleId="Sumrio9">
    <w:name w:val="toc 9"/>
    <w:basedOn w:val="Normal"/>
    <w:next w:val="Normal"/>
    <w:autoRedefine/>
    <w:locked/>
    <w:rsid w:val="0089602D"/>
    <w:pPr>
      <w:ind w:left="1400"/>
    </w:pPr>
    <w:rPr>
      <w:rFonts w:asciiTheme="minorHAnsi" w:hAnsiTheme="minorHAnsi"/>
    </w:rPr>
  </w:style>
  <w:style w:type="paragraph" w:styleId="Ttulo">
    <w:name w:val="Title"/>
    <w:basedOn w:val="PargrafodaLista"/>
    <w:next w:val="Normal"/>
    <w:link w:val="TtuloChar"/>
    <w:qFormat/>
    <w:locked/>
    <w:rsid w:val="0089602D"/>
    <w:pPr>
      <w:widowControl w:val="0"/>
      <w:numPr>
        <w:numId w:val="1"/>
      </w:numPr>
      <w:spacing w:line="230" w:lineRule="auto"/>
    </w:pPr>
    <w:rPr>
      <w:b/>
    </w:rPr>
  </w:style>
  <w:style w:type="character" w:customStyle="1" w:styleId="TtuloChar">
    <w:name w:val="Título Char"/>
    <w:basedOn w:val="Fontepargpadro"/>
    <w:link w:val="Ttulo"/>
    <w:rsid w:val="0089602D"/>
    <w:rPr>
      <w:b/>
      <w:sz w:val="20"/>
      <w:szCs w:val="20"/>
    </w:rPr>
  </w:style>
  <w:style w:type="paragraph" w:styleId="Subttulo">
    <w:name w:val="Subtitle"/>
    <w:basedOn w:val="NormalWeb"/>
    <w:next w:val="Normal"/>
    <w:link w:val="SubttuloChar"/>
    <w:qFormat/>
    <w:locked/>
    <w:rsid w:val="0089602D"/>
    <w:pPr>
      <w:widowControl w:val="0"/>
      <w:spacing w:before="0" w:after="0" w:line="230" w:lineRule="auto"/>
      <w:ind w:hanging="709"/>
      <w:contextualSpacing/>
    </w:pPr>
    <w:rPr>
      <w:b/>
      <w:sz w:val="20"/>
      <w:szCs w:val="20"/>
      <w:lang w:val="pt-BR"/>
    </w:rPr>
  </w:style>
  <w:style w:type="character" w:customStyle="1" w:styleId="SubttuloChar">
    <w:name w:val="Subtítulo Char"/>
    <w:basedOn w:val="Fontepargpadro"/>
    <w:link w:val="Subttulo"/>
    <w:rsid w:val="0089602D"/>
    <w:rPr>
      <w:b/>
      <w:sz w:val="20"/>
      <w:szCs w:val="20"/>
    </w:rPr>
  </w:style>
  <w:style w:type="paragraph" w:styleId="CabealhodoSumrio">
    <w:name w:val="TOC Heading"/>
    <w:basedOn w:val="Ttulo1"/>
    <w:next w:val="Normal"/>
    <w:uiPriority w:val="39"/>
    <w:unhideWhenUsed/>
    <w:qFormat/>
    <w:rsid w:val="003C266B"/>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TtulodoLivro">
    <w:name w:val="Book Title"/>
    <w:basedOn w:val="Fontepargpadro"/>
    <w:uiPriority w:val="33"/>
    <w:qFormat/>
    <w:rsid w:val="00245B63"/>
    <w:rPr>
      <w:b/>
      <w:bCs/>
      <w:smallCaps/>
      <w:spacing w:val="5"/>
    </w:rPr>
  </w:style>
  <w:style w:type="paragraph" w:customStyle="1" w:styleId="m497993785789126286western">
    <w:name w:val="m_497993785789126286western"/>
    <w:basedOn w:val="Normal"/>
    <w:rsid w:val="00E41AE2"/>
    <w:pPr>
      <w:spacing w:before="100" w:beforeAutospacing="1" w:after="100" w:afterAutospacing="1"/>
    </w:pPr>
    <w:rPr>
      <w:sz w:val="24"/>
      <w:szCs w:val="24"/>
    </w:rPr>
  </w:style>
  <w:style w:type="paragraph" w:customStyle="1" w:styleId="Default">
    <w:name w:val="Default"/>
    <w:rsid w:val="00A73D2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D1"/>
    <w:rPr>
      <w:sz w:val="20"/>
      <w:szCs w:val="20"/>
    </w:rPr>
  </w:style>
  <w:style w:type="paragraph" w:styleId="Ttulo1">
    <w:name w:val="heading 1"/>
    <w:basedOn w:val="Normal"/>
    <w:next w:val="Normal"/>
    <w:link w:val="Ttulo1Char"/>
    <w:uiPriority w:val="99"/>
    <w:qFormat/>
    <w:rsid w:val="002020EC"/>
    <w:pPr>
      <w:keepNext/>
      <w:jc w:val="center"/>
      <w:outlineLvl w:val="0"/>
    </w:pPr>
    <w:rPr>
      <w:b/>
    </w:rPr>
  </w:style>
  <w:style w:type="paragraph" w:styleId="Ttulo2">
    <w:name w:val="heading 2"/>
    <w:basedOn w:val="Normal"/>
    <w:next w:val="Normal"/>
    <w:link w:val="Ttulo2Char"/>
    <w:uiPriority w:val="99"/>
    <w:qFormat/>
    <w:rsid w:val="002020EC"/>
    <w:pPr>
      <w:keepNext/>
      <w:jc w:val="both"/>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A003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2A0035"/>
    <w:rPr>
      <w:rFonts w:ascii="Cambria" w:hAnsi="Cambria" w:cs="Times New Roman"/>
      <w:b/>
      <w:bCs/>
      <w:i/>
      <w:iCs/>
      <w:sz w:val="28"/>
      <w:szCs w:val="28"/>
    </w:rPr>
  </w:style>
  <w:style w:type="paragraph" w:styleId="Rodap">
    <w:name w:val="footer"/>
    <w:basedOn w:val="Normal"/>
    <w:link w:val="RodapChar"/>
    <w:uiPriority w:val="99"/>
    <w:rsid w:val="002020EC"/>
    <w:pPr>
      <w:tabs>
        <w:tab w:val="center" w:pos="4419"/>
        <w:tab w:val="right" w:pos="8838"/>
      </w:tabs>
    </w:pPr>
  </w:style>
  <w:style w:type="character" w:customStyle="1" w:styleId="RodapChar">
    <w:name w:val="Rodapé Char"/>
    <w:basedOn w:val="Fontepargpadro"/>
    <w:link w:val="Rodap"/>
    <w:uiPriority w:val="99"/>
    <w:locked/>
    <w:rsid w:val="002A0035"/>
    <w:rPr>
      <w:rFonts w:cs="Times New Roman"/>
    </w:rPr>
  </w:style>
  <w:style w:type="character" w:styleId="Nmerodepgina">
    <w:name w:val="page number"/>
    <w:basedOn w:val="Fontepargpadro"/>
    <w:rsid w:val="002020EC"/>
    <w:rPr>
      <w:rFonts w:cs="Times New Roman"/>
    </w:rPr>
  </w:style>
  <w:style w:type="paragraph" w:styleId="Recuodecorpodetexto">
    <w:name w:val="Body Text Indent"/>
    <w:basedOn w:val="Normal"/>
    <w:link w:val="RecuodecorpodetextoChar"/>
    <w:uiPriority w:val="99"/>
    <w:rsid w:val="002020EC"/>
    <w:pPr>
      <w:ind w:left="1065"/>
      <w:jc w:val="both"/>
    </w:pPr>
  </w:style>
  <w:style w:type="character" w:customStyle="1" w:styleId="RecuodecorpodetextoChar">
    <w:name w:val="Recuo de corpo de texto Char"/>
    <w:basedOn w:val="Fontepargpadro"/>
    <w:link w:val="Recuodecorpodetexto"/>
    <w:uiPriority w:val="99"/>
    <w:semiHidden/>
    <w:locked/>
    <w:rsid w:val="002A0035"/>
    <w:rPr>
      <w:rFonts w:cs="Times New Roman"/>
    </w:rPr>
  </w:style>
  <w:style w:type="paragraph" w:styleId="Cabealho">
    <w:name w:val="header"/>
    <w:basedOn w:val="Normal"/>
    <w:link w:val="CabealhoChar"/>
    <w:uiPriority w:val="99"/>
    <w:rsid w:val="002020EC"/>
    <w:pPr>
      <w:tabs>
        <w:tab w:val="center" w:pos="4419"/>
        <w:tab w:val="right" w:pos="8838"/>
      </w:tabs>
    </w:pPr>
  </w:style>
  <w:style w:type="character" w:customStyle="1" w:styleId="CabealhoChar">
    <w:name w:val="Cabeçalho Char"/>
    <w:basedOn w:val="Fontepargpadro"/>
    <w:link w:val="Cabealho"/>
    <w:uiPriority w:val="99"/>
    <w:locked/>
    <w:rsid w:val="002A0035"/>
    <w:rPr>
      <w:rFonts w:cs="Times New Roman"/>
    </w:rPr>
  </w:style>
  <w:style w:type="character" w:styleId="Hyperlink">
    <w:name w:val="Hyperlink"/>
    <w:basedOn w:val="Fontepargpadro"/>
    <w:uiPriority w:val="99"/>
    <w:rsid w:val="007F1D0F"/>
    <w:rPr>
      <w:rFonts w:cs="Times New Roman"/>
      <w:color w:val="0000FF"/>
      <w:u w:val="single"/>
    </w:rPr>
  </w:style>
  <w:style w:type="paragraph" w:styleId="Textodebalo">
    <w:name w:val="Balloon Text"/>
    <w:basedOn w:val="Normal"/>
    <w:link w:val="TextodebaloChar"/>
    <w:uiPriority w:val="99"/>
    <w:semiHidden/>
    <w:rsid w:val="002020EC"/>
    <w:rPr>
      <w:rFonts w:ascii="Tahoma" w:hAnsi="Tahoma" w:cs="Tahoma"/>
      <w:sz w:val="16"/>
      <w:szCs w:val="16"/>
    </w:rPr>
  </w:style>
  <w:style w:type="character" w:customStyle="1" w:styleId="TextodebaloChar">
    <w:name w:val="Texto de balão Char"/>
    <w:basedOn w:val="Fontepargpadro"/>
    <w:link w:val="Textodebalo"/>
    <w:uiPriority w:val="99"/>
    <w:semiHidden/>
    <w:locked/>
    <w:rsid w:val="002A0035"/>
    <w:rPr>
      <w:rFonts w:cs="Times New Roman"/>
      <w:sz w:val="2"/>
    </w:rPr>
  </w:style>
  <w:style w:type="table" w:styleId="Tabelacomgrade">
    <w:name w:val="Table Grid"/>
    <w:basedOn w:val="Tabelanormal"/>
    <w:rsid w:val="004046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009C5"/>
    <w:rPr>
      <w:sz w:val="20"/>
      <w:szCs w:val="20"/>
    </w:rPr>
  </w:style>
  <w:style w:type="character" w:styleId="Refdecomentrio">
    <w:name w:val="annotation reference"/>
    <w:basedOn w:val="Fontepargpadro"/>
    <w:uiPriority w:val="99"/>
    <w:rsid w:val="00F055B8"/>
    <w:rPr>
      <w:rFonts w:cs="Times New Roman"/>
      <w:sz w:val="16"/>
      <w:szCs w:val="16"/>
    </w:rPr>
  </w:style>
  <w:style w:type="paragraph" w:styleId="Textodecomentrio">
    <w:name w:val="annotation text"/>
    <w:basedOn w:val="Normal"/>
    <w:link w:val="TextodecomentrioChar"/>
    <w:uiPriority w:val="99"/>
    <w:rsid w:val="00F055B8"/>
  </w:style>
  <w:style w:type="character" w:customStyle="1" w:styleId="TextodecomentrioChar">
    <w:name w:val="Texto de comentário Char"/>
    <w:basedOn w:val="Fontepargpadro"/>
    <w:link w:val="Textodecomentrio"/>
    <w:uiPriority w:val="99"/>
    <w:locked/>
    <w:rsid w:val="00F055B8"/>
    <w:rPr>
      <w:rFonts w:cs="Times New Roman"/>
    </w:rPr>
  </w:style>
  <w:style w:type="paragraph" w:styleId="Assuntodocomentrio">
    <w:name w:val="annotation subject"/>
    <w:basedOn w:val="Textodecomentrio"/>
    <w:next w:val="Textodecomentrio"/>
    <w:link w:val="AssuntodocomentrioChar"/>
    <w:uiPriority w:val="99"/>
    <w:rsid w:val="00F055B8"/>
    <w:rPr>
      <w:b/>
      <w:bCs/>
    </w:rPr>
  </w:style>
  <w:style w:type="character" w:customStyle="1" w:styleId="AssuntodocomentrioChar">
    <w:name w:val="Assunto do comentário Char"/>
    <w:basedOn w:val="TextodecomentrioChar"/>
    <w:link w:val="Assuntodocomentrio"/>
    <w:uiPriority w:val="99"/>
    <w:locked/>
    <w:rsid w:val="00F055B8"/>
    <w:rPr>
      <w:rFonts w:cs="Times New Roman"/>
      <w:b/>
      <w:bCs/>
    </w:rPr>
  </w:style>
  <w:style w:type="paragraph" w:styleId="PargrafodaLista">
    <w:name w:val="List Paragraph"/>
    <w:basedOn w:val="Normal"/>
    <w:uiPriority w:val="34"/>
    <w:qFormat/>
    <w:rsid w:val="00CA6751"/>
    <w:pPr>
      <w:ind w:left="708"/>
    </w:pPr>
  </w:style>
  <w:style w:type="paragraph" w:styleId="NormalWeb">
    <w:name w:val="Normal (Web)"/>
    <w:basedOn w:val="Normal"/>
    <w:uiPriority w:val="99"/>
    <w:rsid w:val="003009C5"/>
    <w:pPr>
      <w:autoSpaceDE w:val="0"/>
      <w:autoSpaceDN w:val="0"/>
      <w:spacing w:before="100" w:after="100"/>
    </w:pPr>
    <w:rPr>
      <w:sz w:val="24"/>
      <w:szCs w:val="24"/>
      <w:lang w:val="en-GB"/>
    </w:rPr>
  </w:style>
  <w:style w:type="paragraph" w:styleId="MapadoDocumento">
    <w:name w:val="Document Map"/>
    <w:basedOn w:val="Normal"/>
    <w:link w:val="MapadoDocumentoChar"/>
    <w:uiPriority w:val="99"/>
    <w:semiHidden/>
    <w:rsid w:val="00810E25"/>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sid w:val="002A0035"/>
    <w:rPr>
      <w:rFonts w:cs="Times New Roman"/>
      <w:sz w:val="2"/>
    </w:rPr>
  </w:style>
  <w:style w:type="character" w:styleId="Forte">
    <w:name w:val="Strong"/>
    <w:basedOn w:val="Fontepargpadro"/>
    <w:uiPriority w:val="22"/>
    <w:qFormat/>
    <w:locked/>
    <w:rsid w:val="00740490"/>
    <w:rPr>
      <w:rFonts w:cs="Times New Roman"/>
      <w:b/>
      <w:bCs/>
    </w:rPr>
  </w:style>
  <w:style w:type="paragraph" w:customStyle="1" w:styleId="EstilodireitaPadroTransparenteBranco">
    <w:name w:val="Estilo À direita Padrão: Transparente (Branco)"/>
    <w:basedOn w:val="Normal"/>
    <w:uiPriority w:val="99"/>
    <w:rsid w:val="00873779"/>
    <w:pPr>
      <w:shd w:val="clear" w:color="auto" w:fill="FFFFFF"/>
      <w:jc w:val="right"/>
    </w:pPr>
    <w:rPr>
      <w:shd w:val="clear" w:color="auto" w:fill="FFFFFF"/>
    </w:rPr>
  </w:style>
  <w:style w:type="paragraph" w:customStyle="1" w:styleId="Reviso1">
    <w:name w:val="Revisão1"/>
    <w:hidden/>
    <w:uiPriority w:val="99"/>
    <w:semiHidden/>
    <w:rsid w:val="00B20F98"/>
    <w:rPr>
      <w:sz w:val="20"/>
      <w:szCs w:val="20"/>
    </w:rPr>
  </w:style>
  <w:style w:type="paragraph" w:customStyle="1" w:styleId="PargrafodaLista1">
    <w:name w:val="Parágrafo da Lista1"/>
    <w:basedOn w:val="Normal"/>
    <w:uiPriority w:val="99"/>
    <w:qFormat/>
    <w:rsid w:val="00B20F98"/>
    <w:pPr>
      <w:ind w:left="708"/>
    </w:pPr>
  </w:style>
  <w:style w:type="paragraph" w:styleId="Textodenotaderodap">
    <w:name w:val="footnote text"/>
    <w:basedOn w:val="Normal"/>
    <w:link w:val="TextodenotaderodapChar"/>
    <w:uiPriority w:val="99"/>
    <w:semiHidden/>
    <w:rsid w:val="00196D9E"/>
    <w:rPr>
      <w:rFonts w:eastAsia="SimSun"/>
      <w:lang w:val="en-GB" w:eastAsia="zh-CN"/>
    </w:rPr>
  </w:style>
  <w:style w:type="character" w:customStyle="1" w:styleId="TextodenotaderodapChar">
    <w:name w:val="Texto de nota de rodapé Char"/>
    <w:basedOn w:val="Fontepargpadro"/>
    <w:link w:val="Textodenotaderodap"/>
    <w:uiPriority w:val="99"/>
    <w:semiHidden/>
    <w:rsid w:val="00196D9E"/>
    <w:rPr>
      <w:rFonts w:eastAsia="SimSun"/>
      <w:sz w:val="20"/>
      <w:szCs w:val="20"/>
      <w:lang w:val="en-GB" w:eastAsia="zh-CN"/>
    </w:rPr>
  </w:style>
  <w:style w:type="character" w:styleId="Refdenotaderodap">
    <w:name w:val="footnote reference"/>
    <w:basedOn w:val="Fontepargpadro"/>
    <w:uiPriority w:val="99"/>
    <w:semiHidden/>
    <w:rsid w:val="00196D9E"/>
    <w:rPr>
      <w:vertAlign w:val="superscript"/>
    </w:rPr>
  </w:style>
  <w:style w:type="character" w:styleId="nfase">
    <w:name w:val="Emphasis"/>
    <w:basedOn w:val="Fontepargpadro"/>
    <w:uiPriority w:val="20"/>
    <w:qFormat/>
    <w:locked/>
    <w:rsid w:val="00D92A4D"/>
    <w:rPr>
      <w:i/>
      <w:iCs/>
    </w:rPr>
  </w:style>
  <w:style w:type="paragraph" w:styleId="SemEspaamento">
    <w:name w:val="No Spacing"/>
    <w:link w:val="SemEspaamentoChar"/>
    <w:uiPriority w:val="1"/>
    <w:qFormat/>
    <w:rsid w:val="00766A1F"/>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766A1F"/>
    <w:rPr>
      <w:rFonts w:asciiTheme="minorHAnsi" w:eastAsiaTheme="minorEastAsia" w:hAnsiTheme="minorHAnsi" w:cstheme="minorBidi"/>
    </w:rPr>
  </w:style>
  <w:style w:type="paragraph" w:customStyle="1" w:styleId="DSLxStyle">
    <w:name w:val="DSLxStyle"/>
    <w:basedOn w:val="Normal"/>
    <w:link w:val="DSLxStyleChar"/>
    <w:rsid w:val="00766A1F"/>
    <w:pPr>
      <w:tabs>
        <w:tab w:val="left" w:pos="2977"/>
      </w:tabs>
      <w:jc w:val="right"/>
    </w:pPr>
    <w:rPr>
      <w:rFonts w:ascii="Georgia" w:eastAsia="SimSun" w:hAnsi="Georgia" w:cs="Arial"/>
      <w:color w:val="666666"/>
      <w:sz w:val="12"/>
      <w:szCs w:val="18"/>
      <w:lang w:eastAsia="zh-CN"/>
    </w:rPr>
  </w:style>
  <w:style w:type="character" w:customStyle="1" w:styleId="DSLxStyleChar">
    <w:name w:val="DSLxStyle Char"/>
    <w:basedOn w:val="Fontepargpadro"/>
    <w:link w:val="DSLxStyle"/>
    <w:rsid w:val="00766A1F"/>
    <w:rPr>
      <w:rFonts w:ascii="Georgia" w:eastAsia="SimSun" w:hAnsi="Georgia" w:cs="Arial"/>
      <w:color w:val="666666"/>
      <w:sz w:val="12"/>
      <w:szCs w:val="18"/>
      <w:lang w:eastAsia="zh-CN"/>
    </w:rPr>
  </w:style>
  <w:style w:type="paragraph" w:styleId="Sumrio1">
    <w:name w:val="toc 1"/>
    <w:basedOn w:val="Normal"/>
    <w:next w:val="Normal"/>
    <w:autoRedefine/>
    <w:uiPriority w:val="39"/>
    <w:qFormat/>
    <w:locked/>
    <w:rsid w:val="00FE5B46"/>
    <w:pPr>
      <w:tabs>
        <w:tab w:val="left" w:pos="600"/>
        <w:tab w:val="right" w:leader="dot" w:pos="9214"/>
      </w:tabs>
      <w:spacing w:before="120"/>
    </w:pPr>
    <w:rPr>
      <w:bCs/>
      <w:caps/>
      <w:noProof/>
    </w:rPr>
  </w:style>
  <w:style w:type="paragraph" w:styleId="Sumrio2">
    <w:name w:val="toc 2"/>
    <w:basedOn w:val="Normal"/>
    <w:next w:val="Normal"/>
    <w:autoRedefine/>
    <w:uiPriority w:val="39"/>
    <w:qFormat/>
    <w:locked/>
    <w:rsid w:val="0089602D"/>
    <w:pPr>
      <w:spacing w:before="240"/>
    </w:pPr>
    <w:rPr>
      <w:rFonts w:asciiTheme="minorHAnsi" w:hAnsiTheme="minorHAnsi"/>
      <w:b/>
      <w:bCs/>
    </w:rPr>
  </w:style>
  <w:style w:type="paragraph" w:styleId="Sumrio3">
    <w:name w:val="toc 3"/>
    <w:basedOn w:val="Normal"/>
    <w:next w:val="Normal"/>
    <w:autoRedefine/>
    <w:uiPriority w:val="39"/>
    <w:qFormat/>
    <w:locked/>
    <w:rsid w:val="0089602D"/>
    <w:pPr>
      <w:ind w:left="200"/>
    </w:pPr>
    <w:rPr>
      <w:rFonts w:asciiTheme="minorHAnsi" w:hAnsiTheme="minorHAnsi"/>
    </w:rPr>
  </w:style>
  <w:style w:type="paragraph" w:styleId="Sumrio4">
    <w:name w:val="toc 4"/>
    <w:basedOn w:val="Normal"/>
    <w:next w:val="Normal"/>
    <w:autoRedefine/>
    <w:locked/>
    <w:rsid w:val="0089602D"/>
    <w:pPr>
      <w:ind w:left="400"/>
    </w:pPr>
    <w:rPr>
      <w:rFonts w:asciiTheme="minorHAnsi" w:hAnsiTheme="minorHAnsi"/>
    </w:rPr>
  </w:style>
  <w:style w:type="paragraph" w:styleId="Sumrio5">
    <w:name w:val="toc 5"/>
    <w:basedOn w:val="Normal"/>
    <w:next w:val="Normal"/>
    <w:autoRedefine/>
    <w:locked/>
    <w:rsid w:val="0089602D"/>
    <w:pPr>
      <w:ind w:left="600"/>
    </w:pPr>
    <w:rPr>
      <w:rFonts w:asciiTheme="minorHAnsi" w:hAnsiTheme="minorHAnsi"/>
    </w:rPr>
  </w:style>
  <w:style w:type="paragraph" w:styleId="Sumrio6">
    <w:name w:val="toc 6"/>
    <w:basedOn w:val="Normal"/>
    <w:next w:val="Normal"/>
    <w:autoRedefine/>
    <w:locked/>
    <w:rsid w:val="0089602D"/>
    <w:pPr>
      <w:ind w:left="800"/>
    </w:pPr>
    <w:rPr>
      <w:rFonts w:asciiTheme="minorHAnsi" w:hAnsiTheme="minorHAnsi"/>
    </w:rPr>
  </w:style>
  <w:style w:type="paragraph" w:styleId="Sumrio7">
    <w:name w:val="toc 7"/>
    <w:basedOn w:val="Normal"/>
    <w:next w:val="Normal"/>
    <w:autoRedefine/>
    <w:locked/>
    <w:rsid w:val="0089602D"/>
    <w:pPr>
      <w:ind w:left="1000"/>
    </w:pPr>
    <w:rPr>
      <w:rFonts w:asciiTheme="minorHAnsi" w:hAnsiTheme="minorHAnsi"/>
    </w:rPr>
  </w:style>
  <w:style w:type="paragraph" w:styleId="Sumrio8">
    <w:name w:val="toc 8"/>
    <w:basedOn w:val="Normal"/>
    <w:next w:val="Normal"/>
    <w:autoRedefine/>
    <w:locked/>
    <w:rsid w:val="0089602D"/>
    <w:pPr>
      <w:ind w:left="1200"/>
    </w:pPr>
    <w:rPr>
      <w:rFonts w:asciiTheme="minorHAnsi" w:hAnsiTheme="minorHAnsi"/>
    </w:rPr>
  </w:style>
  <w:style w:type="paragraph" w:styleId="Sumrio9">
    <w:name w:val="toc 9"/>
    <w:basedOn w:val="Normal"/>
    <w:next w:val="Normal"/>
    <w:autoRedefine/>
    <w:locked/>
    <w:rsid w:val="0089602D"/>
    <w:pPr>
      <w:ind w:left="1400"/>
    </w:pPr>
    <w:rPr>
      <w:rFonts w:asciiTheme="minorHAnsi" w:hAnsiTheme="minorHAnsi"/>
    </w:rPr>
  </w:style>
  <w:style w:type="paragraph" w:styleId="Ttulo">
    <w:name w:val="Title"/>
    <w:basedOn w:val="PargrafodaLista"/>
    <w:next w:val="Normal"/>
    <w:link w:val="TtuloChar"/>
    <w:qFormat/>
    <w:locked/>
    <w:rsid w:val="0089602D"/>
    <w:pPr>
      <w:widowControl w:val="0"/>
      <w:numPr>
        <w:numId w:val="1"/>
      </w:numPr>
      <w:spacing w:line="230" w:lineRule="auto"/>
    </w:pPr>
    <w:rPr>
      <w:b/>
    </w:rPr>
  </w:style>
  <w:style w:type="character" w:customStyle="1" w:styleId="TtuloChar">
    <w:name w:val="Título Char"/>
    <w:basedOn w:val="Fontepargpadro"/>
    <w:link w:val="Ttulo"/>
    <w:rsid w:val="0089602D"/>
    <w:rPr>
      <w:b/>
      <w:sz w:val="20"/>
      <w:szCs w:val="20"/>
    </w:rPr>
  </w:style>
  <w:style w:type="paragraph" w:styleId="Subttulo">
    <w:name w:val="Subtitle"/>
    <w:basedOn w:val="NormalWeb"/>
    <w:next w:val="Normal"/>
    <w:link w:val="SubttuloChar"/>
    <w:qFormat/>
    <w:locked/>
    <w:rsid w:val="0089602D"/>
    <w:pPr>
      <w:widowControl w:val="0"/>
      <w:spacing w:before="0" w:after="0" w:line="230" w:lineRule="auto"/>
      <w:ind w:hanging="709"/>
      <w:contextualSpacing/>
    </w:pPr>
    <w:rPr>
      <w:b/>
      <w:sz w:val="20"/>
      <w:szCs w:val="20"/>
      <w:lang w:val="pt-BR"/>
    </w:rPr>
  </w:style>
  <w:style w:type="character" w:customStyle="1" w:styleId="SubttuloChar">
    <w:name w:val="Subtítulo Char"/>
    <w:basedOn w:val="Fontepargpadro"/>
    <w:link w:val="Subttulo"/>
    <w:rsid w:val="0089602D"/>
    <w:rPr>
      <w:b/>
      <w:sz w:val="20"/>
      <w:szCs w:val="20"/>
    </w:rPr>
  </w:style>
  <w:style w:type="paragraph" w:styleId="CabealhodoSumrio">
    <w:name w:val="TOC Heading"/>
    <w:basedOn w:val="Ttulo1"/>
    <w:next w:val="Normal"/>
    <w:uiPriority w:val="39"/>
    <w:unhideWhenUsed/>
    <w:qFormat/>
    <w:rsid w:val="003C266B"/>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TtulodoLivro">
    <w:name w:val="Book Title"/>
    <w:basedOn w:val="Fontepargpadro"/>
    <w:uiPriority w:val="33"/>
    <w:qFormat/>
    <w:rsid w:val="00245B63"/>
    <w:rPr>
      <w:b/>
      <w:bCs/>
      <w:smallCaps/>
      <w:spacing w:val="5"/>
    </w:rPr>
  </w:style>
  <w:style w:type="paragraph" w:customStyle="1" w:styleId="m497993785789126286western">
    <w:name w:val="m_497993785789126286western"/>
    <w:basedOn w:val="Normal"/>
    <w:rsid w:val="00E41AE2"/>
    <w:pPr>
      <w:spacing w:before="100" w:beforeAutospacing="1" w:after="100" w:afterAutospacing="1"/>
    </w:pPr>
    <w:rPr>
      <w:sz w:val="24"/>
      <w:szCs w:val="24"/>
    </w:rPr>
  </w:style>
  <w:style w:type="paragraph" w:customStyle="1" w:styleId="Default">
    <w:name w:val="Default"/>
    <w:rsid w:val="00A73D2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827">
      <w:bodyDiv w:val="1"/>
      <w:marLeft w:val="0"/>
      <w:marRight w:val="0"/>
      <w:marTop w:val="0"/>
      <w:marBottom w:val="0"/>
      <w:divBdr>
        <w:top w:val="none" w:sz="0" w:space="0" w:color="auto"/>
        <w:left w:val="none" w:sz="0" w:space="0" w:color="auto"/>
        <w:bottom w:val="none" w:sz="0" w:space="0" w:color="auto"/>
        <w:right w:val="none" w:sz="0" w:space="0" w:color="auto"/>
      </w:divBdr>
    </w:div>
    <w:div w:id="24983514">
      <w:bodyDiv w:val="1"/>
      <w:marLeft w:val="0"/>
      <w:marRight w:val="0"/>
      <w:marTop w:val="0"/>
      <w:marBottom w:val="0"/>
      <w:divBdr>
        <w:top w:val="none" w:sz="0" w:space="0" w:color="auto"/>
        <w:left w:val="none" w:sz="0" w:space="0" w:color="auto"/>
        <w:bottom w:val="none" w:sz="0" w:space="0" w:color="auto"/>
        <w:right w:val="none" w:sz="0" w:space="0" w:color="auto"/>
      </w:divBdr>
    </w:div>
    <w:div w:id="31730931">
      <w:bodyDiv w:val="1"/>
      <w:marLeft w:val="0"/>
      <w:marRight w:val="0"/>
      <w:marTop w:val="0"/>
      <w:marBottom w:val="0"/>
      <w:divBdr>
        <w:top w:val="none" w:sz="0" w:space="0" w:color="auto"/>
        <w:left w:val="none" w:sz="0" w:space="0" w:color="auto"/>
        <w:bottom w:val="none" w:sz="0" w:space="0" w:color="auto"/>
        <w:right w:val="none" w:sz="0" w:space="0" w:color="auto"/>
      </w:divBdr>
    </w:div>
    <w:div w:id="48697739">
      <w:bodyDiv w:val="1"/>
      <w:marLeft w:val="0"/>
      <w:marRight w:val="0"/>
      <w:marTop w:val="0"/>
      <w:marBottom w:val="0"/>
      <w:divBdr>
        <w:top w:val="none" w:sz="0" w:space="0" w:color="auto"/>
        <w:left w:val="none" w:sz="0" w:space="0" w:color="auto"/>
        <w:bottom w:val="none" w:sz="0" w:space="0" w:color="auto"/>
        <w:right w:val="none" w:sz="0" w:space="0" w:color="auto"/>
      </w:divBdr>
    </w:div>
    <w:div w:id="56175641">
      <w:bodyDiv w:val="1"/>
      <w:marLeft w:val="0"/>
      <w:marRight w:val="0"/>
      <w:marTop w:val="0"/>
      <w:marBottom w:val="0"/>
      <w:divBdr>
        <w:top w:val="none" w:sz="0" w:space="0" w:color="auto"/>
        <w:left w:val="none" w:sz="0" w:space="0" w:color="auto"/>
        <w:bottom w:val="none" w:sz="0" w:space="0" w:color="auto"/>
        <w:right w:val="none" w:sz="0" w:space="0" w:color="auto"/>
      </w:divBdr>
    </w:div>
    <w:div w:id="71662042">
      <w:bodyDiv w:val="1"/>
      <w:marLeft w:val="0"/>
      <w:marRight w:val="0"/>
      <w:marTop w:val="0"/>
      <w:marBottom w:val="0"/>
      <w:divBdr>
        <w:top w:val="none" w:sz="0" w:space="0" w:color="auto"/>
        <w:left w:val="none" w:sz="0" w:space="0" w:color="auto"/>
        <w:bottom w:val="none" w:sz="0" w:space="0" w:color="auto"/>
        <w:right w:val="none" w:sz="0" w:space="0" w:color="auto"/>
      </w:divBdr>
    </w:div>
    <w:div w:id="116992397">
      <w:bodyDiv w:val="1"/>
      <w:marLeft w:val="0"/>
      <w:marRight w:val="0"/>
      <w:marTop w:val="0"/>
      <w:marBottom w:val="0"/>
      <w:divBdr>
        <w:top w:val="none" w:sz="0" w:space="0" w:color="auto"/>
        <w:left w:val="none" w:sz="0" w:space="0" w:color="auto"/>
        <w:bottom w:val="none" w:sz="0" w:space="0" w:color="auto"/>
        <w:right w:val="none" w:sz="0" w:space="0" w:color="auto"/>
      </w:divBdr>
    </w:div>
    <w:div w:id="123086339">
      <w:bodyDiv w:val="1"/>
      <w:marLeft w:val="0"/>
      <w:marRight w:val="0"/>
      <w:marTop w:val="0"/>
      <w:marBottom w:val="0"/>
      <w:divBdr>
        <w:top w:val="none" w:sz="0" w:space="0" w:color="auto"/>
        <w:left w:val="none" w:sz="0" w:space="0" w:color="auto"/>
        <w:bottom w:val="none" w:sz="0" w:space="0" w:color="auto"/>
        <w:right w:val="none" w:sz="0" w:space="0" w:color="auto"/>
      </w:divBdr>
    </w:div>
    <w:div w:id="128940908">
      <w:bodyDiv w:val="1"/>
      <w:marLeft w:val="0"/>
      <w:marRight w:val="0"/>
      <w:marTop w:val="0"/>
      <w:marBottom w:val="0"/>
      <w:divBdr>
        <w:top w:val="none" w:sz="0" w:space="0" w:color="auto"/>
        <w:left w:val="none" w:sz="0" w:space="0" w:color="auto"/>
        <w:bottom w:val="none" w:sz="0" w:space="0" w:color="auto"/>
        <w:right w:val="none" w:sz="0" w:space="0" w:color="auto"/>
      </w:divBdr>
    </w:div>
    <w:div w:id="136191949">
      <w:bodyDiv w:val="1"/>
      <w:marLeft w:val="0"/>
      <w:marRight w:val="0"/>
      <w:marTop w:val="0"/>
      <w:marBottom w:val="0"/>
      <w:divBdr>
        <w:top w:val="none" w:sz="0" w:space="0" w:color="auto"/>
        <w:left w:val="none" w:sz="0" w:space="0" w:color="auto"/>
        <w:bottom w:val="none" w:sz="0" w:space="0" w:color="auto"/>
        <w:right w:val="none" w:sz="0" w:space="0" w:color="auto"/>
      </w:divBdr>
    </w:div>
    <w:div w:id="143206126">
      <w:bodyDiv w:val="1"/>
      <w:marLeft w:val="0"/>
      <w:marRight w:val="0"/>
      <w:marTop w:val="0"/>
      <w:marBottom w:val="0"/>
      <w:divBdr>
        <w:top w:val="none" w:sz="0" w:space="0" w:color="auto"/>
        <w:left w:val="none" w:sz="0" w:space="0" w:color="auto"/>
        <w:bottom w:val="none" w:sz="0" w:space="0" w:color="auto"/>
        <w:right w:val="none" w:sz="0" w:space="0" w:color="auto"/>
      </w:divBdr>
    </w:div>
    <w:div w:id="145560137">
      <w:bodyDiv w:val="1"/>
      <w:marLeft w:val="0"/>
      <w:marRight w:val="0"/>
      <w:marTop w:val="0"/>
      <w:marBottom w:val="0"/>
      <w:divBdr>
        <w:top w:val="none" w:sz="0" w:space="0" w:color="auto"/>
        <w:left w:val="none" w:sz="0" w:space="0" w:color="auto"/>
        <w:bottom w:val="none" w:sz="0" w:space="0" w:color="auto"/>
        <w:right w:val="none" w:sz="0" w:space="0" w:color="auto"/>
      </w:divBdr>
    </w:div>
    <w:div w:id="169490743">
      <w:bodyDiv w:val="1"/>
      <w:marLeft w:val="0"/>
      <w:marRight w:val="0"/>
      <w:marTop w:val="0"/>
      <w:marBottom w:val="0"/>
      <w:divBdr>
        <w:top w:val="none" w:sz="0" w:space="0" w:color="auto"/>
        <w:left w:val="none" w:sz="0" w:space="0" w:color="auto"/>
        <w:bottom w:val="none" w:sz="0" w:space="0" w:color="auto"/>
        <w:right w:val="none" w:sz="0" w:space="0" w:color="auto"/>
      </w:divBdr>
    </w:div>
    <w:div w:id="197395459">
      <w:bodyDiv w:val="1"/>
      <w:marLeft w:val="0"/>
      <w:marRight w:val="0"/>
      <w:marTop w:val="0"/>
      <w:marBottom w:val="0"/>
      <w:divBdr>
        <w:top w:val="none" w:sz="0" w:space="0" w:color="auto"/>
        <w:left w:val="none" w:sz="0" w:space="0" w:color="auto"/>
        <w:bottom w:val="none" w:sz="0" w:space="0" w:color="auto"/>
        <w:right w:val="none" w:sz="0" w:space="0" w:color="auto"/>
      </w:divBdr>
    </w:div>
    <w:div w:id="199243516">
      <w:bodyDiv w:val="1"/>
      <w:marLeft w:val="0"/>
      <w:marRight w:val="0"/>
      <w:marTop w:val="0"/>
      <w:marBottom w:val="0"/>
      <w:divBdr>
        <w:top w:val="none" w:sz="0" w:space="0" w:color="auto"/>
        <w:left w:val="none" w:sz="0" w:space="0" w:color="auto"/>
        <w:bottom w:val="none" w:sz="0" w:space="0" w:color="auto"/>
        <w:right w:val="none" w:sz="0" w:space="0" w:color="auto"/>
      </w:divBdr>
    </w:div>
    <w:div w:id="201674674">
      <w:bodyDiv w:val="1"/>
      <w:marLeft w:val="0"/>
      <w:marRight w:val="0"/>
      <w:marTop w:val="0"/>
      <w:marBottom w:val="0"/>
      <w:divBdr>
        <w:top w:val="none" w:sz="0" w:space="0" w:color="auto"/>
        <w:left w:val="none" w:sz="0" w:space="0" w:color="auto"/>
        <w:bottom w:val="none" w:sz="0" w:space="0" w:color="auto"/>
        <w:right w:val="none" w:sz="0" w:space="0" w:color="auto"/>
      </w:divBdr>
    </w:div>
    <w:div w:id="210193209">
      <w:bodyDiv w:val="1"/>
      <w:marLeft w:val="0"/>
      <w:marRight w:val="0"/>
      <w:marTop w:val="0"/>
      <w:marBottom w:val="0"/>
      <w:divBdr>
        <w:top w:val="none" w:sz="0" w:space="0" w:color="auto"/>
        <w:left w:val="none" w:sz="0" w:space="0" w:color="auto"/>
        <w:bottom w:val="none" w:sz="0" w:space="0" w:color="auto"/>
        <w:right w:val="none" w:sz="0" w:space="0" w:color="auto"/>
      </w:divBdr>
    </w:div>
    <w:div w:id="232812205">
      <w:bodyDiv w:val="1"/>
      <w:marLeft w:val="0"/>
      <w:marRight w:val="0"/>
      <w:marTop w:val="0"/>
      <w:marBottom w:val="0"/>
      <w:divBdr>
        <w:top w:val="none" w:sz="0" w:space="0" w:color="auto"/>
        <w:left w:val="none" w:sz="0" w:space="0" w:color="auto"/>
        <w:bottom w:val="none" w:sz="0" w:space="0" w:color="auto"/>
        <w:right w:val="none" w:sz="0" w:space="0" w:color="auto"/>
      </w:divBdr>
    </w:div>
    <w:div w:id="235088035">
      <w:bodyDiv w:val="1"/>
      <w:marLeft w:val="0"/>
      <w:marRight w:val="0"/>
      <w:marTop w:val="0"/>
      <w:marBottom w:val="0"/>
      <w:divBdr>
        <w:top w:val="none" w:sz="0" w:space="0" w:color="auto"/>
        <w:left w:val="none" w:sz="0" w:space="0" w:color="auto"/>
        <w:bottom w:val="none" w:sz="0" w:space="0" w:color="auto"/>
        <w:right w:val="none" w:sz="0" w:space="0" w:color="auto"/>
      </w:divBdr>
    </w:div>
    <w:div w:id="237442258">
      <w:bodyDiv w:val="1"/>
      <w:marLeft w:val="0"/>
      <w:marRight w:val="0"/>
      <w:marTop w:val="0"/>
      <w:marBottom w:val="0"/>
      <w:divBdr>
        <w:top w:val="none" w:sz="0" w:space="0" w:color="auto"/>
        <w:left w:val="none" w:sz="0" w:space="0" w:color="auto"/>
        <w:bottom w:val="none" w:sz="0" w:space="0" w:color="auto"/>
        <w:right w:val="none" w:sz="0" w:space="0" w:color="auto"/>
      </w:divBdr>
    </w:div>
    <w:div w:id="268894360">
      <w:bodyDiv w:val="1"/>
      <w:marLeft w:val="0"/>
      <w:marRight w:val="0"/>
      <w:marTop w:val="0"/>
      <w:marBottom w:val="0"/>
      <w:divBdr>
        <w:top w:val="none" w:sz="0" w:space="0" w:color="auto"/>
        <w:left w:val="none" w:sz="0" w:space="0" w:color="auto"/>
        <w:bottom w:val="none" w:sz="0" w:space="0" w:color="auto"/>
        <w:right w:val="none" w:sz="0" w:space="0" w:color="auto"/>
      </w:divBdr>
    </w:div>
    <w:div w:id="279994291">
      <w:bodyDiv w:val="1"/>
      <w:marLeft w:val="0"/>
      <w:marRight w:val="0"/>
      <w:marTop w:val="0"/>
      <w:marBottom w:val="0"/>
      <w:divBdr>
        <w:top w:val="none" w:sz="0" w:space="0" w:color="auto"/>
        <w:left w:val="none" w:sz="0" w:space="0" w:color="auto"/>
        <w:bottom w:val="none" w:sz="0" w:space="0" w:color="auto"/>
        <w:right w:val="none" w:sz="0" w:space="0" w:color="auto"/>
      </w:divBdr>
    </w:div>
    <w:div w:id="291788592">
      <w:bodyDiv w:val="1"/>
      <w:marLeft w:val="0"/>
      <w:marRight w:val="0"/>
      <w:marTop w:val="0"/>
      <w:marBottom w:val="0"/>
      <w:divBdr>
        <w:top w:val="none" w:sz="0" w:space="0" w:color="auto"/>
        <w:left w:val="none" w:sz="0" w:space="0" w:color="auto"/>
        <w:bottom w:val="none" w:sz="0" w:space="0" w:color="auto"/>
        <w:right w:val="none" w:sz="0" w:space="0" w:color="auto"/>
      </w:divBdr>
    </w:div>
    <w:div w:id="311327826">
      <w:bodyDiv w:val="1"/>
      <w:marLeft w:val="0"/>
      <w:marRight w:val="0"/>
      <w:marTop w:val="0"/>
      <w:marBottom w:val="0"/>
      <w:divBdr>
        <w:top w:val="none" w:sz="0" w:space="0" w:color="auto"/>
        <w:left w:val="none" w:sz="0" w:space="0" w:color="auto"/>
        <w:bottom w:val="none" w:sz="0" w:space="0" w:color="auto"/>
        <w:right w:val="none" w:sz="0" w:space="0" w:color="auto"/>
      </w:divBdr>
    </w:div>
    <w:div w:id="321082991">
      <w:bodyDiv w:val="1"/>
      <w:marLeft w:val="0"/>
      <w:marRight w:val="0"/>
      <w:marTop w:val="0"/>
      <w:marBottom w:val="0"/>
      <w:divBdr>
        <w:top w:val="none" w:sz="0" w:space="0" w:color="auto"/>
        <w:left w:val="none" w:sz="0" w:space="0" w:color="auto"/>
        <w:bottom w:val="none" w:sz="0" w:space="0" w:color="auto"/>
        <w:right w:val="none" w:sz="0" w:space="0" w:color="auto"/>
      </w:divBdr>
    </w:div>
    <w:div w:id="335424491">
      <w:bodyDiv w:val="1"/>
      <w:marLeft w:val="0"/>
      <w:marRight w:val="0"/>
      <w:marTop w:val="0"/>
      <w:marBottom w:val="0"/>
      <w:divBdr>
        <w:top w:val="none" w:sz="0" w:space="0" w:color="auto"/>
        <w:left w:val="none" w:sz="0" w:space="0" w:color="auto"/>
        <w:bottom w:val="none" w:sz="0" w:space="0" w:color="auto"/>
        <w:right w:val="none" w:sz="0" w:space="0" w:color="auto"/>
      </w:divBdr>
    </w:div>
    <w:div w:id="336008384">
      <w:bodyDiv w:val="1"/>
      <w:marLeft w:val="0"/>
      <w:marRight w:val="0"/>
      <w:marTop w:val="0"/>
      <w:marBottom w:val="0"/>
      <w:divBdr>
        <w:top w:val="none" w:sz="0" w:space="0" w:color="auto"/>
        <w:left w:val="none" w:sz="0" w:space="0" w:color="auto"/>
        <w:bottom w:val="none" w:sz="0" w:space="0" w:color="auto"/>
        <w:right w:val="none" w:sz="0" w:space="0" w:color="auto"/>
      </w:divBdr>
    </w:div>
    <w:div w:id="340201393">
      <w:bodyDiv w:val="1"/>
      <w:marLeft w:val="0"/>
      <w:marRight w:val="0"/>
      <w:marTop w:val="0"/>
      <w:marBottom w:val="0"/>
      <w:divBdr>
        <w:top w:val="none" w:sz="0" w:space="0" w:color="auto"/>
        <w:left w:val="none" w:sz="0" w:space="0" w:color="auto"/>
        <w:bottom w:val="none" w:sz="0" w:space="0" w:color="auto"/>
        <w:right w:val="none" w:sz="0" w:space="0" w:color="auto"/>
      </w:divBdr>
    </w:div>
    <w:div w:id="347680900">
      <w:bodyDiv w:val="1"/>
      <w:marLeft w:val="0"/>
      <w:marRight w:val="0"/>
      <w:marTop w:val="0"/>
      <w:marBottom w:val="0"/>
      <w:divBdr>
        <w:top w:val="none" w:sz="0" w:space="0" w:color="auto"/>
        <w:left w:val="none" w:sz="0" w:space="0" w:color="auto"/>
        <w:bottom w:val="none" w:sz="0" w:space="0" w:color="auto"/>
        <w:right w:val="none" w:sz="0" w:space="0" w:color="auto"/>
      </w:divBdr>
    </w:div>
    <w:div w:id="350835229">
      <w:bodyDiv w:val="1"/>
      <w:marLeft w:val="0"/>
      <w:marRight w:val="0"/>
      <w:marTop w:val="0"/>
      <w:marBottom w:val="0"/>
      <w:divBdr>
        <w:top w:val="none" w:sz="0" w:space="0" w:color="auto"/>
        <w:left w:val="none" w:sz="0" w:space="0" w:color="auto"/>
        <w:bottom w:val="none" w:sz="0" w:space="0" w:color="auto"/>
        <w:right w:val="none" w:sz="0" w:space="0" w:color="auto"/>
      </w:divBdr>
    </w:div>
    <w:div w:id="357586126">
      <w:bodyDiv w:val="1"/>
      <w:marLeft w:val="0"/>
      <w:marRight w:val="0"/>
      <w:marTop w:val="0"/>
      <w:marBottom w:val="0"/>
      <w:divBdr>
        <w:top w:val="none" w:sz="0" w:space="0" w:color="auto"/>
        <w:left w:val="none" w:sz="0" w:space="0" w:color="auto"/>
        <w:bottom w:val="none" w:sz="0" w:space="0" w:color="auto"/>
        <w:right w:val="none" w:sz="0" w:space="0" w:color="auto"/>
      </w:divBdr>
    </w:div>
    <w:div w:id="361437357">
      <w:bodyDiv w:val="1"/>
      <w:marLeft w:val="0"/>
      <w:marRight w:val="0"/>
      <w:marTop w:val="0"/>
      <w:marBottom w:val="0"/>
      <w:divBdr>
        <w:top w:val="none" w:sz="0" w:space="0" w:color="auto"/>
        <w:left w:val="none" w:sz="0" w:space="0" w:color="auto"/>
        <w:bottom w:val="none" w:sz="0" w:space="0" w:color="auto"/>
        <w:right w:val="none" w:sz="0" w:space="0" w:color="auto"/>
      </w:divBdr>
    </w:div>
    <w:div w:id="406999364">
      <w:bodyDiv w:val="1"/>
      <w:marLeft w:val="0"/>
      <w:marRight w:val="0"/>
      <w:marTop w:val="0"/>
      <w:marBottom w:val="0"/>
      <w:divBdr>
        <w:top w:val="none" w:sz="0" w:space="0" w:color="auto"/>
        <w:left w:val="none" w:sz="0" w:space="0" w:color="auto"/>
        <w:bottom w:val="none" w:sz="0" w:space="0" w:color="auto"/>
        <w:right w:val="none" w:sz="0" w:space="0" w:color="auto"/>
      </w:divBdr>
    </w:div>
    <w:div w:id="41367169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37256293">
      <w:bodyDiv w:val="1"/>
      <w:marLeft w:val="0"/>
      <w:marRight w:val="0"/>
      <w:marTop w:val="0"/>
      <w:marBottom w:val="0"/>
      <w:divBdr>
        <w:top w:val="none" w:sz="0" w:space="0" w:color="auto"/>
        <w:left w:val="none" w:sz="0" w:space="0" w:color="auto"/>
        <w:bottom w:val="none" w:sz="0" w:space="0" w:color="auto"/>
        <w:right w:val="none" w:sz="0" w:space="0" w:color="auto"/>
      </w:divBdr>
    </w:div>
    <w:div w:id="441847642">
      <w:bodyDiv w:val="1"/>
      <w:marLeft w:val="0"/>
      <w:marRight w:val="0"/>
      <w:marTop w:val="0"/>
      <w:marBottom w:val="0"/>
      <w:divBdr>
        <w:top w:val="none" w:sz="0" w:space="0" w:color="auto"/>
        <w:left w:val="none" w:sz="0" w:space="0" w:color="auto"/>
        <w:bottom w:val="none" w:sz="0" w:space="0" w:color="auto"/>
        <w:right w:val="none" w:sz="0" w:space="0" w:color="auto"/>
      </w:divBdr>
    </w:div>
    <w:div w:id="442841928">
      <w:bodyDiv w:val="1"/>
      <w:marLeft w:val="0"/>
      <w:marRight w:val="0"/>
      <w:marTop w:val="0"/>
      <w:marBottom w:val="0"/>
      <w:divBdr>
        <w:top w:val="none" w:sz="0" w:space="0" w:color="auto"/>
        <w:left w:val="none" w:sz="0" w:space="0" w:color="auto"/>
        <w:bottom w:val="none" w:sz="0" w:space="0" w:color="auto"/>
        <w:right w:val="none" w:sz="0" w:space="0" w:color="auto"/>
      </w:divBdr>
    </w:div>
    <w:div w:id="449281128">
      <w:bodyDiv w:val="1"/>
      <w:marLeft w:val="0"/>
      <w:marRight w:val="0"/>
      <w:marTop w:val="0"/>
      <w:marBottom w:val="0"/>
      <w:divBdr>
        <w:top w:val="none" w:sz="0" w:space="0" w:color="auto"/>
        <w:left w:val="none" w:sz="0" w:space="0" w:color="auto"/>
        <w:bottom w:val="none" w:sz="0" w:space="0" w:color="auto"/>
        <w:right w:val="none" w:sz="0" w:space="0" w:color="auto"/>
      </w:divBdr>
    </w:div>
    <w:div w:id="461851825">
      <w:bodyDiv w:val="1"/>
      <w:marLeft w:val="0"/>
      <w:marRight w:val="0"/>
      <w:marTop w:val="0"/>
      <w:marBottom w:val="0"/>
      <w:divBdr>
        <w:top w:val="none" w:sz="0" w:space="0" w:color="auto"/>
        <w:left w:val="none" w:sz="0" w:space="0" w:color="auto"/>
        <w:bottom w:val="none" w:sz="0" w:space="0" w:color="auto"/>
        <w:right w:val="none" w:sz="0" w:space="0" w:color="auto"/>
      </w:divBdr>
    </w:div>
    <w:div w:id="463737943">
      <w:bodyDiv w:val="1"/>
      <w:marLeft w:val="0"/>
      <w:marRight w:val="0"/>
      <w:marTop w:val="0"/>
      <w:marBottom w:val="0"/>
      <w:divBdr>
        <w:top w:val="none" w:sz="0" w:space="0" w:color="auto"/>
        <w:left w:val="none" w:sz="0" w:space="0" w:color="auto"/>
        <w:bottom w:val="none" w:sz="0" w:space="0" w:color="auto"/>
        <w:right w:val="none" w:sz="0" w:space="0" w:color="auto"/>
      </w:divBdr>
    </w:div>
    <w:div w:id="473645254">
      <w:bodyDiv w:val="1"/>
      <w:marLeft w:val="0"/>
      <w:marRight w:val="0"/>
      <w:marTop w:val="0"/>
      <w:marBottom w:val="0"/>
      <w:divBdr>
        <w:top w:val="none" w:sz="0" w:space="0" w:color="auto"/>
        <w:left w:val="none" w:sz="0" w:space="0" w:color="auto"/>
        <w:bottom w:val="none" w:sz="0" w:space="0" w:color="auto"/>
        <w:right w:val="none" w:sz="0" w:space="0" w:color="auto"/>
      </w:divBdr>
    </w:div>
    <w:div w:id="493838303">
      <w:bodyDiv w:val="1"/>
      <w:marLeft w:val="0"/>
      <w:marRight w:val="0"/>
      <w:marTop w:val="0"/>
      <w:marBottom w:val="0"/>
      <w:divBdr>
        <w:top w:val="none" w:sz="0" w:space="0" w:color="auto"/>
        <w:left w:val="none" w:sz="0" w:space="0" w:color="auto"/>
        <w:bottom w:val="none" w:sz="0" w:space="0" w:color="auto"/>
        <w:right w:val="none" w:sz="0" w:space="0" w:color="auto"/>
      </w:divBdr>
    </w:div>
    <w:div w:id="500656818">
      <w:bodyDiv w:val="1"/>
      <w:marLeft w:val="0"/>
      <w:marRight w:val="0"/>
      <w:marTop w:val="0"/>
      <w:marBottom w:val="0"/>
      <w:divBdr>
        <w:top w:val="none" w:sz="0" w:space="0" w:color="auto"/>
        <w:left w:val="none" w:sz="0" w:space="0" w:color="auto"/>
        <w:bottom w:val="none" w:sz="0" w:space="0" w:color="auto"/>
        <w:right w:val="none" w:sz="0" w:space="0" w:color="auto"/>
      </w:divBdr>
    </w:div>
    <w:div w:id="513107251">
      <w:bodyDiv w:val="1"/>
      <w:marLeft w:val="0"/>
      <w:marRight w:val="0"/>
      <w:marTop w:val="0"/>
      <w:marBottom w:val="0"/>
      <w:divBdr>
        <w:top w:val="none" w:sz="0" w:space="0" w:color="auto"/>
        <w:left w:val="none" w:sz="0" w:space="0" w:color="auto"/>
        <w:bottom w:val="none" w:sz="0" w:space="0" w:color="auto"/>
        <w:right w:val="none" w:sz="0" w:space="0" w:color="auto"/>
      </w:divBdr>
    </w:div>
    <w:div w:id="529032570">
      <w:bodyDiv w:val="1"/>
      <w:marLeft w:val="0"/>
      <w:marRight w:val="0"/>
      <w:marTop w:val="0"/>
      <w:marBottom w:val="0"/>
      <w:divBdr>
        <w:top w:val="none" w:sz="0" w:space="0" w:color="auto"/>
        <w:left w:val="none" w:sz="0" w:space="0" w:color="auto"/>
        <w:bottom w:val="none" w:sz="0" w:space="0" w:color="auto"/>
        <w:right w:val="none" w:sz="0" w:space="0" w:color="auto"/>
      </w:divBdr>
    </w:div>
    <w:div w:id="574583947">
      <w:bodyDiv w:val="1"/>
      <w:marLeft w:val="0"/>
      <w:marRight w:val="0"/>
      <w:marTop w:val="0"/>
      <w:marBottom w:val="0"/>
      <w:divBdr>
        <w:top w:val="none" w:sz="0" w:space="0" w:color="auto"/>
        <w:left w:val="none" w:sz="0" w:space="0" w:color="auto"/>
        <w:bottom w:val="none" w:sz="0" w:space="0" w:color="auto"/>
        <w:right w:val="none" w:sz="0" w:space="0" w:color="auto"/>
      </w:divBdr>
    </w:div>
    <w:div w:id="578442541">
      <w:bodyDiv w:val="1"/>
      <w:marLeft w:val="0"/>
      <w:marRight w:val="0"/>
      <w:marTop w:val="0"/>
      <w:marBottom w:val="0"/>
      <w:divBdr>
        <w:top w:val="none" w:sz="0" w:space="0" w:color="auto"/>
        <w:left w:val="none" w:sz="0" w:space="0" w:color="auto"/>
        <w:bottom w:val="none" w:sz="0" w:space="0" w:color="auto"/>
        <w:right w:val="none" w:sz="0" w:space="0" w:color="auto"/>
      </w:divBdr>
    </w:div>
    <w:div w:id="584610696">
      <w:bodyDiv w:val="1"/>
      <w:marLeft w:val="0"/>
      <w:marRight w:val="0"/>
      <w:marTop w:val="0"/>
      <w:marBottom w:val="0"/>
      <w:divBdr>
        <w:top w:val="none" w:sz="0" w:space="0" w:color="auto"/>
        <w:left w:val="none" w:sz="0" w:space="0" w:color="auto"/>
        <w:bottom w:val="none" w:sz="0" w:space="0" w:color="auto"/>
        <w:right w:val="none" w:sz="0" w:space="0" w:color="auto"/>
      </w:divBdr>
    </w:div>
    <w:div w:id="585844832">
      <w:bodyDiv w:val="1"/>
      <w:marLeft w:val="0"/>
      <w:marRight w:val="0"/>
      <w:marTop w:val="0"/>
      <w:marBottom w:val="0"/>
      <w:divBdr>
        <w:top w:val="none" w:sz="0" w:space="0" w:color="auto"/>
        <w:left w:val="none" w:sz="0" w:space="0" w:color="auto"/>
        <w:bottom w:val="none" w:sz="0" w:space="0" w:color="auto"/>
        <w:right w:val="none" w:sz="0" w:space="0" w:color="auto"/>
      </w:divBdr>
    </w:div>
    <w:div w:id="587541773">
      <w:bodyDiv w:val="1"/>
      <w:marLeft w:val="0"/>
      <w:marRight w:val="0"/>
      <w:marTop w:val="0"/>
      <w:marBottom w:val="0"/>
      <w:divBdr>
        <w:top w:val="none" w:sz="0" w:space="0" w:color="auto"/>
        <w:left w:val="none" w:sz="0" w:space="0" w:color="auto"/>
        <w:bottom w:val="none" w:sz="0" w:space="0" w:color="auto"/>
        <w:right w:val="none" w:sz="0" w:space="0" w:color="auto"/>
      </w:divBdr>
    </w:div>
    <w:div w:id="592275434">
      <w:bodyDiv w:val="1"/>
      <w:marLeft w:val="0"/>
      <w:marRight w:val="0"/>
      <w:marTop w:val="0"/>
      <w:marBottom w:val="0"/>
      <w:divBdr>
        <w:top w:val="none" w:sz="0" w:space="0" w:color="auto"/>
        <w:left w:val="none" w:sz="0" w:space="0" w:color="auto"/>
        <w:bottom w:val="none" w:sz="0" w:space="0" w:color="auto"/>
        <w:right w:val="none" w:sz="0" w:space="0" w:color="auto"/>
      </w:divBdr>
    </w:div>
    <w:div w:id="596447039">
      <w:bodyDiv w:val="1"/>
      <w:marLeft w:val="0"/>
      <w:marRight w:val="0"/>
      <w:marTop w:val="0"/>
      <w:marBottom w:val="0"/>
      <w:divBdr>
        <w:top w:val="none" w:sz="0" w:space="0" w:color="auto"/>
        <w:left w:val="none" w:sz="0" w:space="0" w:color="auto"/>
        <w:bottom w:val="none" w:sz="0" w:space="0" w:color="auto"/>
        <w:right w:val="none" w:sz="0" w:space="0" w:color="auto"/>
      </w:divBdr>
    </w:div>
    <w:div w:id="642931411">
      <w:bodyDiv w:val="1"/>
      <w:marLeft w:val="0"/>
      <w:marRight w:val="0"/>
      <w:marTop w:val="0"/>
      <w:marBottom w:val="0"/>
      <w:divBdr>
        <w:top w:val="none" w:sz="0" w:space="0" w:color="auto"/>
        <w:left w:val="none" w:sz="0" w:space="0" w:color="auto"/>
        <w:bottom w:val="none" w:sz="0" w:space="0" w:color="auto"/>
        <w:right w:val="none" w:sz="0" w:space="0" w:color="auto"/>
      </w:divBdr>
    </w:div>
    <w:div w:id="644555586">
      <w:bodyDiv w:val="1"/>
      <w:marLeft w:val="0"/>
      <w:marRight w:val="0"/>
      <w:marTop w:val="0"/>
      <w:marBottom w:val="0"/>
      <w:divBdr>
        <w:top w:val="none" w:sz="0" w:space="0" w:color="auto"/>
        <w:left w:val="none" w:sz="0" w:space="0" w:color="auto"/>
        <w:bottom w:val="none" w:sz="0" w:space="0" w:color="auto"/>
        <w:right w:val="none" w:sz="0" w:space="0" w:color="auto"/>
      </w:divBdr>
    </w:div>
    <w:div w:id="661664105">
      <w:bodyDiv w:val="1"/>
      <w:marLeft w:val="0"/>
      <w:marRight w:val="0"/>
      <w:marTop w:val="0"/>
      <w:marBottom w:val="0"/>
      <w:divBdr>
        <w:top w:val="none" w:sz="0" w:space="0" w:color="auto"/>
        <w:left w:val="none" w:sz="0" w:space="0" w:color="auto"/>
        <w:bottom w:val="none" w:sz="0" w:space="0" w:color="auto"/>
        <w:right w:val="none" w:sz="0" w:space="0" w:color="auto"/>
      </w:divBdr>
    </w:div>
    <w:div w:id="665979012">
      <w:bodyDiv w:val="1"/>
      <w:marLeft w:val="0"/>
      <w:marRight w:val="0"/>
      <w:marTop w:val="0"/>
      <w:marBottom w:val="0"/>
      <w:divBdr>
        <w:top w:val="none" w:sz="0" w:space="0" w:color="auto"/>
        <w:left w:val="none" w:sz="0" w:space="0" w:color="auto"/>
        <w:bottom w:val="none" w:sz="0" w:space="0" w:color="auto"/>
        <w:right w:val="none" w:sz="0" w:space="0" w:color="auto"/>
      </w:divBdr>
    </w:div>
    <w:div w:id="669601560">
      <w:bodyDiv w:val="1"/>
      <w:marLeft w:val="0"/>
      <w:marRight w:val="0"/>
      <w:marTop w:val="0"/>
      <w:marBottom w:val="0"/>
      <w:divBdr>
        <w:top w:val="none" w:sz="0" w:space="0" w:color="auto"/>
        <w:left w:val="none" w:sz="0" w:space="0" w:color="auto"/>
        <w:bottom w:val="none" w:sz="0" w:space="0" w:color="auto"/>
        <w:right w:val="none" w:sz="0" w:space="0" w:color="auto"/>
      </w:divBdr>
    </w:div>
    <w:div w:id="676035462">
      <w:bodyDiv w:val="1"/>
      <w:marLeft w:val="0"/>
      <w:marRight w:val="0"/>
      <w:marTop w:val="0"/>
      <w:marBottom w:val="0"/>
      <w:divBdr>
        <w:top w:val="none" w:sz="0" w:space="0" w:color="auto"/>
        <w:left w:val="none" w:sz="0" w:space="0" w:color="auto"/>
        <w:bottom w:val="none" w:sz="0" w:space="0" w:color="auto"/>
        <w:right w:val="none" w:sz="0" w:space="0" w:color="auto"/>
      </w:divBdr>
    </w:div>
    <w:div w:id="683484214">
      <w:bodyDiv w:val="1"/>
      <w:marLeft w:val="0"/>
      <w:marRight w:val="0"/>
      <w:marTop w:val="0"/>
      <w:marBottom w:val="0"/>
      <w:divBdr>
        <w:top w:val="none" w:sz="0" w:space="0" w:color="auto"/>
        <w:left w:val="none" w:sz="0" w:space="0" w:color="auto"/>
        <w:bottom w:val="none" w:sz="0" w:space="0" w:color="auto"/>
        <w:right w:val="none" w:sz="0" w:space="0" w:color="auto"/>
      </w:divBdr>
    </w:div>
    <w:div w:id="691225409">
      <w:bodyDiv w:val="1"/>
      <w:marLeft w:val="0"/>
      <w:marRight w:val="0"/>
      <w:marTop w:val="0"/>
      <w:marBottom w:val="0"/>
      <w:divBdr>
        <w:top w:val="none" w:sz="0" w:space="0" w:color="auto"/>
        <w:left w:val="none" w:sz="0" w:space="0" w:color="auto"/>
        <w:bottom w:val="none" w:sz="0" w:space="0" w:color="auto"/>
        <w:right w:val="none" w:sz="0" w:space="0" w:color="auto"/>
      </w:divBdr>
    </w:div>
    <w:div w:id="714895142">
      <w:bodyDiv w:val="1"/>
      <w:marLeft w:val="0"/>
      <w:marRight w:val="0"/>
      <w:marTop w:val="0"/>
      <w:marBottom w:val="0"/>
      <w:divBdr>
        <w:top w:val="none" w:sz="0" w:space="0" w:color="auto"/>
        <w:left w:val="none" w:sz="0" w:space="0" w:color="auto"/>
        <w:bottom w:val="none" w:sz="0" w:space="0" w:color="auto"/>
        <w:right w:val="none" w:sz="0" w:space="0" w:color="auto"/>
      </w:divBdr>
    </w:div>
    <w:div w:id="715852695">
      <w:bodyDiv w:val="1"/>
      <w:marLeft w:val="0"/>
      <w:marRight w:val="0"/>
      <w:marTop w:val="0"/>
      <w:marBottom w:val="0"/>
      <w:divBdr>
        <w:top w:val="none" w:sz="0" w:space="0" w:color="auto"/>
        <w:left w:val="none" w:sz="0" w:space="0" w:color="auto"/>
        <w:bottom w:val="none" w:sz="0" w:space="0" w:color="auto"/>
        <w:right w:val="none" w:sz="0" w:space="0" w:color="auto"/>
      </w:divBdr>
    </w:div>
    <w:div w:id="719087088">
      <w:bodyDiv w:val="1"/>
      <w:marLeft w:val="0"/>
      <w:marRight w:val="0"/>
      <w:marTop w:val="0"/>
      <w:marBottom w:val="0"/>
      <w:divBdr>
        <w:top w:val="none" w:sz="0" w:space="0" w:color="auto"/>
        <w:left w:val="none" w:sz="0" w:space="0" w:color="auto"/>
        <w:bottom w:val="none" w:sz="0" w:space="0" w:color="auto"/>
        <w:right w:val="none" w:sz="0" w:space="0" w:color="auto"/>
      </w:divBdr>
    </w:div>
    <w:div w:id="731270018">
      <w:bodyDiv w:val="1"/>
      <w:marLeft w:val="0"/>
      <w:marRight w:val="0"/>
      <w:marTop w:val="0"/>
      <w:marBottom w:val="0"/>
      <w:divBdr>
        <w:top w:val="none" w:sz="0" w:space="0" w:color="auto"/>
        <w:left w:val="none" w:sz="0" w:space="0" w:color="auto"/>
        <w:bottom w:val="none" w:sz="0" w:space="0" w:color="auto"/>
        <w:right w:val="none" w:sz="0" w:space="0" w:color="auto"/>
      </w:divBdr>
    </w:div>
    <w:div w:id="736779064">
      <w:bodyDiv w:val="1"/>
      <w:marLeft w:val="0"/>
      <w:marRight w:val="0"/>
      <w:marTop w:val="0"/>
      <w:marBottom w:val="0"/>
      <w:divBdr>
        <w:top w:val="none" w:sz="0" w:space="0" w:color="auto"/>
        <w:left w:val="none" w:sz="0" w:space="0" w:color="auto"/>
        <w:bottom w:val="none" w:sz="0" w:space="0" w:color="auto"/>
        <w:right w:val="none" w:sz="0" w:space="0" w:color="auto"/>
      </w:divBdr>
    </w:div>
    <w:div w:id="737825156">
      <w:bodyDiv w:val="1"/>
      <w:marLeft w:val="0"/>
      <w:marRight w:val="0"/>
      <w:marTop w:val="0"/>
      <w:marBottom w:val="0"/>
      <w:divBdr>
        <w:top w:val="none" w:sz="0" w:space="0" w:color="auto"/>
        <w:left w:val="none" w:sz="0" w:space="0" w:color="auto"/>
        <w:bottom w:val="none" w:sz="0" w:space="0" w:color="auto"/>
        <w:right w:val="none" w:sz="0" w:space="0" w:color="auto"/>
      </w:divBdr>
    </w:div>
    <w:div w:id="739064010">
      <w:bodyDiv w:val="1"/>
      <w:marLeft w:val="0"/>
      <w:marRight w:val="0"/>
      <w:marTop w:val="0"/>
      <w:marBottom w:val="0"/>
      <w:divBdr>
        <w:top w:val="none" w:sz="0" w:space="0" w:color="auto"/>
        <w:left w:val="none" w:sz="0" w:space="0" w:color="auto"/>
        <w:bottom w:val="none" w:sz="0" w:space="0" w:color="auto"/>
        <w:right w:val="none" w:sz="0" w:space="0" w:color="auto"/>
      </w:divBdr>
    </w:div>
    <w:div w:id="739212395">
      <w:bodyDiv w:val="1"/>
      <w:marLeft w:val="0"/>
      <w:marRight w:val="0"/>
      <w:marTop w:val="0"/>
      <w:marBottom w:val="0"/>
      <w:divBdr>
        <w:top w:val="none" w:sz="0" w:space="0" w:color="auto"/>
        <w:left w:val="none" w:sz="0" w:space="0" w:color="auto"/>
        <w:bottom w:val="none" w:sz="0" w:space="0" w:color="auto"/>
        <w:right w:val="none" w:sz="0" w:space="0" w:color="auto"/>
      </w:divBdr>
    </w:div>
    <w:div w:id="751976400">
      <w:bodyDiv w:val="1"/>
      <w:marLeft w:val="0"/>
      <w:marRight w:val="0"/>
      <w:marTop w:val="0"/>
      <w:marBottom w:val="0"/>
      <w:divBdr>
        <w:top w:val="none" w:sz="0" w:space="0" w:color="auto"/>
        <w:left w:val="none" w:sz="0" w:space="0" w:color="auto"/>
        <w:bottom w:val="none" w:sz="0" w:space="0" w:color="auto"/>
        <w:right w:val="none" w:sz="0" w:space="0" w:color="auto"/>
      </w:divBdr>
    </w:div>
    <w:div w:id="776483074">
      <w:bodyDiv w:val="1"/>
      <w:marLeft w:val="0"/>
      <w:marRight w:val="0"/>
      <w:marTop w:val="0"/>
      <w:marBottom w:val="0"/>
      <w:divBdr>
        <w:top w:val="none" w:sz="0" w:space="0" w:color="auto"/>
        <w:left w:val="none" w:sz="0" w:space="0" w:color="auto"/>
        <w:bottom w:val="none" w:sz="0" w:space="0" w:color="auto"/>
        <w:right w:val="none" w:sz="0" w:space="0" w:color="auto"/>
      </w:divBdr>
    </w:div>
    <w:div w:id="777796121">
      <w:bodyDiv w:val="1"/>
      <w:marLeft w:val="0"/>
      <w:marRight w:val="0"/>
      <w:marTop w:val="0"/>
      <w:marBottom w:val="0"/>
      <w:divBdr>
        <w:top w:val="none" w:sz="0" w:space="0" w:color="auto"/>
        <w:left w:val="none" w:sz="0" w:space="0" w:color="auto"/>
        <w:bottom w:val="none" w:sz="0" w:space="0" w:color="auto"/>
        <w:right w:val="none" w:sz="0" w:space="0" w:color="auto"/>
      </w:divBdr>
    </w:div>
    <w:div w:id="801848542">
      <w:bodyDiv w:val="1"/>
      <w:marLeft w:val="0"/>
      <w:marRight w:val="0"/>
      <w:marTop w:val="0"/>
      <w:marBottom w:val="0"/>
      <w:divBdr>
        <w:top w:val="none" w:sz="0" w:space="0" w:color="auto"/>
        <w:left w:val="none" w:sz="0" w:space="0" w:color="auto"/>
        <w:bottom w:val="none" w:sz="0" w:space="0" w:color="auto"/>
        <w:right w:val="none" w:sz="0" w:space="0" w:color="auto"/>
      </w:divBdr>
    </w:div>
    <w:div w:id="806363473">
      <w:bodyDiv w:val="1"/>
      <w:marLeft w:val="0"/>
      <w:marRight w:val="0"/>
      <w:marTop w:val="0"/>
      <w:marBottom w:val="0"/>
      <w:divBdr>
        <w:top w:val="none" w:sz="0" w:space="0" w:color="auto"/>
        <w:left w:val="none" w:sz="0" w:space="0" w:color="auto"/>
        <w:bottom w:val="none" w:sz="0" w:space="0" w:color="auto"/>
        <w:right w:val="none" w:sz="0" w:space="0" w:color="auto"/>
      </w:divBdr>
    </w:div>
    <w:div w:id="806969967">
      <w:bodyDiv w:val="1"/>
      <w:marLeft w:val="0"/>
      <w:marRight w:val="0"/>
      <w:marTop w:val="0"/>
      <w:marBottom w:val="0"/>
      <w:divBdr>
        <w:top w:val="none" w:sz="0" w:space="0" w:color="auto"/>
        <w:left w:val="none" w:sz="0" w:space="0" w:color="auto"/>
        <w:bottom w:val="none" w:sz="0" w:space="0" w:color="auto"/>
        <w:right w:val="none" w:sz="0" w:space="0" w:color="auto"/>
      </w:divBdr>
    </w:div>
    <w:div w:id="832767798">
      <w:bodyDiv w:val="1"/>
      <w:marLeft w:val="0"/>
      <w:marRight w:val="0"/>
      <w:marTop w:val="0"/>
      <w:marBottom w:val="0"/>
      <w:divBdr>
        <w:top w:val="none" w:sz="0" w:space="0" w:color="auto"/>
        <w:left w:val="none" w:sz="0" w:space="0" w:color="auto"/>
        <w:bottom w:val="none" w:sz="0" w:space="0" w:color="auto"/>
        <w:right w:val="none" w:sz="0" w:space="0" w:color="auto"/>
      </w:divBdr>
    </w:div>
    <w:div w:id="835801299">
      <w:bodyDiv w:val="1"/>
      <w:marLeft w:val="0"/>
      <w:marRight w:val="0"/>
      <w:marTop w:val="0"/>
      <w:marBottom w:val="0"/>
      <w:divBdr>
        <w:top w:val="none" w:sz="0" w:space="0" w:color="auto"/>
        <w:left w:val="none" w:sz="0" w:space="0" w:color="auto"/>
        <w:bottom w:val="none" w:sz="0" w:space="0" w:color="auto"/>
        <w:right w:val="none" w:sz="0" w:space="0" w:color="auto"/>
      </w:divBdr>
    </w:div>
    <w:div w:id="842472671">
      <w:bodyDiv w:val="1"/>
      <w:marLeft w:val="0"/>
      <w:marRight w:val="0"/>
      <w:marTop w:val="0"/>
      <w:marBottom w:val="0"/>
      <w:divBdr>
        <w:top w:val="none" w:sz="0" w:space="0" w:color="auto"/>
        <w:left w:val="none" w:sz="0" w:space="0" w:color="auto"/>
        <w:bottom w:val="none" w:sz="0" w:space="0" w:color="auto"/>
        <w:right w:val="none" w:sz="0" w:space="0" w:color="auto"/>
      </w:divBdr>
    </w:div>
    <w:div w:id="886994128">
      <w:bodyDiv w:val="1"/>
      <w:marLeft w:val="0"/>
      <w:marRight w:val="0"/>
      <w:marTop w:val="0"/>
      <w:marBottom w:val="0"/>
      <w:divBdr>
        <w:top w:val="none" w:sz="0" w:space="0" w:color="auto"/>
        <w:left w:val="none" w:sz="0" w:space="0" w:color="auto"/>
        <w:bottom w:val="none" w:sz="0" w:space="0" w:color="auto"/>
        <w:right w:val="none" w:sz="0" w:space="0" w:color="auto"/>
      </w:divBdr>
    </w:div>
    <w:div w:id="893809560">
      <w:bodyDiv w:val="1"/>
      <w:marLeft w:val="0"/>
      <w:marRight w:val="0"/>
      <w:marTop w:val="0"/>
      <w:marBottom w:val="0"/>
      <w:divBdr>
        <w:top w:val="none" w:sz="0" w:space="0" w:color="auto"/>
        <w:left w:val="none" w:sz="0" w:space="0" w:color="auto"/>
        <w:bottom w:val="none" w:sz="0" w:space="0" w:color="auto"/>
        <w:right w:val="none" w:sz="0" w:space="0" w:color="auto"/>
      </w:divBdr>
    </w:div>
    <w:div w:id="907882509">
      <w:bodyDiv w:val="1"/>
      <w:marLeft w:val="0"/>
      <w:marRight w:val="0"/>
      <w:marTop w:val="0"/>
      <w:marBottom w:val="0"/>
      <w:divBdr>
        <w:top w:val="none" w:sz="0" w:space="0" w:color="auto"/>
        <w:left w:val="none" w:sz="0" w:space="0" w:color="auto"/>
        <w:bottom w:val="none" w:sz="0" w:space="0" w:color="auto"/>
        <w:right w:val="none" w:sz="0" w:space="0" w:color="auto"/>
      </w:divBdr>
    </w:div>
    <w:div w:id="918443908">
      <w:bodyDiv w:val="1"/>
      <w:marLeft w:val="0"/>
      <w:marRight w:val="0"/>
      <w:marTop w:val="0"/>
      <w:marBottom w:val="0"/>
      <w:divBdr>
        <w:top w:val="none" w:sz="0" w:space="0" w:color="auto"/>
        <w:left w:val="none" w:sz="0" w:space="0" w:color="auto"/>
        <w:bottom w:val="none" w:sz="0" w:space="0" w:color="auto"/>
        <w:right w:val="none" w:sz="0" w:space="0" w:color="auto"/>
      </w:divBdr>
    </w:div>
    <w:div w:id="921446882">
      <w:bodyDiv w:val="1"/>
      <w:marLeft w:val="0"/>
      <w:marRight w:val="0"/>
      <w:marTop w:val="0"/>
      <w:marBottom w:val="0"/>
      <w:divBdr>
        <w:top w:val="none" w:sz="0" w:space="0" w:color="auto"/>
        <w:left w:val="none" w:sz="0" w:space="0" w:color="auto"/>
        <w:bottom w:val="none" w:sz="0" w:space="0" w:color="auto"/>
        <w:right w:val="none" w:sz="0" w:space="0" w:color="auto"/>
      </w:divBdr>
    </w:div>
    <w:div w:id="946229658">
      <w:bodyDiv w:val="1"/>
      <w:marLeft w:val="0"/>
      <w:marRight w:val="0"/>
      <w:marTop w:val="0"/>
      <w:marBottom w:val="0"/>
      <w:divBdr>
        <w:top w:val="none" w:sz="0" w:space="0" w:color="auto"/>
        <w:left w:val="none" w:sz="0" w:space="0" w:color="auto"/>
        <w:bottom w:val="none" w:sz="0" w:space="0" w:color="auto"/>
        <w:right w:val="none" w:sz="0" w:space="0" w:color="auto"/>
      </w:divBdr>
    </w:div>
    <w:div w:id="952370345">
      <w:bodyDiv w:val="1"/>
      <w:marLeft w:val="0"/>
      <w:marRight w:val="0"/>
      <w:marTop w:val="0"/>
      <w:marBottom w:val="0"/>
      <w:divBdr>
        <w:top w:val="none" w:sz="0" w:space="0" w:color="auto"/>
        <w:left w:val="none" w:sz="0" w:space="0" w:color="auto"/>
        <w:bottom w:val="none" w:sz="0" w:space="0" w:color="auto"/>
        <w:right w:val="none" w:sz="0" w:space="0" w:color="auto"/>
      </w:divBdr>
    </w:div>
    <w:div w:id="958880442">
      <w:bodyDiv w:val="1"/>
      <w:marLeft w:val="0"/>
      <w:marRight w:val="0"/>
      <w:marTop w:val="0"/>
      <w:marBottom w:val="0"/>
      <w:divBdr>
        <w:top w:val="none" w:sz="0" w:space="0" w:color="auto"/>
        <w:left w:val="none" w:sz="0" w:space="0" w:color="auto"/>
        <w:bottom w:val="none" w:sz="0" w:space="0" w:color="auto"/>
        <w:right w:val="none" w:sz="0" w:space="0" w:color="auto"/>
      </w:divBdr>
    </w:div>
    <w:div w:id="963539453">
      <w:bodyDiv w:val="1"/>
      <w:marLeft w:val="0"/>
      <w:marRight w:val="0"/>
      <w:marTop w:val="0"/>
      <w:marBottom w:val="0"/>
      <w:divBdr>
        <w:top w:val="none" w:sz="0" w:space="0" w:color="auto"/>
        <w:left w:val="none" w:sz="0" w:space="0" w:color="auto"/>
        <w:bottom w:val="none" w:sz="0" w:space="0" w:color="auto"/>
        <w:right w:val="none" w:sz="0" w:space="0" w:color="auto"/>
      </w:divBdr>
    </w:div>
    <w:div w:id="964965485">
      <w:bodyDiv w:val="1"/>
      <w:marLeft w:val="0"/>
      <w:marRight w:val="0"/>
      <w:marTop w:val="0"/>
      <w:marBottom w:val="0"/>
      <w:divBdr>
        <w:top w:val="none" w:sz="0" w:space="0" w:color="auto"/>
        <w:left w:val="none" w:sz="0" w:space="0" w:color="auto"/>
        <w:bottom w:val="none" w:sz="0" w:space="0" w:color="auto"/>
        <w:right w:val="none" w:sz="0" w:space="0" w:color="auto"/>
      </w:divBdr>
    </w:div>
    <w:div w:id="990328629">
      <w:bodyDiv w:val="1"/>
      <w:marLeft w:val="0"/>
      <w:marRight w:val="0"/>
      <w:marTop w:val="0"/>
      <w:marBottom w:val="0"/>
      <w:divBdr>
        <w:top w:val="none" w:sz="0" w:space="0" w:color="auto"/>
        <w:left w:val="none" w:sz="0" w:space="0" w:color="auto"/>
        <w:bottom w:val="none" w:sz="0" w:space="0" w:color="auto"/>
        <w:right w:val="none" w:sz="0" w:space="0" w:color="auto"/>
      </w:divBdr>
    </w:div>
    <w:div w:id="1002705583">
      <w:bodyDiv w:val="1"/>
      <w:marLeft w:val="0"/>
      <w:marRight w:val="0"/>
      <w:marTop w:val="0"/>
      <w:marBottom w:val="0"/>
      <w:divBdr>
        <w:top w:val="none" w:sz="0" w:space="0" w:color="auto"/>
        <w:left w:val="none" w:sz="0" w:space="0" w:color="auto"/>
        <w:bottom w:val="none" w:sz="0" w:space="0" w:color="auto"/>
        <w:right w:val="none" w:sz="0" w:space="0" w:color="auto"/>
      </w:divBdr>
    </w:div>
    <w:div w:id="1019039874">
      <w:bodyDiv w:val="1"/>
      <w:marLeft w:val="0"/>
      <w:marRight w:val="0"/>
      <w:marTop w:val="0"/>
      <w:marBottom w:val="0"/>
      <w:divBdr>
        <w:top w:val="none" w:sz="0" w:space="0" w:color="auto"/>
        <w:left w:val="none" w:sz="0" w:space="0" w:color="auto"/>
        <w:bottom w:val="none" w:sz="0" w:space="0" w:color="auto"/>
        <w:right w:val="none" w:sz="0" w:space="0" w:color="auto"/>
      </w:divBdr>
    </w:div>
    <w:div w:id="1033532278">
      <w:bodyDiv w:val="1"/>
      <w:marLeft w:val="0"/>
      <w:marRight w:val="0"/>
      <w:marTop w:val="0"/>
      <w:marBottom w:val="0"/>
      <w:divBdr>
        <w:top w:val="none" w:sz="0" w:space="0" w:color="auto"/>
        <w:left w:val="none" w:sz="0" w:space="0" w:color="auto"/>
        <w:bottom w:val="none" w:sz="0" w:space="0" w:color="auto"/>
        <w:right w:val="none" w:sz="0" w:space="0" w:color="auto"/>
      </w:divBdr>
    </w:div>
    <w:div w:id="1034961593">
      <w:bodyDiv w:val="1"/>
      <w:marLeft w:val="0"/>
      <w:marRight w:val="0"/>
      <w:marTop w:val="0"/>
      <w:marBottom w:val="0"/>
      <w:divBdr>
        <w:top w:val="none" w:sz="0" w:space="0" w:color="auto"/>
        <w:left w:val="none" w:sz="0" w:space="0" w:color="auto"/>
        <w:bottom w:val="none" w:sz="0" w:space="0" w:color="auto"/>
        <w:right w:val="none" w:sz="0" w:space="0" w:color="auto"/>
      </w:divBdr>
    </w:div>
    <w:div w:id="1051463436">
      <w:bodyDiv w:val="1"/>
      <w:marLeft w:val="0"/>
      <w:marRight w:val="0"/>
      <w:marTop w:val="0"/>
      <w:marBottom w:val="0"/>
      <w:divBdr>
        <w:top w:val="none" w:sz="0" w:space="0" w:color="auto"/>
        <w:left w:val="none" w:sz="0" w:space="0" w:color="auto"/>
        <w:bottom w:val="none" w:sz="0" w:space="0" w:color="auto"/>
        <w:right w:val="none" w:sz="0" w:space="0" w:color="auto"/>
      </w:divBdr>
    </w:div>
    <w:div w:id="1057240582">
      <w:bodyDiv w:val="1"/>
      <w:marLeft w:val="0"/>
      <w:marRight w:val="0"/>
      <w:marTop w:val="0"/>
      <w:marBottom w:val="0"/>
      <w:divBdr>
        <w:top w:val="none" w:sz="0" w:space="0" w:color="auto"/>
        <w:left w:val="none" w:sz="0" w:space="0" w:color="auto"/>
        <w:bottom w:val="none" w:sz="0" w:space="0" w:color="auto"/>
        <w:right w:val="none" w:sz="0" w:space="0" w:color="auto"/>
      </w:divBdr>
    </w:div>
    <w:div w:id="1060131082">
      <w:bodyDiv w:val="1"/>
      <w:marLeft w:val="0"/>
      <w:marRight w:val="0"/>
      <w:marTop w:val="0"/>
      <w:marBottom w:val="0"/>
      <w:divBdr>
        <w:top w:val="none" w:sz="0" w:space="0" w:color="auto"/>
        <w:left w:val="none" w:sz="0" w:space="0" w:color="auto"/>
        <w:bottom w:val="none" w:sz="0" w:space="0" w:color="auto"/>
        <w:right w:val="none" w:sz="0" w:space="0" w:color="auto"/>
      </w:divBdr>
    </w:div>
    <w:div w:id="1068386494">
      <w:bodyDiv w:val="1"/>
      <w:marLeft w:val="0"/>
      <w:marRight w:val="0"/>
      <w:marTop w:val="0"/>
      <w:marBottom w:val="0"/>
      <w:divBdr>
        <w:top w:val="none" w:sz="0" w:space="0" w:color="auto"/>
        <w:left w:val="none" w:sz="0" w:space="0" w:color="auto"/>
        <w:bottom w:val="none" w:sz="0" w:space="0" w:color="auto"/>
        <w:right w:val="none" w:sz="0" w:space="0" w:color="auto"/>
      </w:divBdr>
    </w:div>
    <w:div w:id="1070620782">
      <w:bodyDiv w:val="1"/>
      <w:marLeft w:val="0"/>
      <w:marRight w:val="0"/>
      <w:marTop w:val="0"/>
      <w:marBottom w:val="0"/>
      <w:divBdr>
        <w:top w:val="none" w:sz="0" w:space="0" w:color="auto"/>
        <w:left w:val="none" w:sz="0" w:space="0" w:color="auto"/>
        <w:bottom w:val="none" w:sz="0" w:space="0" w:color="auto"/>
        <w:right w:val="none" w:sz="0" w:space="0" w:color="auto"/>
      </w:divBdr>
    </w:div>
    <w:div w:id="1092242116">
      <w:bodyDiv w:val="1"/>
      <w:marLeft w:val="0"/>
      <w:marRight w:val="0"/>
      <w:marTop w:val="0"/>
      <w:marBottom w:val="0"/>
      <w:divBdr>
        <w:top w:val="none" w:sz="0" w:space="0" w:color="auto"/>
        <w:left w:val="none" w:sz="0" w:space="0" w:color="auto"/>
        <w:bottom w:val="none" w:sz="0" w:space="0" w:color="auto"/>
        <w:right w:val="none" w:sz="0" w:space="0" w:color="auto"/>
      </w:divBdr>
    </w:div>
    <w:div w:id="1099327176">
      <w:bodyDiv w:val="1"/>
      <w:marLeft w:val="0"/>
      <w:marRight w:val="0"/>
      <w:marTop w:val="0"/>
      <w:marBottom w:val="0"/>
      <w:divBdr>
        <w:top w:val="none" w:sz="0" w:space="0" w:color="auto"/>
        <w:left w:val="none" w:sz="0" w:space="0" w:color="auto"/>
        <w:bottom w:val="none" w:sz="0" w:space="0" w:color="auto"/>
        <w:right w:val="none" w:sz="0" w:space="0" w:color="auto"/>
      </w:divBdr>
    </w:div>
    <w:div w:id="1100488621">
      <w:bodyDiv w:val="1"/>
      <w:marLeft w:val="0"/>
      <w:marRight w:val="0"/>
      <w:marTop w:val="0"/>
      <w:marBottom w:val="0"/>
      <w:divBdr>
        <w:top w:val="none" w:sz="0" w:space="0" w:color="auto"/>
        <w:left w:val="none" w:sz="0" w:space="0" w:color="auto"/>
        <w:bottom w:val="none" w:sz="0" w:space="0" w:color="auto"/>
        <w:right w:val="none" w:sz="0" w:space="0" w:color="auto"/>
      </w:divBdr>
    </w:div>
    <w:div w:id="1113943952">
      <w:bodyDiv w:val="1"/>
      <w:marLeft w:val="0"/>
      <w:marRight w:val="0"/>
      <w:marTop w:val="0"/>
      <w:marBottom w:val="0"/>
      <w:divBdr>
        <w:top w:val="none" w:sz="0" w:space="0" w:color="auto"/>
        <w:left w:val="none" w:sz="0" w:space="0" w:color="auto"/>
        <w:bottom w:val="none" w:sz="0" w:space="0" w:color="auto"/>
        <w:right w:val="none" w:sz="0" w:space="0" w:color="auto"/>
      </w:divBdr>
    </w:div>
    <w:div w:id="1120338555">
      <w:bodyDiv w:val="1"/>
      <w:marLeft w:val="0"/>
      <w:marRight w:val="0"/>
      <w:marTop w:val="0"/>
      <w:marBottom w:val="0"/>
      <w:divBdr>
        <w:top w:val="none" w:sz="0" w:space="0" w:color="auto"/>
        <w:left w:val="none" w:sz="0" w:space="0" w:color="auto"/>
        <w:bottom w:val="none" w:sz="0" w:space="0" w:color="auto"/>
        <w:right w:val="none" w:sz="0" w:space="0" w:color="auto"/>
      </w:divBdr>
    </w:div>
    <w:div w:id="1135875042">
      <w:bodyDiv w:val="1"/>
      <w:marLeft w:val="0"/>
      <w:marRight w:val="0"/>
      <w:marTop w:val="0"/>
      <w:marBottom w:val="0"/>
      <w:divBdr>
        <w:top w:val="none" w:sz="0" w:space="0" w:color="auto"/>
        <w:left w:val="none" w:sz="0" w:space="0" w:color="auto"/>
        <w:bottom w:val="none" w:sz="0" w:space="0" w:color="auto"/>
        <w:right w:val="none" w:sz="0" w:space="0" w:color="auto"/>
      </w:divBdr>
    </w:div>
    <w:div w:id="1144468191">
      <w:bodyDiv w:val="1"/>
      <w:marLeft w:val="0"/>
      <w:marRight w:val="0"/>
      <w:marTop w:val="0"/>
      <w:marBottom w:val="0"/>
      <w:divBdr>
        <w:top w:val="none" w:sz="0" w:space="0" w:color="auto"/>
        <w:left w:val="none" w:sz="0" w:space="0" w:color="auto"/>
        <w:bottom w:val="none" w:sz="0" w:space="0" w:color="auto"/>
        <w:right w:val="none" w:sz="0" w:space="0" w:color="auto"/>
      </w:divBdr>
    </w:div>
    <w:div w:id="1154027729">
      <w:bodyDiv w:val="1"/>
      <w:marLeft w:val="0"/>
      <w:marRight w:val="0"/>
      <w:marTop w:val="0"/>
      <w:marBottom w:val="0"/>
      <w:divBdr>
        <w:top w:val="none" w:sz="0" w:space="0" w:color="auto"/>
        <w:left w:val="none" w:sz="0" w:space="0" w:color="auto"/>
        <w:bottom w:val="none" w:sz="0" w:space="0" w:color="auto"/>
        <w:right w:val="none" w:sz="0" w:space="0" w:color="auto"/>
      </w:divBdr>
    </w:div>
    <w:div w:id="1160342145">
      <w:bodyDiv w:val="1"/>
      <w:marLeft w:val="0"/>
      <w:marRight w:val="0"/>
      <w:marTop w:val="0"/>
      <w:marBottom w:val="0"/>
      <w:divBdr>
        <w:top w:val="none" w:sz="0" w:space="0" w:color="auto"/>
        <w:left w:val="none" w:sz="0" w:space="0" w:color="auto"/>
        <w:bottom w:val="none" w:sz="0" w:space="0" w:color="auto"/>
        <w:right w:val="none" w:sz="0" w:space="0" w:color="auto"/>
      </w:divBdr>
    </w:div>
    <w:div w:id="1186482789">
      <w:bodyDiv w:val="1"/>
      <w:marLeft w:val="0"/>
      <w:marRight w:val="0"/>
      <w:marTop w:val="0"/>
      <w:marBottom w:val="0"/>
      <w:divBdr>
        <w:top w:val="none" w:sz="0" w:space="0" w:color="auto"/>
        <w:left w:val="none" w:sz="0" w:space="0" w:color="auto"/>
        <w:bottom w:val="none" w:sz="0" w:space="0" w:color="auto"/>
        <w:right w:val="none" w:sz="0" w:space="0" w:color="auto"/>
      </w:divBdr>
    </w:div>
    <w:div w:id="1196428065">
      <w:bodyDiv w:val="1"/>
      <w:marLeft w:val="0"/>
      <w:marRight w:val="0"/>
      <w:marTop w:val="0"/>
      <w:marBottom w:val="0"/>
      <w:divBdr>
        <w:top w:val="none" w:sz="0" w:space="0" w:color="auto"/>
        <w:left w:val="none" w:sz="0" w:space="0" w:color="auto"/>
        <w:bottom w:val="none" w:sz="0" w:space="0" w:color="auto"/>
        <w:right w:val="none" w:sz="0" w:space="0" w:color="auto"/>
      </w:divBdr>
    </w:div>
    <w:div w:id="1221864414">
      <w:bodyDiv w:val="1"/>
      <w:marLeft w:val="0"/>
      <w:marRight w:val="0"/>
      <w:marTop w:val="0"/>
      <w:marBottom w:val="0"/>
      <w:divBdr>
        <w:top w:val="none" w:sz="0" w:space="0" w:color="auto"/>
        <w:left w:val="none" w:sz="0" w:space="0" w:color="auto"/>
        <w:bottom w:val="none" w:sz="0" w:space="0" w:color="auto"/>
        <w:right w:val="none" w:sz="0" w:space="0" w:color="auto"/>
      </w:divBdr>
    </w:div>
    <w:div w:id="1224174317">
      <w:bodyDiv w:val="1"/>
      <w:marLeft w:val="0"/>
      <w:marRight w:val="0"/>
      <w:marTop w:val="0"/>
      <w:marBottom w:val="0"/>
      <w:divBdr>
        <w:top w:val="none" w:sz="0" w:space="0" w:color="auto"/>
        <w:left w:val="none" w:sz="0" w:space="0" w:color="auto"/>
        <w:bottom w:val="none" w:sz="0" w:space="0" w:color="auto"/>
        <w:right w:val="none" w:sz="0" w:space="0" w:color="auto"/>
      </w:divBdr>
    </w:div>
    <w:div w:id="1230077460">
      <w:bodyDiv w:val="1"/>
      <w:marLeft w:val="0"/>
      <w:marRight w:val="0"/>
      <w:marTop w:val="0"/>
      <w:marBottom w:val="0"/>
      <w:divBdr>
        <w:top w:val="none" w:sz="0" w:space="0" w:color="auto"/>
        <w:left w:val="none" w:sz="0" w:space="0" w:color="auto"/>
        <w:bottom w:val="none" w:sz="0" w:space="0" w:color="auto"/>
        <w:right w:val="none" w:sz="0" w:space="0" w:color="auto"/>
      </w:divBdr>
    </w:div>
    <w:div w:id="1244147854">
      <w:bodyDiv w:val="1"/>
      <w:marLeft w:val="0"/>
      <w:marRight w:val="0"/>
      <w:marTop w:val="0"/>
      <w:marBottom w:val="0"/>
      <w:divBdr>
        <w:top w:val="none" w:sz="0" w:space="0" w:color="auto"/>
        <w:left w:val="none" w:sz="0" w:space="0" w:color="auto"/>
        <w:bottom w:val="none" w:sz="0" w:space="0" w:color="auto"/>
        <w:right w:val="none" w:sz="0" w:space="0" w:color="auto"/>
      </w:divBdr>
    </w:div>
    <w:div w:id="1247227617">
      <w:bodyDiv w:val="1"/>
      <w:marLeft w:val="0"/>
      <w:marRight w:val="0"/>
      <w:marTop w:val="0"/>
      <w:marBottom w:val="0"/>
      <w:divBdr>
        <w:top w:val="none" w:sz="0" w:space="0" w:color="auto"/>
        <w:left w:val="none" w:sz="0" w:space="0" w:color="auto"/>
        <w:bottom w:val="none" w:sz="0" w:space="0" w:color="auto"/>
        <w:right w:val="none" w:sz="0" w:space="0" w:color="auto"/>
      </w:divBdr>
    </w:div>
    <w:div w:id="1261721171">
      <w:bodyDiv w:val="1"/>
      <w:marLeft w:val="0"/>
      <w:marRight w:val="0"/>
      <w:marTop w:val="0"/>
      <w:marBottom w:val="0"/>
      <w:divBdr>
        <w:top w:val="none" w:sz="0" w:space="0" w:color="auto"/>
        <w:left w:val="none" w:sz="0" w:space="0" w:color="auto"/>
        <w:bottom w:val="none" w:sz="0" w:space="0" w:color="auto"/>
        <w:right w:val="none" w:sz="0" w:space="0" w:color="auto"/>
      </w:divBdr>
    </w:div>
    <w:div w:id="1264991032">
      <w:bodyDiv w:val="1"/>
      <w:marLeft w:val="0"/>
      <w:marRight w:val="0"/>
      <w:marTop w:val="0"/>
      <w:marBottom w:val="0"/>
      <w:divBdr>
        <w:top w:val="none" w:sz="0" w:space="0" w:color="auto"/>
        <w:left w:val="none" w:sz="0" w:space="0" w:color="auto"/>
        <w:bottom w:val="none" w:sz="0" w:space="0" w:color="auto"/>
        <w:right w:val="none" w:sz="0" w:space="0" w:color="auto"/>
      </w:divBdr>
    </w:div>
    <w:div w:id="1275871101">
      <w:bodyDiv w:val="1"/>
      <w:marLeft w:val="0"/>
      <w:marRight w:val="0"/>
      <w:marTop w:val="0"/>
      <w:marBottom w:val="0"/>
      <w:divBdr>
        <w:top w:val="none" w:sz="0" w:space="0" w:color="auto"/>
        <w:left w:val="none" w:sz="0" w:space="0" w:color="auto"/>
        <w:bottom w:val="none" w:sz="0" w:space="0" w:color="auto"/>
        <w:right w:val="none" w:sz="0" w:space="0" w:color="auto"/>
      </w:divBdr>
    </w:div>
    <w:div w:id="1317762182">
      <w:bodyDiv w:val="1"/>
      <w:marLeft w:val="0"/>
      <w:marRight w:val="0"/>
      <w:marTop w:val="0"/>
      <w:marBottom w:val="0"/>
      <w:divBdr>
        <w:top w:val="none" w:sz="0" w:space="0" w:color="auto"/>
        <w:left w:val="none" w:sz="0" w:space="0" w:color="auto"/>
        <w:bottom w:val="none" w:sz="0" w:space="0" w:color="auto"/>
        <w:right w:val="none" w:sz="0" w:space="0" w:color="auto"/>
      </w:divBdr>
    </w:div>
    <w:div w:id="1320233252">
      <w:bodyDiv w:val="1"/>
      <w:marLeft w:val="0"/>
      <w:marRight w:val="0"/>
      <w:marTop w:val="0"/>
      <w:marBottom w:val="0"/>
      <w:divBdr>
        <w:top w:val="none" w:sz="0" w:space="0" w:color="auto"/>
        <w:left w:val="none" w:sz="0" w:space="0" w:color="auto"/>
        <w:bottom w:val="none" w:sz="0" w:space="0" w:color="auto"/>
        <w:right w:val="none" w:sz="0" w:space="0" w:color="auto"/>
      </w:divBdr>
    </w:div>
    <w:div w:id="1327785408">
      <w:bodyDiv w:val="1"/>
      <w:marLeft w:val="0"/>
      <w:marRight w:val="0"/>
      <w:marTop w:val="0"/>
      <w:marBottom w:val="0"/>
      <w:divBdr>
        <w:top w:val="none" w:sz="0" w:space="0" w:color="auto"/>
        <w:left w:val="none" w:sz="0" w:space="0" w:color="auto"/>
        <w:bottom w:val="none" w:sz="0" w:space="0" w:color="auto"/>
        <w:right w:val="none" w:sz="0" w:space="0" w:color="auto"/>
      </w:divBdr>
    </w:div>
    <w:div w:id="1329673495">
      <w:marLeft w:val="0"/>
      <w:marRight w:val="0"/>
      <w:marTop w:val="0"/>
      <w:marBottom w:val="0"/>
      <w:divBdr>
        <w:top w:val="none" w:sz="0" w:space="0" w:color="auto"/>
        <w:left w:val="none" w:sz="0" w:space="0" w:color="auto"/>
        <w:bottom w:val="none" w:sz="0" w:space="0" w:color="auto"/>
        <w:right w:val="none" w:sz="0" w:space="0" w:color="auto"/>
      </w:divBdr>
    </w:div>
    <w:div w:id="1329673496">
      <w:marLeft w:val="0"/>
      <w:marRight w:val="0"/>
      <w:marTop w:val="0"/>
      <w:marBottom w:val="0"/>
      <w:divBdr>
        <w:top w:val="none" w:sz="0" w:space="0" w:color="auto"/>
        <w:left w:val="none" w:sz="0" w:space="0" w:color="auto"/>
        <w:bottom w:val="none" w:sz="0" w:space="0" w:color="auto"/>
        <w:right w:val="none" w:sz="0" w:space="0" w:color="auto"/>
      </w:divBdr>
    </w:div>
    <w:div w:id="1329673497">
      <w:marLeft w:val="0"/>
      <w:marRight w:val="0"/>
      <w:marTop w:val="0"/>
      <w:marBottom w:val="0"/>
      <w:divBdr>
        <w:top w:val="none" w:sz="0" w:space="0" w:color="auto"/>
        <w:left w:val="none" w:sz="0" w:space="0" w:color="auto"/>
        <w:bottom w:val="none" w:sz="0" w:space="0" w:color="auto"/>
        <w:right w:val="none" w:sz="0" w:space="0" w:color="auto"/>
      </w:divBdr>
    </w:div>
    <w:div w:id="1329673498">
      <w:marLeft w:val="0"/>
      <w:marRight w:val="0"/>
      <w:marTop w:val="0"/>
      <w:marBottom w:val="0"/>
      <w:divBdr>
        <w:top w:val="none" w:sz="0" w:space="0" w:color="auto"/>
        <w:left w:val="none" w:sz="0" w:space="0" w:color="auto"/>
        <w:bottom w:val="none" w:sz="0" w:space="0" w:color="auto"/>
        <w:right w:val="none" w:sz="0" w:space="0" w:color="auto"/>
      </w:divBdr>
    </w:div>
    <w:div w:id="1329673499">
      <w:marLeft w:val="0"/>
      <w:marRight w:val="0"/>
      <w:marTop w:val="0"/>
      <w:marBottom w:val="0"/>
      <w:divBdr>
        <w:top w:val="none" w:sz="0" w:space="0" w:color="auto"/>
        <w:left w:val="none" w:sz="0" w:space="0" w:color="auto"/>
        <w:bottom w:val="none" w:sz="0" w:space="0" w:color="auto"/>
        <w:right w:val="none" w:sz="0" w:space="0" w:color="auto"/>
      </w:divBdr>
    </w:div>
    <w:div w:id="1329673500">
      <w:marLeft w:val="0"/>
      <w:marRight w:val="0"/>
      <w:marTop w:val="0"/>
      <w:marBottom w:val="0"/>
      <w:divBdr>
        <w:top w:val="none" w:sz="0" w:space="0" w:color="auto"/>
        <w:left w:val="none" w:sz="0" w:space="0" w:color="auto"/>
        <w:bottom w:val="none" w:sz="0" w:space="0" w:color="auto"/>
        <w:right w:val="none" w:sz="0" w:space="0" w:color="auto"/>
      </w:divBdr>
    </w:div>
    <w:div w:id="1329673501">
      <w:marLeft w:val="0"/>
      <w:marRight w:val="0"/>
      <w:marTop w:val="0"/>
      <w:marBottom w:val="0"/>
      <w:divBdr>
        <w:top w:val="none" w:sz="0" w:space="0" w:color="auto"/>
        <w:left w:val="none" w:sz="0" w:space="0" w:color="auto"/>
        <w:bottom w:val="none" w:sz="0" w:space="0" w:color="auto"/>
        <w:right w:val="none" w:sz="0" w:space="0" w:color="auto"/>
      </w:divBdr>
    </w:div>
    <w:div w:id="1329673502">
      <w:marLeft w:val="0"/>
      <w:marRight w:val="0"/>
      <w:marTop w:val="0"/>
      <w:marBottom w:val="0"/>
      <w:divBdr>
        <w:top w:val="none" w:sz="0" w:space="0" w:color="auto"/>
        <w:left w:val="none" w:sz="0" w:space="0" w:color="auto"/>
        <w:bottom w:val="none" w:sz="0" w:space="0" w:color="auto"/>
        <w:right w:val="none" w:sz="0" w:space="0" w:color="auto"/>
      </w:divBdr>
    </w:div>
    <w:div w:id="1329673503">
      <w:marLeft w:val="0"/>
      <w:marRight w:val="0"/>
      <w:marTop w:val="0"/>
      <w:marBottom w:val="0"/>
      <w:divBdr>
        <w:top w:val="none" w:sz="0" w:space="0" w:color="auto"/>
        <w:left w:val="none" w:sz="0" w:space="0" w:color="auto"/>
        <w:bottom w:val="none" w:sz="0" w:space="0" w:color="auto"/>
        <w:right w:val="none" w:sz="0" w:space="0" w:color="auto"/>
      </w:divBdr>
    </w:div>
    <w:div w:id="1329673504">
      <w:marLeft w:val="0"/>
      <w:marRight w:val="0"/>
      <w:marTop w:val="0"/>
      <w:marBottom w:val="0"/>
      <w:divBdr>
        <w:top w:val="none" w:sz="0" w:space="0" w:color="auto"/>
        <w:left w:val="none" w:sz="0" w:space="0" w:color="auto"/>
        <w:bottom w:val="none" w:sz="0" w:space="0" w:color="auto"/>
        <w:right w:val="none" w:sz="0" w:space="0" w:color="auto"/>
      </w:divBdr>
    </w:div>
    <w:div w:id="1330985279">
      <w:bodyDiv w:val="1"/>
      <w:marLeft w:val="0"/>
      <w:marRight w:val="0"/>
      <w:marTop w:val="0"/>
      <w:marBottom w:val="0"/>
      <w:divBdr>
        <w:top w:val="none" w:sz="0" w:space="0" w:color="auto"/>
        <w:left w:val="none" w:sz="0" w:space="0" w:color="auto"/>
        <w:bottom w:val="none" w:sz="0" w:space="0" w:color="auto"/>
        <w:right w:val="none" w:sz="0" w:space="0" w:color="auto"/>
      </w:divBdr>
    </w:div>
    <w:div w:id="1345748192">
      <w:bodyDiv w:val="1"/>
      <w:marLeft w:val="0"/>
      <w:marRight w:val="0"/>
      <w:marTop w:val="0"/>
      <w:marBottom w:val="0"/>
      <w:divBdr>
        <w:top w:val="none" w:sz="0" w:space="0" w:color="auto"/>
        <w:left w:val="none" w:sz="0" w:space="0" w:color="auto"/>
        <w:bottom w:val="none" w:sz="0" w:space="0" w:color="auto"/>
        <w:right w:val="none" w:sz="0" w:space="0" w:color="auto"/>
      </w:divBdr>
    </w:div>
    <w:div w:id="1360857360">
      <w:bodyDiv w:val="1"/>
      <w:marLeft w:val="0"/>
      <w:marRight w:val="0"/>
      <w:marTop w:val="0"/>
      <w:marBottom w:val="0"/>
      <w:divBdr>
        <w:top w:val="none" w:sz="0" w:space="0" w:color="auto"/>
        <w:left w:val="none" w:sz="0" w:space="0" w:color="auto"/>
        <w:bottom w:val="none" w:sz="0" w:space="0" w:color="auto"/>
        <w:right w:val="none" w:sz="0" w:space="0" w:color="auto"/>
      </w:divBdr>
    </w:div>
    <w:div w:id="1385986495">
      <w:bodyDiv w:val="1"/>
      <w:marLeft w:val="0"/>
      <w:marRight w:val="0"/>
      <w:marTop w:val="0"/>
      <w:marBottom w:val="0"/>
      <w:divBdr>
        <w:top w:val="none" w:sz="0" w:space="0" w:color="auto"/>
        <w:left w:val="none" w:sz="0" w:space="0" w:color="auto"/>
        <w:bottom w:val="none" w:sz="0" w:space="0" w:color="auto"/>
        <w:right w:val="none" w:sz="0" w:space="0" w:color="auto"/>
      </w:divBdr>
    </w:div>
    <w:div w:id="1388380786">
      <w:bodyDiv w:val="1"/>
      <w:marLeft w:val="0"/>
      <w:marRight w:val="0"/>
      <w:marTop w:val="0"/>
      <w:marBottom w:val="0"/>
      <w:divBdr>
        <w:top w:val="none" w:sz="0" w:space="0" w:color="auto"/>
        <w:left w:val="none" w:sz="0" w:space="0" w:color="auto"/>
        <w:bottom w:val="none" w:sz="0" w:space="0" w:color="auto"/>
        <w:right w:val="none" w:sz="0" w:space="0" w:color="auto"/>
      </w:divBdr>
    </w:div>
    <w:div w:id="1398043944">
      <w:bodyDiv w:val="1"/>
      <w:marLeft w:val="0"/>
      <w:marRight w:val="0"/>
      <w:marTop w:val="0"/>
      <w:marBottom w:val="0"/>
      <w:divBdr>
        <w:top w:val="none" w:sz="0" w:space="0" w:color="auto"/>
        <w:left w:val="none" w:sz="0" w:space="0" w:color="auto"/>
        <w:bottom w:val="none" w:sz="0" w:space="0" w:color="auto"/>
        <w:right w:val="none" w:sz="0" w:space="0" w:color="auto"/>
      </w:divBdr>
    </w:div>
    <w:div w:id="1421025065">
      <w:bodyDiv w:val="1"/>
      <w:marLeft w:val="0"/>
      <w:marRight w:val="0"/>
      <w:marTop w:val="0"/>
      <w:marBottom w:val="0"/>
      <w:divBdr>
        <w:top w:val="none" w:sz="0" w:space="0" w:color="auto"/>
        <w:left w:val="none" w:sz="0" w:space="0" w:color="auto"/>
        <w:bottom w:val="none" w:sz="0" w:space="0" w:color="auto"/>
        <w:right w:val="none" w:sz="0" w:space="0" w:color="auto"/>
      </w:divBdr>
    </w:div>
    <w:div w:id="1441098196">
      <w:bodyDiv w:val="1"/>
      <w:marLeft w:val="0"/>
      <w:marRight w:val="0"/>
      <w:marTop w:val="0"/>
      <w:marBottom w:val="0"/>
      <w:divBdr>
        <w:top w:val="none" w:sz="0" w:space="0" w:color="auto"/>
        <w:left w:val="none" w:sz="0" w:space="0" w:color="auto"/>
        <w:bottom w:val="none" w:sz="0" w:space="0" w:color="auto"/>
        <w:right w:val="none" w:sz="0" w:space="0" w:color="auto"/>
      </w:divBdr>
    </w:div>
    <w:div w:id="1441339489">
      <w:bodyDiv w:val="1"/>
      <w:marLeft w:val="0"/>
      <w:marRight w:val="0"/>
      <w:marTop w:val="0"/>
      <w:marBottom w:val="0"/>
      <w:divBdr>
        <w:top w:val="none" w:sz="0" w:space="0" w:color="auto"/>
        <w:left w:val="none" w:sz="0" w:space="0" w:color="auto"/>
        <w:bottom w:val="none" w:sz="0" w:space="0" w:color="auto"/>
        <w:right w:val="none" w:sz="0" w:space="0" w:color="auto"/>
      </w:divBdr>
      <w:divsChild>
        <w:div w:id="1731879811">
          <w:marLeft w:val="0"/>
          <w:marRight w:val="0"/>
          <w:marTop w:val="0"/>
          <w:marBottom w:val="0"/>
          <w:divBdr>
            <w:top w:val="none" w:sz="0" w:space="0" w:color="auto"/>
            <w:left w:val="none" w:sz="0" w:space="0" w:color="auto"/>
            <w:bottom w:val="none" w:sz="0" w:space="0" w:color="auto"/>
            <w:right w:val="none" w:sz="0" w:space="0" w:color="auto"/>
          </w:divBdr>
        </w:div>
        <w:div w:id="967200098">
          <w:marLeft w:val="0"/>
          <w:marRight w:val="0"/>
          <w:marTop w:val="0"/>
          <w:marBottom w:val="0"/>
          <w:divBdr>
            <w:top w:val="none" w:sz="0" w:space="0" w:color="auto"/>
            <w:left w:val="none" w:sz="0" w:space="0" w:color="auto"/>
            <w:bottom w:val="none" w:sz="0" w:space="0" w:color="auto"/>
            <w:right w:val="none" w:sz="0" w:space="0" w:color="auto"/>
          </w:divBdr>
        </w:div>
      </w:divsChild>
    </w:div>
    <w:div w:id="1452824538">
      <w:bodyDiv w:val="1"/>
      <w:marLeft w:val="0"/>
      <w:marRight w:val="0"/>
      <w:marTop w:val="0"/>
      <w:marBottom w:val="0"/>
      <w:divBdr>
        <w:top w:val="none" w:sz="0" w:space="0" w:color="auto"/>
        <w:left w:val="none" w:sz="0" w:space="0" w:color="auto"/>
        <w:bottom w:val="none" w:sz="0" w:space="0" w:color="auto"/>
        <w:right w:val="none" w:sz="0" w:space="0" w:color="auto"/>
      </w:divBdr>
    </w:div>
    <w:div w:id="1478523440">
      <w:bodyDiv w:val="1"/>
      <w:marLeft w:val="0"/>
      <w:marRight w:val="0"/>
      <w:marTop w:val="0"/>
      <w:marBottom w:val="0"/>
      <w:divBdr>
        <w:top w:val="none" w:sz="0" w:space="0" w:color="auto"/>
        <w:left w:val="none" w:sz="0" w:space="0" w:color="auto"/>
        <w:bottom w:val="none" w:sz="0" w:space="0" w:color="auto"/>
        <w:right w:val="none" w:sz="0" w:space="0" w:color="auto"/>
      </w:divBdr>
    </w:div>
    <w:div w:id="1487866897">
      <w:bodyDiv w:val="1"/>
      <w:marLeft w:val="0"/>
      <w:marRight w:val="0"/>
      <w:marTop w:val="0"/>
      <w:marBottom w:val="0"/>
      <w:divBdr>
        <w:top w:val="none" w:sz="0" w:space="0" w:color="auto"/>
        <w:left w:val="none" w:sz="0" w:space="0" w:color="auto"/>
        <w:bottom w:val="none" w:sz="0" w:space="0" w:color="auto"/>
        <w:right w:val="none" w:sz="0" w:space="0" w:color="auto"/>
      </w:divBdr>
    </w:div>
    <w:div w:id="1489706116">
      <w:bodyDiv w:val="1"/>
      <w:marLeft w:val="0"/>
      <w:marRight w:val="0"/>
      <w:marTop w:val="0"/>
      <w:marBottom w:val="0"/>
      <w:divBdr>
        <w:top w:val="none" w:sz="0" w:space="0" w:color="auto"/>
        <w:left w:val="none" w:sz="0" w:space="0" w:color="auto"/>
        <w:bottom w:val="none" w:sz="0" w:space="0" w:color="auto"/>
        <w:right w:val="none" w:sz="0" w:space="0" w:color="auto"/>
      </w:divBdr>
    </w:div>
    <w:div w:id="1494755920">
      <w:bodyDiv w:val="1"/>
      <w:marLeft w:val="0"/>
      <w:marRight w:val="0"/>
      <w:marTop w:val="0"/>
      <w:marBottom w:val="0"/>
      <w:divBdr>
        <w:top w:val="none" w:sz="0" w:space="0" w:color="auto"/>
        <w:left w:val="none" w:sz="0" w:space="0" w:color="auto"/>
        <w:bottom w:val="none" w:sz="0" w:space="0" w:color="auto"/>
        <w:right w:val="none" w:sz="0" w:space="0" w:color="auto"/>
      </w:divBdr>
    </w:div>
    <w:div w:id="1500119823">
      <w:bodyDiv w:val="1"/>
      <w:marLeft w:val="0"/>
      <w:marRight w:val="0"/>
      <w:marTop w:val="0"/>
      <w:marBottom w:val="0"/>
      <w:divBdr>
        <w:top w:val="none" w:sz="0" w:space="0" w:color="auto"/>
        <w:left w:val="none" w:sz="0" w:space="0" w:color="auto"/>
        <w:bottom w:val="none" w:sz="0" w:space="0" w:color="auto"/>
        <w:right w:val="none" w:sz="0" w:space="0" w:color="auto"/>
      </w:divBdr>
    </w:div>
    <w:div w:id="1500926582">
      <w:bodyDiv w:val="1"/>
      <w:marLeft w:val="0"/>
      <w:marRight w:val="0"/>
      <w:marTop w:val="0"/>
      <w:marBottom w:val="0"/>
      <w:divBdr>
        <w:top w:val="none" w:sz="0" w:space="0" w:color="auto"/>
        <w:left w:val="none" w:sz="0" w:space="0" w:color="auto"/>
        <w:bottom w:val="none" w:sz="0" w:space="0" w:color="auto"/>
        <w:right w:val="none" w:sz="0" w:space="0" w:color="auto"/>
      </w:divBdr>
    </w:div>
    <w:div w:id="1511144778">
      <w:bodyDiv w:val="1"/>
      <w:marLeft w:val="0"/>
      <w:marRight w:val="0"/>
      <w:marTop w:val="0"/>
      <w:marBottom w:val="0"/>
      <w:divBdr>
        <w:top w:val="none" w:sz="0" w:space="0" w:color="auto"/>
        <w:left w:val="none" w:sz="0" w:space="0" w:color="auto"/>
        <w:bottom w:val="none" w:sz="0" w:space="0" w:color="auto"/>
        <w:right w:val="none" w:sz="0" w:space="0" w:color="auto"/>
      </w:divBdr>
    </w:div>
    <w:div w:id="1518077102">
      <w:bodyDiv w:val="1"/>
      <w:marLeft w:val="0"/>
      <w:marRight w:val="0"/>
      <w:marTop w:val="0"/>
      <w:marBottom w:val="0"/>
      <w:divBdr>
        <w:top w:val="none" w:sz="0" w:space="0" w:color="auto"/>
        <w:left w:val="none" w:sz="0" w:space="0" w:color="auto"/>
        <w:bottom w:val="none" w:sz="0" w:space="0" w:color="auto"/>
        <w:right w:val="none" w:sz="0" w:space="0" w:color="auto"/>
      </w:divBdr>
    </w:div>
    <w:div w:id="1528760134">
      <w:bodyDiv w:val="1"/>
      <w:marLeft w:val="0"/>
      <w:marRight w:val="0"/>
      <w:marTop w:val="0"/>
      <w:marBottom w:val="0"/>
      <w:divBdr>
        <w:top w:val="none" w:sz="0" w:space="0" w:color="auto"/>
        <w:left w:val="none" w:sz="0" w:space="0" w:color="auto"/>
        <w:bottom w:val="none" w:sz="0" w:space="0" w:color="auto"/>
        <w:right w:val="none" w:sz="0" w:space="0" w:color="auto"/>
      </w:divBdr>
    </w:div>
    <w:div w:id="1540505859">
      <w:bodyDiv w:val="1"/>
      <w:marLeft w:val="0"/>
      <w:marRight w:val="0"/>
      <w:marTop w:val="0"/>
      <w:marBottom w:val="0"/>
      <w:divBdr>
        <w:top w:val="none" w:sz="0" w:space="0" w:color="auto"/>
        <w:left w:val="none" w:sz="0" w:space="0" w:color="auto"/>
        <w:bottom w:val="none" w:sz="0" w:space="0" w:color="auto"/>
        <w:right w:val="none" w:sz="0" w:space="0" w:color="auto"/>
      </w:divBdr>
    </w:div>
    <w:div w:id="1546327344">
      <w:bodyDiv w:val="1"/>
      <w:marLeft w:val="0"/>
      <w:marRight w:val="0"/>
      <w:marTop w:val="0"/>
      <w:marBottom w:val="0"/>
      <w:divBdr>
        <w:top w:val="none" w:sz="0" w:space="0" w:color="auto"/>
        <w:left w:val="none" w:sz="0" w:space="0" w:color="auto"/>
        <w:bottom w:val="none" w:sz="0" w:space="0" w:color="auto"/>
        <w:right w:val="none" w:sz="0" w:space="0" w:color="auto"/>
      </w:divBdr>
    </w:div>
    <w:div w:id="1554151401">
      <w:bodyDiv w:val="1"/>
      <w:marLeft w:val="0"/>
      <w:marRight w:val="0"/>
      <w:marTop w:val="0"/>
      <w:marBottom w:val="0"/>
      <w:divBdr>
        <w:top w:val="none" w:sz="0" w:space="0" w:color="auto"/>
        <w:left w:val="none" w:sz="0" w:space="0" w:color="auto"/>
        <w:bottom w:val="none" w:sz="0" w:space="0" w:color="auto"/>
        <w:right w:val="none" w:sz="0" w:space="0" w:color="auto"/>
      </w:divBdr>
    </w:div>
    <w:div w:id="1586303849">
      <w:bodyDiv w:val="1"/>
      <w:marLeft w:val="0"/>
      <w:marRight w:val="0"/>
      <w:marTop w:val="0"/>
      <w:marBottom w:val="0"/>
      <w:divBdr>
        <w:top w:val="none" w:sz="0" w:space="0" w:color="auto"/>
        <w:left w:val="none" w:sz="0" w:space="0" w:color="auto"/>
        <w:bottom w:val="none" w:sz="0" w:space="0" w:color="auto"/>
        <w:right w:val="none" w:sz="0" w:space="0" w:color="auto"/>
      </w:divBdr>
    </w:div>
    <w:div w:id="1586768784">
      <w:bodyDiv w:val="1"/>
      <w:marLeft w:val="0"/>
      <w:marRight w:val="0"/>
      <w:marTop w:val="0"/>
      <w:marBottom w:val="0"/>
      <w:divBdr>
        <w:top w:val="none" w:sz="0" w:space="0" w:color="auto"/>
        <w:left w:val="none" w:sz="0" w:space="0" w:color="auto"/>
        <w:bottom w:val="none" w:sz="0" w:space="0" w:color="auto"/>
        <w:right w:val="none" w:sz="0" w:space="0" w:color="auto"/>
      </w:divBdr>
    </w:div>
    <w:div w:id="1594624003">
      <w:bodyDiv w:val="1"/>
      <w:marLeft w:val="0"/>
      <w:marRight w:val="0"/>
      <w:marTop w:val="0"/>
      <w:marBottom w:val="0"/>
      <w:divBdr>
        <w:top w:val="none" w:sz="0" w:space="0" w:color="auto"/>
        <w:left w:val="none" w:sz="0" w:space="0" w:color="auto"/>
        <w:bottom w:val="none" w:sz="0" w:space="0" w:color="auto"/>
        <w:right w:val="none" w:sz="0" w:space="0" w:color="auto"/>
      </w:divBdr>
    </w:div>
    <w:div w:id="1597322822">
      <w:bodyDiv w:val="1"/>
      <w:marLeft w:val="0"/>
      <w:marRight w:val="0"/>
      <w:marTop w:val="0"/>
      <w:marBottom w:val="0"/>
      <w:divBdr>
        <w:top w:val="none" w:sz="0" w:space="0" w:color="auto"/>
        <w:left w:val="none" w:sz="0" w:space="0" w:color="auto"/>
        <w:bottom w:val="none" w:sz="0" w:space="0" w:color="auto"/>
        <w:right w:val="none" w:sz="0" w:space="0" w:color="auto"/>
      </w:divBdr>
    </w:div>
    <w:div w:id="1599482631">
      <w:bodyDiv w:val="1"/>
      <w:marLeft w:val="0"/>
      <w:marRight w:val="0"/>
      <w:marTop w:val="0"/>
      <w:marBottom w:val="0"/>
      <w:divBdr>
        <w:top w:val="none" w:sz="0" w:space="0" w:color="auto"/>
        <w:left w:val="none" w:sz="0" w:space="0" w:color="auto"/>
        <w:bottom w:val="none" w:sz="0" w:space="0" w:color="auto"/>
        <w:right w:val="none" w:sz="0" w:space="0" w:color="auto"/>
      </w:divBdr>
    </w:div>
    <w:div w:id="1608460355">
      <w:bodyDiv w:val="1"/>
      <w:marLeft w:val="0"/>
      <w:marRight w:val="0"/>
      <w:marTop w:val="0"/>
      <w:marBottom w:val="0"/>
      <w:divBdr>
        <w:top w:val="none" w:sz="0" w:space="0" w:color="auto"/>
        <w:left w:val="none" w:sz="0" w:space="0" w:color="auto"/>
        <w:bottom w:val="none" w:sz="0" w:space="0" w:color="auto"/>
        <w:right w:val="none" w:sz="0" w:space="0" w:color="auto"/>
      </w:divBdr>
    </w:div>
    <w:div w:id="1612394302">
      <w:bodyDiv w:val="1"/>
      <w:marLeft w:val="0"/>
      <w:marRight w:val="0"/>
      <w:marTop w:val="0"/>
      <w:marBottom w:val="0"/>
      <w:divBdr>
        <w:top w:val="none" w:sz="0" w:space="0" w:color="auto"/>
        <w:left w:val="none" w:sz="0" w:space="0" w:color="auto"/>
        <w:bottom w:val="none" w:sz="0" w:space="0" w:color="auto"/>
        <w:right w:val="none" w:sz="0" w:space="0" w:color="auto"/>
      </w:divBdr>
    </w:div>
    <w:div w:id="1629894884">
      <w:bodyDiv w:val="1"/>
      <w:marLeft w:val="0"/>
      <w:marRight w:val="0"/>
      <w:marTop w:val="0"/>
      <w:marBottom w:val="0"/>
      <w:divBdr>
        <w:top w:val="none" w:sz="0" w:space="0" w:color="auto"/>
        <w:left w:val="none" w:sz="0" w:space="0" w:color="auto"/>
        <w:bottom w:val="none" w:sz="0" w:space="0" w:color="auto"/>
        <w:right w:val="none" w:sz="0" w:space="0" w:color="auto"/>
      </w:divBdr>
    </w:div>
    <w:div w:id="1640768418">
      <w:bodyDiv w:val="1"/>
      <w:marLeft w:val="0"/>
      <w:marRight w:val="0"/>
      <w:marTop w:val="0"/>
      <w:marBottom w:val="0"/>
      <w:divBdr>
        <w:top w:val="none" w:sz="0" w:space="0" w:color="auto"/>
        <w:left w:val="none" w:sz="0" w:space="0" w:color="auto"/>
        <w:bottom w:val="none" w:sz="0" w:space="0" w:color="auto"/>
        <w:right w:val="none" w:sz="0" w:space="0" w:color="auto"/>
      </w:divBdr>
    </w:div>
    <w:div w:id="1642928194">
      <w:bodyDiv w:val="1"/>
      <w:marLeft w:val="0"/>
      <w:marRight w:val="0"/>
      <w:marTop w:val="0"/>
      <w:marBottom w:val="0"/>
      <w:divBdr>
        <w:top w:val="none" w:sz="0" w:space="0" w:color="auto"/>
        <w:left w:val="none" w:sz="0" w:space="0" w:color="auto"/>
        <w:bottom w:val="none" w:sz="0" w:space="0" w:color="auto"/>
        <w:right w:val="none" w:sz="0" w:space="0" w:color="auto"/>
      </w:divBdr>
    </w:div>
    <w:div w:id="1646204521">
      <w:bodyDiv w:val="1"/>
      <w:marLeft w:val="0"/>
      <w:marRight w:val="0"/>
      <w:marTop w:val="0"/>
      <w:marBottom w:val="0"/>
      <w:divBdr>
        <w:top w:val="none" w:sz="0" w:space="0" w:color="auto"/>
        <w:left w:val="none" w:sz="0" w:space="0" w:color="auto"/>
        <w:bottom w:val="none" w:sz="0" w:space="0" w:color="auto"/>
        <w:right w:val="none" w:sz="0" w:space="0" w:color="auto"/>
      </w:divBdr>
    </w:div>
    <w:div w:id="1651473471">
      <w:bodyDiv w:val="1"/>
      <w:marLeft w:val="0"/>
      <w:marRight w:val="0"/>
      <w:marTop w:val="0"/>
      <w:marBottom w:val="0"/>
      <w:divBdr>
        <w:top w:val="none" w:sz="0" w:space="0" w:color="auto"/>
        <w:left w:val="none" w:sz="0" w:space="0" w:color="auto"/>
        <w:bottom w:val="none" w:sz="0" w:space="0" w:color="auto"/>
        <w:right w:val="none" w:sz="0" w:space="0" w:color="auto"/>
      </w:divBdr>
    </w:div>
    <w:div w:id="1663006090">
      <w:bodyDiv w:val="1"/>
      <w:marLeft w:val="0"/>
      <w:marRight w:val="0"/>
      <w:marTop w:val="0"/>
      <w:marBottom w:val="0"/>
      <w:divBdr>
        <w:top w:val="none" w:sz="0" w:space="0" w:color="auto"/>
        <w:left w:val="none" w:sz="0" w:space="0" w:color="auto"/>
        <w:bottom w:val="none" w:sz="0" w:space="0" w:color="auto"/>
        <w:right w:val="none" w:sz="0" w:space="0" w:color="auto"/>
      </w:divBdr>
    </w:div>
    <w:div w:id="1677340988">
      <w:bodyDiv w:val="1"/>
      <w:marLeft w:val="0"/>
      <w:marRight w:val="0"/>
      <w:marTop w:val="0"/>
      <w:marBottom w:val="0"/>
      <w:divBdr>
        <w:top w:val="none" w:sz="0" w:space="0" w:color="auto"/>
        <w:left w:val="none" w:sz="0" w:space="0" w:color="auto"/>
        <w:bottom w:val="none" w:sz="0" w:space="0" w:color="auto"/>
        <w:right w:val="none" w:sz="0" w:space="0" w:color="auto"/>
      </w:divBdr>
    </w:div>
    <w:div w:id="1686129459">
      <w:bodyDiv w:val="1"/>
      <w:marLeft w:val="0"/>
      <w:marRight w:val="0"/>
      <w:marTop w:val="0"/>
      <w:marBottom w:val="0"/>
      <w:divBdr>
        <w:top w:val="none" w:sz="0" w:space="0" w:color="auto"/>
        <w:left w:val="none" w:sz="0" w:space="0" w:color="auto"/>
        <w:bottom w:val="none" w:sz="0" w:space="0" w:color="auto"/>
        <w:right w:val="none" w:sz="0" w:space="0" w:color="auto"/>
      </w:divBdr>
    </w:div>
    <w:div w:id="1706714660">
      <w:bodyDiv w:val="1"/>
      <w:marLeft w:val="0"/>
      <w:marRight w:val="0"/>
      <w:marTop w:val="0"/>
      <w:marBottom w:val="0"/>
      <w:divBdr>
        <w:top w:val="none" w:sz="0" w:space="0" w:color="auto"/>
        <w:left w:val="none" w:sz="0" w:space="0" w:color="auto"/>
        <w:bottom w:val="none" w:sz="0" w:space="0" w:color="auto"/>
        <w:right w:val="none" w:sz="0" w:space="0" w:color="auto"/>
      </w:divBdr>
    </w:div>
    <w:div w:id="1711032476">
      <w:bodyDiv w:val="1"/>
      <w:marLeft w:val="0"/>
      <w:marRight w:val="0"/>
      <w:marTop w:val="0"/>
      <w:marBottom w:val="0"/>
      <w:divBdr>
        <w:top w:val="none" w:sz="0" w:space="0" w:color="auto"/>
        <w:left w:val="none" w:sz="0" w:space="0" w:color="auto"/>
        <w:bottom w:val="none" w:sz="0" w:space="0" w:color="auto"/>
        <w:right w:val="none" w:sz="0" w:space="0" w:color="auto"/>
      </w:divBdr>
    </w:div>
    <w:div w:id="1712414333">
      <w:bodyDiv w:val="1"/>
      <w:marLeft w:val="0"/>
      <w:marRight w:val="0"/>
      <w:marTop w:val="0"/>
      <w:marBottom w:val="0"/>
      <w:divBdr>
        <w:top w:val="none" w:sz="0" w:space="0" w:color="auto"/>
        <w:left w:val="none" w:sz="0" w:space="0" w:color="auto"/>
        <w:bottom w:val="none" w:sz="0" w:space="0" w:color="auto"/>
        <w:right w:val="none" w:sz="0" w:space="0" w:color="auto"/>
      </w:divBdr>
      <w:divsChild>
        <w:div w:id="1464810986">
          <w:marLeft w:val="0"/>
          <w:marRight w:val="0"/>
          <w:marTop w:val="0"/>
          <w:marBottom w:val="0"/>
          <w:divBdr>
            <w:top w:val="none" w:sz="0" w:space="0" w:color="auto"/>
            <w:left w:val="none" w:sz="0" w:space="0" w:color="auto"/>
            <w:bottom w:val="none" w:sz="0" w:space="0" w:color="auto"/>
            <w:right w:val="none" w:sz="0" w:space="0" w:color="auto"/>
          </w:divBdr>
          <w:divsChild>
            <w:div w:id="1328480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59084">
          <w:marLeft w:val="0"/>
          <w:marRight w:val="0"/>
          <w:marTop w:val="0"/>
          <w:marBottom w:val="0"/>
          <w:divBdr>
            <w:top w:val="none" w:sz="0" w:space="0" w:color="auto"/>
            <w:left w:val="none" w:sz="0" w:space="0" w:color="auto"/>
            <w:bottom w:val="none" w:sz="0" w:space="0" w:color="auto"/>
            <w:right w:val="none" w:sz="0" w:space="0" w:color="auto"/>
          </w:divBdr>
          <w:divsChild>
            <w:div w:id="11931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5403">
      <w:bodyDiv w:val="1"/>
      <w:marLeft w:val="0"/>
      <w:marRight w:val="0"/>
      <w:marTop w:val="0"/>
      <w:marBottom w:val="0"/>
      <w:divBdr>
        <w:top w:val="none" w:sz="0" w:space="0" w:color="auto"/>
        <w:left w:val="none" w:sz="0" w:space="0" w:color="auto"/>
        <w:bottom w:val="none" w:sz="0" w:space="0" w:color="auto"/>
        <w:right w:val="none" w:sz="0" w:space="0" w:color="auto"/>
      </w:divBdr>
    </w:div>
    <w:div w:id="1736195955">
      <w:bodyDiv w:val="1"/>
      <w:marLeft w:val="0"/>
      <w:marRight w:val="0"/>
      <w:marTop w:val="0"/>
      <w:marBottom w:val="0"/>
      <w:divBdr>
        <w:top w:val="none" w:sz="0" w:space="0" w:color="auto"/>
        <w:left w:val="none" w:sz="0" w:space="0" w:color="auto"/>
        <w:bottom w:val="none" w:sz="0" w:space="0" w:color="auto"/>
        <w:right w:val="none" w:sz="0" w:space="0" w:color="auto"/>
      </w:divBdr>
    </w:div>
    <w:div w:id="1739747537">
      <w:bodyDiv w:val="1"/>
      <w:marLeft w:val="0"/>
      <w:marRight w:val="0"/>
      <w:marTop w:val="0"/>
      <w:marBottom w:val="0"/>
      <w:divBdr>
        <w:top w:val="none" w:sz="0" w:space="0" w:color="auto"/>
        <w:left w:val="none" w:sz="0" w:space="0" w:color="auto"/>
        <w:bottom w:val="none" w:sz="0" w:space="0" w:color="auto"/>
        <w:right w:val="none" w:sz="0" w:space="0" w:color="auto"/>
      </w:divBdr>
    </w:div>
    <w:div w:id="1742555213">
      <w:bodyDiv w:val="1"/>
      <w:marLeft w:val="0"/>
      <w:marRight w:val="0"/>
      <w:marTop w:val="0"/>
      <w:marBottom w:val="0"/>
      <w:divBdr>
        <w:top w:val="none" w:sz="0" w:space="0" w:color="auto"/>
        <w:left w:val="none" w:sz="0" w:space="0" w:color="auto"/>
        <w:bottom w:val="none" w:sz="0" w:space="0" w:color="auto"/>
        <w:right w:val="none" w:sz="0" w:space="0" w:color="auto"/>
      </w:divBdr>
    </w:div>
    <w:div w:id="1787263984">
      <w:bodyDiv w:val="1"/>
      <w:marLeft w:val="0"/>
      <w:marRight w:val="0"/>
      <w:marTop w:val="0"/>
      <w:marBottom w:val="0"/>
      <w:divBdr>
        <w:top w:val="none" w:sz="0" w:space="0" w:color="auto"/>
        <w:left w:val="none" w:sz="0" w:space="0" w:color="auto"/>
        <w:bottom w:val="none" w:sz="0" w:space="0" w:color="auto"/>
        <w:right w:val="none" w:sz="0" w:space="0" w:color="auto"/>
      </w:divBdr>
    </w:div>
    <w:div w:id="1800493307">
      <w:bodyDiv w:val="1"/>
      <w:marLeft w:val="0"/>
      <w:marRight w:val="0"/>
      <w:marTop w:val="0"/>
      <w:marBottom w:val="0"/>
      <w:divBdr>
        <w:top w:val="none" w:sz="0" w:space="0" w:color="auto"/>
        <w:left w:val="none" w:sz="0" w:space="0" w:color="auto"/>
        <w:bottom w:val="none" w:sz="0" w:space="0" w:color="auto"/>
        <w:right w:val="none" w:sz="0" w:space="0" w:color="auto"/>
      </w:divBdr>
    </w:div>
    <w:div w:id="1804617947">
      <w:bodyDiv w:val="1"/>
      <w:marLeft w:val="0"/>
      <w:marRight w:val="0"/>
      <w:marTop w:val="0"/>
      <w:marBottom w:val="0"/>
      <w:divBdr>
        <w:top w:val="none" w:sz="0" w:space="0" w:color="auto"/>
        <w:left w:val="none" w:sz="0" w:space="0" w:color="auto"/>
        <w:bottom w:val="none" w:sz="0" w:space="0" w:color="auto"/>
        <w:right w:val="none" w:sz="0" w:space="0" w:color="auto"/>
      </w:divBdr>
    </w:div>
    <w:div w:id="1807434327">
      <w:bodyDiv w:val="1"/>
      <w:marLeft w:val="0"/>
      <w:marRight w:val="0"/>
      <w:marTop w:val="0"/>
      <w:marBottom w:val="0"/>
      <w:divBdr>
        <w:top w:val="none" w:sz="0" w:space="0" w:color="auto"/>
        <w:left w:val="none" w:sz="0" w:space="0" w:color="auto"/>
        <w:bottom w:val="none" w:sz="0" w:space="0" w:color="auto"/>
        <w:right w:val="none" w:sz="0" w:space="0" w:color="auto"/>
      </w:divBdr>
    </w:div>
    <w:div w:id="1813252662">
      <w:bodyDiv w:val="1"/>
      <w:marLeft w:val="0"/>
      <w:marRight w:val="0"/>
      <w:marTop w:val="0"/>
      <w:marBottom w:val="0"/>
      <w:divBdr>
        <w:top w:val="none" w:sz="0" w:space="0" w:color="auto"/>
        <w:left w:val="none" w:sz="0" w:space="0" w:color="auto"/>
        <w:bottom w:val="none" w:sz="0" w:space="0" w:color="auto"/>
        <w:right w:val="none" w:sz="0" w:space="0" w:color="auto"/>
      </w:divBdr>
    </w:div>
    <w:div w:id="1856798115">
      <w:bodyDiv w:val="1"/>
      <w:marLeft w:val="0"/>
      <w:marRight w:val="0"/>
      <w:marTop w:val="0"/>
      <w:marBottom w:val="0"/>
      <w:divBdr>
        <w:top w:val="none" w:sz="0" w:space="0" w:color="auto"/>
        <w:left w:val="none" w:sz="0" w:space="0" w:color="auto"/>
        <w:bottom w:val="none" w:sz="0" w:space="0" w:color="auto"/>
        <w:right w:val="none" w:sz="0" w:space="0" w:color="auto"/>
      </w:divBdr>
    </w:div>
    <w:div w:id="1883516176">
      <w:bodyDiv w:val="1"/>
      <w:marLeft w:val="0"/>
      <w:marRight w:val="0"/>
      <w:marTop w:val="0"/>
      <w:marBottom w:val="0"/>
      <w:divBdr>
        <w:top w:val="none" w:sz="0" w:space="0" w:color="auto"/>
        <w:left w:val="none" w:sz="0" w:space="0" w:color="auto"/>
        <w:bottom w:val="none" w:sz="0" w:space="0" w:color="auto"/>
        <w:right w:val="none" w:sz="0" w:space="0" w:color="auto"/>
      </w:divBdr>
    </w:div>
    <w:div w:id="1888032484">
      <w:bodyDiv w:val="1"/>
      <w:marLeft w:val="0"/>
      <w:marRight w:val="0"/>
      <w:marTop w:val="0"/>
      <w:marBottom w:val="0"/>
      <w:divBdr>
        <w:top w:val="none" w:sz="0" w:space="0" w:color="auto"/>
        <w:left w:val="none" w:sz="0" w:space="0" w:color="auto"/>
        <w:bottom w:val="none" w:sz="0" w:space="0" w:color="auto"/>
        <w:right w:val="none" w:sz="0" w:space="0" w:color="auto"/>
      </w:divBdr>
    </w:div>
    <w:div w:id="1912541466">
      <w:bodyDiv w:val="1"/>
      <w:marLeft w:val="0"/>
      <w:marRight w:val="0"/>
      <w:marTop w:val="0"/>
      <w:marBottom w:val="0"/>
      <w:divBdr>
        <w:top w:val="none" w:sz="0" w:space="0" w:color="auto"/>
        <w:left w:val="none" w:sz="0" w:space="0" w:color="auto"/>
        <w:bottom w:val="none" w:sz="0" w:space="0" w:color="auto"/>
        <w:right w:val="none" w:sz="0" w:space="0" w:color="auto"/>
      </w:divBdr>
    </w:div>
    <w:div w:id="1918975140">
      <w:bodyDiv w:val="1"/>
      <w:marLeft w:val="0"/>
      <w:marRight w:val="0"/>
      <w:marTop w:val="0"/>
      <w:marBottom w:val="0"/>
      <w:divBdr>
        <w:top w:val="none" w:sz="0" w:space="0" w:color="auto"/>
        <w:left w:val="none" w:sz="0" w:space="0" w:color="auto"/>
        <w:bottom w:val="none" w:sz="0" w:space="0" w:color="auto"/>
        <w:right w:val="none" w:sz="0" w:space="0" w:color="auto"/>
      </w:divBdr>
    </w:div>
    <w:div w:id="1932664598">
      <w:bodyDiv w:val="1"/>
      <w:marLeft w:val="0"/>
      <w:marRight w:val="0"/>
      <w:marTop w:val="0"/>
      <w:marBottom w:val="0"/>
      <w:divBdr>
        <w:top w:val="none" w:sz="0" w:space="0" w:color="auto"/>
        <w:left w:val="none" w:sz="0" w:space="0" w:color="auto"/>
        <w:bottom w:val="none" w:sz="0" w:space="0" w:color="auto"/>
        <w:right w:val="none" w:sz="0" w:space="0" w:color="auto"/>
      </w:divBdr>
    </w:div>
    <w:div w:id="1979722038">
      <w:bodyDiv w:val="1"/>
      <w:marLeft w:val="0"/>
      <w:marRight w:val="0"/>
      <w:marTop w:val="0"/>
      <w:marBottom w:val="0"/>
      <w:divBdr>
        <w:top w:val="none" w:sz="0" w:space="0" w:color="auto"/>
        <w:left w:val="none" w:sz="0" w:space="0" w:color="auto"/>
        <w:bottom w:val="none" w:sz="0" w:space="0" w:color="auto"/>
        <w:right w:val="none" w:sz="0" w:space="0" w:color="auto"/>
      </w:divBdr>
    </w:div>
    <w:div w:id="1990137318">
      <w:bodyDiv w:val="1"/>
      <w:marLeft w:val="0"/>
      <w:marRight w:val="0"/>
      <w:marTop w:val="0"/>
      <w:marBottom w:val="0"/>
      <w:divBdr>
        <w:top w:val="none" w:sz="0" w:space="0" w:color="auto"/>
        <w:left w:val="none" w:sz="0" w:space="0" w:color="auto"/>
        <w:bottom w:val="none" w:sz="0" w:space="0" w:color="auto"/>
        <w:right w:val="none" w:sz="0" w:space="0" w:color="auto"/>
      </w:divBdr>
    </w:div>
    <w:div w:id="2016492286">
      <w:bodyDiv w:val="1"/>
      <w:marLeft w:val="0"/>
      <w:marRight w:val="0"/>
      <w:marTop w:val="0"/>
      <w:marBottom w:val="0"/>
      <w:divBdr>
        <w:top w:val="none" w:sz="0" w:space="0" w:color="auto"/>
        <w:left w:val="none" w:sz="0" w:space="0" w:color="auto"/>
        <w:bottom w:val="none" w:sz="0" w:space="0" w:color="auto"/>
        <w:right w:val="none" w:sz="0" w:space="0" w:color="auto"/>
      </w:divBdr>
    </w:div>
    <w:div w:id="2023630094">
      <w:bodyDiv w:val="1"/>
      <w:marLeft w:val="0"/>
      <w:marRight w:val="0"/>
      <w:marTop w:val="0"/>
      <w:marBottom w:val="0"/>
      <w:divBdr>
        <w:top w:val="none" w:sz="0" w:space="0" w:color="auto"/>
        <w:left w:val="none" w:sz="0" w:space="0" w:color="auto"/>
        <w:bottom w:val="none" w:sz="0" w:space="0" w:color="auto"/>
        <w:right w:val="none" w:sz="0" w:space="0" w:color="auto"/>
      </w:divBdr>
    </w:div>
    <w:div w:id="2037539140">
      <w:bodyDiv w:val="1"/>
      <w:marLeft w:val="0"/>
      <w:marRight w:val="0"/>
      <w:marTop w:val="0"/>
      <w:marBottom w:val="0"/>
      <w:divBdr>
        <w:top w:val="none" w:sz="0" w:space="0" w:color="auto"/>
        <w:left w:val="none" w:sz="0" w:space="0" w:color="auto"/>
        <w:bottom w:val="none" w:sz="0" w:space="0" w:color="auto"/>
        <w:right w:val="none" w:sz="0" w:space="0" w:color="auto"/>
      </w:divBdr>
    </w:div>
    <w:div w:id="2067072094">
      <w:bodyDiv w:val="1"/>
      <w:marLeft w:val="0"/>
      <w:marRight w:val="0"/>
      <w:marTop w:val="0"/>
      <w:marBottom w:val="0"/>
      <w:divBdr>
        <w:top w:val="none" w:sz="0" w:space="0" w:color="auto"/>
        <w:left w:val="none" w:sz="0" w:space="0" w:color="auto"/>
        <w:bottom w:val="none" w:sz="0" w:space="0" w:color="auto"/>
        <w:right w:val="none" w:sz="0" w:space="0" w:color="auto"/>
      </w:divBdr>
    </w:div>
    <w:div w:id="2069066926">
      <w:bodyDiv w:val="1"/>
      <w:marLeft w:val="0"/>
      <w:marRight w:val="0"/>
      <w:marTop w:val="0"/>
      <w:marBottom w:val="0"/>
      <w:divBdr>
        <w:top w:val="none" w:sz="0" w:space="0" w:color="auto"/>
        <w:left w:val="none" w:sz="0" w:space="0" w:color="auto"/>
        <w:bottom w:val="none" w:sz="0" w:space="0" w:color="auto"/>
        <w:right w:val="none" w:sz="0" w:space="0" w:color="auto"/>
      </w:divBdr>
    </w:div>
    <w:div w:id="2100177182">
      <w:bodyDiv w:val="1"/>
      <w:marLeft w:val="0"/>
      <w:marRight w:val="0"/>
      <w:marTop w:val="0"/>
      <w:marBottom w:val="0"/>
      <w:divBdr>
        <w:top w:val="none" w:sz="0" w:space="0" w:color="auto"/>
        <w:left w:val="none" w:sz="0" w:space="0" w:color="auto"/>
        <w:bottom w:val="none" w:sz="0" w:space="0" w:color="auto"/>
        <w:right w:val="none" w:sz="0" w:space="0" w:color="auto"/>
      </w:divBdr>
    </w:div>
    <w:div w:id="2110658499">
      <w:bodyDiv w:val="1"/>
      <w:marLeft w:val="0"/>
      <w:marRight w:val="0"/>
      <w:marTop w:val="0"/>
      <w:marBottom w:val="0"/>
      <w:divBdr>
        <w:top w:val="none" w:sz="0" w:space="0" w:color="auto"/>
        <w:left w:val="none" w:sz="0" w:space="0" w:color="auto"/>
        <w:bottom w:val="none" w:sz="0" w:space="0" w:color="auto"/>
        <w:right w:val="none" w:sz="0" w:space="0" w:color="auto"/>
      </w:divBdr>
    </w:div>
    <w:div w:id="212718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yperlink" Target="http://www.hcpa.edu.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7B12-B96B-4691-A866-848985A7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10398</Words>
  <Characters>72693</Characters>
  <Application>Microsoft Office Word</Application>
  <DocSecurity>0</DocSecurity>
  <Lines>605</Lines>
  <Paragraphs>165</Paragraphs>
  <ScaleCrop>false</ScaleCrop>
  <HeadingPairs>
    <vt:vector size="2" baseType="variant">
      <vt:variant>
        <vt:lpstr>Título</vt:lpstr>
      </vt:variant>
      <vt:variant>
        <vt:i4>1</vt:i4>
      </vt:variant>
    </vt:vector>
  </HeadingPairs>
  <TitlesOfParts>
    <vt:vector size="1" baseType="lpstr">
      <vt:lpstr>Ethan Frome</vt:lpstr>
    </vt:vector>
  </TitlesOfParts>
  <Company>Hospital de Clinicas de POA</Company>
  <LinksUpToDate>false</LinksUpToDate>
  <CharactersWithSpaces>82926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nfinato</dc:creator>
  <cp:keywords>Ethan</cp:keywords>
  <cp:lastModifiedBy>Juliana Zwetsch</cp:lastModifiedBy>
  <cp:revision>4</cp:revision>
  <cp:lastPrinted>2018-04-26T11:53:00Z</cp:lastPrinted>
  <dcterms:created xsi:type="dcterms:W3CDTF">2021-08-02T13:51:00Z</dcterms:created>
  <dcterms:modified xsi:type="dcterms:W3CDTF">2021-08-05T14:44:00Z</dcterms:modified>
</cp:coreProperties>
</file>