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E3A74" w14:textId="43E94B3C" w:rsidR="00A22F66" w:rsidRDefault="00A22F66" w:rsidP="00A22F66"/>
    <w:p w14:paraId="26789063" w14:textId="12971F08" w:rsidR="00820AF8" w:rsidRDefault="00820AF8"/>
    <w:p w14:paraId="2ED38B80" w14:textId="77777777" w:rsidR="00766A1F" w:rsidRPr="00FD7B48" w:rsidRDefault="00766A1F" w:rsidP="00860D48"/>
    <w:p w14:paraId="7A47FF5A" w14:textId="77777777" w:rsidR="00766A1F" w:rsidRPr="00FD7B48" w:rsidRDefault="00766A1F" w:rsidP="00860D48"/>
    <w:p w14:paraId="371C1449" w14:textId="77777777" w:rsidR="00766A1F" w:rsidRPr="00FD7B48" w:rsidRDefault="00766A1F" w:rsidP="00860D48"/>
    <w:p w14:paraId="4B430046" w14:textId="77777777" w:rsidR="00766A1F" w:rsidRPr="00FD7B48" w:rsidRDefault="00766A1F" w:rsidP="00860D48"/>
    <w:p w14:paraId="646E4968" w14:textId="77777777" w:rsidR="00766A1F" w:rsidRPr="00FD7B48" w:rsidRDefault="00766A1F" w:rsidP="00860D48"/>
    <w:p w14:paraId="7602FBA9" w14:textId="77777777" w:rsidR="00766A1F" w:rsidRPr="00FD7B48" w:rsidRDefault="00766A1F" w:rsidP="00860D48"/>
    <w:p w14:paraId="6B7D7D46" w14:textId="77777777" w:rsidR="00766A1F" w:rsidRPr="00FD7B48" w:rsidRDefault="00766A1F" w:rsidP="00860D48"/>
    <w:p w14:paraId="483BE270" w14:textId="77777777" w:rsidR="00766A1F" w:rsidRDefault="00766A1F" w:rsidP="00860D48"/>
    <w:p w14:paraId="3C6AADD7" w14:textId="77777777" w:rsidR="00501A1B" w:rsidRPr="00FD7B48" w:rsidRDefault="00501A1B" w:rsidP="00860D48"/>
    <w:p w14:paraId="639BF210" w14:textId="3C34B3CE" w:rsidR="00766A1F" w:rsidRPr="00FD7B48" w:rsidRDefault="00766A1F" w:rsidP="00FC5BC9">
      <w:pPr>
        <w:tabs>
          <w:tab w:val="left" w:pos="2228"/>
        </w:tabs>
        <w:jc w:val="both"/>
        <w:rPr>
          <w:b/>
          <w:sz w:val="40"/>
          <w:szCs w:val="40"/>
        </w:rPr>
      </w:pPr>
    </w:p>
    <w:p w14:paraId="70A22B4C" w14:textId="77777777" w:rsidR="00766A1F" w:rsidRPr="007B60BF" w:rsidRDefault="00621733" w:rsidP="00837472">
      <w:pPr>
        <w:rPr>
          <w:b/>
          <w:sz w:val="40"/>
          <w:szCs w:val="40"/>
        </w:rPr>
      </w:pPr>
      <w:r w:rsidRPr="007B60BF">
        <w:rPr>
          <w:b/>
          <w:sz w:val="40"/>
          <w:szCs w:val="40"/>
        </w:rPr>
        <w:t>Hospital de Clí</w:t>
      </w:r>
      <w:r w:rsidR="00766A1F" w:rsidRPr="007B60BF">
        <w:rPr>
          <w:b/>
          <w:sz w:val="40"/>
          <w:szCs w:val="40"/>
        </w:rPr>
        <w:t>nicas de Porto Alegre – HCPA</w:t>
      </w:r>
    </w:p>
    <w:p w14:paraId="1863FA7F" w14:textId="77777777" w:rsidR="00BD3D09" w:rsidRPr="007B60BF" w:rsidRDefault="00BD3D09" w:rsidP="00837472">
      <w:pPr>
        <w:rPr>
          <w:b/>
          <w:sz w:val="40"/>
          <w:szCs w:val="40"/>
        </w:rPr>
      </w:pPr>
    </w:p>
    <w:p w14:paraId="4E8DA597" w14:textId="77777777" w:rsidR="00766A1F" w:rsidRPr="007B60BF" w:rsidRDefault="00766A1F" w:rsidP="00837472">
      <w:pPr>
        <w:rPr>
          <w:sz w:val="28"/>
          <w:szCs w:val="28"/>
        </w:rPr>
      </w:pPr>
      <w:r w:rsidRPr="007B60BF">
        <w:rPr>
          <w:sz w:val="28"/>
          <w:szCs w:val="28"/>
        </w:rPr>
        <w:t xml:space="preserve">Demonstrações </w:t>
      </w:r>
      <w:r w:rsidR="00B017E6" w:rsidRPr="007B60BF">
        <w:rPr>
          <w:sz w:val="28"/>
          <w:szCs w:val="28"/>
        </w:rPr>
        <w:t>Contábeis</w:t>
      </w:r>
      <w:r w:rsidRPr="007B60BF">
        <w:rPr>
          <w:sz w:val="28"/>
          <w:szCs w:val="28"/>
        </w:rPr>
        <w:t xml:space="preserve"> de acordo com as práticas</w:t>
      </w:r>
    </w:p>
    <w:p w14:paraId="2B166853" w14:textId="0D24E900" w:rsidR="00766A1F" w:rsidRPr="007B60BF" w:rsidRDefault="00766A1F" w:rsidP="00837472">
      <w:pPr>
        <w:rPr>
          <w:sz w:val="28"/>
          <w:szCs w:val="28"/>
        </w:rPr>
      </w:pPr>
      <w:r w:rsidRPr="007B60BF">
        <w:rPr>
          <w:sz w:val="28"/>
          <w:szCs w:val="28"/>
        </w:rPr>
        <w:t xml:space="preserve">adotadas no Brasil em </w:t>
      </w:r>
      <w:r w:rsidR="009173BF" w:rsidRPr="007B60BF">
        <w:rPr>
          <w:sz w:val="28"/>
          <w:szCs w:val="28"/>
        </w:rPr>
        <w:t>31</w:t>
      </w:r>
      <w:r w:rsidR="00AD1808" w:rsidRPr="007B60BF">
        <w:rPr>
          <w:sz w:val="28"/>
          <w:szCs w:val="28"/>
        </w:rPr>
        <w:t xml:space="preserve"> de </w:t>
      </w:r>
      <w:r w:rsidR="009173BF" w:rsidRPr="007B60BF">
        <w:rPr>
          <w:sz w:val="28"/>
          <w:szCs w:val="28"/>
        </w:rPr>
        <w:t>dez</w:t>
      </w:r>
      <w:r w:rsidR="009761D4" w:rsidRPr="007B60BF">
        <w:rPr>
          <w:sz w:val="28"/>
          <w:szCs w:val="28"/>
        </w:rPr>
        <w:t>embro</w:t>
      </w:r>
      <w:r w:rsidR="00C76396" w:rsidRPr="007B60BF">
        <w:rPr>
          <w:sz w:val="28"/>
          <w:szCs w:val="28"/>
        </w:rPr>
        <w:t xml:space="preserve"> de 2025</w:t>
      </w:r>
    </w:p>
    <w:p w14:paraId="15AD0329" w14:textId="77777777" w:rsidR="009657C6" w:rsidRPr="007B60BF" w:rsidRDefault="009657C6">
      <w:pPr>
        <w:rPr>
          <w:sz w:val="28"/>
          <w:szCs w:val="28"/>
        </w:rPr>
      </w:pPr>
    </w:p>
    <w:p w14:paraId="295EE88E" w14:textId="727D15F6" w:rsidR="003374A7" w:rsidRPr="007B60BF" w:rsidRDefault="003C266B" w:rsidP="009C0196">
      <w:pPr>
        <w:rPr>
          <w:sz w:val="28"/>
          <w:szCs w:val="28"/>
        </w:rPr>
      </w:pPr>
      <w:r w:rsidRPr="007B60BF">
        <w:rPr>
          <w:sz w:val="28"/>
          <w:szCs w:val="28"/>
        </w:rPr>
        <w:br w:type="page"/>
      </w:r>
    </w:p>
    <w:sdt>
      <w:sdtPr>
        <w:rPr>
          <w:rFonts w:ascii="Times New Roman" w:eastAsia="Times New Roman" w:hAnsi="Times New Roman" w:cs="Times New Roman"/>
          <w:b w:val="0"/>
          <w:bCs w:val="0"/>
          <w:caps/>
          <w:noProof/>
          <w:color w:val="auto"/>
          <w:sz w:val="20"/>
          <w:szCs w:val="20"/>
        </w:rPr>
        <w:id w:val="1037391513"/>
        <w:docPartObj>
          <w:docPartGallery w:val="Table of Contents"/>
          <w:docPartUnique/>
        </w:docPartObj>
      </w:sdtPr>
      <w:sdtEndPr>
        <w:rPr>
          <w:bCs/>
        </w:rPr>
      </w:sdtEndPr>
      <w:sdtContent>
        <w:p w14:paraId="390C4CF4" w14:textId="7242BBEF" w:rsidR="00EB59F2" w:rsidRPr="007B60BF" w:rsidRDefault="002A0C39" w:rsidP="00C223F8">
          <w:pPr>
            <w:pStyle w:val="CabealhodoSumrio"/>
            <w:tabs>
              <w:tab w:val="left" w:pos="2557"/>
              <w:tab w:val="center" w:pos="4536"/>
            </w:tabs>
            <w:spacing w:before="100" w:beforeAutospacing="1"/>
            <w:ind w:left="-567"/>
            <w:jc w:val="center"/>
            <w:rPr>
              <w:rFonts w:ascii="Times New Roman" w:eastAsia="Times New Roman" w:hAnsi="Times New Roman" w:cs="Times New Roman"/>
              <w:bCs w:val="0"/>
              <w:caps/>
              <w:noProof/>
              <w:color w:val="auto"/>
              <w:sz w:val="20"/>
              <w:szCs w:val="20"/>
            </w:rPr>
          </w:pPr>
          <w:r w:rsidRPr="007B60BF">
            <w:rPr>
              <w:rFonts w:ascii="Times New Roman" w:eastAsia="Times New Roman" w:hAnsi="Times New Roman" w:cs="Times New Roman"/>
              <w:bCs w:val="0"/>
              <w:caps/>
              <w:noProof/>
              <w:color w:val="auto"/>
              <w:sz w:val="20"/>
              <w:szCs w:val="20"/>
            </w:rPr>
            <w:t>SUMÁ</w:t>
          </w:r>
          <w:r w:rsidR="00441ACA" w:rsidRPr="007B60BF">
            <w:rPr>
              <w:rFonts w:ascii="Times New Roman" w:eastAsia="Times New Roman" w:hAnsi="Times New Roman" w:cs="Times New Roman"/>
              <w:bCs w:val="0"/>
              <w:caps/>
              <w:noProof/>
              <w:color w:val="auto"/>
              <w:sz w:val="20"/>
              <w:szCs w:val="20"/>
            </w:rPr>
            <w:t>RIO</w:t>
          </w:r>
        </w:p>
        <w:p w14:paraId="2FB742FE" w14:textId="77777777" w:rsidR="0072145E" w:rsidRPr="007B60BF" w:rsidRDefault="0072145E" w:rsidP="00EF655B">
          <w:pPr>
            <w:ind w:left="-567"/>
          </w:pPr>
        </w:p>
        <w:p w14:paraId="20497941" w14:textId="3E0CCB17" w:rsidR="007B60BF" w:rsidRDefault="003337D3">
          <w:pPr>
            <w:pStyle w:val="Sumrio1"/>
            <w:rPr>
              <w:rFonts w:asciiTheme="minorHAnsi" w:eastAsiaTheme="minorEastAsia" w:hAnsiTheme="minorHAnsi" w:cstheme="minorBidi"/>
              <w:bCs w:val="0"/>
              <w:caps w:val="0"/>
              <w:sz w:val="22"/>
              <w:szCs w:val="22"/>
            </w:rPr>
          </w:pPr>
          <w:r w:rsidRPr="007B60BF">
            <w:rPr>
              <w:color w:val="FF0000"/>
              <w:sz w:val="16"/>
              <w:szCs w:val="16"/>
            </w:rPr>
            <w:fldChar w:fldCharType="begin"/>
          </w:r>
          <w:r w:rsidR="00EB59F2" w:rsidRPr="007B60BF">
            <w:rPr>
              <w:color w:val="FF0000"/>
              <w:sz w:val="16"/>
              <w:szCs w:val="16"/>
            </w:rPr>
            <w:instrText xml:space="preserve"> TOC \o "1-3" \h \z \u </w:instrText>
          </w:r>
          <w:r w:rsidRPr="007B60BF">
            <w:rPr>
              <w:color w:val="FF0000"/>
              <w:sz w:val="16"/>
              <w:szCs w:val="16"/>
            </w:rPr>
            <w:fldChar w:fldCharType="separate"/>
          </w:r>
          <w:hyperlink w:anchor="_Toc223007841" w:history="1">
            <w:r w:rsidR="007B60BF" w:rsidRPr="00790A11">
              <w:rPr>
                <w:rStyle w:val="Hyperlink"/>
              </w:rPr>
              <w:t>Relatório da Administração 2025</w:t>
            </w:r>
            <w:r w:rsidR="007B60BF">
              <w:rPr>
                <w:webHidden/>
              </w:rPr>
              <w:tab/>
            </w:r>
            <w:r w:rsidR="007B60BF">
              <w:rPr>
                <w:webHidden/>
              </w:rPr>
              <w:fldChar w:fldCharType="begin"/>
            </w:r>
            <w:r w:rsidR="007B60BF">
              <w:rPr>
                <w:webHidden/>
              </w:rPr>
              <w:instrText xml:space="preserve"> PAGEREF _Toc223007841 \h </w:instrText>
            </w:r>
            <w:r w:rsidR="007B60BF">
              <w:rPr>
                <w:webHidden/>
              </w:rPr>
            </w:r>
            <w:r w:rsidR="007B60BF">
              <w:rPr>
                <w:webHidden/>
              </w:rPr>
              <w:fldChar w:fldCharType="separate"/>
            </w:r>
            <w:r w:rsidR="005D68F7">
              <w:rPr>
                <w:webHidden/>
              </w:rPr>
              <w:t>3</w:t>
            </w:r>
            <w:r w:rsidR="007B60BF">
              <w:rPr>
                <w:webHidden/>
              </w:rPr>
              <w:fldChar w:fldCharType="end"/>
            </w:r>
          </w:hyperlink>
        </w:p>
        <w:p w14:paraId="3DBD8615" w14:textId="5B5AC07C" w:rsidR="007B60BF" w:rsidRDefault="00374747">
          <w:pPr>
            <w:pStyle w:val="Sumrio1"/>
            <w:rPr>
              <w:rFonts w:asciiTheme="minorHAnsi" w:eastAsiaTheme="minorEastAsia" w:hAnsiTheme="minorHAnsi" w:cstheme="minorBidi"/>
              <w:bCs w:val="0"/>
              <w:caps w:val="0"/>
              <w:sz w:val="22"/>
              <w:szCs w:val="22"/>
            </w:rPr>
          </w:pPr>
          <w:hyperlink w:anchor="_Toc223007842" w:history="1">
            <w:r w:rsidR="007B60BF" w:rsidRPr="00790A11">
              <w:rPr>
                <w:rStyle w:val="Hyperlink"/>
              </w:rPr>
              <w:t>Balanços Patrimoniais</w:t>
            </w:r>
            <w:r w:rsidR="007B60BF">
              <w:rPr>
                <w:webHidden/>
              </w:rPr>
              <w:tab/>
            </w:r>
            <w:r w:rsidR="007B60BF">
              <w:rPr>
                <w:webHidden/>
              </w:rPr>
              <w:fldChar w:fldCharType="begin"/>
            </w:r>
            <w:r w:rsidR="007B60BF">
              <w:rPr>
                <w:webHidden/>
              </w:rPr>
              <w:instrText xml:space="preserve"> PAGEREF _Toc223007842 \h </w:instrText>
            </w:r>
            <w:r w:rsidR="007B60BF">
              <w:rPr>
                <w:webHidden/>
              </w:rPr>
            </w:r>
            <w:r w:rsidR="007B60BF">
              <w:rPr>
                <w:webHidden/>
              </w:rPr>
              <w:fldChar w:fldCharType="separate"/>
            </w:r>
            <w:r w:rsidR="005D68F7">
              <w:rPr>
                <w:webHidden/>
              </w:rPr>
              <w:t>6</w:t>
            </w:r>
            <w:r w:rsidR="007B60BF">
              <w:rPr>
                <w:webHidden/>
              </w:rPr>
              <w:fldChar w:fldCharType="end"/>
            </w:r>
          </w:hyperlink>
        </w:p>
        <w:p w14:paraId="31844F3F" w14:textId="1A6A2694" w:rsidR="007B60BF" w:rsidRDefault="00374747">
          <w:pPr>
            <w:pStyle w:val="Sumrio1"/>
            <w:rPr>
              <w:rFonts w:asciiTheme="minorHAnsi" w:eastAsiaTheme="minorEastAsia" w:hAnsiTheme="minorHAnsi" w:cstheme="minorBidi"/>
              <w:bCs w:val="0"/>
              <w:caps w:val="0"/>
              <w:sz w:val="22"/>
              <w:szCs w:val="22"/>
            </w:rPr>
          </w:pPr>
          <w:hyperlink w:anchor="_Toc223007844" w:history="1">
            <w:r w:rsidR="007B60BF" w:rsidRPr="00790A11">
              <w:rPr>
                <w:rStyle w:val="Hyperlink"/>
              </w:rPr>
              <w:t>Demonstrações do Resultado</w:t>
            </w:r>
            <w:r w:rsidR="007B60BF">
              <w:rPr>
                <w:webHidden/>
              </w:rPr>
              <w:tab/>
            </w:r>
            <w:r w:rsidR="007B60BF">
              <w:rPr>
                <w:webHidden/>
              </w:rPr>
              <w:fldChar w:fldCharType="begin"/>
            </w:r>
            <w:r w:rsidR="007B60BF">
              <w:rPr>
                <w:webHidden/>
              </w:rPr>
              <w:instrText xml:space="preserve"> PAGEREF _Toc223007844 \h </w:instrText>
            </w:r>
            <w:r w:rsidR="007B60BF">
              <w:rPr>
                <w:webHidden/>
              </w:rPr>
            </w:r>
            <w:r w:rsidR="007B60BF">
              <w:rPr>
                <w:webHidden/>
              </w:rPr>
              <w:fldChar w:fldCharType="separate"/>
            </w:r>
            <w:r w:rsidR="005D68F7">
              <w:rPr>
                <w:webHidden/>
              </w:rPr>
              <w:t>8</w:t>
            </w:r>
            <w:r w:rsidR="007B60BF">
              <w:rPr>
                <w:webHidden/>
              </w:rPr>
              <w:fldChar w:fldCharType="end"/>
            </w:r>
          </w:hyperlink>
        </w:p>
        <w:p w14:paraId="3BE0F8A2" w14:textId="1BACF6C1" w:rsidR="007B60BF" w:rsidRDefault="00374747">
          <w:pPr>
            <w:pStyle w:val="Sumrio1"/>
            <w:rPr>
              <w:rFonts w:asciiTheme="minorHAnsi" w:eastAsiaTheme="minorEastAsia" w:hAnsiTheme="minorHAnsi" w:cstheme="minorBidi"/>
              <w:bCs w:val="0"/>
              <w:caps w:val="0"/>
              <w:sz w:val="22"/>
              <w:szCs w:val="22"/>
            </w:rPr>
          </w:pPr>
          <w:hyperlink w:anchor="_Toc223007845" w:history="1">
            <w:r w:rsidR="007B60BF" w:rsidRPr="00790A11">
              <w:rPr>
                <w:rStyle w:val="Hyperlink"/>
              </w:rPr>
              <w:t>Demonstrações do Resultado Abrangente</w:t>
            </w:r>
            <w:r w:rsidR="007B60BF">
              <w:rPr>
                <w:webHidden/>
              </w:rPr>
              <w:tab/>
            </w:r>
            <w:r w:rsidR="007B60BF">
              <w:rPr>
                <w:webHidden/>
              </w:rPr>
              <w:fldChar w:fldCharType="begin"/>
            </w:r>
            <w:r w:rsidR="007B60BF">
              <w:rPr>
                <w:webHidden/>
              </w:rPr>
              <w:instrText xml:space="preserve"> PAGEREF _Toc223007845 \h </w:instrText>
            </w:r>
            <w:r w:rsidR="007B60BF">
              <w:rPr>
                <w:webHidden/>
              </w:rPr>
            </w:r>
            <w:r w:rsidR="007B60BF">
              <w:rPr>
                <w:webHidden/>
              </w:rPr>
              <w:fldChar w:fldCharType="separate"/>
            </w:r>
            <w:r w:rsidR="005D68F7">
              <w:rPr>
                <w:webHidden/>
              </w:rPr>
              <w:t>8</w:t>
            </w:r>
            <w:r w:rsidR="007B60BF">
              <w:rPr>
                <w:webHidden/>
              </w:rPr>
              <w:fldChar w:fldCharType="end"/>
            </w:r>
          </w:hyperlink>
        </w:p>
        <w:p w14:paraId="40AF2309" w14:textId="213B2E02" w:rsidR="007B60BF" w:rsidRDefault="00374747">
          <w:pPr>
            <w:pStyle w:val="Sumrio1"/>
            <w:rPr>
              <w:rFonts w:asciiTheme="minorHAnsi" w:eastAsiaTheme="minorEastAsia" w:hAnsiTheme="minorHAnsi" w:cstheme="minorBidi"/>
              <w:bCs w:val="0"/>
              <w:caps w:val="0"/>
              <w:sz w:val="22"/>
              <w:szCs w:val="22"/>
            </w:rPr>
          </w:pPr>
          <w:hyperlink w:anchor="_Toc223007846" w:history="1">
            <w:r w:rsidR="007B60BF" w:rsidRPr="00790A11">
              <w:rPr>
                <w:rStyle w:val="Hyperlink"/>
              </w:rPr>
              <w:t>Demonstrações das Mutações do Patrimônio Líquido</w:t>
            </w:r>
            <w:r w:rsidR="007B60BF">
              <w:rPr>
                <w:webHidden/>
              </w:rPr>
              <w:tab/>
            </w:r>
            <w:r w:rsidR="007B60BF">
              <w:rPr>
                <w:webHidden/>
              </w:rPr>
              <w:fldChar w:fldCharType="begin"/>
            </w:r>
            <w:r w:rsidR="007B60BF">
              <w:rPr>
                <w:webHidden/>
              </w:rPr>
              <w:instrText xml:space="preserve"> PAGEREF _Toc223007846 \h </w:instrText>
            </w:r>
            <w:r w:rsidR="007B60BF">
              <w:rPr>
                <w:webHidden/>
              </w:rPr>
            </w:r>
            <w:r w:rsidR="007B60BF">
              <w:rPr>
                <w:webHidden/>
              </w:rPr>
              <w:fldChar w:fldCharType="separate"/>
            </w:r>
            <w:r w:rsidR="005D68F7">
              <w:rPr>
                <w:webHidden/>
              </w:rPr>
              <w:t>9</w:t>
            </w:r>
            <w:r w:rsidR="007B60BF">
              <w:rPr>
                <w:webHidden/>
              </w:rPr>
              <w:fldChar w:fldCharType="end"/>
            </w:r>
          </w:hyperlink>
        </w:p>
        <w:p w14:paraId="19DFF55A" w14:textId="783D6EEC" w:rsidR="007B60BF" w:rsidRDefault="00374747">
          <w:pPr>
            <w:pStyle w:val="Sumrio1"/>
            <w:rPr>
              <w:rFonts w:asciiTheme="minorHAnsi" w:eastAsiaTheme="minorEastAsia" w:hAnsiTheme="minorHAnsi" w:cstheme="minorBidi"/>
              <w:bCs w:val="0"/>
              <w:caps w:val="0"/>
              <w:sz w:val="22"/>
              <w:szCs w:val="22"/>
            </w:rPr>
          </w:pPr>
          <w:hyperlink w:anchor="_Toc223007847" w:history="1">
            <w:r w:rsidR="007B60BF" w:rsidRPr="00790A11">
              <w:rPr>
                <w:rStyle w:val="Hyperlink"/>
              </w:rPr>
              <w:t>Demonstrações dos Fluxos de Caixa</w:t>
            </w:r>
            <w:r w:rsidR="007B60BF">
              <w:rPr>
                <w:webHidden/>
              </w:rPr>
              <w:tab/>
            </w:r>
            <w:r w:rsidR="007B60BF">
              <w:rPr>
                <w:webHidden/>
              </w:rPr>
              <w:fldChar w:fldCharType="begin"/>
            </w:r>
            <w:r w:rsidR="007B60BF">
              <w:rPr>
                <w:webHidden/>
              </w:rPr>
              <w:instrText xml:space="preserve"> PAGEREF _Toc223007847 \h </w:instrText>
            </w:r>
            <w:r w:rsidR="007B60BF">
              <w:rPr>
                <w:webHidden/>
              </w:rPr>
            </w:r>
            <w:r w:rsidR="007B60BF">
              <w:rPr>
                <w:webHidden/>
              </w:rPr>
              <w:fldChar w:fldCharType="separate"/>
            </w:r>
            <w:r w:rsidR="005D68F7">
              <w:rPr>
                <w:webHidden/>
              </w:rPr>
              <w:t>10</w:t>
            </w:r>
            <w:r w:rsidR="007B60BF">
              <w:rPr>
                <w:webHidden/>
              </w:rPr>
              <w:fldChar w:fldCharType="end"/>
            </w:r>
          </w:hyperlink>
        </w:p>
        <w:p w14:paraId="3FD43272" w14:textId="7A199CF0" w:rsidR="007B60BF" w:rsidRDefault="00374747">
          <w:pPr>
            <w:pStyle w:val="Sumrio1"/>
            <w:rPr>
              <w:rFonts w:asciiTheme="minorHAnsi" w:eastAsiaTheme="minorEastAsia" w:hAnsiTheme="minorHAnsi" w:cstheme="minorBidi"/>
              <w:bCs w:val="0"/>
              <w:caps w:val="0"/>
              <w:sz w:val="22"/>
              <w:szCs w:val="22"/>
            </w:rPr>
          </w:pPr>
          <w:hyperlink w:anchor="_Toc223007848" w:history="1">
            <w:r w:rsidR="007B60BF" w:rsidRPr="00790A11">
              <w:rPr>
                <w:rStyle w:val="Hyperlink"/>
              </w:rPr>
              <w:t>Demonstrações do Valor Adicionado</w:t>
            </w:r>
            <w:r w:rsidR="007B60BF">
              <w:rPr>
                <w:webHidden/>
              </w:rPr>
              <w:tab/>
            </w:r>
            <w:r w:rsidR="007B60BF">
              <w:rPr>
                <w:webHidden/>
              </w:rPr>
              <w:fldChar w:fldCharType="begin"/>
            </w:r>
            <w:r w:rsidR="007B60BF">
              <w:rPr>
                <w:webHidden/>
              </w:rPr>
              <w:instrText xml:space="preserve"> PAGEREF _Toc223007848 \h </w:instrText>
            </w:r>
            <w:r w:rsidR="007B60BF">
              <w:rPr>
                <w:webHidden/>
              </w:rPr>
            </w:r>
            <w:r w:rsidR="007B60BF">
              <w:rPr>
                <w:webHidden/>
              </w:rPr>
              <w:fldChar w:fldCharType="separate"/>
            </w:r>
            <w:r w:rsidR="005D68F7">
              <w:rPr>
                <w:webHidden/>
              </w:rPr>
              <w:t>11</w:t>
            </w:r>
            <w:r w:rsidR="007B60BF">
              <w:rPr>
                <w:webHidden/>
              </w:rPr>
              <w:fldChar w:fldCharType="end"/>
            </w:r>
          </w:hyperlink>
        </w:p>
        <w:p w14:paraId="4AA01475" w14:textId="6844C2C3" w:rsidR="007B60BF" w:rsidRDefault="00374747">
          <w:pPr>
            <w:pStyle w:val="Sumrio1"/>
            <w:rPr>
              <w:rFonts w:asciiTheme="minorHAnsi" w:eastAsiaTheme="minorEastAsia" w:hAnsiTheme="minorHAnsi" w:cstheme="minorBidi"/>
              <w:bCs w:val="0"/>
              <w:caps w:val="0"/>
              <w:sz w:val="22"/>
              <w:szCs w:val="22"/>
            </w:rPr>
          </w:pPr>
          <w:hyperlink w:anchor="_Toc223007849" w:history="1">
            <w:r w:rsidR="007B60BF" w:rsidRPr="00790A11">
              <w:rPr>
                <w:rStyle w:val="Hyperlink"/>
              </w:rPr>
              <w:t>Notas Explicativas</w:t>
            </w:r>
            <w:r w:rsidR="007B60BF">
              <w:rPr>
                <w:webHidden/>
              </w:rPr>
              <w:tab/>
            </w:r>
            <w:r w:rsidR="007B60BF">
              <w:rPr>
                <w:webHidden/>
              </w:rPr>
              <w:fldChar w:fldCharType="begin"/>
            </w:r>
            <w:r w:rsidR="007B60BF">
              <w:rPr>
                <w:webHidden/>
              </w:rPr>
              <w:instrText xml:space="preserve"> PAGEREF _Toc223007849 \h </w:instrText>
            </w:r>
            <w:r w:rsidR="007B60BF">
              <w:rPr>
                <w:webHidden/>
              </w:rPr>
            </w:r>
            <w:r w:rsidR="007B60BF">
              <w:rPr>
                <w:webHidden/>
              </w:rPr>
              <w:fldChar w:fldCharType="separate"/>
            </w:r>
            <w:r w:rsidR="005D68F7">
              <w:rPr>
                <w:webHidden/>
              </w:rPr>
              <w:t>12</w:t>
            </w:r>
            <w:r w:rsidR="007B60BF">
              <w:rPr>
                <w:webHidden/>
              </w:rPr>
              <w:fldChar w:fldCharType="end"/>
            </w:r>
          </w:hyperlink>
        </w:p>
        <w:p w14:paraId="7A3DAC8F" w14:textId="1CC9A1E7" w:rsidR="007B60BF" w:rsidRDefault="00374747">
          <w:pPr>
            <w:pStyle w:val="Sumrio1"/>
            <w:rPr>
              <w:rFonts w:asciiTheme="minorHAnsi" w:eastAsiaTheme="minorEastAsia" w:hAnsiTheme="minorHAnsi" w:cstheme="minorBidi"/>
              <w:bCs w:val="0"/>
              <w:caps w:val="0"/>
              <w:sz w:val="22"/>
              <w:szCs w:val="22"/>
            </w:rPr>
          </w:pPr>
          <w:hyperlink w:anchor="_Toc223007850" w:history="1">
            <w:r w:rsidR="007B60BF" w:rsidRPr="00790A11">
              <w:rPr>
                <w:rStyle w:val="Hyperlink"/>
              </w:rPr>
              <w:t>01</w:t>
            </w:r>
            <w:r w:rsidR="007B60BF">
              <w:rPr>
                <w:rFonts w:asciiTheme="minorHAnsi" w:eastAsiaTheme="minorEastAsia" w:hAnsiTheme="minorHAnsi" w:cstheme="minorBidi"/>
                <w:bCs w:val="0"/>
                <w:caps w:val="0"/>
                <w:sz w:val="22"/>
                <w:szCs w:val="22"/>
              </w:rPr>
              <w:tab/>
            </w:r>
            <w:r w:rsidR="007B60BF" w:rsidRPr="00790A11">
              <w:rPr>
                <w:rStyle w:val="Hyperlink"/>
              </w:rPr>
              <w:t>Contexto Operacional</w:t>
            </w:r>
            <w:r w:rsidR="007B60BF">
              <w:rPr>
                <w:webHidden/>
              </w:rPr>
              <w:tab/>
            </w:r>
            <w:r w:rsidR="007B60BF">
              <w:rPr>
                <w:webHidden/>
              </w:rPr>
              <w:fldChar w:fldCharType="begin"/>
            </w:r>
            <w:r w:rsidR="007B60BF">
              <w:rPr>
                <w:webHidden/>
              </w:rPr>
              <w:instrText xml:space="preserve"> PAGEREF _Toc223007850 \h </w:instrText>
            </w:r>
            <w:r w:rsidR="007B60BF">
              <w:rPr>
                <w:webHidden/>
              </w:rPr>
            </w:r>
            <w:r w:rsidR="007B60BF">
              <w:rPr>
                <w:webHidden/>
              </w:rPr>
              <w:fldChar w:fldCharType="separate"/>
            </w:r>
            <w:r w:rsidR="005D68F7">
              <w:rPr>
                <w:webHidden/>
              </w:rPr>
              <w:t>12</w:t>
            </w:r>
            <w:r w:rsidR="007B60BF">
              <w:rPr>
                <w:webHidden/>
              </w:rPr>
              <w:fldChar w:fldCharType="end"/>
            </w:r>
          </w:hyperlink>
        </w:p>
        <w:p w14:paraId="2B11E4E8" w14:textId="1A5E7DC0" w:rsidR="007B60BF" w:rsidRDefault="00374747">
          <w:pPr>
            <w:pStyle w:val="Sumrio1"/>
            <w:rPr>
              <w:rFonts w:asciiTheme="minorHAnsi" w:eastAsiaTheme="minorEastAsia" w:hAnsiTheme="minorHAnsi" w:cstheme="minorBidi"/>
              <w:bCs w:val="0"/>
              <w:caps w:val="0"/>
              <w:sz w:val="22"/>
              <w:szCs w:val="22"/>
            </w:rPr>
          </w:pPr>
          <w:hyperlink w:anchor="_Toc223007851" w:history="1">
            <w:r w:rsidR="007B60BF" w:rsidRPr="00790A11">
              <w:rPr>
                <w:rStyle w:val="Hyperlink"/>
              </w:rPr>
              <w:t>02</w:t>
            </w:r>
            <w:r w:rsidR="007B60BF">
              <w:rPr>
                <w:rFonts w:asciiTheme="minorHAnsi" w:eastAsiaTheme="minorEastAsia" w:hAnsiTheme="minorHAnsi" w:cstheme="minorBidi"/>
                <w:bCs w:val="0"/>
                <w:caps w:val="0"/>
                <w:sz w:val="22"/>
                <w:szCs w:val="22"/>
              </w:rPr>
              <w:tab/>
            </w:r>
            <w:r w:rsidR="007B60BF" w:rsidRPr="00790A11">
              <w:rPr>
                <w:rStyle w:val="Hyperlink"/>
              </w:rPr>
              <w:t>Principais Políticas Contábeis</w:t>
            </w:r>
            <w:r w:rsidR="007B60BF">
              <w:rPr>
                <w:webHidden/>
              </w:rPr>
              <w:tab/>
            </w:r>
            <w:r w:rsidR="007B60BF">
              <w:rPr>
                <w:webHidden/>
              </w:rPr>
              <w:fldChar w:fldCharType="begin"/>
            </w:r>
            <w:r w:rsidR="007B60BF">
              <w:rPr>
                <w:webHidden/>
              </w:rPr>
              <w:instrText xml:space="preserve"> PAGEREF _Toc223007851 \h </w:instrText>
            </w:r>
            <w:r w:rsidR="007B60BF">
              <w:rPr>
                <w:webHidden/>
              </w:rPr>
            </w:r>
            <w:r w:rsidR="007B60BF">
              <w:rPr>
                <w:webHidden/>
              </w:rPr>
              <w:fldChar w:fldCharType="separate"/>
            </w:r>
            <w:r w:rsidR="005D68F7">
              <w:rPr>
                <w:webHidden/>
              </w:rPr>
              <w:t>12</w:t>
            </w:r>
            <w:r w:rsidR="007B60BF">
              <w:rPr>
                <w:webHidden/>
              </w:rPr>
              <w:fldChar w:fldCharType="end"/>
            </w:r>
          </w:hyperlink>
        </w:p>
        <w:p w14:paraId="688774F7" w14:textId="5A2E2166" w:rsidR="007B60BF" w:rsidRDefault="00374747">
          <w:pPr>
            <w:pStyle w:val="Sumrio1"/>
            <w:rPr>
              <w:rFonts w:asciiTheme="minorHAnsi" w:eastAsiaTheme="minorEastAsia" w:hAnsiTheme="minorHAnsi" w:cstheme="minorBidi"/>
              <w:bCs w:val="0"/>
              <w:caps w:val="0"/>
              <w:sz w:val="22"/>
              <w:szCs w:val="22"/>
            </w:rPr>
          </w:pPr>
          <w:hyperlink w:anchor="_Toc223007852" w:history="1">
            <w:r w:rsidR="007B60BF" w:rsidRPr="00790A11">
              <w:rPr>
                <w:rStyle w:val="Hyperlink"/>
              </w:rPr>
              <w:t>03</w:t>
            </w:r>
            <w:r w:rsidR="007B60BF">
              <w:rPr>
                <w:rFonts w:asciiTheme="minorHAnsi" w:eastAsiaTheme="minorEastAsia" w:hAnsiTheme="minorHAnsi" w:cstheme="minorBidi"/>
                <w:bCs w:val="0"/>
                <w:caps w:val="0"/>
                <w:sz w:val="22"/>
                <w:szCs w:val="22"/>
              </w:rPr>
              <w:tab/>
            </w:r>
            <w:r w:rsidR="007B60BF" w:rsidRPr="00790A11">
              <w:rPr>
                <w:rStyle w:val="Hyperlink"/>
              </w:rPr>
              <w:t>Estimativas e Julgamentos Contábeis Relevantes</w:t>
            </w:r>
            <w:r w:rsidR="007B60BF">
              <w:rPr>
                <w:webHidden/>
              </w:rPr>
              <w:tab/>
            </w:r>
            <w:r w:rsidR="007B60BF">
              <w:rPr>
                <w:webHidden/>
              </w:rPr>
              <w:fldChar w:fldCharType="begin"/>
            </w:r>
            <w:r w:rsidR="007B60BF">
              <w:rPr>
                <w:webHidden/>
              </w:rPr>
              <w:instrText xml:space="preserve"> PAGEREF _Toc223007852 \h </w:instrText>
            </w:r>
            <w:r w:rsidR="007B60BF">
              <w:rPr>
                <w:webHidden/>
              </w:rPr>
            </w:r>
            <w:r w:rsidR="007B60BF">
              <w:rPr>
                <w:webHidden/>
              </w:rPr>
              <w:fldChar w:fldCharType="separate"/>
            </w:r>
            <w:r w:rsidR="005D68F7">
              <w:rPr>
                <w:webHidden/>
              </w:rPr>
              <w:t>16</w:t>
            </w:r>
            <w:r w:rsidR="007B60BF">
              <w:rPr>
                <w:webHidden/>
              </w:rPr>
              <w:fldChar w:fldCharType="end"/>
            </w:r>
          </w:hyperlink>
        </w:p>
        <w:p w14:paraId="2F9F1C05" w14:textId="1C33AF70" w:rsidR="007B60BF" w:rsidRDefault="00374747">
          <w:pPr>
            <w:pStyle w:val="Sumrio1"/>
            <w:rPr>
              <w:rFonts w:asciiTheme="minorHAnsi" w:eastAsiaTheme="minorEastAsia" w:hAnsiTheme="minorHAnsi" w:cstheme="minorBidi"/>
              <w:bCs w:val="0"/>
              <w:caps w:val="0"/>
              <w:sz w:val="22"/>
              <w:szCs w:val="22"/>
            </w:rPr>
          </w:pPr>
          <w:hyperlink w:anchor="_Toc223007853" w:history="1">
            <w:r w:rsidR="007B60BF" w:rsidRPr="00790A11">
              <w:rPr>
                <w:rStyle w:val="Hyperlink"/>
              </w:rPr>
              <w:t>04</w:t>
            </w:r>
            <w:r w:rsidR="007B60BF">
              <w:rPr>
                <w:rFonts w:asciiTheme="minorHAnsi" w:eastAsiaTheme="minorEastAsia" w:hAnsiTheme="minorHAnsi" w:cstheme="minorBidi"/>
                <w:bCs w:val="0"/>
                <w:caps w:val="0"/>
                <w:sz w:val="22"/>
                <w:szCs w:val="22"/>
              </w:rPr>
              <w:tab/>
            </w:r>
            <w:r w:rsidR="007B60BF" w:rsidRPr="00790A11">
              <w:rPr>
                <w:rStyle w:val="Hyperlink"/>
              </w:rPr>
              <w:t>Gestão de Risco Financeiro</w:t>
            </w:r>
            <w:r w:rsidR="007B60BF">
              <w:rPr>
                <w:webHidden/>
              </w:rPr>
              <w:tab/>
            </w:r>
            <w:r w:rsidR="007B60BF">
              <w:rPr>
                <w:webHidden/>
              </w:rPr>
              <w:fldChar w:fldCharType="begin"/>
            </w:r>
            <w:r w:rsidR="007B60BF">
              <w:rPr>
                <w:webHidden/>
              </w:rPr>
              <w:instrText xml:space="preserve"> PAGEREF _Toc223007853 \h </w:instrText>
            </w:r>
            <w:r w:rsidR="007B60BF">
              <w:rPr>
                <w:webHidden/>
              </w:rPr>
            </w:r>
            <w:r w:rsidR="007B60BF">
              <w:rPr>
                <w:webHidden/>
              </w:rPr>
              <w:fldChar w:fldCharType="separate"/>
            </w:r>
            <w:r w:rsidR="005D68F7">
              <w:rPr>
                <w:webHidden/>
              </w:rPr>
              <w:t>16</w:t>
            </w:r>
            <w:r w:rsidR="007B60BF">
              <w:rPr>
                <w:webHidden/>
              </w:rPr>
              <w:fldChar w:fldCharType="end"/>
            </w:r>
          </w:hyperlink>
        </w:p>
        <w:p w14:paraId="0602C210" w14:textId="329C9412" w:rsidR="007B60BF" w:rsidRDefault="00374747">
          <w:pPr>
            <w:pStyle w:val="Sumrio1"/>
            <w:rPr>
              <w:rFonts w:asciiTheme="minorHAnsi" w:eastAsiaTheme="minorEastAsia" w:hAnsiTheme="minorHAnsi" w:cstheme="minorBidi"/>
              <w:bCs w:val="0"/>
              <w:caps w:val="0"/>
              <w:sz w:val="22"/>
              <w:szCs w:val="22"/>
            </w:rPr>
          </w:pPr>
          <w:hyperlink w:anchor="_Toc223007854" w:history="1">
            <w:r w:rsidR="007B60BF" w:rsidRPr="00790A11">
              <w:rPr>
                <w:rStyle w:val="Hyperlink"/>
              </w:rPr>
              <w:t>05</w:t>
            </w:r>
            <w:r w:rsidR="007B60BF">
              <w:rPr>
                <w:rFonts w:asciiTheme="minorHAnsi" w:eastAsiaTheme="minorEastAsia" w:hAnsiTheme="minorHAnsi" w:cstheme="minorBidi"/>
                <w:bCs w:val="0"/>
                <w:caps w:val="0"/>
                <w:sz w:val="22"/>
                <w:szCs w:val="22"/>
              </w:rPr>
              <w:tab/>
            </w:r>
            <w:r w:rsidR="007B60BF" w:rsidRPr="00790A11">
              <w:rPr>
                <w:rStyle w:val="Hyperlink"/>
              </w:rPr>
              <w:t>Caixa e Equivalentes de Caixa</w:t>
            </w:r>
            <w:r w:rsidR="007B60BF">
              <w:rPr>
                <w:webHidden/>
              </w:rPr>
              <w:tab/>
            </w:r>
            <w:r w:rsidR="007B60BF">
              <w:rPr>
                <w:webHidden/>
              </w:rPr>
              <w:fldChar w:fldCharType="begin"/>
            </w:r>
            <w:r w:rsidR="007B60BF">
              <w:rPr>
                <w:webHidden/>
              </w:rPr>
              <w:instrText xml:space="preserve"> PAGEREF _Toc223007854 \h </w:instrText>
            </w:r>
            <w:r w:rsidR="007B60BF">
              <w:rPr>
                <w:webHidden/>
              </w:rPr>
            </w:r>
            <w:r w:rsidR="007B60BF">
              <w:rPr>
                <w:webHidden/>
              </w:rPr>
              <w:fldChar w:fldCharType="separate"/>
            </w:r>
            <w:r w:rsidR="005D68F7">
              <w:rPr>
                <w:webHidden/>
              </w:rPr>
              <w:t>17</w:t>
            </w:r>
            <w:r w:rsidR="007B60BF">
              <w:rPr>
                <w:webHidden/>
              </w:rPr>
              <w:fldChar w:fldCharType="end"/>
            </w:r>
          </w:hyperlink>
        </w:p>
        <w:p w14:paraId="32DB95E9" w14:textId="7D7050EE" w:rsidR="007B60BF" w:rsidRDefault="00374747">
          <w:pPr>
            <w:pStyle w:val="Sumrio1"/>
            <w:rPr>
              <w:rFonts w:asciiTheme="minorHAnsi" w:eastAsiaTheme="minorEastAsia" w:hAnsiTheme="minorHAnsi" w:cstheme="minorBidi"/>
              <w:bCs w:val="0"/>
              <w:caps w:val="0"/>
              <w:sz w:val="22"/>
              <w:szCs w:val="22"/>
            </w:rPr>
          </w:pPr>
          <w:hyperlink w:anchor="_Toc223007855" w:history="1">
            <w:r w:rsidR="007B60BF" w:rsidRPr="00790A11">
              <w:rPr>
                <w:rStyle w:val="Hyperlink"/>
              </w:rPr>
              <w:t>06</w:t>
            </w:r>
            <w:r w:rsidR="007B60BF">
              <w:rPr>
                <w:rFonts w:asciiTheme="minorHAnsi" w:eastAsiaTheme="minorEastAsia" w:hAnsiTheme="minorHAnsi" w:cstheme="minorBidi"/>
                <w:bCs w:val="0"/>
                <w:caps w:val="0"/>
                <w:sz w:val="22"/>
                <w:szCs w:val="22"/>
              </w:rPr>
              <w:tab/>
            </w:r>
            <w:r w:rsidR="007B60BF" w:rsidRPr="00790A11">
              <w:rPr>
                <w:rStyle w:val="Hyperlink"/>
              </w:rPr>
              <w:t>Créditos de Fornecimento de Serviços</w:t>
            </w:r>
            <w:r w:rsidR="007B60BF">
              <w:rPr>
                <w:webHidden/>
              </w:rPr>
              <w:tab/>
            </w:r>
            <w:r w:rsidR="007B60BF">
              <w:rPr>
                <w:webHidden/>
              </w:rPr>
              <w:fldChar w:fldCharType="begin"/>
            </w:r>
            <w:r w:rsidR="007B60BF">
              <w:rPr>
                <w:webHidden/>
              </w:rPr>
              <w:instrText xml:space="preserve"> PAGEREF _Toc223007855 \h </w:instrText>
            </w:r>
            <w:r w:rsidR="007B60BF">
              <w:rPr>
                <w:webHidden/>
              </w:rPr>
            </w:r>
            <w:r w:rsidR="007B60BF">
              <w:rPr>
                <w:webHidden/>
              </w:rPr>
              <w:fldChar w:fldCharType="separate"/>
            </w:r>
            <w:r w:rsidR="005D68F7">
              <w:rPr>
                <w:webHidden/>
              </w:rPr>
              <w:t>17</w:t>
            </w:r>
            <w:r w:rsidR="007B60BF">
              <w:rPr>
                <w:webHidden/>
              </w:rPr>
              <w:fldChar w:fldCharType="end"/>
            </w:r>
          </w:hyperlink>
        </w:p>
        <w:p w14:paraId="2D12EB08" w14:textId="4AD679F5" w:rsidR="007B60BF" w:rsidRDefault="00374747">
          <w:pPr>
            <w:pStyle w:val="Sumrio1"/>
            <w:rPr>
              <w:rFonts w:asciiTheme="minorHAnsi" w:eastAsiaTheme="minorEastAsia" w:hAnsiTheme="minorHAnsi" w:cstheme="minorBidi"/>
              <w:bCs w:val="0"/>
              <w:caps w:val="0"/>
              <w:sz w:val="22"/>
              <w:szCs w:val="22"/>
            </w:rPr>
          </w:pPr>
          <w:hyperlink w:anchor="_Toc223007856" w:history="1">
            <w:r w:rsidR="007B60BF" w:rsidRPr="00790A11">
              <w:rPr>
                <w:rStyle w:val="Hyperlink"/>
              </w:rPr>
              <w:t>07</w:t>
            </w:r>
            <w:r w:rsidR="007B60BF">
              <w:rPr>
                <w:rFonts w:asciiTheme="minorHAnsi" w:eastAsiaTheme="minorEastAsia" w:hAnsiTheme="minorHAnsi" w:cstheme="minorBidi"/>
                <w:bCs w:val="0"/>
                <w:caps w:val="0"/>
                <w:sz w:val="22"/>
                <w:szCs w:val="22"/>
              </w:rPr>
              <w:tab/>
            </w:r>
            <w:r w:rsidR="007B60BF" w:rsidRPr="00790A11">
              <w:rPr>
                <w:rStyle w:val="Hyperlink"/>
              </w:rPr>
              <w:t>Adiantamentos de Pessoal</w:t>
            </w:r>
            <w:r w:rsidR="007B60BF">
              <w:rPr>
                <w:webHidden/>
              </w:rPr>
              <w:tab/>
            </w:r>
            <w:r w:rsidR="007B60BF">
              <w:rPr>
                <w:webHidden/>
              </w:rPr>
              <w:fldChar w:fldCharType="begin"/>
            </w:r>
            <w:r w:rsidR="007B60BF">
              <w:rPr>
                <w:webHidden/>
              </w:rPr>
              <w:instrText xml:space="preserve"> PAGEREF _Toc223007856 \h </w:instrText>
            </w:r>
            <w:r w:rsidR="007B60BF">
              <w:rPr>
                <w:webHidden/>
              </w:rPr>
            </w:r>
            <w:r w:rsidR="007B60BF">
              <w:rPr>
                <w:webHidden/>
              </w:rPr>
              <w:fldChar w:fldCharType="separate"/>
            </w:r>
            <w:r w:rsidR="005D68F7">
              <w:rPr>
                <w:webHidden/>
              </w:rPr>
              <w:t>18</w:t>
            </w:r>
            <w:r w:rsidR="007B60BF">
              <w:rPr>
                <w:webHidden/>
              </w:rPr>
              <w:fldChar w:fldCharType="end"/>
            </w:r>
          </w:hyperlink>
        </w:p>
        <w:p w14:paraId="49CF4E26" w14:textId="37262E34" w:rsidR="007B60BF" w:rsidRDefault="00374747">
          <w:pPr>
            <w:pStyle w:val="Sumrio1"/>
            <w:rPr>
              <w:rFonts w:asciiTheme="minorHAnsi" w:eastAsiaTheme="minorEastAsia" w:hAnsiTheme="minorHAnsi" w:cstheme="minorBidi"/>
              <w:bCs w:val="0"/>
              <w:caps w:val="0"/>
              <w:sz w:val="22"/>
              <w:szCs w:val="22"/>
            </w:rPr>
          </w:pPr>
          <w:hyperlink w:anchor="_Toc223007857" w:history="1">
            <w:r w:rsidR="007B60BF" w:rsidRPr="00790A11">
              <w:rPr>
                <w:rStyle w:val="Hyperlink"/>
              </w:rPr>
              <w:t>08</w:t>
            </w:r>
            <w:r w:rsidR="007B60BF">
              <w:rPr>
                <w:rFonts w:asciiTheme="minorHAnsi" w:eastAsiaTheme="minorEastAsia" w:hAnsiTheme="minorHAnsi" w:cstheme="minorBidi"/>
                <w:bCs w:val="0"/>
                <w:caps w:val="0"/>
                <w:sz w:val="22"/>
                <w:szCs w:val="22"/>
              </w:rPr>
              <w:tab/>
            </w:r>
            <w:r w:rsidR="007B60BF" w:rsidRPr="00790A11">
              <w:rPr>
                <w:rStyle w:val="Hyperlink"/>
              </w:rPr>
              <w:t>Estoques de Materiais de Consumo</w:t>
            </w:r>
            <w:r w:rsidR="007B60BF">
              <w:rPr>
                <w:webHidden/>
              </w:rPr>
              <w:tab/>
            </w:r>
            <w:r w:rsidR="007B60BF">
              <w:rPr>
                <w:webHidden/>
              </w:rPr>
              <w:fldChar w:fldCharType="begin"/>
            </w:r>
            <w:r w:rsidR="007B60BF">
              <w:rPr>
                <w:webHidden/>
              </w:rPr>
              <w:instrText xml:space="preserve"> PAGEREF _Toc223007857 \h </w:instrText>
            </w:r>
            <w:r w:rsidR="007B60BF">
              <w:rPr>
                <w:webHidden/>
              </w:rPr>
            </w:r>
            <w:r w:rsidR="007B60BF">
              <w:rPr>
                <w:webHidden/>
              </w:rPr>
              <w:fldChar w:fldCharType="separate"/>
            </w:r>
            <w:r w:rsidR="005D68F7">
              <w:rPr>
                <w:webHidden/>
              </w:rPr>
              <w:t>18</w:t>
            </w:r>
            <w:r w:rsidR="007B60BF">
              <w:rPr>
                <w:webHidden/>
              </w:rPr>
              <w:fldChar w:fldCharType="end"/>
            </w:r>
          </w:hyperlink>
        </w:p>
        <w:p w14:paraId="30F5E325" w14:textId="5001F457" w:rsidR="007B60BF" w:rsidRDefault="00374747">
          <w:pPr>
            <w:pStyle w:val="Sumrio1"/>
            <w:rPr>
              <w:rFonts w:asciiTheme="minorHAnsi" w:eastAsiaTheme="minorEastAsia" w:hAnsiTheme="minorHAnsi" w:cstheme="minorBidi"/>
              <w:bCs w:val="0"/>
              <w:caps w:val="0"/>
              <w:sz w:val="22"/>
              <w:szCs w:val="22"/>
            </w:rPr>
          </w:pPr>
          <w:hyperlink w:anchor="_Toc223007858" w:history="1">
            <w:r w:rsidR="007B60BF" w:rsidRPr="00790A11">
              <w:rPr>
                <w:rStyle w:val="Hyperlink"/>
              </w:rPr>
              <w:t>09</w:t>
            </w:r>
            <w:r w:rsidR="007B60BF">
              <w:rPr>
                <w:rFonts w:asciiTheme="minorHAnsi" w:eastAsiaTheme="minorEastAsia" w:hAnsiTheme="minorHAnsi" w:cstheme="minorBidi"/>
                <w:bCs w:val="0"/>
                <w:caps w:val="0"/>
                <w:sz w:val="22"/>
                <w:szCs w:val="22"/>
              </w:rPr>
              <w:tab/>
            </w:r>
            <w:r w:rsidR="007B60BF" w:rsidRPr="00790A11">
              <w:rPr>
                <w:rStyle w:val="Hyperlink"/>
              </w:rPr>
              <w:t>Imobilizado</w:t>
            </w:r>
            <w:r w:rsidR="007B60BF">
              <w:rPr>
                <w:webHidden/>
              </w:rPr>
              <w:tab/>
            </w:r>
            <w:r w:rsidR="007B60BF">
              <w:rPr>
                <w:webHidden/>
              </w:rPr>
              <w:fldChar w:fldCharType="begin"/>
            </w:r>
            <w:r w:rsidR="007B60BF">
              <w:rPr>
                <w:webHidden/>
              </w:rPr>
              <w:instrText xml:space="preserve"> PAGEREF _Toc223007858 \h </w:instrText>
            </w:r>
            <w:r w:rsidR="007B60BF">
              <w:rPr>
                <w:webHidden/>
              </w:rPr>
            </w:r>
            <w:r w:rsidR="007B60BF">
              <w:rPr>
                <w:webHidden/>
              </w:rPr>
              <w:fldChar w:fldCharType="separate"/>
            </w:r>
            <w:r w:rsidR="005D68F7">
              <w:rPr>
                <w:webHidden/>
              </w:rPr>
              <w:t>18</w:t>
            </w:r>
            <w:r w:rsidR="007B60BF">
              <w:rPr>
                <w:webHidden/>
              </w:rPr>
              <w:fldChar w:fldCharType="end"/>
            </w:r>
          </w:hyperlink>
        </w:p>
        <w:p w14:paraId="6417C606" w14:textId="1957186D" w:rsidR="007B60BF" w:rsidRDefault="00374747">
          <w:pPr>
            <w:pStyle w:val="Sumrio1"/>
            <w:rPr>
              <w:rFonts w:asciiTheme="minorHAnsi" w:eastAsiaTheme="minorEastAsia" w:hAnsiTheme="minorHAnsi" w:cstheme="minorBidi"/>
              <w:bCs w:val="0"/>
              <w:caps w:val="0"/>
              <w:sz w:val="22"/>
              <w:szCs w:val="22"/>
            </w:rPr>
          </w:pPr>
          <w:hyperlink w:anchor="_Toc223007859" w:history="1">
            <w:r w:rsidR="007B60BF" w:rsidRPr="00790A11">
              <w:rPr>
                <w:rStyle w:val="Hyperlink"/>
              </w:rPr>
              <w:t>10</w:t>
            </w:r>
            <w:r w:rsidR="007B60BF">
              <w:rPr>
                <w:rFonts w:asciiTheme="minorHAnsi" w:eastAsiaTheme="minorEastAsia" w:hAnsiTheme="minorHAnsi" w:cstheme="minorBidi"/>
                <w:bCs w:val="0"/>
                <w:caps w:val="0"/>
                <w:sz w:val="22"/>
                <w:szCs w:val="22"/>
              </w:rPr>
              <w:tab/>
            </w:r>
            <w:r w:rsidR="007B60BF" w:rsidRPr="00790A11">
              <w:rPr>
                <w:rStyle w:val="Hyperlink"/>
              </w:rPr>
              <w:t>Intangível</w:t>
            </w:r>
            <w:r w:rsidR="007B60BF">
              <w:rPr>
                <w:webHidden/>
              </w:rPr>
              <w:tab/>
            </w:r>
            <w:r w:rsidR="007B60BF">
              <w:rPr>
                <w:webHidden/>
              </w:rPr>
              <w:fldChar w:fldCharType="begin"/>
            </w:r>
            <w:r w:rsidR="007B60BF">
              <w:rPr>
                <w:webHidden/>
              </w:rPr>
              <w:instrText xml:space="preserve"> PAGEREF _Toc223007859 \h </w:instrText>
            </w:r>
            <w:r w:rsidR="007B60BF">
              <w:rPr>
                <w:webHidden/>
              </w:rPr>
            </w:r>
            <w:r w:rsidR="007B60BF">
              <w:rPr>
                <w:webHidden/>
              </w:rPr>
              <w:fldChar w:fldCharType="separate"/>
            </w:r>
            <w:r w:rsidR="005D68F7">
              <w:rPr>
                <w:webHidden/>
              </w:rPr>
              <w:t>19</w:t>
            </w:r>
            <w:r w:rsidR="007B60BF">
              <w:rPr>
                <w:webHidden/>
              </w:rPr>
              <w:fldChar w:fldCharType="end"/>
            </w:r>
          </w:hyperlink>
        </w:p>
        <w:p w14:paraId="7F14CE3C" w14:textId="5F8176C3" w:rsidR="007B60BF" w:rsidRDefault="00374747">
          <w:pPr>
            <w:pStyle w:val="Sumrio1"/>
            <w:rPr>
              <w:rFonts w:asciiTheme="minorHAnsi" w:eastAsiaTheme="minorEastAsia" w:hAnsiTheme="minorHAnsi" w:cstheme="minorBidi"/>
              <w:bCs w:val="0"/>
              <w:caps w:val="0"/>
              <w:sz w:val="22"/>
              <w:szCs w:val="22"/>
            </w:rPr>
          </w:pPr>
          <w:hyperlink w:anchor="_Toc223007860" w:history="1">
            <w:r w:rsidR="007B60BF" w:rsidRPr="00790A11">
              <w:rPr>
                <w:rStyle w:val="Hyperlink"/>
              </w:rPr>
              <w:t>11</w:t>
            </w:r>
            <w:r w:rsidR="007B60BF">
              <w:rPr>
                <w:rFonts w:asciiTheme="minorHAnsi" w:eastAsiaTheme="minorEastAsia" w:hAnsiTheme="minorHAnsi" w:cstheme="minorBidi"/>
                <w:bCs w:val="0"/>
                <w:caps w:val="0"/>
                <w:sz w:val="22"/>
                <w:szCs w:val="22"/>
              </w:rPr>
              <w:tab/>
            </w:r>
            <w:r w:rsidR="007B60BF" w:rsidRPr="00790A11">
              <w:rPr>
                <w:rStyle w:val="Hyperlink"/>
              </w:rPr>
              <w:t>Fornecedores</w:t>
            </w:r>
            <w:r w:rsidR="007B60BF">
              <w:rPr>
                <w:webHidden/>
              </w:rPr>
              <w:tab/>
            </w:r>
            <w:r w:rsidR="007B60BF">
              <w:rPr>
                <w:webHidden/>
              </w:rPr>
              <w:fldChar w:fldCharType="begin"/>
            </w:r>
            <w:r w:rsidR="007B60BF">
              <w:rPr>
                <w:webHidden/>
              </w:rPr>
              <w:instrText xml:space="preserve"> PAGEREF _Toc223007860 \h </w:instrText>
            </w:r>
            <w:r w:rsidR="007B60BF">
              <w:rPr>
                <w:webHidden/>
              </w:rPr>
            </w:r>
            <w:r w:rsidR="007B60BF">
              <w:rPr>
                <w:webHidden/>
              </w:rPr>
              <w:fldChar w:fldCharType="separate"/>
            </w:r>
            <w:r w:rsidR="005D68F7">
              <w:rPr>
                <w:webHidden/>
              </w:rPr>
              <w:t>19</w:t>
            </w:r>
            <w:r w:rsidR="007B60BF">
              <w:rPr>
                <w:webHidden/>
              </w:rPr>
              <w:fldChar w:fldCharType="end"/>
            </w:r>
          </w:hyperlink>
        </w:p>
        <w:p w14:paraId="5C38CFE0" w14:textId="53019354" w:rsidR="007B60BF" w:rsidRDefault="00374747">
          <w:pPr>
            <w:pStyle w:val="Sumrio1"/>
            <w:rPr>
              <w:rFonts w:asciiTheme="minorHAnsi" w:eastAsiaTheme="minorEastAsia" w:hAnsiTheme="minorHAnsi" w:cstheme="minorBidi"/>
              <w:bCs w:val="0"/>
              <w:caps w:val="0"/>
              <w:sz w:val="22"/>
              <w:szCs w:val="22"/>
            </w:rPr>
          </w:pPr>
          <w:hyperlink w:anchor="_Toc223007861" w:history="1">
            <w:r w:rsidR="007B60BF" w:rsidRPr="00790A11">
              <w:rPr>
                <w:rStyle w:val="Hyperlink"/>
              </w:rPr>
              <w:t>12</w:t>
            </w:r>
            <w:r w:rsidR="007B60BF">
              <w:rPr>
                <w:rFonts w:asciiTheme="minorHAnsi" w:eastAsiaTheme="minorEastAsia" w:hAnsiTheme="minorHAnsi" w:cstheme="minorBidi"/>
                <w:bCs w:val="0"/>
                <w:caps w:val="0"/>
                <w:sz w:val="22"/>
                <w:szCs w:val="22"/>
              </w:rPr>
              <w:tab/>
            </w:r>
            <w:r w:rsidR="007B60BF" w:rsidRPr="00790A11">
              <w:rPr>
                <w:rStyle w:val="Hyperlink"/>
              </w:rPr>
              <w:t>Obrigações Tributárias e Sociais</w:t>
            </w:r>
            <w:r w:rsidR="007B60BF">
              <w:rPr>
                <w:webHidden/>
              </w:rPr>
              <w:tab/>
            </w:r>
            <w:r w:rsidR="007B60BF">
              <w:rPr>
                <w:webHidden/>
              </w:rPr>
              <w:fldChar w:fldCharType="begin"/>
            </w:r>
            <w:r w:rsidR="007B60BF">
              <w:rPr>
                <w:webHidden/>
              </w:rPr>
              <w:instrText xml:space="preserve"> PAGEREF _Toc223007861 \h </w:instrText>
            </w:r>
            <w:r w:rsidR="007B60BF">
              <w:rPr>
                <w:webHidden/>
              </w:rPr>
            </w:r>
            <w:r w:rsidR="007B60BF">
              <w:rPr>
                <w:webHidden/>
              </w:rPr>
              <w:fldChar w:fldCharType="separate"/>
            </w:r>
            <w:r w:rsidR="005D68F7">
              <w:rPr>
                <w:webHidden/>
              </w:rPr>
              <w:t>20</w:t>
            </w:r>
            <w:r w:rsidR="007B60BF">
              <w:rPr>
                <w:webHidden/>
              </w:rPr>
              <w:fldChar w:fldCharType="end"/>
            </w:r>
          </w:hyperlink>
        </w:p>
        <w:p w14:paraId="0A8BBCCA" w14:textId="40C0A16F" w:rsidR="007B60BF" w:rsidRDefault="00374747">
          <w:pPr>
            <w:pStyle w:val="Sumrio1"/>
            <w:rPr>
              <w:rFonts w:asciiTheme="minorHAnsi" w:eastAsiaTheme="minorEastAsia" w:hAnsiTheme="minorHAnsi" w:cstheme="minorBidi"/>
              <w:bCs w:val="0"/>
              <w:caps w:val="0"/>
              <w:sz w:val="22"/>
              <w:szCs w:val="22"/>
            </w:rPr>
          </w:pPr>
          <w:hyperlink w:anchor="_Toc223007862" w:history="1">
            <w:r w:rsidR="007B60BF" w:rsidRPr="00790A11">
              <w:rPr>
                <w:rStyle w:val="Hyperlink"/>
              </w:rPr>
              <w:t>13</w:t>
            </w:r>
            <w:r w:rsidR="007B60BF">
              <w:rPr>
                <w:rFonts w:asciiTheme="minorHAnsi" w:eastAsiaTheme="minorEastAsia" w:hAnsiTheme="minorHAnsi" w:cstheme="minorBidi"/>
                <w:bCs w:val="0"/>
                <w:caps w:val="0"/>
                <w:sz w:val="22"/>
                <w:szCs w:val="22"/>
              </w:rPr>
              <w:tab/>
            </w:r>
            <w:r w:rsidR="007B60BF" w:rsidRPr="00790A11">
              <w:rPr>
                <w:rStyle w:val="Hyperlink"/>
              </w:rPr>
              <w:t>Obrigações com Pessoal</w:t>
            </w:r>
            <w:r w:rsidR="007B60BF">
              <w:rPr>
                <w:webHidden/>
              </w:rPr>
              <w:tab/>
            </w:r>
            <w:r w:rsidR="007B60BF">
              <w:rPr>
                <w:webHidden/>
              </w:rPr>
              <w:fldChar w:fldCharType="begin"/>
            </w:r>
            <w:r w:rsidR="007B60BF">
              <w:rPr>
                <w:webHidden/>
              </w:rPr>
              <w:instrText xml:space="preserve"> PAGEREF _Toc223007862 \h </w:instrText>
            </w:r>
            <w:r w:rsidR="007B60BF">
              <w:rPr>
                <w:webHidden/>
              </w:rPr>
            </w:r>
            <w:r w:rsidR="007B60BF">
              <w:rPr>
                <w:webHidden/>
              </w:rPr>
              <w:fldChar w:fldCharType="separate"/>
            </w:r>
            <w:r w:rsidR="005D68F7">
              <w:rPr>
                <w:webHidden/>
              </w:rPr>
              <w:t>20</w:t>
            </w:r>
            <w:r w:rsidR="007B60BF">
              <w:rPr>
                <w:webHidden/>
              </w:rPr>
              <w:fldChar w:fldCharType="end"/>
            </w:r>
          </w:hyperlink>
        </w:p>
        <w:p w14:paraId="2DD640E4" w14:textId="7F9AB0F7" w:rsidR="007B60BF" w:rsidRDefault="00374747">
          <w:pPr>
            <w:pStyle w:val="Sumrio1"/>
            <w:rPr>
              <w:rFonts w:asciiTheme="minorHAnsi" w:eastAsiaTheme="minorEastAsia" w:hAnsiTheme="minorHAnsi" w:cstheme="minorBidi"/>
              <w:bCs w:val="0"/>
              <w:caps w:val="0"/>
              <w:sz w:val="22"/>
              <w:szCs w:val="22"/>
            </w:rPr>
          </w:pPr>
          <w:hyperlink w:anchor="_Toc223007863" w:history="1">
            <w:r w:rsidR="007B60BF" w:rsidRPr="00790A11">
              <w:rPr>
                <w:rStyle w:val="Hyperlink"/>
              </w:rPr>
              <w:t>14</w:t>
            </w:r>
            <w:r w:rsidR="007B60BF">
              <w:rPr>
                <w:rFonts w:asciiTheme="minorHAnsi" w:eastAsiaTheme="minorEastAsia" w:hAnsiTheme="minorHAnsi" w:cstheme="minorBidi"/>
                <w:bCs w:val="0"/>
                <w:caps w:val="0"/>
                <w:sz w:val="22"/>
                <w:szCs w:val="22"/>
              </w:rPr>
              <w:tab/>
            </w:r>
            <w:r w:rsidR="007B60BF" w:rsidRPr="00790A11">
              <w:rPr>
                <w:rStyle w:val="Hyperlink"/>
              </w:rPr>
              <w:t>Contingências Passivas e Provisões com Despesas de Pessoal</w:t>
            </w:r>
            <w:r w:rsidR="007B60BF">
              <w:rPr>
                <w:webHidden/>
              </w:rPr>
              <w:tab/>
            </w:r>
            <w:r w:rsidR="007B60BF">
              <w:rPr>
                <w:webHidden/>
              </w:rPr>
              <w:fldChar w:fldCharType="begin"/>
            </w:r>
            <w:r w:rsidR="007B60BF">
              <w:rPr>
                <w:webHidden/>
              </w:rPr>
              <w:instrText xml:space="preserve"> PAGEREF _Toc223007863 \h </w:instrText>
            </w:r>
            <w:r w:rsidR="007B60BF">
              <w:rPr>
                <w:webHidden/>
              </w:rPr>
            </w:r>
            <w:r w:rsidR="007B60BF">
              <w:rPr>
                <w:webHidden/>
              </w:rPr>
              <w:fldChar w:fldCharType="separate"/>
            </w:r>
            <w:r w:rsidR="005D68F7">
              <w:rPr>
                <w:webHidden/>
              </w:rPr>
              <w:t>20</w:t>
            </w:r>
            <w:r w:rsidR="007B60BF">
              <w:rPr>
                <w:webHidden/>
              </w:rPr>
              <w:fldChar w:fldCharType="end"/>
            </w:r>
          </w:hyperlink>
        </w:p>
        <w:p w14:paraId="0F842474" w14:textId="1BDEB8D5" w:rsidR="007B60BF" w:rsidRDefault="00374747">
          <w:pPr>
            <w:pStyle w:val="Sumrio1"/>
            <w:rPr>
              <w:rFonts w:asciiTheme="minorHAnsi" w:eastAsiaTheme="minorEastAsia" w:hAnsiTheme="minorHAnsi" w:cstheme="minorBidi"/>
              <w:bCs w:val="0"/>
              <w:caps w:val="0"/>
              <w:sz w:val="22"/>
              <w:szCs w:val="22"/>
            </w:rPr>
          </w:pPr>
          <w:hyperlink w:anchor="_Toc223007864" w:history="1">
            <w:r w:rsidR="007B60BF" w:rsidRPr="00790A11">
              <w:rPr>
                <w:rStyle w:val="Hyperlink"/>
              </w:rPr>
              <w:t>15</w:t>
            </w:r>
            <w:r w:rsidR="007B60BF">
              <w:rPr>
                <w:rFonts w:asciiTheme="minorHAnsi" w:eastAsiaTheme="minorEastAsia" w:hAnsiTheme="minorHAnsi" w:cstheme="minorBidi"/>
                <w:bCs w:val="0"/>
                <w:caps w:val="0"/>
                <w:sz w:val="22"/>
                <w:szCs w:val="22"/>
              </w:rPr>
              <w:tab/>
            </w:r>
            <w:r w:rsidR="007B60BF" w:rsidRPr="00790A11">
              <w:rPr>
                <w:rStyle w:val="Hyperlink"/>
              </w:rPr>
              <w:t>Obrigações com o Plano de Previdência Complementar</w:t>
            </w:r>
            <w:r w:rsidR="007B60BF">
              <w:rPr>
                <w:webHidden/>
              </w:rPr>
              <w:tab/>
            </w:r>
            <w:r w:rsidR="007B60BF">
              <w:rPr>
                <w:webHidden/>
              </w:rPr>
              <w:fldChar w:fldCharType="begin"/>
            </w:r>
            <w:r w:rsidR="007B60BF">
              <w:rPr>
                <w:webHidden/>
              </w:rPr>
              <w:instrText xml:space="preserve"> PAGEREF _Toc223007864 \h </w:instrText>
            </w:r>
            <w:r w:rsidR="007B60BF">
              <w:rPr>
                <w:webHidden/>
              </w:rPr>
            </w:r>
            <w:r w:rsidR="007B60BF">
              <w:rPr>
                <w:webHidden/>
              </w:rPr>
              <w:fldChar w:fldCharType="separate"/>
            </w:r>
            <w:r w:rsidR="005D68F7">
              <w:rPr>
                <w:webHidden/>
              </w:rPr>
              <w:t>22</w:t>
            </w:r>
            <w:r w:rsidR="007B60BF">
              <w:rPr>
                <w:webHidden/>
              </w:rPr>
              <w:fldChar w:fldCharType="end"/>
            </w:r>
          </w:hyperlink>
        </w:p>
        <w:p w14:paraId="5B771D67" w14:textId="366D091B" w:rsidR="007B60BF" w:rsidRDefault="00374747">
          <w:pPr>
            <w:pStyle w:val="Sumrio1"/>
            <w:rPr>
              <w:rFonts w:asciiTheme="minorHAnsi" w:eastAsiaTheme="minorEastAsia" w:hAnsiTheme="minorHAnsi" w:cstheme="minorBidi"/>
              <w:bCs w:val="0"/>
              <w:caps w:val="0"/>
              <w:sz w:val="22"/>
              <w:szCs w:val="22"/>
            </w:rPr>
          </w:pPr>
          <w:hyperlink w:anchor="_Toc223007865" w:history="1">
            <w:r w:rsidR="007B60BF" w:rsidRPr="00790A11">
              <w:rPr>
                <w:rStyle w:val="Hyperlink"/>
              </w:rPr>
              <w:t>16</w:t>
            </w:r>
            <w:r w:rsidR="007B60BF">
              <w:rPr>
                <w:rFonts w:asciiTheme="minorHAnsi" w:eastAsiaTheme="minorEastAsia" w:hAnsiTheme="minorHAnsi" w:cstheme="minorBidi"/>
                <w:bCs w:val="0"/>
                <w:caps w:val="0"/>
                <w:sz w:val="22"/>
                <w:szCs w:val="22"/>
              </w:rPr>
              <w:tab/>
            </w:r>
            <w:r w:rsidR="007B60BF" w:rsidRPr="00790A11">
              <w:rPr>
                <w:rStyle w:val="Hyperlink"/>
              </w:rPr>
              <w:t>Patrimônio Líquido</w:t>
            </w:r>
            <w:r w:rsidR="007B60BF">
              <w:rPr>
                <w:webHidden/>
              </w:rPr>
              <w:tab/>
            </w:r>
            <w:r w:rsidR="007B60BF">
              <w:rPr>
                <w:webHidden/>
              </w:rPr>
              <w:fldChar w:fldCharType="begin"/>
            </w:r>
            <w:r w:rsidR="007B60BF">
              <w:rPr>
                <w:webHidden/>
              </w:rPr>
              <w:instrText xml:space="preserve"> PAGEREF _Toc223007865 \h </w:instrText>
            </w:r>
            <w:r w:rsidR="007B60BF">
              <w:rPr>
                <w:webHidden/>
              </w:rPr>
            </w:r>
            <w:r w:rsidR="007B60BF">
              <w:rPr>
                <w:webHidden/>
              </w:rPr>
              <w:fldChar w:fldCharType="separate"/>
            </w:r>
            <w:r w:rsidR="005D68F7">
              <w:rPr>
                <w:webHidden/>
              </w:rPr>
              <w:t>23</w:t>
            </w:r>
            <w:r w:rsidR="007B60BF">
              <w:rPr>
                <w:webHidden/>
              </w:rPr>
              <w:fldChar w:fldCharType="end"/>
            </w:r>
          </w:hyperlink>
        </w:p>
        <w:p w14:paraId="03AFD928" w14:textId="60E49DE0" w:rsidR="007B60BF" w:rsidRDefault="00374747">
          <w:pPr>
            <w:pStyle w:val="Sumrio1"/>
            <w:rPr>
              <w:rFonts w:asciiTheme="minorHAnsi" w:eastAsiaTheme="minorEastAsia" w:hAnsiTheme="minorHAnsi" w:cstheme="minorBidi"/>
              <w:bCs w:val="0"/>
              <w:caps w:val="0"/>
              <w:sz w:val="22"/>
              <w:szCs w:val="22"/>
            </w:rPr>
          </w:pPr>
          <w:hyperlink w:anchor="_Toc223007866" w:history="1">
            <w:r w:rsidR="007B60BF" w:rsidRPr="00790A11">
              <w:rPr>
                <w:rStyle w:val="Hyperlink"/>
              </w:rPr>
              <w:t>17</w:t>
            </w:r>
            <w:r w:rsidR="007B60BF">
              <w:rPr>
                <w:rFonts w:asciiTheme="minorHAnsi" w:eastAsiaTheme="minorEastAsia" w:hAnsiTheme="minorHAnsi" w:cstheme="minorBidi"/>
                <w:bCs w:val="0"/>
                <w:caps w:val="0"/>
                <w:sz w:val="22"/>
                <w:szCs w:val="22"/>
              </w:rPr>
              <w:tab/>
            </w:r>
            <w:r w:rsidR="007B60BF" w:rsidRPr="00790A11">
              <w:rPr>
                <w:rStyle w:val="Hyperlink"/>
              </w:rPr>
              <w:t>Receita Operacional Líquida</w:t>
            </w:r>
            <w:r w:rsidR="007B60BF">
              <w:rPr>
                <w:webHidden/>
              </w:rPr>
              <w:tab/>
            </w:r>
            <w:r w:rsidR="007B60BF">
              <w:rPr>
                <w:webHidden/>
              </w:rPr>
              <w:fldChar w:fldCharType="begin"/>
            </w:r>
            <w:r w:rsidR="007B60BF">
              <w:rPr>
                <w:webHidden/>
              </w:rPr>
              <w:instrText xml:space="preserve"> PAGEREF _Toc223007866 \h </w:instrText>
            </w:r>
            <w:r w:rsidR="007B60BF">
              <w:rPr>
                <w:webHidden/>
              </w:rPr>
            </w:r>
            <w:r w:rsidR="007B60BF">
              <w:rPr>
                <w:webHidden/>
              </w:rPr>
              <w:fldChar w:fldCharType="separate"/>
            </w:r>
            <w:r w:rsidR="005D68F7">
              <w:rPr>
                <w:webHidden/>
              </w:rPr>
              <w:t>24</w:t>
            </w:r>
            <w:r w:rsidR="007B60BF">
              <w:rPr>
                <w:webHidden/>
              </w:rPr>
              <w:fldChar w:fldCharType="end"/>
            </w:r>
          </w:hyperlink>
        </w:p>
        <w:p w14:paraId="0C2A73C1" w14:textId="61CB3F25" w:rsidR="007B60BF" w:rsidRDefault="00374747">
          <w:pPr>
            <w:pStyle w:val="Sumrio1"/>
            <w:rPr>
              <w:rFonts w:asciiTheme="minorHAnsi" w:eastAsiaTheme="minorEastAsia" w:hAnsiTheme="minorHAnsi" w:cstheme="minorBidi"/>
              <w:bCs w:val="0"/>
              <w:caps w:val="0"/>
              <w:sz w:val="22"/>
              <w:szCs w:val="22"/>
            </w:rPr>
          </w:pPr>
          <w:hyperlink w:anchor="_Toc223007867" w:history="1">
            <w:r w:rsidR="007B60BF" w:rsidRPr="00790A11">
              <w:rPr>
                <w:rStyle w:val="Hyperlink"/>
              </w:rPr>
              <w:t>18</w:t>
            </w:r>
            <w:r w:rsidR="007B60BF">
              <w:rPr>
                <w:rFonts w:asciiTheme="minorHAnsi" w:eastAsiaTheme="minorEastAsia" w:hAnsiTheme="minorHAnsi" w:cstheme="minorBidi"/>
                <w:bCs w:val="0"/>
                <w:caps w:val="0"/>
                <w:sz w:val="22"/>
                <w:szCs w:val="22"/>
              </w:rPr>
              <w:tab/>
            </w:r>
            <w:r w:rsidR="007B60BF" w:rsidRPr="00790A11">
              <w:rPr>
                <w:rStyle w:val="Hyperlink"/>
              </w:rPr>
              <w:t>Custos dos Serviços e Despesas Operacionais por Natureza</w:t>
            </w:r>
            <w:r w:rsidR="007B60BF">
              <w:rPr>
                <w:webHidden/>
              </w:rPr>
              <w:tab/>
            </w:r>
            <w:r w:rsidR="007B60BF">
              <w:rPr>
                <w:webHidden/>
              </w:rPr>
              <w:fldChar w:fldCharType="begin"/>
            </w:r>
            <w:r w:rsidR="007B60BF">
              <w:rPr>
                <w:webHidden/>
              </w:rPr>
              <w:instrText xml:space="preserve"> PAGEREF _Toc223007867 \h </w:instrText>
            </w:r>
            <w:r w:rsidR="007B60BF">
              <w:rPr>
                <w:webHidden/>
              </w:rPr>
            </w:r>
            <w:r w:rsidR="007B60BF">
              <w:rPr>
                <w:webHidden/>
              </w:rPr>
              <w:fldChar w:fldCharType="separate"/>
            </w:r>
            <w:r w:rsidR="005D68F7">
              <w:rPr>
                <w:webHidden/>
              </w:rPr>
              <w:t>24</w:t>
            </w:r>
            <w:r w:rsidR="007B60BF">
              <w:rPr>
                <w:webHidden/>
              </w:rPr>
              <w:fldChar w:fldCharType="end"/>
            </w:r>
          </w:hyperlink>
        </w:p>
        <w:p w14:paraId="53A76AA2" w14:textId="0503AB00" w:rsidR="007B60BF" w:rsidRDefault="00374747">
          <w:pPr>
            <w:pStyle w:val="Sumrio1"/>
            <w:rPr>
              <w:rFonts w:asciiTheme="minorHAnsi" w:eastAsiaTheme="minorEastAsia" w:hAnsiTheme="minorHAnsi" w:cstheme="minorBidi"/>
              <w:bCs w:val="0"/>
              <w:caps w:val="0"/>
              <w:sz w:val="22"/>
              <w:szCs w:val="22"/>
            </w:rPr>
          </w:pPr>
          <w:hyperlink w:anchor="_Toc223007868" w:history="1">
            <w:r w:rsidR="007B60BF" w:rsidRPr="00790A11">
              <w:rPr>
                <w:rStyle w:val="Hyperlink"/>
              </w:rPr>
              <w:t>19</w:t>
            </w:r>
            <w:r w:rsidR="007B60BF">
              <w:rPr>
                <w:rFonts w:asciiTheme="minorHAnsi" w:eastAsiaTheme="minorEastAsia" w:hAnsiTheme="minorHAnsi" w:cstheme="minorBidi"/>
                <w:bCs w:val="0"/>
                <w:caps w:val="0"/>
                <w:sz w:val="22"/>
                <w:szCs w:val="22"/>
              </w:rPr>
              <w:tab/>
            </w:r>
            <w:r w:rsidR="007B60BF" w:rsidRPr="00790A11">
              <w:rPr>
                <w:rStyle w:val="Hyperlink"/>
              </w:rPr>
              <w:t>Despesas de Benefícios a Empregados</w:t>
            </w:r>
            <w:r w:rsidR="007B60BF">
              <w:rPr>
                <w:webHidden/>
              </w:rPr>
              <w:tab/>
            </w:r>
            <w:r w:rsidR="007B60BF">
              <w:rPr>
                <w:webHidden/>
              </w:rPr>
              <w:fldChar w:fldCharType="begin"/>
            </w:r>
            <w:r w:rsidR="007B60BF">
              <w:rPr>
                <w:webHidden/>
              </w:rPr>
              <w:instrText xml:space="preserve"> PAGEREF _Toc223007868 \h </w:instrText>
            </w:r>
            <w:r w:rsidR="007B60BF">
              <w:rPr>
                <w:webHidden/>
              </w:rPr>
            </w:r>
            <w:r w:rsidR="007B60BF">
              <w:rPr>
                <w:webHidden/>
              </w:rPr>
              <w:fldChar w:fldCharType="separate"/>
            </w:r>
            <w:r w:rsidR="005D68F7">
              <w:rPr>
                <w:webHidden/>
              </w:rPr>
              <w:t>24</w:t>
            </w:r>
            <w:r w:rsidR="007B60BF">
              <w:rPr>
                <w:webHidden/>
              </w:rPr>
              <w:fldChar w:fldCharType="end"/>
            </w:r>
          </w:hyperlink>
        </w:p>
        <w:p w14:paraId="58B2B98B" w14:textId="0D850BF1" w:rsidR="007B60BF" w:rsidRDefault="00374747">
          <w:pPr>
            <w:pStyle w:val="Sumrio1"/>
            <w:rPr>
              <w:rFonts w:asciiTheme="minorHAnsi" w:eastAsiaTheme="minorEastAsia" w:hAnsiTheme="minorHAnsi" w:cstheme="minorBidi"/>
              <w:bCs w:val="0"/>
              <w:caps w:val="0"/>
              <w:sz w:val="22"/>
              <w:szCs w:val="22"/>
            </w:rPr>
          </w:pPr>
          <w:hyperlink w:anchor="_Toc223007869" w:history="1">
            <w:r w:rsidR="007B60BF" w:rsidRPr="00790A11">
              <w:rPr>
                <w:rStyle w:val="Hyperlink"/>
              </w:rPr>
              <w:t>20</w:t>
            </w:r>
            <w:r w:rsidR="007B60BF">
              <w:rPr>
                <w:rFonts w:asciiTheme="minorHAnsi" w:eastAsiaTheme="minorEastAsia" w:hAnsiTheme="minorHAnsi" w:cstheme="minorBidi"/>
                <w:bCs w:val="0"/>
                <w:caps w:val="0"/>
                <w:sz w:val="22"/>
                <w:szCs w:val="22"/>
              </w:rPr>
              <w:tab/>
            </w:r>
            <w:r w:rsidR="007B60BF" w:rsidRPr="00790A11">
              <w:rPr>
                <w:rStyle w:val="Hyperlink"/>
              </w:rPr>
              <w:t>Outras Receitas e Despesas</w:t>
            </w:r>
            <w:r w:rsidR="007B60BF">
              <w:rPr>
                <w:webHidden/>
              </w:rPr>
              <w:tab/>
            </w:r>
            <w:r w:rsidR="007B60BF">
              <w:rPr>
                <w:webHidden/>
              </w:rPr>
              <w:fldChar w:fldCharType="begin"/>
            </w:r>
            <w:r w:rsidR="007B60BF">
              <w:rPr>
                <w:webHidden/>
              </w:rPr>
              <w:instrText xml:space="preserve"> PAGEREF _Toc223007869 \h </w:instrText>
            </w:r>
            <w:r w:rsidR="007B60BF">
              <w:rPr>
                <w:webHidden/>
              </w:rPr>
            </w:r>
            <w:r w:rsidR="007B60BF">
              <w:rPr>
                <w:webHidden/>
              </w:rPr>
              <w:fldChar w:fldCharType="separate"/>
            </w:r>
            <w:r w:rsidR="005D68F7">
              <w:rPr>
                <w:webHidden/>
              </w:rPr>
              <w:t>25</w:t>
            </w:r>
            <w:r w:rsidR="007B60BF">
              <w:rPr>
                <w:webHidden/>
              </w:rPr>
              <w:fldChar w:fldCharType="end"/>
            </w:r>
          </w:hyperlink>
        </w:p>
        <w:p w14:paraId="5B84EA87" w14:textId="466FEDB3" w:rsidR="007B60BF" w:rsidRDefault="00374747">
          <w:pPr>
            <w:pStyle w:val="Sumrio1"/>
            <w:rPr>
              <w:rFonts w:asciiTheme="minorHAnsi" w:eastAsiaTheme="minorEastAsia" w:hAnsiTheme="minorHAnsi" w:cstheme="minorBidi"/>
              <w:bCs w:val="0"/>
              <w:caps w:val="0"/>
              <w:sz w:val="22"/>
              <w:szCs w:val="22"/>
            </w:rPr>
          </w:pPr>
          <w:hyperlink w:anchor="_Toc223007870" w:history="1">
            <w:r w:rsidR="007B60BF" w:rsidRPr="00790A11">
              <w:rPr>
                <w:rStyle w:val="Hyperlink"/>
              </w:rPr>
              <w:t>21</w:t>
            </w:r>
            <w:r w:rsidR="007B60BF">
              <w:rPr>
                <w:rFonts w:asciiTheme="minorHAnsi" w:eastAsiaTheme="minorEastAsia" w:hAnsiTheme="minorHAnsi" w:cstheme="minorBidi"/>
                <w:bCs w:val="0"/>
                <w:caps w:val="0"/>
                <w:sz w:val="22"/>
                <w:szCs w:val="22"/>
              </w:rPr>
              <w:tab/>
            </w:r>
            <w:r w:rsidR="007B60BF" w:rsidRPr="00790A11">
              <w:rPr>
                <w:rStyle w:val="Hyperlink"/>
              </w:rPr>
              <w:t>Resultado Financeiro</w:t>
            </w:r>
            <w:r w:rsidR="007B60BF">
              <w:rPr>
                <w:webHidden/>
              </w:rPr>
              <w:tab/>
            </w:r>
            <w:r w:rsidR="007B60BF">
              <w:rPr>
                <w:webHidden/>
              </w:rPr>
              <w:fldChar w:fldCharType="begin"/>
            </w:r>
            <w:r w:rsidR="007B60BF">
              <w:rPr>
                <w:webHidden/>
              </w:rPr>
              <w:instrText xml:space="preserve"> PAGEREF _Toc223007870 \h </w:instrText>
            </w:r>
            <w:r w:rsidR="007B60BF">
              <w:rPr>
                <w:webHidden/>
              </w:rPr>
            </w:r>
            <w:r w:rsidR="007B60BF">
              <w:rPr>
                <w:webHidden/>
              </w:rPr>
              <w:fldChar w:fldCharType="separate"/>
            </w:r>
            <w:r w:rsidR="005D68F7">
              <w:rPr>
                <w:webHidden/>
              </w:rPr>
              <w:t>25</w:t>
            </w:r>
            <w:r w:rsidR="007B60BF">
              <w:rPr>
                <w:webHidden/>
              </w:rPr>
              <w:fldChar w:fldCharType="end"/>
            </w:r>
          </w:hyperlink>
        </w:p>
        <w:p w14:paraId="15261F80" w14:textId="1C70048D" w:rsidR="007B60BF" w:rsidRDefault="00374747">
          <w:pPr>
            <w:pStyle w:val="Sumrio1"/>
            <w:rPr>
              <w:rFonts w:asciiTheme="minorHAnsi" w:eastAsiaTheme="minorEastAsia" w:hAnsiTheme="minorHAnsi" w:cstheme="minorBidi"/>
              <w:bCs w:val="0"/>
              <w:caps w:val="0"/>
              <w:sz w:val="22"/>
              <w:szCs w:val="22"/>
            </w:rPr>
          </w:pPr>
          <w:hyperlink w:anchor="_Toc223007871" w:history="1">
            <w:r w:rsidR="007B60BF" w:rsidRPr="00790A11">
              <w:rPr>
                <w:rStyle w:val="Hyperlink"/>
              </w:rPr>
              <w:t>22</w:t>
            </w:r>
            <w:r w:rsidR="007B60BF">
              <w:rPr>
                <w:rFonts w:asciiTheme="minorHAnsi" w:eastAsiaTheme="minorEastAsia" w:hAnsiTheme="minorHAnsi" w:cstheme="minorBidi"/>
                <w:bCs w:val="0"/>
                <w:caps w:val="0"/>
                <w:sz w:val="22"/>
                <w:szCs w:val="22"/>
              </w:rPr>
              <w:tab/>
            </w:r>
            <w:r w:rsidR="007B60BF" w:rsidRPr="00790A11">
              <w:rPr>
                <w:rStyle w:val="Hyperlink"/>
              </w:rPr>
              <w:t>Partes Relacionadas</w:t>
            </w:r>
            <w:r w:rsidR="007B60BF">
              <w:rPr>
                <w:webHidden/>
              </w:rPr>
              <w:tab/>
            </w:r>
            <w:r w:rsidR="007B60BF">
              <w:rPr>
                <w:webHidden/>
              </w:rPr>
              <w:fldChar w:fldCharType="begin"/>
            </w:r>
            <w:r w:rsidR="007B60BF">
              <w:rPr>
                <w:webHidden/>
              </w:rPr>
              <w:instrText xml:space="preserve"> PAGEREF _Toc223007871 \h </w:instrText>
            </w:r>
            <w:r w:rsidR="007B60BF">
              <w:rPr>
                <w:webHidden/>
              </w:rPr>
            </w:r>
            <w:r w:rsidR="007B60BF">
              <w:rPr>
                <w:webHidden/>
              </w:rPr>
              <w:fldChar w:fldCharType="separate"/>
            </w:r>
            <w:r w:rsidR="005D68F7">
              <w:rPr>
                <w:webHidden/>
              </w:rPr>
              <w:t>26</w:t>
            </w:r>
            <w:r w:rsidR="007B60BF">
              <w:rPr>
                <w:webHidden/>
              </w:rPr>
              <w:fldChar w:fldCharType="end"/>
            </w:r>
          </w:hyperlink>
        </w:p>
        <w:p w14:paraId="72933EE6" w14:textId="0057BB1D" w:rsidR="007B60BF" w:rsidRDefault="00374747">
          <w:pPr>
            <w:pStyle w:val="Sumrio1"/>
            <w:rPr>
              <w:rFonts w:asciiTheme="minorHAnsi" w:eastAsiaTheme="minorEastAsia" w:hAnsiTheme="minorHAnsi" w:cstheme="minorBidi"/>
              <w:bCs w:val="0"/>
              <w:caps w:val="0"/>
              <w:sz w:val="22"/>
              <w:szCs w:val="22"/>
            </w:rPr>
          </w:pPr>
          <w:hyperlink w:anchor="_Toc223007872" w:history="1">
            <w:r w:rsidR="007B60BF" w:rsidRPr="00790A11">
              <w:rPr>
                <w:rStyle w:val="Hyperlink"/>
              </w:rPr>
              <w:t>23</w:t>
            </w:r>
            <w:r w:rsidR="007B60BF">
              <w:rPr>
                <w:rFonts w:asciiTheme="minorHAnsi" w:eastAsiaTheme="minorEastAsia" w:hAnsiTheme="minorHAnsi" w:cstheme="minorBidi"/>
                <w:bCs w:val="0"/>
                <w:caps w:val="0"/>
                <w:sz w:val="22"/>
                <w:szCs w:val="22"/>
              </w:rPr>
              <w:tab/>
            </w:r>
            <w:r w:rsidR="007B60BF" w:rsidRPr="00790A11">
              <w:rPr>
                <w:rStyle w:val="Hyperlink"/>
              </w:rPr>
              <w:t>Seguros de Riscos</w:t>
            </w:r>
            <w:r w:rsidR="007B60BF">
              <w:rPr>
                <w:webHidden/>
              </w:rPr>
              <w:tab/>
            </w:r>
            <w:r w:rsidR="007B60BF">
              <w:rPr>
                <w:webHidden/>
              </w:rPr>
              <w:fldChar w:fldCharType="begin"/>
            </w:r>
            <w:r w:rsidR="007B60BF">
              <w:rPr>
                <w:webHidden/>
              </w:rPr>
              <w:instrText xml:space="preserve"> PAGEREF _Toc223007872 \h </w:instrText>
            </w:r>
            <w:r w:rsidR="007B60BF">
              <w:rPr>
                <w:webHidden/>
              </w:rPr>
            </w:r>
            <w:r w:rsidR="007B60BF">
              <w:rPr>
                <w:webHidden/>
              </w:rPr>
              <w:fldChar w:fldCharType="separate"/>
            </w:r>
            <w:r w:rsidR="005D68F7">
              <w:rPr>
                <w:webHidden/>
              </w:rPr>
              <w:t>26</w:t>
            </w:r>
            <w:r w:rsidR="007B60BF">
              <w:rPr>
                <w:webHidden/>
              </w:rPr>
              <w:fldChar w:fldCharType="end"/>
            </w:r>
          </w:hyperlink>
        </w:p>
        <w:p w14:paraId="15E0EFC0" w14:textId="09251AAD" w:rsidR="007B60BF" w:rsidRDefault="00374747">
          <w:pPr>
            <w:pStyle w:val="Sumrio1"/>
            <w:rPr>
              <w:rFonts w:asciiTheme="minorHAnsi" w:eastAsiaTheme="minorEastAsia" w:hAnsiTheme="minorHAnsi" w:cstheme="minorBidi"/>
              <w:bCs w:val="0"/>
              <w:caps w:val="0"/>
              <w:sz w:val="22"/>
              <w:szCs w:val="22"/>
            </w:rPr>
          </w:pPr>
          <w:hyperlink w:anchor="_Toc223007873" w:history="1">
            <w:r w:rsidR="007B60BF" w:rsidRPr="00790A11">
              <w:rPr>
                <w:rStyle w:val="Hyperlink"/>
              </w:rPr>
              <w:t>24</w:t>
            </w:r>
            <w:r w:rsidR="007B60BF">
              <w:rPr>
                <w:rFonts w:asciiTheme="minorHAnsi" w:eastAsiaTheme="minorEastAsia" w:hAnsiTheme="minorHAnsi" w:cstheme="minorBidi"/>
                <w:bCs w:val="0"/>
                <w:caps w:val="0"/>
                <w:sz w:val="22"/>
                <w:szCs w:val="22"/>
              </w:rPr>
              <w:tab/>
            </w:r>
            <w:r w:rsidR="007B60BF" w:rsidRPr="00790A11">
              <w:rPr>
                <w:rStyle w:val="Hyperlink"/>
              </w:rPr>
              <w:t>Conciliação das Demonstrações Contábeis com Base nas Leis nº 6.404/76 e nº 4.320/64</w:t>
            </w:r>
            <w:r w:rsidR="007B60BF">
              <w:rPr>
                <w:webHidden/>
              </w:rPr>
              <w:tab/>
            </w:r>
            <w:r w:rsidR="007B60BF">
              <w:rPr>
                <w:webHidden/>
              </w:rPr>
              <w:fldChar w:fldCharType="begin"/>
            </w:r>
            <w:r w:rsidR="007B60BF">
              <w:rPr>
                <w:webHidden/>
              </w:rPr>
              <w:instrText xml:space="preserve"> PAGEREF _Toc223007873 \h </w:instrText>
            </w:r>
            <w:r w:rsidR="007B60BF">
              <w:rPr>
                <w:webHidden/>
              </w:rPr>
            </w:r>
            <w:r w:rsidR="007B60BF">
              <w:rPr>
                <w:webHidden/>
              </w:rPr>
              <w:fldChar w:fldCharType="separate"/>
            </w:r>
            <w:r w:rsidR="005D68F7">
              <w:rPr>
                <w:webHidden/>
              </w:rPr>
              <w:t>27</w:t>
            </w:r>
            <w:r w:rsidR="007B60BF">
              <w:rPr>
                <w:webHidden/>
              </w:rPr>
              <w:fldChar w:fldCharType="end"/>
            </w:r>
          </w:hyperlink>
        </w:p>
        <w:p w14:paraId="715A4554" w14:textId="2F37292B" w:rsidR="007B60BF" w:rsidRDefault="00374747">
          <w:pPr>
            <w:pStyle w:val="Sumrio1"/>
            <w:rPr>
              <w:rFonts w:asciiTheme="minorHAnsi" w:eastAsiaTheme="minorEastAsia" w:hAnsiTheme="minorHAnsi" w:cstheme="minorBidi"/>
              <w:bCs w:val="0"/>
              <w:caps w:val="0"/>
              <w:sz w:val="22"/>
              <w:szCs w:val="22"/>
            </w:rPr>
          </w:pPr>
          <w:hyperlink w:anchor="_Toc223007874" w:history="1">
            <w:r w:rsidR="007B60BF" w:rsidRPr="00790A11">
              <w:rPr>
                <w:rStyle w:val="Hyperlink"/>
              </w:rPr>
              <w:t>25</w:t>
            </w:r>
            <w:r w:rsidR="007B60BF">
              <w:rPr>
                <w:rFonts w:asciiTheme="minorHAnsi" w:eastAsiaTheme="minorEastAsia" w:hAnsiTheme="minorHAnsi" w:cstheme="minorBidi"/>
                <w:bCs w:val="0"/>
                <w:caps w:val="0"/>
                <w:sz w:val="22"/>
                <w:szCs w:val="22"/>
              </w:rPr>
              <w:tab/>
            </w:r>
            <w:r w:rsidR="007B60BF" w:rsidRPr="00790A11">
              <w:rPr>
                <w:rStyle w:val="Hyperlink"/>
              </w:rPr>
              <w:t>Remunerações Pagas a Empregados e Administradores</w:t>
            </w:r>
            <w:r w:rsidR="007B60BF">
              <w:rPr>
                <w:webHidden/>
              </w:rPr>
              <w:tab/>
            </w:r>
            <w:r w:rsidR="007B60BF">
              <w:rPr>
                <w:webHidden/>
              </w:rPr>
              <w:fldChar w:fldCharType="begin"/>
            </w:r>
            <w:r w:rsidR="007B60BF">
              <w:rPr>
                <w:webHidden/>
              </w:rPr>
              <w:instrText xml:space="preserve"> PAGEREF _Toc223007874 \h </w:instrText>
            </w:r>
            <w:r w:rsidR="007B60BF">
              <w:rPr>
                <w:webHidden/>
              </w:rPr>
            </w:r>
            <w:r w:rsidR="007B60BF">
              <w:rPr>
                <w:webHidden/>
              </w:rPr>
              <w:fldChar w:fldCharType="separate"/>
            </w:r>
            <w:r w:rsidR="005D68F7">
              <w:rPr>
                <w:webHidden/>
              </w:rPr>
              <w:t>28</w:t>
            </w:r>
            <w:r w:rsidR="007B60BF">
              <w:rPr>
                <w:webHidden/>
              </w:rPr>
              <w:fldChar w:fldCharType="end"/>
            </w:r>
          </w:hyperlink>
        </w:p>
        <w:p w14:paraId="2F22AAA4" w14:textId="2C42254E" w:rsidR="007B60BF" w:rsidRDefault="00374747">
          <w:pPr>
            <w:pStyle w:val="Sumrio1"/>
            <w:rPr>
              <w:rFonts w:asciiTheme="minorHAnsi" w:eastAsiaTheme="minorEastAsia" w:hAnsiTheme="minorHAnsi" w:cstheme="minorBidi"/>
              <w:bCs w:val="0"/>
              <w:caps w:val="0"/>
              <w:sz w:val="22"/>
              <w:szCs w:val="22"/>
            </w:rPr>
          </w:pPr>
          <w:hyperlink w:anchor="_Toc223007875" w:history="1">
            <w:r w:rsidR="007B60BF" w:rsidRPr="00790A11">
              <w:rPr>
                <w:rStyle w:val="Hyperlink"/>
              </w:rPr>
              <w:t>26</w:t>
            </w:r>
            <w:r w:rsidR="007B60BF">
              <w:rPr>
                <w:rFonts w:asciiTheme="minorHAnsi" w:eastAsiaTheme="minorEastAsia" w:hAnsiTheme="minorHAnsi" w:cstheme="minorBidi"/>
                <w:bCs w:val="0"/>
                <w:caps w:val="0"/>
                <w:sz w:val="22"/>
                <w:szCs w:val="22"/>
              </w:rPr>
              <w:tab/>
            </w:r>
            <w:r w:rsidR="007B60BF" w:rsidRPr="00790A11">
              <w:rPr>
                <w:rStyle w:val="Hyperlink"/>
              </w:rPr>
              <w:t>Sustentabilidade e Gestão Econômico-Financeira</w:t>
            </w:r>
            <w:r w:rsidR="007B60BF">
              <w:rPr>
                <w:webHidden/>
              </w:rPr>
              <w:tab/>
            </w:r>
            <w:r w:rsidR="007B60BF">
              <w:rPr>
                <w:webHidden/>
              </w:rPr>
              <w:fldChar w:fldCharType="begin"/>
            </w:r>
            <w:r w:rsidR="007B60BF">
              <w:rPr>
                <w:webHidden/>
              </w:rPr>
              <w:instrText xml:space="preserve"> PAGEREF _Toc223007875 \h </w:instrText>
            </w:r>
            <w:r w:rsidR="007B60BF">
              <w:rPr>
                <w:webHidden/>
              </w:rPr>
            </w:r>
            <w:r w:rsidR="007B60BF">
              <w:rPr>
                <w:webHidden/>
              </w:rPr>
              <w:fldChar w:fldCharType="separate"/>
            </w:r>
            <w:r w:rsidR="005D68F7">
              <w:rPr>
                <w:webHidden/>
              </w:rPr>
              <w:t>29</w:t>
            </w:r>
            <w:r w:rsidR="007B60BF">
              <w:rPr>
                <w:webHidden/>
              </w:rPr>
              <w:fldChar w:fldCharType="end"/>
            </w:r>
          </w:hyperlink>
        </w:p>
        <w:p w14:paraId="5FF92A9F" w14:textId="46B14AEB" w:rsidR="007B60BF" w:rsidRDefault="00374747">
          <w:pPr>
            <w:pStyle w:val="Sumrio1"/>
            <w:rPr>
              <w:rFonts w:asciiTheme="minorHAnsi" w:eastAsiaTheme="minorEastAsia" w:hAnsiTheme="minorHAnsi" w:cstheme="minorBidi"/>
              <w:bCs w:val="0"/>
              <w:caps w:val="0"/>
              <w:sz w:val="22"/>
              <w:szCs w:val="22"/>
            </w:rPr>
          </w:pPr>
          <w:hyperlink w:anchor="_Toc223007876" w:history="1">
            <w:r w:rsidR="007B60BF" w:rsidRPr="00790A11">
              <w:rPr>
                <w:rStyle w:val="Hyperlink"/>
              </w:rPr>
              <w:t>27</w:t>
            </w:r>
            <w:r w:rsidR="007B60BF">
              <w:rPr>
                <w:rFonts w:asciiTheme="minorHAnsi" w:eastAsiaTheme="minorEastAsia" w:hAnsiTheme="minorHAnsi" w:cstheme="minorBidi"/>
                <w:bCs w:val="0"/>
                <w:caps w:val="0"/>
                <w:sz w:val="22"/>
                <w:szCs w:val="22"/>
              </w:rPr>
              <w:tab/>
            </w:r>
            <w:r w:rsidR="007B60BF" w:rsidRPr="00790A11">
              <w:rPr>
                <w:rStyle w:val="Hyperlink"/>
              </w:rPr>
              <w:t>Eventos Subsequentes</w:t>
            </w:r>
            <w:r w:rsidR="007B60BF">
              <w:rPr>
                <w:webHidden/>
              </w:rPr>
              <w:tab/>
            </w:r>
            <w:r w:rsidR="007B60BF">
              <w:rPr>
                <w:webHidden/>
              </w:rPr>
              <w:fldChar w:fldCharType="begin"/>
            </w:r>
            <w:r w:rsidR="007B60BF">
              <w:rPr>
                <w:webHidden/>
              </w:rPr>
              <w:instrText xml:space="preserve"> PAGEREF _Toc223007876 \h </w:instrText>
            </w:r>
            <w:r w:rsidR="007B60BF">
              <w:rPr>
                <w:webHidden/>
              </w:rPr>
            </w:r>
            <w:r w:rsidR="007B60BF">
              <w:rPr>
                <w:webHidden/>
              </w:rPr>
              <w:fldChar w:fldCharType="separate"/>
            </w:r>
            <w:r w:rsidR="005D68F7">
              <w:rPr>
                <w:webHidden/>
              </w:rPr>
              <w:t>30</w:t>
            </w:r>
            <w:r w:rsidR="007B60BF">
              <w:rPr>
                <w:webHidden/>
              </w:rPr>
              <w:fldChar w:fldCharType="end"/>
            </w:r>
          </w:hyperlink>
        </w:p>
        <w:p w14:paraId="71B41E11" w14:textId="1EBBA8DA" w:rsidR="00674E0A" w:rsidRPr="007B60BF" w:rsidRDefault="003337D3" w:rsidP="00D7349A">
          <w:pPr>
            <w:pStyle w:val="Sumrio1"/>
            <w:ind w:left="0"/>
          </w:pPr>
          <w:r w:rsidRPr="007B60BF">
            <w:rPr>
              <w:b/>
              <w:color w:val="FF0000"/>
              <w:sz w:val="16"/>
              <w:szCs w:val="16"/>
            </w:rPr>
            <w:fldChar w:fldCharType="end"/>
          </w:r>
        </w:p>
      </w:sdtContent>
    </w:sdt>
    <w:bookmarkStart w:id="0" w:name="_Toc128062920" w:displacedByCustomXml="prev"/>
    <w:bookmarkStart w:id="1" w:name="_Toc97550817" w:displacedByCustomXml="prev"/>
    <w:bookmarkEnd w:id="1"/>
    <w:bookmarkEnd w:id="0"/>
    <w:p w14:paraId="14505D5C" w14:textId="0D78D7CC" w:rsidR="00351671" w:rsidRPr="007B60BF" w:rsidRDefault="00351671" w:rsidP="002A04B3">
      <w:pPr>
        <w:pStyle w:val="Ttulo"/>
        <w:jc w:val="center"/>
        <w:outlineLvl w:val="0"/>
      </w:pPr>
    </w:p>
    <w:p w14:paraId="3492D1B9" w14:textId="77777777" w:rsidR="003A4547" w:rsidRPr="007B60BF" w:rsidRDefault="003A4547" w:rsidP="00065BF1">
      <w:pPr>
        <w:sectPr w:rsidR="003A4547" w:rsidRPr="007B60BF" w:rsidSect="00941D4C">
          <w:headerReference w:type="default" r:id="rId8"/>
          <w:footerReference w:type="default" r:id="rId9"/>
          <w:headerReference w:type="first" r:id="rId10"/>
          <w:footerReference w:type="first" r:id="rId11"/>
          <w:pgSz w:w="11907" w:h="16839" w:code="9"/>
          <w:pgMar w:top="1418" w:right="1134" w:bottom="1134" w:left="1701" w:header="720" w:footer="720" w:gutter="0"/>
          <w:cols w:space="720"/>
          <w:titlePg/>
          <w:docGrid w:linePitch="272"/>
        </w:sectPr>
      </w:pPr>
    </w:p>
    <w:p w14:paraId="5DE148D1" w14:textId="677FF080" w:rsidR="00275E0F" w:rsidRPr="007B60BF" w:rsidRDefault="00275E0F" w:rsidP="00275E0F">
      <w:pPr>
        <w:pStyle w:val="Ttulo"/>
        <w:ind w:left="-567"/>
        <w:jc w:val="center"/>
        <w:outlineLvl w:val="0"/>
      </w:pPr>
      <w:bookmarkStart w:id="2" w:name="_Toc192082728"/>
      <w:bookmarkStart w:id="3" w:name="_Toc223007841"/>
      <w:bookmarkStart w:id="4" w:name="_Toc159939212"/>
      <w:bookmarkStart w:id="5" w:name="OLE_LINK1"/>
      <w:r w:rsidRPr="007B60BF">
        <w:lastRenderedPageBreak/>
        <w:t>Relatório da Administração 202</w:t>
      </w:r>
      <w:bookmarkEnd w:id="2"/>
      <w:r w:rsidR="00C95EE0" w:rsidRPr="007B60BF">
        <w:t>5</w:t>
      </w:r>
      <w:bookmarkEnd w:id="3"/>
    </w:p>
    <w:p w14:paraId="26B3757C" w14:textId="2899A44D" w:rsidR="00275E0F" w:rsidRPr="007B60BF" w:rsidRDefault="00275E0F" w:rsidP="00275E0F">
      <w:pPr>
        <w:ind w:left="-567"/>
        <w:jc w:val="center"/>
        <w:rPr>
          <w:color w:val="222222"/>
        </w:rPr>
      </w:pPr>
    </w:p>
    <w:p w14:paraId="5D95AEC2" w14:textId="3DB6FC2C" w:rsidR="00C95EE0" w:rsidRPr="007B60BF" w:rsidRDefault="00C95EE0" w:rsidP="000A6202">
      <w:pPr>
        <w:shd w:val="clear" w:color="auto" w:fill="FFFFFF"/>
        <w:ind w:left="-567"/>
        <w:jc w:val="both"/>
        <w:rPr>
          <w:color w:val="000000"/>
        </w:rPr>
      </w:pPr>
      <w:r w:rsidRPr="007B60BF">
        <w:rPr>
          <w:color w:val="000000"/>
        </w:rPr>
        <w:t>O Hospital de Clínicas de Porto Alegre (HCPA) é uma instituição pública e universitária, integrante da rede de hospitais universitários do Ministério da Educação (MEC) e vinculada academicamente à Universidade Federal do Rio Grande do Sul (UFRGS).</w:t>
      </w:r>
    </w:p>
    <w:p w14:paraId="2FF4F56F" w14:textId="77777777" w:rsidR="002464A9" w:rsidRPr="007B60BF" w:rsidRDefault="002464A9" w:rsidP="000A6202">
      <w:pPr>
        <w:shd w:val="clear" w:color="auto" w:fill="FFFFFF"/>
        <w:ind w:left="-567"/>
        <w:jc w:val="both"/>
        <w:rPr>
          <w:color w:val="000000"/>
          <w:sz w:val="16"/>
          <w:szCs w:val="16"/>
        </w:rPr>
      </w:pPr>
    </w:p>
    <w:p w14:paraId="525E3BF1" w14:textId="6B6F2A70" w:rsidR="00C95EE0" w:rsidRPr="007B60BF" w:rsidRDefault="00C95EE0" w:rsidP="000A6202">
      <w:pPr>
        <w:shd w:val="clear" w:color="auto" w:fill="FFFFFF"/>
        <w:ind w:left="-567"/>
        <w:jc w:val="both"/>
        <w:rPr>
          <w:color w:val="000000"/>
        </w:rPr>
      </w:pPr>
      <w:r w:rsidRPr="007B60BF">
        <w:rPr>
          <w:color w:val="000000"/>
        </w:rPr>
        <w:t>Desde o início de seu funcionamento, em 1971, o HCPA promove assistência, pesquisa, inovação e ensino e</w:t>
      </w:r>
      <w:r w:rsidR="00A676C4" w:rsidRPr="007B60BF">
        <w:rPr>
          <w:color w:val="000000"/>
        </w:rPr>
        <w:t xml:space="preserve">m saúde. </w:t>
      </w:r>
      <w:r w:rsidRPr="007B60BF">
        <w:rPr>
          <w:color w:val="000000"/>
        </w:rPr>
        <w:t>Todas as ações são desenvolvidas de forma integrada entre si para cumprir a missão de prestar assistência humanizada e de excelência, gerar conhecimento e inovação e formar pessoas comprometidas com seus valores.</w:t>
      </w:r>
    </w:p>
    <w:p w14:paraId="3885F8D2" w14:textId="27C0EF60" w:rsidR="002464A9" w:rsidRPr="007B60BF" w:rsidRDefault="002464A9" w:rsidP="000A6202">
      <w:pPr>
        <w:shd w:val="clear" w:color="auto" w:fill="FFFFFF"/>
        <w:ind w:left="-567"/>
        <w:jc w:val="both"/>
        <w:rPr>
          <w:color w:val="000000"/>
          <w:sz w:val="16"/>
          <w:szCs w:val="16"/>
        </w:rPr>
      </w:pPr>
    </w:p>
    <w:p w14:paraId="042E62DF" w14:textId="5360ACDC" w:rsidR="00C95EE0" w:rsidRPr="007B60BF" w:rsidRDefault="00C95EE0" w:rsidP="00086B22">
      <w:pPr>
        <w:shd w:val="clear" w:color="auto" w:fill="FFFFFF"/>
        <w:ind w:left="-567"/>
        <w:jc w:val="both"/>
        <w:rPr>
          <w:b/>
          <w:color w:val="000000"/>
        </w:rPr>
      </w:pPr>
      <w:r w:rsidRPr="007B60BF">
        <w:rPr>
          <w:b/>
          <w:color w:val="000000"/>
        </w:rPr>
        <w:t>Propósito e visão</w:t>
      </w:r>
    </w:p>
    <w:p w14:paraId="3ED465F7" w14:textId="77777777" w:rsidR="002464A9" w:rsidRPr="007B60BF" w:rsidRDefault="002464A9" w:rsidP="00086B22">
      <w:pPr>
        <w:shd w:val="clear" w:color="auto" w:fill="FFFFFF"/>
        <w:ind w:left="-567"/>
        <w:jc w:val="both"/>
        <w:rPr>
          <w:b/>
          <w:color w:val="000000"/>
          <w:sz w:val="16"/>
          <w:szCs w:val="16"/>
        </w:rPr>
      </w:pPr>
    </w:p>
    <w:p w14:paraId="0293C215" w14:textId="0C93547B" w:rsidR="00C95EE0" w:rsidRPr="007B60BF" w:rsidRDefault="00C95EE0" w:rsidP="000A6202">
      <w:pPr>
        <w:shd w:val="clear" w:color="auto" w:fill="FFFFFF"/>
        <w:ind w:left="-567"/>
        <w:jc w:val="both"/>
        <w:rPr>
          <w:color w:val="000000"/>
        </w:rPr>
      </w:pPr>
      <w:r w:rsidRPr="007B60BF">
        <w:rPr>
          <w:color w:val="000000"/>
        </w:rPr>
        <w:t>O HCPA gera valor para a sociedade prestando assistência humanizada integral e de excelência, promovendo a produção e o compartilhamento de conhecimentos, técnicas e tecnologias inovadoras, e formando profissionais qualificados e socialmente comprometidos. Dessa forma, espera alcançar a sua visão: ser protagonista na transformação de realidades em saúde.</w:t>
      </w:r>
    </w:p>
    <w:p w14:paraId="0B1C9741" w14:textId="77777777" w:rsidR="002464A9" w:rsidRPr="007B60BF" w:rsidRDefault="002464A9" w:rsidP="000A6202">
      <w:pPr>
        <w:shd w:val="clear" w:color="auto" w:fill="FFFFFF"/>
        <w:ind w:left="-567"/>
        <w:jc w:val="both"/>
        <w:rPr>
          <w:color w:val="000000"/>
          <w:sz w:val="16"/>
          <w:szCs w:val="16"/>
        </w:rPr>
      </w:pPr>
    </w:p>
    <w:p w14:paraId="79895486" w14:textId="7ED3F7FC" w:rsidR="00C95EE0" w:rsidRPr="007B60BF" w:rsidRDefault="00C95EE0" w:rsidP="00086B22">
      <w:pPr>
        <w:shd w:val="clear" w:color="auto" w:fill="FFFFFF"/>
        <w:ind w:left="-567"/>
        <w:jc w:val="both"/>
        <w:rPr>
          <w:b/>
          <w:color w:val="000000"/>
        </w:rPr>
      </w:pPr>
      <w:r w:rsidRPr="007B60BF">
        <w:rPr>
          <w:b/>
          <w:color w:val="000000"/>
        </w:rPr>
        <w:t>Destaques assistenciais e alta complexidade</w:t>
      </w:r>
    </w:p>
    <w:p w14:paraId="24DD863E" w14:textId="77777777" w:rsidR="002464A9" w:rsidRPr="007B60BF" w:rsidRDefault="002464A9" w:rsidP="00086B22">
      <w:pPr>
        <w:shd w:val="clear" w:color="auto" w:fill="FFFFFF"/>
        <w:ind w:left="-567"/>
        <w:jc w:val="both"/>
        <w:rPr>
          <w:b/>
          <w:color w:val="000000"/>
          <w:sz w:val="16"/>
          <w:szCs w:val="16"/>
        </w:rPr>
      </w:pPr>
    </w:p>
    <w:p w14:paraId="247CA207" w14:textId="7F1770FF" w:rsidR="00C95EE0" w:rsidRPr="007B60BF" w:rsidRDefault="00C95EE0" w:rsidP="000A6202">
      <w:pPr>
        <w:shd w:val="clear" w:color="auto" w:fill="FFFFFF"/>
        <w:ind w:left="-567"/>
        <w:jc w:val="both"/>
        <w:rPr>
          <w:color w:val="000000"/>
        </w:rPr>
      </w:pPr>
      <w:r w:rsidRPr="007B60BF">
        <w:rPr>
          <w:color w:val="000000"/>
        </w:rPr>
        <w:t>É reconhecido por ser a instituição que mais realiza procedimentos de alta complexidade no Rio Grande do Sul, recebendo pacientes de todo o estado, de outras unidades da federação e de países vizinhos. A contratualização é feita com o gestor municipal de saúde (Prefeitura de Porto Alegre) para prestação de serviços ao SUS, com ad</w:t>
      </w:r>
      <w:r w:rsidR="00A676C4" w:rsidRPr="007B60BF">
        <w:rPr>
          <w:color w:val="000000"/>
        </w:rPr>
        <w:t xml:space="preserve">esão a mais de 80 habilitações. </w:t>
      </w:r>
      <w:r w:rsidRPr="007B60BF">
        <w:rPr>
          <w:color w:val="000000"/>
        </w:rPr>
        <w:t>Os atendimentos são prioritariamente voltados ao sistema público, com parcela de internações, exames e procedimentos ofertada a pacientes privados e de convênios, conforme faculta a lei de criação do HCPA.</w:t>
      </w:r>
    </w:p>
    <w:p w14:paraId="61BDEC17" w14:textId="77777777" w:rsidR="00D21676" w:rsidRPr="007B60BF" w:rsidRDefault="00D21676" w:rsidP="000A6202">
      <w:pPr>
        <w:shd w:val="clear" w:color="auto" w:fill="FFFFFF"/>
        <w:ind w:left="-567"/>
        <w:jc w:val="both"/>
        <w:rPr>
          <w:color w:val="000000"/>
          <w:sz w:val="16"/>
          <w:szCs w:val="16"/>
        </w:rPr>
      </w:pPr>
    </w:p>
    <w:p w14:paraId="5C60AEFF" w14:textId="1B9AA893" w:rsidR="00C95EE0" w:rsidRPr="007B60BF" w:rsidRDefault="00C95EE0" w:rsidP="000A6202">
      <w:pPr>
        <w:shd w:val="clear" w:color="auto" w:fill="FFFFFF"/>
        <w:ind w:left="-567"/>
        <w:jc w:val="both"/>
        <w:rPr>
          <w:color w:val="000000"/>
        </w:rPr>
      </w:pPr>
      <w:r w:rsidRPr="007B60BF">
        <w:rPr>
          <w:color w:val="000000"/>
        </w:rPr>
        <w:t>O HCPA consolida-se como o único prestador do Estado nas seguintes áreas:</w:t>
      </w:r>
    </w:p>
    <w:p w14:paraId="04265F48" w14:textId="5589E2E5" w:rsidR="00C95EE0" w:rsidRPr="007B60BF" w:rsidRDefault="00C95EE0" w:rsidP="00D21676">
      <w:pPr>
        <w:pStyle w:val="PargrafodaLista"/>
        <w:numPr>
          <w:ilvl w:val="0"/>
          <w:numId w:val="10"/>
        </w:numPr>
        <w:shd w:val="clear" w:color="auto" w:fill="FFFFFF"/>
        <w:jc w:val="both"/>
        <w:rPr>
          <w:color w:val="000000"/>
        </w:rPr>
      </w:pPr>
      <w:r w:rsidRPr="007B60BF">
        <w:rPr>
          <w:color w:val="000000"/>
        </w:rPr>
        <w:t>Aplicação de terapia gênic</w:t>
      </w:r>
      <w:r w:rsidR="00A676C4" w:rsidRPr="007B60BF">
        <w:rPr>
          <w:color w:val="000000"/>
        </w:rPr>
        <w:t>a para tratar doenças genéticas</w:t>
      </w:r>
    </w:p>
    <w:p w14:paraId="4F21FD2F" w14:textId="1B59435D" w:rsidR="00C95EE0" w:rsidRPr="007B60BF" w:rsidRDefault="00C95EE0" w:rsidP="00D21676">
      <w:pPr>
        <w:pStyle w:val="PargrafodaLista"/>
        <w:numPr>
          <w:ilvl w:val="0"/>
          <w:numId w:val="10"/>
        </w:numPr>
        <w:shd w:val="clear" w:color="auto" w:fill="FFFFFF"/>
        <w:jc w:val="both"/>
        <w:rPr>
          <w:color w:val="000000"/>
        </w:rPr>
      </w:pPr>
      <w:r w:rsidRPr="007B60BF">
        <w:rPr>
          <w:color w:val="000000"/>
        </w:rPr>
        <w:t>Tratamento da</w:t>
      </w:r>
      <w:r w:rsidR="00A676C4" w:rsidRPr="007B60BF">
        <w:rPr>
          <w:color w:val="000000"/>
        </w:rPr>
        <w:t xml:space="preserve"> pessoa com falência intestinal</w:t>
      </w:r>
    </w:p>
    <w:p w14:paraId="64359F19" w14:textId="6989796D" w:rsidR="00C95EE0" w:rsidRPr="007B60BF" w:rsidRDefault="00A676C4" w:rsidP="00D21676">
      <w:pPr>
        <w:pStyle w:val="PargrafodaLista"/>
        <w:numPr>
          <w:ilvl w:val="0"/>
          <w:numId w:val="10"/>
        </w:numPr>
        <w:shd w:val="clear" w:color="auto" w:fill="FFFFFF"/>
        <w:jc w:val="both"/>
        <w:rPr>
          <w:color w:val="000000"/>
        </w:rPr>
      </w:pPr>
      <w:r w:rsidRPr="007B60BF">
        <w:rPr>
          <w:color w:val="000000"/>
        </w:rPr>
        <w:t>Trombectomia mecânica</w:t>
      </w:r>
    </w:p>
    <w:p w14:paraId="7825656F" w14:textId="3086F438" w:rsidR="00C95EE0" w:rsidRPr="007B60BF" w:rsidRDefault="00C95EE0" w:rsidP="00D21676">
      <w:pPr>
        <w:pStyle w:val="PargrafodaLista"/>
        <w:numPr>
          <w:ilvl w:val="0"/>
          <w:numId w:val="10"/>
        </w:numPr>
        <w:shd w:val="clear" w:color="auto" w:fill="FFFFFF"/>
        <w:jc w:val="both"/>
        <w:rPr>
          <w:color w:val="000000"/>
        </w:rPr>
      </w:pPr>
      <w:r w:rsidRPr="007B60BF">
        <w:rPr>
          <w:color w:val="000000"/>
        </w:rPr>
        <w:t>Implante percu</w:t>
      </w:r>
      <w:r w:rsidR="00A676C4" w:rsidRPr="007B60BF">
        <w:rPr>
          <w:color w:val="000000"/>
        </w:rPr>
        <w:t>tâneo de válvula aórtica (Tavi)</w:t>
      </w:r>
    </w:p>
    <w:p w14:paraId="4DB14DFB" w14:textId="7FC57178" w:rsidR="00C95EE0" w:rsidRPr="007B60BF" w:rsidRDefault="00C95EE0" w:rsidP="00D21676">
      <w:pPr>
        <w:pStyle w:val="PargrafodaLista"/>
        <w:numPr>
          <w:ilvl w:val="0"/>
          <w:numId w:val="10"/>
        </w:numPr>
        <w:shd w:val="clear" w:color="auto" w:fill="FFFFFF"/>
        <w:jc w:val="both"/>
        <w:rPr>
          <w:color w:val="000000"/>
        </w:rPr>
      </w:pPr>
      <w:r w:rsidRPr="007B60BF">
        <w:rPr>
          <w:color w:val="000000"/>
        </w:rPr>
        <w:t>Implante de eletrodo para estimulação ce</w:t>
      </w:r>
      <w:r w:rsidR="00A676C4" w:rsidRPr="007B60BF">
        <w:rPr>
          <w:color w:val="000000"/>
        </w:rPr>
        <w:t>rebral para doença de Parkinson</w:t>
      </w:r>
    </w:p>
    <w:p w14:paraId="7E9B86F2" w14:textId="77777777" w:rsidR="00D21676" w:rsidRPr="007B60BF" w:rsidRDefault="00D21676" w:rsidP="00D21676">
      <w:pPr>
        <w:pStyle w:val="PargrafodaLista"/>
        <w:shd w:val="clear" w:color="auto" w:fill="FFFFFF"/>
        <w:ind w:left="153"/>
        <w:jc w:val="both"/>
        <w:rPr>
          <w:color w:val="000000"/>
          <w:sz w:val="16"/>
          <w:szCs w:val="16"/>
        </w:rPr>
      </w:pPr>
    </w:p>
    <w:p w14:paraId="26097D5D" w14:textId="0E628D8B" w:rsidR="00C95EE0" w:rsidRPr="007B60BF" w:rsidRDefault="00C95EE0" w:rsidP="00086B22">
      <w:pPr>
        <w:shd w:val="clear" w:color="auto" w:fill="FFFFFF"/>
        <w:ind w:left="-567"/>
        <w:jc w:val="both"/>
        <w:rPr>
          <w:b/>
          <w:color w:val="000000"/>
        </w:rPr>
      </w:pPr>
      <w:r w:rsidRPr="007B60BF">
        <w:rPr>
          <w:b/>
          <w:color w:val="000000"/>
        </w:rPr>
        <w:t>Resultados de 2025</w:t>
      </w:r>
    </w:p>
    <w:p w14:paraId="75DCBCFF" w14:textId="77777777" w:rsidR="00D21676" w:rsidRPr="007B60BF" w:rsidRDefault="00D21676" w:rsidP="00086B22">
      <w:pPr>
        <w:shd w:val="clear" w:color="auto" w:fill="FFFFFF"/>
        <w:ind w:left="-567"/>
        <w:jc w:val="both"/>
        <w:rPr>
          <w:b/>
          <w:color w:val="000000"/>
          <w:sz w:val="16"/>
          <w:szCs w:val="16"/>
        </w:rPr>
      </w:pPr>
    </w:p>
    <w:p w14:paraId="551B10D5" w14:textId="5CC1935B" w:rsidR="00C95EE0" w:rsidRPr="007B60BF" w:rsidRDefault="00C95EE0" w:rsidP="000A6202">
      <w:pPr>
        <w:shd w:val="clear" w:color="auto" w:fill="FFFFFF"/>
        <w:ind w:left="-567"/>
        <w:jc w:val="both"/>
        <w:rPr>
          <w:color w:val="000000"/>
        </w:rPr>
      </w:pPr>
      <w:r w:rsidRPr="007B60BF">
        <w:rPr>
          <w:color w:val="000000"/>
        </w:rPr>
        <w:t>Em 2025, a robustez operacional do hospital foi demonstrada pelos números:</w:t>
      </w:r>
    </w:p>
    <w:p w14:paraId="0A619020" w14:textId="77777777" w:rsidR="00C95EE0" w:rsidRPr="007B60BF" w:rsidRDefault="00C95EE0" w:rsidP="00D21676">
      <w:pPr>
        <w:pStyle w:val="PargrafodaLista"/>
        <w:numPr>
          <w:ilvl w:val="0"/>
          <w:numId w:val="11"/>
        </w:numPr>
        <w:shd w:val="clear" w:color="auto" w:fill="FFFFFF"/>
        <w:jc w:val="both"/>
        <w:rPr>
          <w:color w:val="000000"/>
        </w:rPr>
      </w:pPr>
      <w:r w:rsidRPr="007B60BF">
        <w:rPr>
          <w:color w:val="000000"/>
        </w:rPr>
        <w:t>4 milhões de exames</w:t>
      </w:r>
    </w:p>
    <w:p w14:paraId="5BE2DFCF" w14:textId="77777777" w:rsidR="00C95EE0" w:rsidRPr="007B60BF" w:rsidRDefault="00C95EE0" w:rsidP="00D21676">
      <w:pPr>
        <w:pStyle w:val="PargrafodaLista"/>
        <w:numPr>
          <w:ilvl w:val="0"/>
          <w:numId w:val="11"/>
        </w:numPr>
        <w:shd w:val="clear" w:color="auto" w:fill="FFFFFF"/>
        <w:jc w:val="both"/>
        <w:rPr>
          <w:color w:val="000000"/>
        </w:rPr>
      </w:pPr>
      <w:r w:rsidRPr="007B60BF">
        <w:rPr>
          <w:color w:val="000000"/>
        </w:rPr>
        <w:t>585,5 mil consultas</w:t>
      </w:r>
    </w:p>
    <w:p w14:paraId="29B0ED47" w14:textId="77777777" w:rsidR="00C95EE0" w:rsidRPr="007B60BF" w:rsidRDefault="00C95EE0" w:rsidP="00D21676">
      <w:pPr>
        <w:pStyle w:val="PargrafodaLista"/>
        <w:numPr>
          <w:ilvl w:val="0"/>
          <w:numId w:val="11"/>
        </w:numPr>
        <w:shd w:val="clear" w:color="auto" w:fill="FFFFFF"/>
        <w:jc w:val="both"/>
        <w:rPr>
          <w:color w:val="000000"/>
        </w:rPr>
      </w:pPr>
      <w:r w:rsidRPr="007B60BF">
        <w:rPr>
          <w:color w:val="000000"/>
        </w:rPr>
        <w:t>52,3 mil procedimentos ambulatoriais e cirurgias</w:t>
      </w:r>
    </w:p>
    <w:p w14:paraId="038B97E9" w14:textId="77777777" w:rsidR="00C95EE0" w:rsidRPr="007B60BF" w:rsidRDefault="00C95EE0" w:rsidP="00D21676">
      <w:pPr>
        <w:pStyle w:val="PargrafodaLista"/>
        <w:numPr>
          <w:ilvl w:val="0"/>
          <w:numId w:val="11"/>
        </w:numPr>
        <w:shd w:val="clear" w:color="auto" w:fill="FFFFFF"/>
        <w:jc w:val="both"/>
        <w:rPr>
          <w:color w:val="000000"/>
        </w:rPr>
      </w:pPr>
      <w:r w:rsidRPr="007B60BF">
        <w:rPr>
          <w:color w:val="000000"/>
        </w:rPr>
        <w:t>35,5 mil internações</w:t>
      </w:r>
    </w:p>
    <w:p w14:paraId="1D4F7454" w14:textId="00D1D9F8" w:rsidR="00C95EE0" w:rsidRPr="007B60BF" w:rsidRDefault="00C95EE0" w:rsidP="00D21676">
      <w:pPr>
        <w:pStyle w:val="PargrafodaLista"/>
        <w:numPr>
          <w:ilvl w:val="0"/>
          <w:numId w:val="11"/>
        </w:numPr>
        <w:shd w:val="clear" w:color="auto" w:fill="FFFFFF"/>
        <w:jc w:val="both"/>
        <w:rPr>
          <w:color w:val="000000"/>
        </w:rPr>
      </w:pPr>
      <w:r w:rsidRPr="007B60BF">
        <w:rPr>
          <w:color w:val="000000"/>
        </w:rPr>
        <w:t>2,9 mil partos e 555 transplantes</w:t>
      </w:r>
    </w:p>
    <w:p w14:paraId="0DA3BC17" w14:textId="77777777" w:rsidR="00D21676" w:rsidRPr="007B60BF" w:rsidRDefault="00D21676" w:rsidP="00A676C4">
      <w:pPr>
        <w:pStyle w:val="PargrafodaLista"/>
        <w:shd w:val="clear" w:color="auto" w:fill="FFFFFF"/>
        <w:ind w:left="153"/>
        <w:jc w:val="both"/>
        <w:rPr>
          <w:color w:val="000000"/>
          <w:sz w:val="16"/>
          <w:szCs w:val="16"/>
        </w:rPr>
      </w:pPr>
    </w:p>
    <w:p w14:paraId="0C2E7437" w14:textId="5CD4CB83" w:rsidR="00C95EE0" w:rsidRPr="007B60BF" w:rsidRDefault="00C95EE0" w:rsidP="000A6202">
      <w:pPr>
        <w:shd w:val="clear" w:color="auto" w:fill="FFFFFF"/>
        <w:ind w:left="-567"/>
        <w:jc w:val="both"/>
        <w:rPr>
          <w:color w:val="000000"/>
        </w:rPr>
      </w:pPr>
      <w:r w:rsidRPr="007B60BF">
        <w:rPr>
          <w:color w:val="000000"/>
        </w:rPr>
        <w:t>Reconhecido pelo atendimento a doenças raras, o HCPA foi habilitado como serviço de referência do Ministério da Saúde em terapia gênica</w:t>
      </w:r>
      <w:r w:rsidR="00880C6A">
        <w:rPr>
          <w:color w:val="000000"/>
        </w:rPr>
        <w:t>, passando</w:t>
      </w:r>
      <w:r w:rsidRPr="007B60BF">
        <w:rPr>
          <w:color w:val="000000"/>
        </w:rPr>
        <w:t xml:space="preserve"> a administrar essa terapia avançada (atualmente para atrofia muscular espinhal) no SUS, com expectativa de tratar cerca de 12 pacientes por ano, sendo referência para a região Sul.</w:t>
      </w:r>
    </w:p>
    <w:p w14:paraId="533281C7" w14:textId="77777777" w:rsidR="00D21676" w:rsidRPr="007B60BF" w:rsidRDefault="00D21676" w:rsidP="000A6202">
      <w:pPr>
        <w:shd w:val="clear" w:color="auto" w:fill="FFFFFF"/>
        <w:ind w:left="-567"/>
        <w:jc w:val="both"/>
        <w:rPr>
          <w:color w:val="000000"/>
          <w:sz w:val="16"/>
          <w:szCs w:val="16"/>
        </w:rPr>
      </w:pPr>
    </w:p>
    <w:p w14:paraId="6D2D1035" w14:textId="1F26CE25" w:rsidR="00C95EE0" w:rsidRPr="007B60BF" w:rsidRDefault="00C95EE0" w:rsidP="00B06CB0">
      <w:pPr>
        <w:shd w:val="clear" w:color="auto" w:fill="FFFFFF"/>
        <w:ind w:left="-567"/>
        <w:jc w:val="both"/>
        <w:rPr>
          <w:b/>
          <w:color w:val="000000"/>
        </w:rPr>
      </w:pPr>
      <w:r w:rsidRPr="007B60BF">
        <w:rPr>
          <w:b/>
          <w:color w:val="000000"/>
        </w:rPr>
        <w:t>Ensino</w:t>
      </w:r>
    </w:p>
    <w:p w14:paraId="2EBF23C1" w14:textId="77777777" w:rsidR="00D21676" w:rsidRPr="007B60BF" w:rsidRDefault="00D21676" w:rsidP="00B06CB0">
      <w:pPr>
        <w:shd w:val="clear" w:color="auto" w:fill="FFFFFF"/>
        <w:ind w:left="-567"/>
        <w:jc w:val="both"/>
        <w:rPr>
          <w:b/>
          <w:color w:val="000000"/>
          <w:sz w:val="16"/>
          <w:szCs w:val="16"/>
        </w:rPr>
      </w:pPr>
    </w:p>
    <w:p w14:paraId="74D3C43A" w14:textId="01CC6BE5" w:rsidR="00C95EE0" w:rsidRPr="007B60BF" w:rsidRDefault="00C95EE0" w:rsidP="00B06CB0">
      <w:pPr>
        <w:shd w:val="clear" w:color="auto" w:fill="FFFFFF"/>
        <w:ind w:left="-567"/>
        <w:jc w:val="both"/>
        <w:rPr>
          <w:color w:val="000000"/>
        </w:rPr>
      </w:pPr>
      <w:r w:rsidRPr="007B60BF">
        <w:rPr>
          <w:color w:val="000000"/>
        </w:rPr>
        <w:t>No ensino, a presença de 536 professores da UFRGS qualifica a assistência. A instituição possui dois mestrados profissionais (Saúde Mental e Pesquisa Clínica) e seis especializações, capacitando centenas de alunos. O Centro de Simulação ampliou suas atividades para 7.431 pessoas em 2025. Na Residência Médica, são 87 programas com 585 residentes, somados a 136 profissionais na Residência Uni e Multiprofissional.</w:t>
      </w:r>
    </w:p>
    <w:p w14:paraId="1A53F222" w14:textId="77777777" w:rsidR="00D21676" w:rsidRPr="007B60BF" w:rsidRDefault="00D21676" w:rsidP="00B06CB0">
      <w:pPr>
        <w:shd w:val="clear" w:color="auto" w:fill="FFFFFF"/>
        <w:ind w:left="-567"/>
        <w:jc w:val="both"/>
        <w:rPr>
          <w:color w:val="000000"/>
          <w:sz w:val="16"/>
          <w:szCs w:val="16"/>
        </w:rPr>
      </w:pPr>
    </w:p>
    <w:p w14:paraId="7B1BD263" w14:textId="77777777" w:rsidR="00C95EE0" w:rsidRPr="007B60BF" w:rsidRDefault="00C95EE0" w:rsidP="00B06CB0">
      <w:pPr>
        <w:shd w:val="clear" w:color="auto" w:fill="FFFFFF"/>
        <w:ind w:left="-567"/>
        <w:jc w:val="both"/>
        <w:rPr>
          <w:b/>
          <w:color w:val="000000"/>
        </w:rPr>
      </w:pPr>
      <w:r w:rsidRPr="007B60BF">
        <w:rPr>
          <w:b/>
          <w:color w:val="000000"/>
        </w:rPr>
        <w:t>Pesquisa</w:t>
      </w:r>
    </w:p>
    <w:p w14:paraId="756320C3" w14:textId="77777777" w:rsidR="00C95EE0" w:rsidRPr="007B60BF" w:rsidRDefault="00C95EE0" w:rsidP="00C95EE0">
      <w:pPr>
        <w:rPr>
          <w:sz w:val="16"/>
          <w:szCs w:val="16"/>
        </w:rPr>
      </w:pPr>
    </w:p>
    <w:p w14:paraId="21AF33CC" w14:textId="7B940457" w:rsidR="00C95EE0" w:rsidRPr="00880C6A" w:rsidRDefault="00A143C1" w:rsidP="00880C6A">
      <w:pPr>
        <w:shd w:val="clear" w:color="auto" w:fill="FFFFFF"/>
        <w:ind w:left="-567"/>
        <w:jc w:val="both"/>
        <w:rPr>
          <w:color w:val="000000"/>
        </w:rPr>
      </w:pPr>
      <w:r w:rsidRPr="007B60BF">
        <w:rPr>
          <w:color w:val="000000"/>
        </w:rPr>
        <w:t>A pesquisa é</w:t>
      </w:r>
      <w:r w:rsidR="00C95EE0" w:rsidRPr="007B60BF">
        <w:rPr>
          <w:color w:val="000000"/>
        </w:rPr>
        <w:t xml:space="preserve"> um dos eixos de atuação do HCPA e tem como principal objetivo produzir conhecimento em saúde. As atividades </w:t>
      </w:r>
      <w:r w:rsidR="00880C6A">
        <w:rPr>
          <w:color w:val="000000"/>
        </w:rPr>
        <w:t xml:space="preserve">desenvolvidas contribuem para </w:t>
      </w:r>
      <w:r w:rsidR="00C95EE0" w:rsidRPr="00880C6A">
        <w:rPr>
          <w:color w:val="000000"/>
        </w:rPr>
        <w:t>o desenvolvimento de novos processos, novas técnicas e tecnologias para prevenção, diagnóstico e tratamento de doenças, com ênfase nas enfermidades predominantes na população brasileira;</w:t>
      </w:r>
      <w:r w:rsidR="00880C6A">
        <w:rPr>
          <w:color w:val="000000"/>
        </w:rPr>
        <w:t xml:space="preserve"> </w:t>
      </w:r>
      <w:r w:rsidR="00C95EE0" w:rsidRPr="00880C6A">
        <w:rPr>
          <w:color w:val="000000"/>
        </w:rPr>
        <w:t xml:space="preserve">o estabelecimento de políticas e diretrizes de saúde pública no </w:t>
      </w:r>
      <w:r w:rsidR="008F1512" w:rsidRPr="00880C6A">
        <w:rPr>
          <w:color w:val="000000"/>
        </w:rPr>
        <w:t>país; a</w:t>
      </w:r>
      <w:r w:rsidR="00C95EE0" w:rsidRPr="00880C6A">
        <w:rPr>
          <w:color w:val="000000"/>
        </w:rPr>
        <w:t xml:space="preserve"> formação de recursos humanos, por meio de projetos </w:t>
      </w:r>
      <w:r w:rsidR="00C95EE0" w:rsidRPr="00880C6A">
        <w:rPr>
          <w:color w:val="000000"/>
        </w:rPr>
        <w:lastRenderedPageBreak/>
        <w:t>de pesquisa de alunos de graduação e pós-graduação da UFRGS e das especializações e mestrados do HCPA, que realizam suas investigações em laboratórios temáticos e áreas compartilhadas de pesquisa do hospital.</w:t>
      </w:r>
    </w:p>
    <w:p w14:paraId="4BBBB45B" w14:textId="77777777" w:rsidR="00A676C4" w:rsidRPr="007B60BF" w:rsidRDefault="00A676C4" w:rsidP="00A676C4">
      <w:pPr>
        <w:pStyle w:val="PargrafodaLista"/>
        <w:shd w:val="clear" w:color="auto" w:fill="FFFFFF"/>
        <w:ind w:left="153"/>
        <w:jc w:val="both"/>
        <w:rPr>
          <w:color w:val="000000"/>
          <w:sz w:val="16"/>
          <w:szCs w:val="16"/>
        </w:rPr>
      </w:pPr>
    </w:p>
    <w:p w14:paraId="5962D966" w14:textId="5DD22F6C" w:rsidR="00C95EE0" w:rsidRPr="007B60BF" w:rsidRDefault="00C95EE0" w:rsidP="00B06CB0">
      <w:pPr>
        <w:shd w:val="clear" w:color="auto" w:fill="FFFFFF"/>
        <w:ind w:left="-567"/>
        <w:jc w:val="both"/>
        <w:rPr>
          <w:color w:val="000000"/>
        </w:rPr>
      </w:pPr>
      <w:r w:rsidRPr="007B60BF">
        <w:rPr>
          <w:color w:val="000000"/>
        </w:rPr>
        <w:t>Na área d</w:t>
      </w:r>
      <w:r w:rsidR="00A676C4" w:rsidRPr="007B60BF">
        <w:rPr>
          <w:color w:val="000000"/>
        </w:rPr>
        <w:t>a pesquisa</w:t>
      </w:r>
      <w:r w:rsidRPr="007B60BF">
        <w:rPr>
          <w:color w:val="000000"/>
        </w:rPr>
        <w:t xml:space="preserve"> atuam 693 doutores (365 contratados). Em 2025, foram realizadas 2,3 mil consultorias, 718 novos projetos avaliados e 1.032 artigos científicos publicados. O HCPA sedia oito Institutos Nacionais de Ciência e Tecnologia (INCT), grandes projetos d</w:t>
      </w:r>
      <w:r w:rsidR="0072268A">
        <w:rPr>
          <w:color w:val="000000"/>
        </w:rPr>
        <w:t>e rede de cooperação científica.</w:t>
      </w:r>
    </w:p>
    <w:p w14:paraId="16C1E477" w14:textId="77777777" w:rsidR="00B06CB0" w:rsidRPr="007B60BF" w:rsidRDefault="00B06CB0" w:rsidP="00B06CB0">
      <w:pPr>
        <w:shd w:val="clear" w:color="auto" w:fill="FFFFFF"/>
        <w:ind w:left="-567"/>
        <w:jc w:val="both"/>
        <w:rPr>
          <w:color w:val="000000"/>
          <w:sz w:val="16"/>
          <w:szCs w:val="16"/>
        </w:rPr>
      </w:pPr>
    </w:p>
    <w:p w14:paraId="1198DF37" w14:textId="6164CF36" w:rsidR="00C95EE0" w:rsidRPr="007B60BF" w:rsidRDefault="00C95EE0" w:rsidP="00B06CB0">
      <w:pPr>
        <w:shd w:val="clear" w:color="auto" w:fill="FFFFFF"/>
        <w:ind w:left="-567"/>
        <w:jc w:val="both"/>
        <w:rPr>
          <w:b/>
          <w:color w:val="000000"/>
        </w:rPr>
      </w:pPr>
      <w:r w:rsidRPr="007B60BF">
        <w:rPr>
          <w:b/>
          <w:color w:val="000000"/>
        </w:rPr>
        <w:t>Inovação</w:t>
      </w:r>
    </w:p>
    <w:p w14:paraId="736E31A4" w14:textId="77777777" w:rsidR="00A676C4" w:rsidRPr="007B60BF" w:rsidRDefault="00A676C4" w:rsidP="00B06CB0">
      <w:pPr>
        <w:shd w:val="clear" w:color="auto" w:fill="FFFFFF"/>
        <w:ind w:left="-567"/>
        <w:jc w:val="both"/>
        <w:rPr>
          <w:b/>
          <w:color w:val="000000"/>
          <w:sz w:val="16"/>
          <w:szCs w:val="16"/>
        </w:rPr>
      </w:pPr>
    </w:p>
    <w:p w14:paraId="48A00FB4" w14:textId="25BE2C18" w:rsidR="00C95EE0" w:rsidRPr="007B60BF" w:rsidRDefault="00C95EE0" w:rsidP="00A676C4">
      <w:pPr>
        <w:shd w:val="clear" w:color="auto" w:fill="FFFFFF"/>
        <w:ind w:left="-567"/>
        <w:jc w:val="both"/>
        <w:rPr>
          <w:color w:val="000000"/>
        </w:rPr>
      </w:pPr>
      <w:r w:rsidRPr="007B60BF">
        <w:rPr>
          <w:color w:val="000000"/>
        </w:rPr>
        <w:t>A inovação é entendida não apenas como resultado, mas como prática cotidiana, estimulada em toda a comunidade interna por meio de ações que promovem criatividade, colaboração e transformação do</w:t>
      </w:r>
      <w:r w:rsidR="00A676C4" w:rsidRPr="007B60BF">
        <w:rPr>
          <w:color w:val="000000"/>
        </w:rPr>
        <w:t xml:space="preserve"> conhecimento em impacto social. </w:t>
      </w:r>
      <w:r w:rsidRPr="007B60BF">
        <w:rPr>
          <w:color w:val="000000"/>
        </w:rPr>
        <w:t>O Núcleo de Inovação e Transferência de Tecnologia (Nitt) desempenha papel central nesse processo, atuando como agente articulador das interações que compõem</w:t>
      </w:r>
      <w:r w:rsidR="00A676C4" w:rsidRPr="007B60BF">
        <w:rPr>
          <w:color w:val="000000"/>
        </w:rPr>
        <w:t xml:space="preserve"> a tríplice hélice da inovaçã</w:t>
      </w:r>
      <w:r w:rsidR="00880C6A">
        <w:rPr>
          <w:color w:val="000000"/>
        </w:rPr>
        <w:t>o (</w:t>
      </w:r>
      <w:r w:rsidRPr="007B60BF">
        <w:rPr>
          <w:color w:val="000000"/>
        </w:rPr>
        <w:t>academia, empresas e governo</w:t>
      </w:r>
      <w:r w:rsidR="00880C6A">
        <w:rPr>
          <w:color w:val="000000"/>
        </w:rPr>
        <w:t xml:space="preserve">), e contribuindo </w:t>
      </w:r>
      <w:r w:rsidRPr="007B60BF">
        <w:rPr>
          <w:color w:val="000000"/>
        </w:rPr>
        <w:t>para que pesquisas, ideias e soluções desenvolvidas no ambiente hospitalar possam ser estruturadas, validadas e transferidas à sociedade.</w:t>
      </w:r>
    </w:p>
    <w:p w14:paraId="29660153" w14:textId="77777777" w:rsidR="00A676C4" w:rsidRPr="007B60BF" w:rsidRDefault="00A676C4" w:rsidP="00A676C4">
      <w:pPr>
        <w:shd w:val="clear" w:color="auto" w:fill="FFFFFF"/>
        <w:ind w:left="-567"/>
        <w:jc w:val="both"/>
        <w:rPr>
          <w:color w:val="000000"/>
          <w:sz w:val="16"/>
          <w:szCs w:val="16"/>
        </w:rPr>
      </w:pPr>
    </w:p>
    <w:p w14:paraId="41147455" w14:textId="3EB206D2" w:rsidR="00C95EE0" w:rsidRPr="007B60BF" w:rsidRDefault="00C95EE0" w:rsidP="00A676C4">
      <w:pPr>
        <w:shd w:val="clear" w:color="auto" w:fill="FFFFFF"/>
        <w:ind w:left="-567"/>
        <w:jc w:val="both"/>
        <w:rPr>
          <w:color w:val="000000"/>
        </w:rPr>
      </w:pPr>
      <w:r w:rsidRPr="007B60BF">
        <w:rPr>
          <w:color w:val="000000"/>
        </w:rPr>
        <w:t>A inovação avançou com a obra do Parque Tecnológico e de Inovação em Saúde (</w:t>
      </w:r>
      <w:r w:rsidR="00A676C4" w:rsidRPr="007B60BF">
        <w:rPr>
          <w:color w:val="000000"/>
        </w:rPr>
        <w:t xml:space="preserve">a ser </w:t>
      </w:r>
      <w:r w:rsidRPr="007B60BF">
        <w:rPr>
          <w:color w:val="000000"/>
        </w:rPr>
        <w:t>inaugura</w:t>
      </w:r>
      <w:r w:rsidR="00A676C4" w:rsidRPr="007B60BF">
        <w:rPr>
          <w:color w:val="000000"/>
        </w:rPr>
        <w:t>do</w:t>
      </w:r>
      <w:r w:rsidR="00880C6A">
        <w:rPr>
          <w:color w:val="000000"/>
        </w:rPr>
        <w:t xml:space="preserve"> em março/2026), o qual </w:t>
      </w:r>
      <w:r w:rsidRPr="007B60BF">
        <w:rPr>
          <w:color w:val="000000"/>
        </w:rPr>
        <w:t>representa um centro de inovação capaz de gerar projetos e entregas que beneficiarão tanto a estrutura de saúde do país quanto a experiência dos pacientes. </w:t>
      </w:r>
    </w:p>
    <w:p w14:paraId="48BFC4E8" w14:textId="77777777" w:rsidR="00C95EE0" w:rsidRPr="007B60BF" w:rsidRDefault="00C95EE0" w:rsidP="00C95EE0">
      <w:pPr>
        <w:rPr>
          <w:sz w:val="16"/>
          <w:szCs w:val="16"/>
        </w:rPr>
      </w:pPr>
    </w:p>
    <w:p w14:paraId="7FF1E4EC" w14:textId="094A546E" w:rsidR="00C95EE0" w:rsidRPr="007B60BF" w:rsidRDefault="00C95EE0" w:rsidP="00B06CB0">
      <w:pPr>
        <w:shd w:val="clear" w:color="auto" w:fill="FFFFFF"/>
        <w:ind w:left="-567"/>
        <w:jc w:val="both"/>
        <w:rPr>
          <w:b/>
          <w:color w:val="000000"/>
        </w:rPr>
      </w:pPr>
      <w:r w:rsidRPr="007B60BF">
        <w:rPr>
          <w:b/>
          <w:color w:val="000000"/>
        </w:rPr>
        <w:t>Sustentabilidade e gestão (ESG)</w:t>
      </w:r>
    </w:p>
    <w:p w14:paraId="0395AB93" w14:textId="77777777" w:rsidR="00B06CB0" w:rsidRPr="007B60BF" w:rsidRDefault="00B06CB0" w:rsidP="00B06CB0">
      <w:pPr>
        <w:shd w:val="clear" w:color="auto" w:fill="FFFFFF"/>
        <w:ind w:left="-567"/>
        <w:jc w:val="both"/>
        <w:rPr>
          <w:b/>
          <w:color w:val="000000"/>
          <w:sz w:val="16"/>
          <w:szCs w:val="16"/>
        </w:rPr>
      </w:pPr>
    </w:p>
    <w:p w14:paraId="7DE84078" w14:textId="6671C6E0" w:rsidR="00C95EE0" w:rsidRPr="007B60BF" w:rsidRDefault="00C95EE0" w:rsidP="00B06CB0">
      <w:pPr>
        <w:shd w:val="clear" w:color="auto" w:fill="FFFFFF"/>
        <w:ind w:left="-567"/>
        <w:jc w:val="both"/>
        <w:rPr>
          <w:color w:val="000000"/>
        </w:rPr>
      </w:pPr>
      <w:r w:rsidRPr="007B60BF">
        <w:rPr>
          <w:color w:val="000000"/>
        </w:rPr>
        <w:t>Na revisão do planejamento estratégico 2025-2028, a sustentabilidade foi el</w:t>
      </w:r>
      <w:r w:rsidR="00880C6A">
        <w:rPr>
          <w:color w:val="000000"/>
        </w:rPr>
        <w:t>encada como valor institucional.</w:t>
      </w:r>
    </w:p>
    <w:p w14:paraId="248EDB0C" w14:textId="77777777" w:rsidR="00B06CB0" w:rsidRPr="007B60BF" w:rsidRDefault="00B06CB0" w:rsidP="00B06CB0">
      <w:pPr>
        <w:shd w:val="clear" w:color="auto" w:fill="FFFFFF"/>
        <w:ind w:left="-567"/>
        <w:jc w:val="both"/>
        <w:rPr>
          <w:color w:val="000000"/>
          <w:sz w:val="16"/>
          <w:szCs w:val="16"/>
        </w:rPr>
      </w:pPr>
    </w:p>
    <w:p w14:paraId="51FE3CD8" w14:textId="01DBB1E5" w:rsidR="00C95EE0" w:rsidRDefault="00C95EE0" w:rsidP="00A676C4">
      <w:pPr>
        <w:pStyle w:val="PargrafodaLista"/>
        <w:numPr>
          <w:ilvl w:val="0"/>
          <w:numId w:val="14"/>
        </w:numPr>
        <w:shd w:val="clear" w:color="auto" w:fill="FFFFFF"/>
        <w:ind w:left="-142"/>
        <w:jc w:val="both"/>
        <w:rPr>
          <w:color w:val="000000"/>
        </w:rPr>
      </w:pPr>
      <w:r w:rsidRPr="007B60BF">
        <w:rPr>
          <w:b/>
          <w:color w:val="000000"/>
        </w:rPr>
        <w:t>Ambiental:</w:t>
      </w:r>
      <w:r w:rsidRPr="007B60BF">
        <w:rPr>
          <w:color w:val="000000"/>
        </w:rPr>
        <w:t xml:space="preserve"> adesão ao mercado livre de energia (economia de R$ 2,8 milhões) e obtenção do certificado internacional I-REC (100% energia renovável), evitando a emissão de 1.2</w:t>
      </w:r>
      <w:r w:rsidR="00880C6A">
        <w:rPr>
          <w:color w:val="000000"/>
        </w:rPr>
        <w:t>63 toneladas de CO2.</w:t>
      </w:r>
    </w:p>
    <w:p w14:paraId="372D16ED" w14:textId="255F0D73" w:rsidR="00880C6A" w:rsidRPr="00880C6A" w:rsidRDefault="00880C6A" w:rsidP="00880C6A">
      <w:pPr>
        <w:pStyle w:val="PargrafodaLista"/>
        <w:numPr>
          <w:ilvl w:val="0"/>
          <w:numId w:val="14"/>
        </w:numPr>
        <w:shd w:val="clear" w:color="auto" w:fill="FFFFFF"/>
        <w:ind w:left="-142"/>
        <w:jc w:val="both"/>
        <w:rPr>
          <w:color w:val="000000"/>
        </w:rPr>
      </w:pPr>
      <w:r w:rsidRPr="007B60BF">
        <w:rPr>
          <w:b/>
          <w:color w:val="000000"/>
        </w:rPr>
        <w:t xml:space="preserve">Social: </w:t>
      </w:r>
      <w:r w:rsidRPr="007B60BF">
        <w:rPr>
          <w:color w:val="000000"/>
        </w:rPr>
        <w:t>a atuação do HCPA é guiada por um forte compromisso com a sustentabilidade social, refletido em seu propósito: vi</w:t>
      </w:r>
      <w:r>
        <w:rPr>
          <w:color w:val="000000"/>
        </w:rPr>
        <w:t>das fazendo mais pela vida. O</w:t>
      </w:r>
      <w:r w:rsidRPr="007B60BF">
        <w:rPr>
          <w:color w:val="000000"/>
        </w:rPr>
        <w:t xml:space="preserve"> compromisso se revela no cuidado humanizado, no ensino que forma profissionais alinhados aos valores institucionais e na pesquisa que retorna à sociedade em forma de conhecimento, inovação e impacto positivo para a sociedade.</w:t>
      </w:r>
    </w:p>
    <w:p w14:paraId="2171110C" w14:textId="3EAE13AF" w:rsidR="00C95EE0" w:rsidRPr="007B60BF" w:rsidRDefault="00C95EE0" w:rsidP="00A676C4">
      <w:pPr>
        <w:pStyle w:val="PargrafodaLista"/>
        <w:numPr>
          <w:ilvl w:val="0"/>
          <w:numId w:val="14"/>
        </w:numPr>
        <w:shd w:val="clear" w:color="auto" w:fill="FFFFFF"/>
        <w:ind w:left="-142"/>
        <w:jc w:val="both"/>
        <w:rPr>
          <w:color w:val="000000"/>
        </w:rPr>
      </w:pPr>
      <w:r w:rsidRPr="007B60BF">
        <w:rPr>
          <w:b/>
          <w:color w:val="000000"/>
        </w:rPr>
        <w:t xml:space="preserve">Financeira:  </w:t>
      </w:r>
      <w:r w:rsidRPr="007B60BF">
        <w:rPr>
          <w:color w:val="000000"/>
        </w:rPr>
        <w:t>o aspecto econômico-financeiro da sustentabilidade é compreendido como o pilar que viabiliza a excelência no ensino, na pesquisa e na assistência à saúde. A gestão financeira não se limita ao equilíbrio de contas, mas foca na eficiência operacional e na responsabilidade fiscal, garantindo que cada recurso público investido retorne à sociedade na forma de serviços de alta compl</w:t>
      </w:r>
      <w:r w:rsidR="00880C6A">
        <w:rPr>
          <w:color w:val="000000"/>
        </w:rPr>
        <w:t>exidade e inovação tecnológica.</w:t>
      </w:r>
    </w:p>
    <w:p w14:paraId="743701EF" w14:textId="77777777" w:rsidR="00B06CB0" w:rsidRPr="00582422" w:rsidRDefault="00B06CB0" w:rsidP="00B06CB0">
      <w:pPr>
        <w:shd w:val="clear" w:color="auto" w:fill="FFFFFF"/>
        <w:ind w:left="-567"/>
        <w:jc w:val="both"/>
        <w:rPr>
          <w:color w:val="000000"/>
          <w:sz w:val="16"/>
          <w:szCs w:val="16"/>
        </w:rPr>
      </w:pPr>
    </w:p>
    <w:p w14:paraId="04729351" w14:textId="0533800A" w:rsidR="00C95EE0" w:rsidRPr="007B60BF" w:rsidRDefault="00C95EE0" w:rsidP="00B06CB0">
      <w:pPr>
        <w:shd w:val="clear" w:color="auto" w:fill="FFFFFF"/>
        <w:ind w:left="-567"/>
        <w:jc w:val="both"/>
        <w:rPr>
          <w:b/>
          <w:color w:val="000000"/>
        </w:rPr>
      </w:pPr>
      <w:r w:rsidRPr="007B60BF">
        <w:rPr>
          <w:b/>
          <w:color w:val="000000"/>
        </w:rPr>
        <w:t>Nossa gente</w:t>
      </w:r>
    </w:p>
    <w:p w14:paraId="23C3A7F2" w14:textId="77777777" w:rsidR="00B06CB0" w:rsidRPr="007B60BF" w:rsidRDefault="00B06CB0" w:rsidP="00B06CB0">
      <w:pPr>
        <w:shd w:val="clear" w:color="auto" w:fill="FFFFFF"/>
        <w:ind w:left="-567"/>
        <w:jc w:val="both"/>
        <w:rPr>
          <w:b/>
          <w:color w:val="000000"/>
          <w:sz w:val="16"/>
          <w:szCs w:val="16"/>
        </w:rPr>
      </w:pPr>
    </w:p>
    <w:p w14:paraId="3A8A4B9D" w14:textId="284C1D84" w:rsidR="00C95EE0" w:rsidRPr="007B60BF" w:rsidRDefault="00C95EE0" w:rsidP="00B06CB0">
      <w:pPr>
        <w:shd w:val="clear" w:color="auto" w:fill="FFFFFF"/>
        <w:ind w:left="-567"/>
        <w:jc w:val="both"/>
        <w:rPr>
          <w:color w:val="000000"/>
        </w:rPr>
      </w:pPr>
      <w:r w:rsidRPr="007B60BF">
        <w:rPr>
          <w:color w:val="000000"/>
        </w:rPr>
        <w:t xml:space="preserve">Em 2025, </w:t>
      </w:r>
      <w:r w:rsidRPr="002D0CA1">
        <w:rPr>
          <w:color w:val="000000"/>
        </w:rPr>
        <w:t>a comunidade interna somou 12,1 mil pessoas. O ano foi marcado pela revisão da ocupação dos blocos B e C, totalizando 7.373 funcionários celetistas, 1.878 alunos de graduação, 1.652 estagiários, 536 professores e 721 residentes que reúnem saberes, trajetórias e experiências diversas e atuam de forma integrada para colocar em prática os valores da instituição e viabilizar a evolução do cuidado, do ensino</w:t>
      </w:r>
      <w:r w:rsidRPr="007B60BF">
        <w:rPr>
          <w:color w:val="000000"/>
        </w:rPr>
        <w:t xml:space="preserve"> e da pesquisa.</w:t>
      </w:r>
    </w:p>
    <w:p w14:paraId="7B84BDCD" w14:textId="77777777" w:rsidR="00A676C4" w:rsidRPr="007B60BF" w:rsidRDefault="00A676C4" w:rsidP="00B06CB0">
      <w:pPr>
        <w:shd w:val="clear" w:color="auto" w:fill="FFFFFF"/>
        <w:ind w:left="-567"/>
        <w:jc w:val="both"/>
        <w:rPr>
          <w:color w:val="000000"/>
          <w:sz w:val="16"/>
          <w:szCs w:val="16"/>
        </w:rPr>
      </w:pPr>
    </w:p>
    <w:p w14:paraId="78B4084B" w14:textId="59851530" w:rsidR="00644F8A" w:rsidRDefault="00C95EE0" w:rsidP="00644F8A">
      <w:pPr>
        <w:shd w:val="clear" w:color="auto" w:fill="FFFFFF"/>
        <w:ind w:left="-567"/>
        <w:jc w:val="both"/>
      </w:pPr>
      <w:r w:rsidRPr="0091220C">
        <w:t>O quadro de pessoal do HCPA é formad</w:t>
      </w:r>
      <w:r w:rsidR="00A676C4" w:rsidRPr="0091220C">
        <w:t>o, em sua maioria, por mulheres, as quais</w:t>
      </w:r>
      <w:r w:rsidR="00582422">
        <w:t xml:space="preserve"> ocupam 72</w:t>
      </w:r>
      <w:r w:rsidRPr="0091220C">
        <w:t xml:space="preserve">% dos postos em diferentes profissões e funções. Em cargos gerenciais, a predominância do sexo feminino é de </w:t>
      </w:r>
      <w:r w:rsidR="009535F9">
        <w:t>63</w:t>
      </w:r>
      <w:r w:rsidRPr="0091220C">
        <w:t>%.</w:t>
      </w:r>
    </w:p>
    <w:p w14:paraId="72315714" w14:textId="6D76B9CE" w:rsidR="003623FB" w:rsidRPr="00582422" w:rsidRDefault="003623FB" w:rsidP="00644F8A">
      <w:pPr>
        <w:shd w:val="clear" w:color="auto" w:fill="FFFFFF"/>
        <w:ind w:left="-567"/>
        <w:jc w:val="both"/>
        <w:rPr>
          <w:sz w:val="16"/>
          <w:szCs w:val="16"/>
        </w:rPr>
      </w:pPr>
      <w:bookmarkStart w:id="6" w:name="_GoBack"/>
      <w:bookmarkEnd w:id="6"/>
    </w:p>
    <w:p w14:paraId="6BDF5CA4" w14:textId="672742CC" w:rsidR="003D462D" w:rsidRPr="0091220C" w:rsidRDefault="00393CC4" w:rsidP="00644F8A">
      <w:pPr>
        <w:shd w:val="clear" w:color="auto" w:fill="FFFFFF"/>
        <w:ind w:left="-567"/>
        <w:jc w:val="both"/>
        <w:rPr>
          <w:rFonts w:ascii="Aptos" w:hAnsi="Aptos" w:cs="Arial"/>
          <w:highlight w:val="yellow"/>
        </w:rPr>
      </w:pPr>
      <w:r>
        <w:rPr>
          <w:bCs/>
        </w:rPr>
        <w:t>a) Q</w:t>
      </w:r>
      <w:r w:rsidR="003D462D" w:rsidRPr="0091220C">
        <w:rPr>
          <w:bCs/>
        </w:rPr>
        <w:t xml:space="preserve">uantidade e proporção de </w:t>
      </w:r>
      <w:r w:rsidR="00E023CE">
        <w:rPr>
          <w:bCs/>
        </w:rPr>
        <w:t>mulheres contratadas, por nível hierárquico</w:t>
      </w:r>
      <w:r w:rsidR="0091220C">
        <w:rPr>
          <w:bCs/>
        </w:rPr>
        <w:t>:</w:t>
      </w:r>
    </w:p>
    <w:p w14:paraId="5E1F7B17" w14:textId="3AE36B54" w:rsidR="003D462D" w:rsidRPr="00582422" w:rsidRDefault="003D462D" w:rsidP="00644F8A">
      <w:pPr>
        <w:shd w:val="clear" w:color="auto" w:fill="FFFFFF"/>
        <w:ind w:left="-567"/>
        <w:jc w:val="both"/>
        <w:rPr>
          <w:rFonts w:ascii="Aptos" w:hAnsi="Aptos" w:cs="Arial"/>
          <w:sz w:val="16"/>
          <w:szCs w:val="16"/>
          <w:highlight w:val="yellow"/>
        </w:rPr>
      </w:pPr>
    </w:p>
    <w:tbl>
      <w:tblPr>
        <w:tblW w:w="6989" w:type="dxa"/>
        <w:tblInd w:w="704" w:type="dxa"/>
        <w:tblCellMar>
          <w:left w:w="0" w:type="dxa"/>
          <w:right w:w="0" w:type="dxa"/>
        </w:tblCellMar>
        <w:tblLook w:val="04A0" w:firstRow="1" w:lastRow="0" w:firstColumn="1" w:lastColumn="0" w:noHBand="0" w:noVBand="1"/>
      </w:tblPr>
      <w:tblGrid>
        <w:gridCol w:w="2211"/>
        <w:gridCol w:w="851"/>
        <w:gridCol w:w="907"/>
        <w:gridCol w:w="1275"/>
        <w:gridCol w:w="1734"/>
        <w:gridCol w:w="11"/>
      </w:tblGrid>
      <w:tr w:rsidR="00374747" w:rsidRPr="00CD78AA" w14:paraId="154AD27A" w14:textId="77777777" w:rsidTr="009535F9">
        <w:trPr>
          <w:trHeight w:val="164"/>
        </w:trPr>
        <w:tc>
          <w:tcPr>
            <w:tcW w:w="2211"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DA3312A" w14:textId="28E5091B" w:rsidR="00374747" w:rsidRPr="00CD78AA" w:rsidRDefault="00374747" w:rsidP="003623FB">
            <w:pPr>
              <w:jc w:val="center"/>
              <w:rPr>
                <w:b/>
                <w:bCs/>
              </w:rPr>
            </w:pPr>
            <w:r w:rsidRPr="00CD78AA">
              <w:rPr>
                <w:b/>
                <w:bCs/>
              </w:rPr>
              <w:t>Nível Hierárquico</w:t>
            </w:r>
          </w:p>
        </w:tc>
        <w:tc>
          <w:tcPr>
            <w:tcW w:w="1758" w:type="dxa"/>
            <w:gridSpan w:val="2"/>
            <w:tcBorders>
              <w:top w:val="single" w:sz="4" w:space="0" w:color="auto"/>
              <w:left w:val="nil"/>
              <w:bottom w:val="single" w:sz="4" w:space="0" w:color="auto"/>
              <w:right w:val="single" w:sz="4" w:space="0" w:color="auto"/>
            </w:tcBorders>
            <w:vAlign w:val="center"/>
          </w:tcPr>
          <w:p w14:paraId="03482F01" w14:textId="59BC5819" w:rsidR="00374747" w:rsidRPr="00CD78AA" w:rsidRDefault="00374747" w:rsidP="003623FB">
            <w:pPr>
              <w:jc w:val="center"/>
              <w:rPr>
                <w:b/>
                <w:bCs/>
              </w:rPr>
            </w:pPr>
            <w:r w:rsidRPr="00CD78AA">
              <w:rPr>
                <w:b/>
                <w:bCs/>
              </w:rPr>
              <w:t>Quantidade de Mulheres</w:t>
            </w:r>
          </w:p>
        </w:tc>
        <w:tc>
          <w:tcPr>
            <w:tcW w:w="1275" w:type="dxa"/>
            <w:vMerge w:val="restart"/>
            <w:tcBorders>
              <w:top w:val="single" w:sz="4" w:space="0" w:color="auto"/>
              <w:left w:val="nil"/>
              <w:right w:val="single" w:sz="4" w:space="0" w:color="auto"/>
            </w:tcBorders>
            <w:vAlign w:val="center"/>
          </w:tcPr>
          <w:p w14:paraId="3CD09B34" w14:textId="2EF4B8F1" w:rsidR="00374747" w:rsidRPr="00CD78AA" w:rsidRDefault="00374747" w:rsidP="003623FB">
            <w:pPr>
              <w:jc w:val="center"/>
              <w:rPr>
                <w:b/>
              </w:rPr>
            </w:pPr>
            <w:r w:rsidRPr="00CD78AA">
              <w:rPr>
                <w:b/>
              </w:rPr>
              <w:t>Evolução</w:t>
            </w:r>
          </w:p>
          <w:p w14:paraId="570E661B" w14:textId="6C55A876" w:rsidR="00374747" w:rsidRPr="00CD78AA" w:rsidRDefault="00374747" w:rsidP="003623FB">
            <w:pPr>
              <w:jc w:val="center"/>
              <w:rPr>
                <w:b/>
                <w:bCs/>
              </w:rPr>
            </w:pPr>
            <w:r w:rsidRPr="00CD78AA">
              <w:rPr>
                <w:b/>
              </w:rPr>
              <w:t>(%)</w:t>
            </w:r>
          </w:p>
        </w:tc>
        <w:tc>
          <w:tcPr>
            <w:tcW w:w="173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33FFBAE" w14:textId="3B24A37D" w:rsidR="00374747" w:rsidRPr="00CD78AA" w:rsidRDefault="00374747" w:rsidP="003623FB">
            <w:pPr>
              <w:jc w:val="center"/>
              <w:rPr>
                <w:b/>
                <w:bCs/>
              </w:rPr>
            </w:pPr>
            <w:r w:rsidRPr="00CD78AA">
              <w:rPr>
                <w:b/>
                <w:bCs/>
              </w:rPr>
              <w:t>Representatividade em 2025</w:t>
            </w:r>
          </w:p>
        </w:tc>
        <w:tc>
          <w:tcPr>
            <w:tcW w:w="0" w:type="auto"/>
            <w:tcBorders>
              <w:top w:val="single" w:sz="4" w:space="0" w:color="auto"/>
              <w:left w:val="nil"/>
              <w:bottom w:val="nil"/>
              <w:right w:val="nil"/>
            </w:tcBorders>
          </w:tcPr>
          <w:p w14:paraId="50ADFBEB" w14:textId="77777777" w:rsidR="00374747" w:rsidRPr="00CD78AA" w:rsidRDefault="00374747" w:rsidP="003623FB">
            <w:pPr>
              <w:jc w:val="center"/>
              <w:rPr>
                <w:rFonts w:ascii="Arial" w:hAnsi="Arial" w:cs="Arial"/>
                <w:b/>
                <w:bCs/>
              </w:rPr>
            </w:pPr>
          </w:p>
        </w:tc>
      </w:tr>
      <w:tr w:rsidR="00374747" w:rsidRPr="00CD78AA" w14:paraId="26FA3F10" w14:textId="77777777" w:rsidTr="009535F9">
        <w:trPr>
          <w:trHeight w:val="256"/>
        </w:trPr>
        <w:tc>
          <w:tcPr>
            <w:tcW w:w="2211"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F3B5E" w14:textId="49464C2C" w:rsidR="00374747" w:rsidRPr="00CD78AA" w:rsidRDefault="00374747" w:rsidP="003623FB">
            <w:pPr>
              <w:jc w:val="center"/>
              <w:rPr>
                <w:b/>
                <w:bCs/>
              </w:rPr>
            </w:pPr>
          </w:p>
        </w:tc>
        <w:tc>
          <w:tcPr>
            <w:tcW w:w="851" w:type="dxa"/>
            <w:tcBorders>
              <w:top w:val="single" w:sz="4" w:space="0" w:color="auto"/>
              <w:left w:val="nil"/>
              <w:bottom w:val="single" w:sz="4" w:space="0" w:color="auto"/>
              <w:right w:val="single" w:sz="4" w:space="0" w:color="auto"/>
            </w:tcBorders>
            <w:vAlign w:val="center"/>
          </w:tcPr>
          <w:p w14:paraId="1CCC9D1D" w14:textId="709D04EC" w:rsidR="00374747" w:rsidRPr="00CD78AA" w:rsidRDefault="00374747" w:rsidP="003623FB">
            <w:pPr>
              <w:jc w:val="center"/>
              <w:rPr>
                <w:b/>
                <w:bCs/>
              </w:rPr>
            </w:pPr>
            <w:r w:rsidRPr="00CD78AA">
              <w:rPr>
                <w:b/>
                <w:bCs/>
              </w:rPr>
              <w:t>2024</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5467D" w14:textId="7AD81A14" w:rsidR="00374747" w:rsidRPr="00CD78AA" w:rsidRDefault="00374747" w:rsidP="003623FB">
            <w:pPr>
              <w:jc w:val="center"/>
              <w:rPr>
                <w:b/>
                <w:bCs/>
              </w:rPr>
            </w:pPr>
            <w:r w:rsidRPr="00CD78AA">
              <w:rPr>
                <w:b/>
                <w:bCs/>
              </w:rPr>
              <w:t>2025</w:t>
            </w:r>
          </w:p>
        </w:tc>
        <w:tc>
          <w:tcPr>
            <w:tcW w:w="1275" w:type="dxa"/>
            <w:vMerge/>
            <w:tcBorders>
              <w:left w:val="nil"/>
              <w:bottom w:val="single" w:sz="4" w:space="0" w:color="auto"/>
              <w:right w:val="single" w:sz="4" w:space="0" w:color="auto"/>
            </w:tcBorders>
          </w:tcPr>
          <w:p w14:paraId="0A137FC3" w14:textId="01DB3230" w:rsidR="00374747" w:rsidRPr="00CD78AA" w:rsidRDefault="00374747" w:rsidP="003623FB">
            <w:pPr>
              <w:jc w:val="center"/>
              <w:rPr>
                <w:b/>
                <w:bCs/>
              </w:rPr>
            </w:pPr>
          </w:p>
        </w:tc>
        <w:tc>
          <w:tcPr>
            <w:tcW w:w="1734"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DEBDE" w14:textId="2771139C" w:rsidR="00374747" w:rsidRPr="00CD78AA" w:rsidRDefault="00374747" w:rsidP="003623FB">
            <w:pPr>
              <w:jc w:val="center"/>
              <w:rPr>
                <w:b/>
                <w:bCs/>
              </w:rPr>
            </w:pPr>
          </w:p>
        </w:tc>
        <w:tc>
          <w:tcPr>
            <w:tcW w:w="0" w:type="auto"/>
            <w:tcBorders>
              <w:top w:val="nil"/>
              <w:left w:val="nil"/>
              <w:bottom w:val="nil"/>
              <w:right w:val="nil"/>
            </w:tcBorders>
          </w:tcPr>
          <w:p w14:paraId="2C61FBA8" w14:textId="77777777" w:rsidR="00374747" w:rsidRPr="00CD78AA" w:rsidRDefault="00374747" w:rsidP="003623FB">
            <w:pPr>
              <w:jc w:val="center"/>
              <w:rPr>
                <w:rFonts w:ascii="Arial" w:hAnsi="Arial" w:cs="Arial"/>
                <w:b/>
                <w:bCs/>
              </w:rPr>
            </w:pPr>
          </w:p>
        </w:tc>
      </w:tr>
      <w:tr w:rsidR="00374747" w:rsidRPr="00CD78AA" w14:paraId="39819423"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21071" w14:textId="7B01E3DA" w:rsidR="00374747" w:rsidRPr="00CD78AA" w:rsidRDefault="00374747" w:rsidP="003623FB">
            <w:r w:rsidRPr="00CD78AA">
              <w:t>Coordenadoria</w:t>
            </w:r>
          </w:p>
        </w:tc>
        <w:tc>
          <w:tcPr>
            <w:tcW w:w="851" w:type="dxa"/>
            <w:tcBorders>
              <w:top w:val="single" w:sz="4" w:space="0" w:color="auto"/>
              <w:left w:val="nil"/>
              <w:bottom w:val="single" w:sz="4" w:space="0" w:color="auto"/>
              <w:right w:val="single" w:sz="4" w:space="0" w:color="auto"/>
            </w:tcBorders>
            <w:vAlign w:val="center"/>
          </w:tcPr>
          <w:p w14:paraId="483ABE64" w14:textId="52D2C520" w:rsidR="00374747" w:rsidRPr="00CD78AA" w:rsidRDefault="00374747" w:rsidP="003623FB">
            <w:pPr>
              <w:jc w:val="center"/>
            </w:pPr>
            <w:r w:rsidRPr="00CD78AA">
              <w:t>9</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DB1C5" w14:textId="70B41947" w:rsidR="00374747" w:rsidRPr="00CD78AA" w:rsidRDefault="00374747" w:rsidP="003623FB">
            <w:pPr>
              <w:jc w:val="center"/>
            </w:pPr>
            <w:r w:rsidRPr="00CD78AA">
              <w:t>9</w:t>
            </w:r>
          </w:p>
        </w:tc>
        <w:tc>
          <w:tcPr>
            <w:tcW w:w="1275" w:type="dxa"/>
            <w:tcBorders>
              <w:top w:val="single" w:sz="4" w:space="0" w:color="auto"/>
              <w:left w:val="nil"/>
              <w:bottom w:val="single" w:sz="4" w:space="0" w:color="auto"/>
              <w:right w:val="single" w:sz="4" w:space="0" w:color="auto"/>
            </w:tcBorders>
            <w:vAlign w:val="center"/>
          </w:tcPr>
          <w:p w14:paraId="41A9C562" w14:textId="051CE878" w:rsidR="00374747" w:rsidRPr="00CD78AA" w:rsidRDefault="00374747" w:rsidP="003623FB">
            <w:pPr>
              <w:jc w:val="center"/>
            </w:pPr>
            <w:r w:rsidRPr="00CD78AA">
              <w:t>0%</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98991" w14:textId="3EC5066A" w:rsidR="00374747" w:rsidRPr="00CD78AA" w:rsidRDefault="00374747" w:rsidP="003623FB">
            <w:pPr>
              <w:jc w:val="center"/>
            </w:pPr>
            <w:r w:rsidRPr="00CD78AA">
              <w:t>75%</w:t>
            </w:r>
          </w:p>
        </w:tc>
        <w:tc>
          <w:tcPr>
            <w:tcW w:w="0" w:type="auto"/>
            <w:tcBorders>
              <w:top w:val="nil"/>
              <w:left w:val="nil"/>
              <w:bottom w:val="nil"/>
              <w:right w:val="nil"/>
            </w:tcBorders>
          </w:tcPr>
          <w:p w14:paraId="0CC42FDE" w14:textId="77777777" w:rsidR="00374747" w:rsidRPr="00CD78AA" w:rsidRDefault="00374747" w:rsidP="003623FB">
            <w:pPr>
              <w:jc w:val="center"/>
              <w:rPr>
                <w:rFonts w:ascii="Calibri" w:hAnsi="Calibri" w:cs="Calibri"/>
                <w:sz w:val="22"/>
                <w:szCs w:val="22"/>
              </w:rPr>
            </w:pPr>
          </w:p>
        </w:tc>
      </w:tr>
      <w:tr w:rsidR="00374747" w:rsidRPr="00CD78AA" w14:paraId="4FCB01B4"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CD955" w14:textId="150E1880" w:rsidR="00374747" w:rsidRPr="00CD78AA" w:rsidRDefault="00374747" w:rsidP="003623FB">
            <w:r w:rsidRPr="00CD78AA">
              <w:t>Serviço</w:t>
            </w:r>
          </w:p>
        </w:tc>
        <w:tc>
          <w:tcPr>
            <w:tcW w:w="851" w:type="dxa"/>
            <w:tcBorders>
              <w:top w:val="single" w:sz="4" w:space="0" w:color="auto"/>
              <w:left w:val="nil"/>
              <w:bottom w:val="single" w:sz="4" w:space="0" w:color="auto"/>
              <w:right w:val="single" w:sz="4" w:space="0" w:color="auto"/>
            </w:tcBorders>
            <w:vAlign w:val="center"/>
          </w:tcPr>
          <w:p w14:paraId="6B95B816" w14:textId="7AE12BF9" w:rsidR="00374747" w:rsidRPr="00CD78AA" w:rsidRDefault="00374747" w:rsidP="003623FB">
            <w:pPr>
              <w:jc w:val="center"/>
            </w:pPr>
            <w:r w:rsidRPr="00CD78AA">
              <w:t>44</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A6AD1" w14:textId="10A6D713" w:rsidR="00374747" w:rsidRPr="00CD78AA" w:rsidRDefault="00374747" w:rsidP="003623FB">
            <w:pPr>
              <w:jc w:val="center"/>
            </w:pPr>
            <w:r w:rsidRPr="00CD78AA">
              <w:t>43</w:t>
            </w:r>
          </w:p>
        </w:tc>
        <w:tc>
          <w:tcPr>
            <w:tcW w:w="1275" w:type="dxa"/>
            <w:tcBorders>
              <w:top w:val="single" w:sz="4" w:space="0" w:color="auto"/>
              <w:left w:val="nil"/>
              <w:bottom w:val="single" w:sz="4" w:space="0" w:color="auto"/>
              <w:right w:val="single" w:sz="4" w:space="0" w:color="auto"/>
            </w:tcBorders>
            <w:vAlign w:val="center"/>
          </w:tcPr>
          <w:p w14:paraId="68A76470" w14:textId="410EF3A0" w:rsidR="00374747" w:rsidRPr="00CD78AA" w:rsidRDefault="00374747" w:rsidP="003623FB">
            <w:pPr>
              <w:jc w:val="center"/>
            </w:pPr>
            <w:r w:rsidRPr="00CD78AA">
              <w:t>-2%</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0C511" w14:textId="5CD156C4" w:rsidR="00374747" w:rsidRPr="00CD78AA" w:rsidRDefault="00374747" w:rsidP="003623FB">
            <w:pPr>
              <w:jc w:val="center"/>
            </w:pPr>
            <w:r w:rsidRPr="00CD78AA">
              <w:t>70%</w:t>
            </w:r>
          </w:p>
        </w:tc>
        <w:tc>
          <w:tcPr>
            <w:tcW w:w="0" w:type="auto"/>
            <w:tcBorders>
              <w:top w:val="nil"/>
              <w:left w:val="nil"/>
              <w:bottom w:val="nil"/>
              <w:right w:val="nil"/>
            </w:tcBorders>
          </w:tcPr>
          <w:p w14:paraId="3967F248" w14:textId="77777777" w:rsidR="00374747" w:rsidRPr="00CD78AA" w:rsidRDefault="00374747" w:rsidP="003623FB">
            <w:pPr>
              <w:jc w:val="center"/>
              <w:rPr>
                <w:rFonts w:ascii="Calibri" w:hAnsi="Calibri" w:cs="Calibri"/>
                <w:sz w:val="22"/>
                <w:szCs w:val="22"/>
              </w:rPr>
            </w:pPr>
          </w:p>
        </w:tc>
      </w:tr>
      <w:tr w:rsidR="00374747" w:rsidRPr="00CD78AA" w14:paraId="676BFEA9"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D456F" w14:textId="07EA8986" w:rsidR="00374747" w:rsidRPr="00CD78AA" w:rsidRDefault="00374747" w:rsidP="003623FB">
            <w:r w:rsidRPr="00CD78AA">
              <w:t>Seção/Unidade</w:t>
            </w:r>
          </w:p>
        </w:tc>
        <w:tc>
          <w:tcPr>
            <w:tcW w:w="851" w:type="dxa"/>
            <w:tcBorders>
              <w:top w:val="single" w:sz="4" w:space="0" w:color="auto"/>
              <w:left w:val="nil"/>
              <w:bottom w:val="single" w:sz="4" w:space="0" w:color="auto"/>
              <w:right w:val="single" w:sz="4" w:space="0" w:color="auto"/>
            </w:tcBorders>
            <w:vAlign w:val="center"/>
          </w:tcPr>
          <w:p w14:paraId="209CD2BB" w14:textId="2B60D702" w:rsidR="00374747" w:rsidRPr="00CD78AA" w:rsidRDefault="00374747" w:rsidP="003623FB">
            <w:pPr>
              <w:jc w:val="center"/>
            </w:pPr>
            <w:r w:rsidRPr="00CD78AA">
              <w:t>86</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D9482" w14:textId="69C40911" w:rsidR="00374747" w:rsidRPr="00CD78AA" w:rsidRDefault="00374747" w:rsidP="003623FB">
            <w:pPr>
              <w:jc w:val="center"/>
            </w:pPr>
            <w:r w:rsidRPr="00CD78AA">
              <w:t>87</w:t>
            </w:r>
          </w:p>
        </w:tc>
        <w:tc>
          <w:tcPr>
            <w:tcW w:w="1275" w:type="dxa"/>
            <w:tcBorders>
              <w:top w:val="single" w:sz="4" w:space="0" w:color="auto"/>
              <w:left w:val="nil"/>
              <w:bottom w:val="single" w:sz="4" w:space="0" w:color="auto"/>
              <w:right w:val="single" w:sz="4" w:space="0" w:color="auto"/>
            </w:tcBorders>
            <w:vAlign w:val="center"/>
          </w:tcPr>
          <w:p w14:paraId="3B401C07" w14:textId="75A50528" w:rsidR="00374747" w:rsidRPr="00CD78AA" w:rsidRDefault="00374747" w:rsidP="003623FB">
            <w:pPr>
              <w:jc w:val="center"/>
            </w:pPr>
            <w:r w:rsidRPr="00CD78AA">
              <w:t>1%</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70942" w14:textId="7FC15E5E" w:rsidR="00374747" w:rsidRPr="00CD78AA" w:rsidRDefault="00374747" w:rsidP="003623FB">
            <w:pPr>
              <w:jc w:val="center"/>
            </w:pPr>
            <w:r w:rsidRPr="00CD78AA">
              <w:t>64%</w:t>
            </w:r>
          </w:p>
        </w:tc>
        <w:tc>
          <w:tcPr>
            <w:tcW w:w="0" w:type="auto"/>
            <w:tcBorders>
              <w:top w:val="nil"/>
              <w:left w:val="nil"/>
              <w:bottom w:val="nil"/>
              <w:right w:val="nil"/>
            </w:tcBorders>
          </w:tcPr>
          <w:p w14:paraId="54B230C1" w14:textId="77777777" w:rsidR="00374747" w:rsidRPr="00CD78AA" w:rsidRDefault="00374747" w:rsidP="003623FB">
            <w:pPr>
              <w:jc w:val="center"/>
              <w:rPr>
                <w:rFonts w:ascii="Calibri" w:hAnsi="Calibri" w:cs="Calibri"/>
                <w:sz w:val="22"/>
                <w:szCs w:val="22"/>
              </w:rPr>
            </w:pPr>
          </w:p>
        </w:tc>
      </w:tr>
      <w:tr w:rsidR="00374747" w:rsidRPr="00CD78AA" w14:paraId="1A27EA8F"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581EC" w14:textId="68D66AA0" w:rsidR="00374747" w:rsidRPr="00CD78AA" w:rsidRDefault="00374747" w:rsidP="003623FB">
            <w:r w:rsidRPr="00CD78AA">
              <w:t>Supervisão</w:t>
            </w:r>
          </w:p>
        </w:tc>
        <w:tc>
          <w:tcPr>
            <w:tcW w:w="851" w:type="dxa"/>
            <w:tcBorders>
              <w:top w:val="single" w:sz="4" w:space="0" w:color="auto"/>
              <w:left w:val="nil"/>
              <w:bottom w:val="single" w:sz="4" w:space="0" w:color="auto"/>
              <w:right w:val="single" w:sz="4" w:space="0" w:color="auto"/>
            </w:tcBorders>
            <w:vAlign w:val="center"/>
          </w:tcPr>
          <w:p w14:paraId="14DC0112" w14:textId="3D2542C4" w:rsidR="00374747" w:rsidRPr="00CD78AA" w:rsidRDefault="00374747" w:rsidP="003623FB">
            <w:pPr>
              <w:jc w:val="center"/>
            </w:pPr>
            <w:r w:rsidRPr="00CD78AA">
              <w:t>45</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5FD20" w14:textId="3B4D0595" w:rsidR="00374747" w:rsidRPr="00CD78AA" w:rsidRDefault="00374747" w:rsidP="003623FB">
            <w:pPr>
              <w:jc w:val="center"/>
            </w:pPr>
            <w:r w:rsidRPr="00CD78AA">
              <w:t>50</w:t>
            </w:r>
          </w:p>
        </w:tc>
        <w:tc>
          <w:tcPr>
            <w:tcW w:w="1275" w:type="dxa"/>
            <w:tcBorders>
              <w:top w:val="single" w:sz="4" w:space="0" w:color="auto"/>
              <w:left w:val="nil"/>
              <w:bottom w:val="single" w:sz="4" w:space="0" w:color="auto"/>
              <w:right w:val="single" w:sz="4" w:space="0" w:color="auto"/>
            </w:tcBorders>
            <w:vAlign w:val="center"/>
          </w:tcPr>
          <w:p w14:paraId="3E847D4E" w14:textId="56C3CD09" w:rsidR="00374747" w:rsidRPr="00CD78AA" w:rsidRDefault="00374747" w:rsidP="003623FB">
            <w:pPr>
              <w:jc w:val="center"/>
            </w:pPr>
            <w:r w:rsidRPr="00CD78AA">
              <w:t>11%</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6C658D" w14:textId="481BC964" w:rsidR="00374747" w:rsidRPr="00CD78AA" w:rsidRDefault="00374747" w:rsidP="003623FB">
            <w:pPr>
              <w:jc w:val="center"/>
            </w:pPr>
            <w:r w:rsidRPr="00CD78AA">
              <w:t>55%</w:t>
            </w:r>
          </w:p>
        </w:tc>
        <w:tc>
          <w:tcPr>
            <w:tcW w:w="0" w:type="auto"/>
            <w:tcBorders>
              <w:top w:val="nil"/>
              <w:left w:val="nil"/>
              <w:bottom w:val="nil"/>
              <w:right w:val="nil"/>
            </w:tcBorders>
          </w:tcPr>
          <w:p w14:paraId="0B52538A" w14:textId="77777777" w:rsidR="00374747" w:rsidRPr="00CD78AA" w:rsidRDefault="00374747" w:rsidP="003623FB">
            <w:pPr>
              <w:jc w:val="center"/>
              <w:rPr>
                <w:rFonts w:ascii="Calibri" w:hAnsi="Calibri" w:cs="Calibri"/>
                <w:sz w:val="22"/>
                <w:szCs w:val="22"/>
              </w:rPr>
            </w:pPr>
          </w:p>
        </w:tc>
      </w:tr>
      <w:tr w:rsidR="00374747" w:rsidRPr="00CD78AA" w14:paraId="12849890"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562C0B" w14:textId="3909EAE8" w:rsidR="00374747" w:rsidRPr="00CD78AA" w:rsidRDefault="00374747" w:rsidP="003623FB">
            <w:r w:rsidRPr="00CD78AA">
              <w:t>Demais</w:t>
            </w:r>
          </w:p>
        </w:tc>
        <w:tc>
          <w:tcPr>
            <w:tcW w:w="851" w:type="dxa"/>
            <w:tcBorders>
              <w:top w:val="single" w:sz="4" w:space="0" w:color="auto"/>
              <w:left w:val="nil"/>
              <w:bottom w:val="single" w:sz="4" w:space="0" w:color="auto"/>
              <w:right w:val="single" w:sz="4" w:space="0" w:color="auto"/>
            </w:tcBorders>
            <w:vAlign w:val="center"/>
          </w:tcPr>
          <w:p w14:paraId="4AE49636" w14:textId="416D2626" w:rsidR="00374747" w:rsidRPr="00CD78AA" w:rsidRDefault="00374747" w:rsidP="003623FB">
            <w:pPr>
              <w:jc w:val="center"/>
            </w:pPr>
            <w:r w:rsidRPr="00CD78AA">
              <w:t>4.924</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364F7" w14:textId="201CABAE" w:rsidR="00374747" w:rsidRPr="00CD78AA" w:rsidRDefault="00374747" w:rsidP="003623FB">
            <w:pPr>
              <w:jc w:val="center"/>
            </w:pPr>
            <w:r w:rsidRPr="00CD78AA">
              <w:t>5.105</w:t>
            </w:r>
          </w:p>
        </w:tc>
        <w:tc>
          <w:tcPr>
            <w:tcW w:w="1275" w:type="dxa"/>
            <w:tcBorders>
              <w:top w:val="single" w:sz="4" w:space="0" w:color="auto"/>
              <w:left w:val="nil"/>
              <w:bottom w:val="single" w:sz="4" w:space="0" w:color="auto"/>
              <w:right w:val="single" w:sz="4" w:space="0" w:color="auto"/>
            </w:tcBorders>
            <w:vAlign w:val="center"/>
          </w:tcPr>
          <w:p w14:paraId="06253F49" w14:textId="3106D58C" w:rsidR="00374747" w:rsidRPr="00CD78AA" w:rsidRDefault="00374747" w:rsidP="003623FB">
            <w:pPr>
              <w:jc w:val="center"/>
            </w:pPr>
            <w:r w:rsidRPr="00CD78AA">
              <w:t>4%</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F9880B" w14:textId="11C8CE34" w:rsidR="00374747" w:rsidRPr="00CD78AA" w:rsidRDefault="00374747" w:rsidP="003623FB">
            <w:pPr>
              <w:jc w:val="center"/>
            </w:pPr>
            <w:r>
              <w:t>n/a</w:t>
            </w:r>
          </w:p>
        </w:tc>
        <w:tc>
          <w:tcPr>
            <w:tcW w:w="0" w:type="auto"/>
            <w:tcBorders>
              <w:top w:val="nil"/>
              <w:left w:val="nil"/>
              <w:bottom w:val="nil"/>
              <w:right w:val="nil"/>
            </w:tcBorders>
          </w:tcPr>
          <w:p w14:paraId="48E4F47F" w14:textId="77777777" w:rsidR="00374747" w:rsidRPr="00CD78AA" w:rsidRDefault="00374747" w:rsidP="003623FB">
            <w:pPr>
              <w:jc w:val="center"/>
              <w:rPr>
                <w:rFonts w:ascii="Calibri" w:hAnsi="Calibri" w:cs="Calibri"/>
                <w:sz w:val="22"/>
                <w:szCs w:val="22"/>
              </w:rPr>
            </w:pPr>
          </w:p>
        </w:tc>
      </w:tr>
      <w:tr w:rsidR="00374747" w:rsidRPr="00670ADC" w14:paraId="0A6B22F0" w14:textId="77777777" w:rsidTr="00582422">
        <w:trPr>
          <w:trHeight w:val="284"/>
        </w:trPr>
        <w:tc>
          <w:tcPr>
            <w:tcW w:w="2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E315E" w14:textId="77777777" w:rsidR="00374747" w:rsidRPr="00CD78AA" w:rsidRDefault="00374747" w:rsidP="00582422">
            <w:pPr>
              <w:rPr>
                <w:b/>
                <w:bCs/>
              </w:rPr>
            </w:pPr>
            <w:r w:rsidRPr="00CD78AA">
              <w:rPr>
                <w:b/>
                <w:bCs/>
              </w:rPr>
              <w:t>Total</w:t>
            </w:r>
          </w:p>
        </w:tc>
        <w:tc>
          <w:tcPr>
            <w:tcW w:w="851" w:type="dxa"/>
            <w:tcBorders>
              <w:top w:val="single" w:sz="4" w:space="0" w:color="auto"/>
              <w:left w:val="nil"/>
              <w:bottom w:val="single" w:sz="4" w:space="0" w:color="auto"/>
              <w:right w:val="single" w:sz="4" w:space="0" w:color="auto"/>
            </w:tcBorders>
            <w:vAlign w:val="center"/>
          </w:tcPr>
          <w:p w14:paraId="44886A88" w14:textId="2AADBAA8" w:rsidR="00374747" w:rsidRPr="00CD78AA" w:rsidRDefault="00374747" w:rsidP="00E023CE">
            <w:pPr>
              <w:jc w:val="center"/>
              <w:rPr>
                <w:b/>
                <w:bCs/>
              </w:rPr>
            </w:pPr>
            <w:r w:rsidRPr="00CD78AA">
              <w:rPr>
                <w:b/>
                <w:bCs/>
              </w:rPr>
              <w:t>5.107</w:t>
            </w:r>
          </w:p>
        </w:tc>
        <w:tc>
          <w:tcPr>
            <w:tcW w:w="90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88638" w14:textId="1AD9B468" w:rsidR="00374747" w:rsidRPr="00CD78AA" w:rsidRDefault="00374747" w:rsidP="00E023CE">
            <w:pPr>
              <w:jc w:val="center"/>
              <w:rPr>
                <w:b/>
                <w:bCs/>
              </w:rPr>
            </w:pPr>
            <w:r w:rsidRPr="00CD78AA">
              <w:rPr>
                <w:b/>
                <w:bCs/>
              </w:rPr>
              <w:t>5.294</w:t>
            </w:r>
          </w:p>
        </w:tc>
        <w:tc>
          <w:tcPr>
            <w:tcW w:w="1275" w:type="dxa"/>
            <w:tcBorders>
              <w:top w:val="single" w:sz="4" w:space="0" w:color="auto"/>
              <w:left w:val="nil"/>
              <w:bottom w:val="single" w:sz="4" w:space="0" w:color="auto"/>
              <w:right w:val="single" w:sz="4" w:space="0" w:color="auto"/>
            </w:tcBorders>
            <w:vAlign w:val="center"/>
          </w:tcPr>
          <w:p w14:paraId="4301FD6A" w14:textId="1967A1A9" w:rsidR="00374747" w:rsidRPr="00CD78AA" w:rsidRDefault="00374747" w:rsidP="00E023CE">
            <w:pPr>
              <w:jc w:val="center"/>
              <w:rPr>
                <w:b/>
                <w:bCs/>
              </w:rPr>
            </w:pPr>
            <w:r w:rsidRPr="00CD78AA">
              <w:rPr>
                <w:b/>
              </w:rPr>
              <w:t>4%</w:t>
            </w:r>
          </w:p>
        </w:tc>
        <w:tc>
          <w:tcPr>
            <w:tcW w:w="17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1C61F" w14:textId="3705BFF9" w:rsidR="00374747" w:rsidRPr="00670ADC" w:rsidRDefault="00374747" w:rsidP="00E023CE">
            <w:pPr>
              <w:jc w:val="center"/>
              <w:rPr>
                <w:b/>
                <w:bCs/>
              </w:rPr>
            </w:pPr>
            <w:r>
              <w:rPr>
                <w:b/>
                <w:bCs/>
              </w:rPr>
              <w:t>72</w:t>
            </w:r>
            <w:r w:rsidRPr="00CD78AA">
              <w:rPr>
                <w:b/>
                <w:bCs/>
              </w:rPr>
              <w:t>%</w:t>
            </w:r>
          </w:p>
        </w:tc>
        <w:tc>
          <w:tcPr>
            <w:tcW w:w="0" w:type="auto"/>
            <w:tcBorders>
              <w:top w:val="nil"/>
              <w:left w:val="nil"/>
              <w:bottom w:val="single" w:sz="4" w:space="0" w:color="auto"/>
              <w:right w:val="nil"/>
            </w:tcBorders>
          </w:tcPr>
          <w:p w14:paraId="01E8221B" w14:textId="77777777" w:rsidR="00374747" w:rsidRPr="00670ADC" w:rsidRDefault="00374747" w:rsidP="00E023CE">
            <w:pPr>
              <w:jc w:val="center"/>
              <w:rPr>
                <w:rFonts w:ascii="Arial" w:hAnsi="Arial" w:cs="Arial"/>
                <w:b/>
                <w:bCs/>
              </w:rPr>
            </w:pPr>
          </w:p>
        </w:tc>
      </w:tr>
    </w:tbl>
    <w:p w14:paraId="2EB7E10B" w14:textId="5611041C" w:rsidR="0091220C" w:rsidRDefault="0091220C" w:rsidP="0091220C">
      <w:pPr>
        <w:shd w:val="clear" w:color="auto" w:fill="FFFFFF"/>
        <w:ind w:left="-567"/>
        <w:jc w:val="both"/>
        <w:rPr>
          <w:bCs/>
        </w:rPr>
      </w:pPr>
    </w:p>
    <w:p w14:paraId="0AD9F21E" w14:textId="68D3EB37" w:rsidR="003D462D" w:rsidRPr="0091220C" w:rsidRDefault="00393CC4" w:rsidP="0091220C">
      <w:pPr>
        <w:shd w:val="clear" w:color="auto" w:fill="FFFFFF"/>
        <w:ind w:left="-567"/>
        <w:jc w:val="both"/>
        <w:rPr>
          <w:bCs/>
        </w:rPr>
      </w:pPr>
      <w:r>
        <w:rPr>
          <w:bCs/>
        </w:rPr>
        <w:t>b) Q</w:t>
      </w:r>
      <w:r w:rsidR="003D462D" w:rsidRPr="0091220C">
        <w:rPr>
          <w:bCs/>
        </w:rPr>
        <w:t>uantidade e proporção de mulheres que ocupam cargos na administração</w:t>
      </w:r>
      <w:r w:rsidR="0091220C">
        <w:rPr>
          <w:bCs/>
        </w:rPr>
        <w:t xml:space="preserve"> da entidade:</w:t>
      </w:r>
    </w:p>
    <w:p w14:paraId="41994504" w14:textId="77777777" w:rsidR="003D462D" w:rsidRPr="0091220C" w:rsidRDefault="003D462D" w:rsidP="00644F8A">
      <w:pPr>
        <w:shd w:val="clear" w:color="auto" w:fill="FFFFFF"/>
        <w:ind w:left="-567"/>
        <w:jc w:val="both"/>
        <w:rPr>
          <w:rFonts w:ascii="Aptos" w:hAnsi="Aptos" w:cs="Arial"/>
          <w:highlight w:val="yellow"/>
        </w:rPr>
      </w:pPr>
    </w:p>
    <w:tbl>
      <w:tblPr>
        <w:tblW w:w="6946" w:type="dxa"/>
        <w:tblInd w:w="704" w:type="dxa"/>
        <w:tblLayout w:type="fixed"/>
        <w:tblCellMar>
          <w:left w:w="0" w:type="dxa"/>
          <w:right w:w="0" w:type="dxa"/>
        </w:tblCellMar>
        <w:tblLook w:val="04A0" w:firstRow="1" w:lastRow="0" w:firstColumn="1" w:lastColumn="0" w:noHBand="0" w:noVBand="1"/>
      </w:tblPr>
      <w:tblGrid>
        <w:gridCol w:w="2268"/>
        <w:gridCol w:w="851"/>
        <w:gridCol w:w="850"/>
        <w:gridCol w:w="1276"/>
        <w:gridCol w:w="1701"/>
      </w:tblGrid>
      <w:tr w:rsidR="00393CC4" w:rsidRPr="0091220C" w14:paraId="6E9D2AE0" w14:textId="77777777" w:rsidTr="006B1823">
        <w:trPr>
          <w:trHeight w:val="374"/>
        </w:trPr>
        <w:tc>
          <w:tcPr>
            <w:tcW w:w="226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49318" w14:textId="0E95BEDF" w:rsidR="00393CC4" w:rsidRPr="0091220C" w:rsidRDefault="00393CC4" w:rsidP="00393CC4">
            <w:pPr>
              <w:jc w:val="center"/>
              <w:rPr>
                <w:b/>
                <w:bCs/>
              </w:rPr>
            </w:pPr>
            <w:r>
              <w:rPr>
                <w:b/>
                <w:bCs/>
              </w:rPr>
              <w:t>Órgão Estatutário</w:t>
            </w:r>
            <w:r w:rsidRPr="0091220C">
              <w:rPr>
                <w:b/>
                <w:bCs/>
              </w:rPr>
              <w:t> </w:t>
            </w:r>
          </w:p>
        </w:tc>
        <w:tc>
          <w:tcPr>
            <w:tcW w:w="170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341164" w14:textId="3AD793C0" w:rsidR="00393CC4" w:rsidRPr="00393CC4" w:rsidRDefault="00393CC4" w:rsidP="00393CC4">
            <w:pPr>
              <w:jc w:val="center"/>
              <w:rPr>
                <w:b/>
                <w:bCs/>
              </w:rPr>
            </w:pPr>
            <w:r w:rsidRPr="00393CC4">
              <w:rPr>
                <w:b/>
                <w:bCs/>
              </w:rPr>
              <w:t>Quantidade de Mulheres</w:t>
            </w:r>
          </w:p>
        </w:tc>
        <w:tc>
          <w:tcPr>
            <w:tcW w:w="1276" w:type="dxa"/>
            <w:vMerge w:val="restart"/>
            <w:tcBorders>
              <w:top w:val="single" w:sz="4" w:space="0" w:color="auto"/>
              <w:left w:val="nil"/>
              <w:bottom w:val="single" w:sz="4" w:space="0" w:color="auto"/>
              <w:right w:val="single" w:sz="4" w:space="0" w:color="auto"/>
            </w:tcBorders>
            <w:vAlign w:val="center"/>
          </w:tcPr>
          <w:p w14:paraId="0BB56DA7" w14:textId="77777777" w:rsidR="00393CC4" w:rsidRPr="003623FB" w:rsidRDefault="00393CC4" w:rsidP="00393CC4">
            <w:pPr>
              <w:jc w:val="center"/>
              <w:rPr>
                <w:b/>
              </w:rPr>
            </w:pPr>
            <w:r w:rsidRPr="003623FB">
              <w:rPr>
                <w:b/>
              </w:rPr>
              <w:t>Evolução</w:t>
            </w:r>
          </w:p>
          <w:p w14:paraId="3096C7F8" w14:textId="4A3C66A0" w:rsidR="00393CC4" w:rsidRPr="0091220C" w:rsidRDefault="00393CC4" w:rsidP="00393CC4">
            <w:pPr>
              <w:jc w:val="center"/>
              <w:rPr>
                <w:b/>
                <w:bCs/>
              </w:rPr>
            </w:pPr>
            <w:r w:rsidRPr="003623FB">
              <w:rPr>
                <w:b/>
              </w:rPr>
              <w:t>(%)</w:t>
            </w:r>
          </w:p>
        </w:tc>
        <w:tc>
          <w:tcPr>
            <w:tcW w:w="170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AB2C79" w14:textId="69B2B17F" w:rsidR="00393CC4" w:rsidRPr="0091220C" w:rsidRDefault="00393CC4" w:rsidP="00393CC4">
            <w:pPr>
              <w:jc w:val="center"/>
              <w:rPr>
                <w:b/>
                <w:bCs/>
              </w:rPr>
            </w:pPr>
            <w:r>
              <w:rPr>
                <w:b/>
                <w:bCs/>
              </w:rPr>
              <w:t>Representatividade</w:t>
            </w:r>
            <w:r w:rsidRPr="0091220C">
              <w:rPr>
                <w:b/>
                <w:bCs/>
              </w:rPr>
              <w:t xml:space="preserve"> </w:t>
            </w:r>
            <w:r>
              <w:rPr>
                <w:b/>
                <w:bCs/>
              </w:rPr>
              <w:t>em 2025</w:t>
            </w:r>
          </w:p>
        </w:tc>
      </w:tr>
      <w:tr w:rsidR="00393CC4" w:rsidRPr="0091220C" w14:paraId="36A6D8B5" w14:textId="77777777" w:rsidTr="00CD78AA">
        <w:trPr>
          <w:trHeight w:val="264"/>
        </w:trPr>
        <w:tc>
          <w:tcPr>
            <w:tcW w:w="226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B3138" w14:textId="241B6762" w:rsidR="00393CC4" w:rsidRPr="0091220C" w:rsidRDefault="00393CC4" w:rsidP="000E2635">
            <w:pPr>
              <w:jc w:val="center"/>
              <w:rPr>
                <w:b/>
                <w:bCs/>
              </w:rPr>
            </w:pP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3B3C14ED" w14:textId="4EA14FD8" w:rsidR="00393CC4" w:rsidRPr="00393CC4" w:rsidRDefault="00393CC4" w:rsidP="000E2635">
            <w:pPr>
              <w:jc w:val="center"/>
              <w:rPr>
                <w:b/>
                <w:bCs/>
              </w:rPr>
            </w:pPr>
            <w:r w:rsidRPr="00393CC4">
              <w:rPr>
                <w:b/>
              </w:rPr>
              <w:t>2024</w:t>
            </w:r>
          </w:p>
        </w:tc>
        <w:tc>
          <w:tcPr>
            <w:tcW w:w="850" w:type="dxa"/>
            <w:tcBorders>
              <w:top w:val="single" w:sz="4" w:space="0" w:color="auto"/>
              <w:left w:val="nil"/>
              <w:bottom w:val="single" w:sz="4" w:space="0" w:color="auto"/>
              <w:right w:val="single" w:sz="4" w:space="0" w:color="auto"/>
            </w:tcBorders>
          </w:tcPr>
          <w:p w14:paraId="7B565847" w14:textId="4D32B1BC" w:rsidR="00393CC4" w:rsidRPr="00393CC4" w:rsidRDefault="00393CC4" w:rsidP="000E2635">
            <w:pPr>
              <w:jc w:val="center"/>
              <w:rPr>
                <w:b/>
                <w:bCs/>
              </w:rPr>
            </w:pPr>
            <w:r w:rsidRPr="00393CC4">
              <w:rPr>
                <w:b/>
              </w:rPr>
              <w:t>2025</w:t>
            </w:r>
          </w:p>
        </w:tc>
        <w:tc>
          <w:tcPr>
            <w:tcW w:w="1276" w:type="dxa"/>
            <w:vMerge/>
            <w:tcBorders>
              <w:top w:val="single" w:sz="4" w:space="0" w:color="auto"/>
              <w:left w:val="single" w:sz="4" w:space="0" w:color="auto"/>
              <w:bottom w:val="single" w:sz="4" w:space="0" w:color="auto"/>
              <w:right w:val="single" w:sz="4" w:space="0" w:color="auto"/>
            </w:tcBorders>
          </w:tcPr>
          <w:p w14:paraId="598273D7" w14:textId="4B0E0D2F" w:rsidR="00393CC4" w:rsidRPr="0091220C" w:rsidRDefault="00393CC4" w:rsidP="000E2635">
            <w:pPr>
              <w:jc w:val="center"/>
              <w:rPr>
                <w:b/>
                <w:bCs/>
              </w:rPr>
            </w:pPr>
          </w:p>
        </w:tc>
        <w:tc>
          <w:tcPr>
            <w:tcW w:w="170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B8B03" w14:textId="68DDC8DB" w:rsidR="00393CC4" w:rsidRPr="0091220C" w:rsidRDefault="00393CC4" w:rsidP="000E2635">
            <w:pPr>
              <w:jc w:val="center"/>
              <w:rPr>
                <w:b/>
                <w:bCs/>
              </w:rPr>
            </w:pPr>
          </w:p>
        </w:tc>
      </w:tr>
      <w:tr w:rsidR="000E2635" w:rsidRPr="003D462D" w14:paraId="2D25E046" w14:textId="77777777" w:rsidTr="006B1823">
        <w:trPr>
          <w:trHeight w:val="300"/>
        </w:trPr>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457D1" w14:textId="77777777" w:rsidR="000E2635" w:rsidRPr="003D462D" w:rsidRDefault="000E2635" w:rsidP="000E2635">
            <w:pPr>
              <w:rPr>
                <w:color w:val="000000"/>
              </w:rPr>
            </w:pPr>
            <w:r w:rsidRPr="003D462D">
              <w:rPr>
                <w:color w:val="000000"/>
              </w:rPr>
              <w:t>Conselho de Administração</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2239D261" w14:textId="76A79DAB" w:rsidR="000E2635" w:rsidRPr="003D462D" w:rsidRDefault="000E2635" w:rsidP="000E2635">
            <w:pPr>
              <w:jc w:val="center"/>
              <w:rPr>
                <w:color w:val="000000"/>
              </w:rPr>
            </w:pPr>
            <w:r w:rsidRPr="00E83FAF">
              <w:t>4</w:t>
            </w:r>
          </w:p>
        </w:tc>
        <w:tc>
          <w:tcPr>
            <w:tcW w:w="850" w:type="dxa"/>
            <w:tcBorders>
              <w:top w:val="single" w:sz="4" w:space="0" w:color="auto"/>
              <w:left w:val="nil"/>
              <w:bottom w:val="single" w:sz="4" w:space="0" w:color="auto"/>
              <w:right w:val="single" w:sz="4" w:space="0" w:color="auto"/>
            </w:tcBorders>
          </w:tcPr>
          <w:p w14:paraId="313A48C5" w14:textId="2CD95B01" w:rsidR="000E2635" w:rsidRDefault="000E2635" w:rsidP="000E2635">
            <w:pPr>
              <w:jc w:val="center"/>
              <w:rPr>
                <w:color w:val="000000"/>
              </w:rPr>
            </w:pPr>
            <w:r w:rsidRPr="00144F52">
              <w:t>5</w:t>
            </w:r>
          </w:p>
        </w:tc>
        <w:tc>
          <w:tcPr>
            <w:tcW w:w="1276" w:type="dxa"/>
            <w:tcBorders>
              <w:top w:val="single" w:sz="4" w:space="0" w:color="auto"/>
              <w:left w:val="single" w:sz="4" w:space="0" w:color="auto"/>
              <w:bottom w:val="single" w:sz="4" w:space="0" w:color="auto"/>
              <w:right w:val="single" w:sz="4" w:space="0" w:color="auto"/>
            </w:tcBorders>
          </w:tcPr>
          <w:p w14:paraId="0F1BC592" w14:textId="3209F69B" w:rsidR="000E2635" w:rsidRDefault="000E2635" w:rsidP="000E2635">
            <w:pPr>
              <w:jc w:val="center"/>
              <w:rPr>
                <w:color w:val="000000"/>
              </w:rPr>
            </w:pPr>
            <w:r w:rsidRPr="00C9265C">
              <w:t>25%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8AAD5" w14:textId="7CA2DD96" w:rsidR="000E2635" w:rsidRPr="003D462D" w:rsidRDefault="000E2635" w:rsidP="000E2635">
            <w:pPr>
              <w:jc w:val="center"/>
              <w:rPr>
                <w:color w:val="000000"/>
              </w:rPr>
            </w:pPr>
            <w:r>
              <w:rPr>
                <w:color w:val="000000"/>
              </w:rPr>
              <w:t>45</w:t>
            </w:r>
            <w:r w:rsidRPr="003D462D">
              <w:rPr>
                <w:color w:val="000000"/>
              </w:rPr>
              <w:t>%</w:t>
            </w:r>
          </w:p>
        </w:tc>
      </w:tr>
      <w:tr w:rsidR="000E2635" w:rsidRPr="003D462D" w14:paraId="7FF6D548" w14:textId="77777777" w:rsidTr="006B1823">
        <w:trPr>
          <w:trHeight w:val="300"/>
        </w:trPr>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9988D" w14:textId="77777777" w:rsidR="000E2635" w:rsidRPr="003D462D" w:rsidRDefault="000E2635" w:rsidP="000E2635">
            <w:pPr>
              <w:rPr>
                <w:color w:val="000000"/>
              </w:rPr>
            </w:pPr>
            <w:r w:rsidRPr="003D462D">
              <w:rPr>
                <w:color w:val="000000"/>
              </w:rPr>
              <w:t>Diretoria Executiva</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14:paraId="6DFE18C2" w14:textId="3F000B5A" w:rsidR="000E2635" w:rsidRPr="003D462D" w:rsidRDefault="000E2635" w:rsidP="000E2635">
            <w:pPr>
              <w:jc w:val="center"/>
              <w:rPr>
                <w:color w:val="000000"/>
              </w:rPr>
            </w:pPr>
            <w:r w:rsidRPr="00E83FAF">
              <w:t>4</w:t>
            </w:r>
          </w:p>
        </w:tc>
        <w:tc>
          <w:tcPr>
            <w:tcW w:w="850" w:type="dxa"/>
            <w:tcBorders>
              <w:top w:val="single" w:sz="4" w:space="0" w:color="auto"/>
              <w:left w:val="nil"/>
              <w:bottom w:val="single" w:sz="4" w:space="0" w:color="auto"/>
              <w:right w:val="single" w:sz="4" w:space="0" w:color="auto"/>
            </w:tcBorders>
          </w:tcPr>
          <w:p w14:paraId="26973436" w14:textId="298509CF" w:rsidR="000E2635" w:rsidRDefault="000E2635" w:rsidP="000E2635">
            <w:pPr>
              <w:jc w:val="center"/>
              <w:rPr>
                <w:color w:val="000000"/>
              </w:rPr>
            </w:pPr>
            <w:r w:rsidRPr="00144F52">
              <w:t>4</w:t>
            </w:r>
          </w:p>
        </w:tc>
        <w:tc>
          <w:tcPr>
            <w:tcW w:w="1276" w:type="dxa"/>
            <w:tcBorders>
              <w:top w:val="single" w:sz="4" w:space="0" w:color="auto"/>
              <w:left w:val="single" w:sz="4" w:space="0" w:color="auto"/>
              <w:bottom w:val="single" w:sz="4" w:space="0" w:color="auto"/>
              <w:right w:val="single" w:sz="4" w:space="0" w:color="auto"/>
            </w:tcBorders>
          </w:tcPr>
          <w:p w14:paraId="72C9F4E5" w14:textId="43466B08" w:rsidR="000E2635" w:rsidRDefault="000E2635" w:rsidP="000E2635">
            <w:pPr>
              <w:jc w:val="center"/>
              <w:rPr>
                <w:color w:val="000000"/>
              </w:rPr>
            </w:pPr>
            <w:r w:rsidRPr="00C9265C">
              <w:t>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8CBE1" w14:textId="3777321B" w:rsidR="000E2635" w:rsidRPr="003D462D" w:rsidRDefault="000E2635" w:rsidP="000E2635">
            <w:pPr>
              <w:jc w:val="center"/>
              <w:rPr>
                <w:color w:val="000000"/>
              </w:rPr>
            </w:pPr>
            <w:r>
              <w:rPr>
                <w:color w:val="000000"/>
              </w:rPr>
              <w:t>67</w:t>
            </w:r>
            <w:r w:rsidRPr="003D462D">
              <w:rPr>
                <w:color w:val="000000"/>
              </w:rPr>
              <w:t>%</w:t>
            </w:r>
          </w:p>
        </w:tc>
      </w:tr>
    </w:tbl>
    <w:p w14:paraId="3BDDA545" w14:textId="46925324" w:rsidR="00644F8A" w:rsidRDefault="00644F8A" w:rsidP="00644F8A">
      <w:pPr>
        <w:shd w:val="clear" w:color="auto" w:fill="FFFFFF"/>
        <w:ind w:left="-567"/>
        <w:jc w:val="both"/>
        <w:rPr>
          <w:rFonts w:ascii="Aptos" w:hAnsi="Aptos" w:cs="Arial"/>
          <w:color w:val="000000"/>
          <w:highlight w:val="yellow"/>
        </w:rPr>
      </w:pPr>
    </w:p>
    <w:p w14:paraId="7580B1B0" w14:textId="399DC48F" w:rsidR="00961624" w:rsidRPr="00452E75" w:rsidRDefault="00961624" w:rsidP="00961624">
      <w:pPr>
        <w:shd w:val="clear" w:color="auto" w:fill="FFFFFF"/>
        <w:ind w:left="-567"/>
        <w:jc w:val="both"/>
        <w:rPr>
          <w:rFonts w:ascii="Aptos" w:hAnsi="Aptos" w:cs="Arial"/>
          <w:color w:val="000000"/>
        </w:rPr>
      </w:pPr>
      <w:r w:rsidRPr="00452E75">
        <w:rPr>
          <w:rFonts w:ascii="Aptos" w:hAnsi="Aptos" w:cs="Arial"/>
          <w:color w:val="000000"/>
        </w:rPr>
        <w:t xml:space="preserve">No Conselho de </w:t>
      </w:r>
      <w:r w:rsidRPr="00C86A62">
        <w:rPr>
          <w:rFonts w:ascii="Aptos" w:hAnsi="Aptos" w:cs="Arial"/>
        </w:rPr>
        <w:t xml:space="preserve">Administração, </w:t>
      </w:r>
      <w:r w:rsidR="00C86A62" w:rsidRPr="00C86A62">
        <w:rPr>
          <w:rFonts w:ascii="Aptos" w:hAnsi="Aptos"/>
          <w:shd w:val="clear" w:color="auto" w:fill="FFFFFF"/>
        </w:rPr>
        <w:t xml:space="preserve">dos onze </w:t>
      </w:r>
      <w:r w:rsidR="008F1512" w:rsidRPr="00C86A62">
        <w:rPr>
          <w:rFonts w:ascii="Aptos" w:hAnsi="Aptos"/>
          <w:shd w:val="clear" w:color="auto" w:fill="FFFFFF"/>
        </w:rPr>
        <w:t>membros</w:t>
      </w:r>
      <w:r w:rsidR="00C86A62" w:rsidRPr="00C86A62">
        <w:rPr>
          <w:rFonts w:ascii="Aptos" w:hAnsi="Aptos"/>
          <w:shd w:val="clear" w:color="auto" w:fill="FFFFFF"/>
        </w:rPr>
        <w:t xml:space="preserve">, cinco são mulheres, representando </w:t>
      </w:r>
      <w:r w:rsidR="00C86A62">
        <w:rPr>
          <w:rFonts w:ascii="Aptos" w:hAnsi="Aptos"/>
          <w:color w:val="000000"/>
          <w:shd w:val="clear" w:color="auto" w:fill="FFFFFF"/>
        </w:rPr>
        <w:t>45%</w:t>
      </w:r>
      <w:r w:rsidRPr="00452E75">
        <w:rPr>
          <w:rFonts w:ascii="Aptos" w:hAnsi="Aptos" w:cs="Arial"/>
          <w:color w:val="000000"/>
        </w:rPr>
        <w:t xml:space="preserve">. Já na Diretoria Executiva, as mulheres respondem por quatro dos seis cargos, o </w:t>
      </w:r>
      <w:r w:rsidR="009535F9" w:rsidRPr="00452E75">
        <w:rPr>
          <w:rFonts w:ascii="Aptos" w:hAnsi="Aptos" w:cs="Arial"/>
          <w:color w:val="000000"/>
        </w:rPr>
        <w:t>que representa 67</w:t>
      </w:r>
      <w:r w:rsidRPr="00452E75">
        <w:rPr>
          <w:rFonts w:ascii="Aptos" w:hAnsi="Aptos" w:cs="Arial"/>
          <w:color w:val="000000"/>
        </w:rPr>
        <w:t>% do total.</w:t>
      </w:r>
    </w:p>
    <w:p w14:paraId="35D63A72" w14:textId="77777777" w:rsidR="00961624" w:rsidRPr="00452E75" w:rsidRDefault="00961624" w:rsidP="00644F8A">
      <w:pPr>
        <w:shd w:val="clear" w:color="auto" w:fill="FFFFFF"/>
        <w:ind w:left="-567"/>
        <w:jc w:val="both"/>
        <w:rPr>
          <w:rFonts w:ascii="Aptos" w:hAnsi="Aptos" w:cs="Arial"/>
          <w:color w:val="000000"/>
        </w:rPr>
      </w:pPr>
    </w:p>
    <w:p w14:paraId="1536290A" w14:textId="47857B2C" w:rsidR="00831C7C" w:rsidRPr="00831C7C" w:rsidRDefault="00831C7C" w:rsidP="00831C7C">
      <w:pPr>
        <w:shd w:val="clear" w:color="auto" w:fill="FFFFFF"/>
        <w:ind w:left="-567"/>
        <w:jc w:val="both"/>
        <w:rPr>
          <w:bCs/>
        </w:rPr>
      </w:pPr>
      <w:r w:rsidRPr="00452E75">
        <w:rPr>
          <w:bCs/>
        </w:rPr>
        <w:t xml:space="preserve">c) </w:t>
      </w:r>
      <w:r w:rsidR="00393CC4" w:rsidRPr="00452E75">
        <w:rPr>
          <w:bCs/>
        </w:rPr>
        <w:t>D</w:t>
      </w:r>
      <w:r w:rsidR="00961624" w:rsidRPr="00452E75">
        <w:rPr>
          <w:bCs/>
        </w:rPr>
        <w:t xml:space="preserve">emonstrativo de remuneração </w:t>
      </w:r>
      <w:r w:rsidRPr="00831C7C">
        <w:rPr>
          <w:bCs/>
        </w:rPr>
        <w:t>segregada por</w:t>
      </w:r>
      <w:r w:rsidR="00282566" w:rsidRPr="00452E75">
        <w:rPr>
          <w:bCs/>
        </w:rPr>
        <w:t xml:space="preserve"> grupo ocupacional de cargos e por</w:t>
      </w:r>
      <w:r w:rsidRPr="00831C7C">
        <w:rPr>
          <w:bCs/>
        </w:rPr>
        <w:t xml:space="preserve"> sexo</w:t>
      </w:r>
      <w:r w:rsidRPr="00452E75">
        <w:rPr>
          <w:bCs/>
        </w:rPr>
        <w:t>:</w:t>
      </w:r>
    </w:p>
    <w:p w14:paraId="59D12E49" w14:textId="77777777" w:rsidR="00831C7C" w:rsidRPr="00831C7C" w:rsidRDefault="00831C7C" w:rsidP="00831C7C">
      <w:pPr>
        <w:rPr>
          <w:sz w:val="24"/>
          <w:szCs w:val="24"/>
        </w:rPr>
      </w:pPr>
    </w:p>
    <w:tbl>
      <w:tblPr>
        <w:tblW w:w="9486" w:type="dxa"/>
        <w:jc w:val="center"/>
        <w:tblCellMar>
          <w:left w:w="0" w:type="dxa"/>
          <w:right w:w="0" w:type="dxa"/>
        </w:tblCellMar>
        <w:tblLook w:val="04A0" w:firstRow="1" w:lastRow="0" w:firstColumn="1" w:lastColumn="0" w:noHBand="0" w:noVBand="1"/>
      </w:tblPr>
      <w:tblGrid>
        <w:gridCol w:w="1129"/>
        <w:gridCol w:w="1134"/>
        <w:gridCol w:w="708"/>
        <w:gridCol w:w="709"/>
        <w:gridCol w:w="851"/>
        <w:gridCol w:w="561"/>
        <w:gridCol w:w="1090"/>
        <w:gridCol w:w="567"/>
        <w:gridCol w:w="709"/>
        <w:gridCol w:w="851"/>
        <w:gridCol w:w="567"/>
        <w:gridCol w:w="610"/>
      </w:tblGrid>
      <w:tr w:rsidR="00D5794A" w:rsidRPr="00D5794A" w14:paraId="2961217A" w14:textId="77777777" w:rsidTr="00393CC4">
        <w:trPr>
          <w:trHeight w:val="246"/>
          <w:jc w:val="center"/>
        </w:trPr>
        <w:tc>
          <w:tcPr>
            <w:tcW w:w="112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F8377" w14:textId="60AB1CBB" w:rsidR="00D5794A" w:rsidRPr="00831C7C" w:rsidRDefault="00D5794A" w:rsidP="00393CC4">
            <w:pPr>
              <w:jc w:val="center"/>
              <w:rPr>
                <w:b/>
                <w:bCs/>
                <w:color w:val="000000"/>
                <w:sz w:val="18"/>
                <w:szCs w:val="18"/>
              </w:rPr>
            </w:pPr>
            <w:r w:rsidRPr="00831C7C">
              <w:rPr>
                <w:b/>
                <w:bCs/>
                <w:color w:val="000000"/>
                <w:sz w:val="18"/>
                <w:szCs w:val="18"/>
              </w:rPr>
              <w:t>Faixa Salarial</w:t>
            </w:r>
          </w:p>
        </w:tc>
        <w:tc>
          <w:tcPr>
            <w:tcW w:w="3963"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68AA676" w14:textId="16ECAFEB" w:rsidR="00D5794A" w:rsidRPr="00831C7C" w:rsidRDefault="00D5794A" w:rsidP="00393CC4">
            <w:pPr>
              <w:ind w:left="-15"/>
              <w:jc w:val="center"/>
              <w:rPr>
                <w:b/>
                <w:bCs/>
                <w:color w:val="000000"/>
                <w:sz w:val="18"/>
                <w:szCs w:val="18"/>
              </w:rPr>
            </w:pPr>
            <w:r w:rsidRPr="00831C7C">
              <w:rPr>
                <w:b/>
                <w:bCs/>
                <w:color w:val="000000"/>
                <w:sz w:val="18"/>
                <w:szCs w:val="18"/>
              </w:rPr>
              <w:t>Mulheres</w:t>
            </w:r>
          </w:p>
        </w:tc>
        <w:tc>
          <w:tcPr>
            <w:tcW w:w="3784"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80FFC6B" w14:textId="0817E27E" w:rsidR="00D5794A" w:rsidRPr="00D5794A" w:rsidRDefault="00D5794A" w:rsidP="00393CC4">
            <w:pPr>
              <w:ind w:left="-15"/>
              <w:jc w:val="center"/>
              <w:rPr>
                <w:b/>
                <w:bCs/>
                <w:color w:val="000000"/>
                <w:sz w:val="18"/>
                <w:szCs w:val="18"/>
              </w:rPr>
            </w:pPr>
            <w:r w:rsidRPr="00831C7C">
              <w:rPr>
                <w:b/>
                <w:bCs/>
                <w:color w:val="000000"/>
                <w:sz w:val="18"/>
                <w:szCs w:val="18"/>
              </w:rPr>
              <w:t>Homens</w:t>
            </w:r>
          </w:p>
        </w:tc>
        <w:tc>
          <w:tcPr>
            <w:tcW w:w="61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14:paraId="55CDE051" w14:textId="3546F5C1" w:rsidR="00D5794A" w:rsidRPr="00831C7C" w:rsidRDefault="00D5794A" w:rsidP="00393CC4">
            <w:pPr>
              <w:ind w:left="-15"/>
              <w:jc w:val="center"/>
              <w:rPr>
                <w:b/>
                <w:bCs/>
                <w:color w:val="000000"/>
                <w:sz w:val="18"/>
                <w:szCs w:val="18"/>
              </w:rPr>
            </w:pPr>
            <w:r w:rsidRPr="00831C7C">
              <w:rPr>
                <w:b/>
                <w:bCs/>
                <w:color w:val="000000"/>
                <w:sz w:val="18"/>
                <w:szCs w:val="18"/>
              </w:rPr>
              <w:t xml:space="preserve">Total </w:t>
            </w:r>
            <w:r w:rsidRPr="00D5794A">
              <w:rPr>
                <w:b/>
                <w:bCs/>
                <w:color w:val="000000"/>
                <w:sz w:val="18"/>
                <w:szCs w:val="18"/>
              </w:rPr>
              <w:t>Geral</w:t>
            </w:r>
          </w:p>
        </w:tc>
      </w:tr>
      <w:tr w:rsidR="00D5794A" w:rsidRPr="00D5794A" w14:paraId="45035619" w14:textId="77777777" w:rsidTr="00393CC4">
        <w:trPr>
          <w:trHeight w:val="30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E4DFFD8" w14:textId="77777777" w:rsidR="00D5794A" w:rsidRPr="00831C7C" w:rsidRDefault="00D5794A" w:rsidP="00393CC4">
            <w:pPr>
              <w:ind w:left="-15"/>
              <w:jc w:val="center"/>
              <w:rPr>
                <w:b/>
                <w:bCs/>
                <w:color w:val="000000"/>
                <w:sz w:val="18"/>
                <w:szCs w:val="18"/>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5CAF9F" w14:textId="77777777" w:rsidR="00D5794A" w:rsidRPr="00831C7C" w:rsidRDefault="00D5794A" w:rsidP="00393CC4">
            <w:pPr>
              <w:ind w:left="-15"/>
              <w:jc w:val="center"/>
              <w:rPr>
                <w:b/>
                <w:bCs/>
                <w:color w:val="000000"/>
                <w:sz w:val="18"/>
                <w:szCs w:val="18"/>
              </w:rPr>
            </w:pPr>
            <w:r w:rsidRPr="00831C7C">
              <w:rPr>
                <w:b/>
                <w:bCs/>
                <w:color w:val="000000"/>
                <w:sz w:val="18"/>
                <w:szCs w:val="18"/>
              </w:rPr>
              <w:t>Fundamental</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CA62C5" w14:textId="77777777" w:rsidR="00D5794A" w:rsidRPr="00831C7C" w:rsidRDefault="00D5794A" w:rsidP="00393CC4">
            <w:pPr>
              <w:ind w:left="-15"/>
              <w:jc w:val="center"/>
              <w:rPr>
                <w:b/>
                <w:bCs/>
                <w:color w:val="000000"/>
                <w:sz w:val="18"/>
                <w:szCs w:val="18"/>
              </w:rPr>
            </w:pPr>
            <w:r w:rsidRPr="00831C7C">
              <w:rPr>
                <w:b/>
                <w:bCs/>
                <w:color w:val="000000"/>
                <w:sz w:val="18"/>
                <w:szCs w:val="18"/>
              </w:rPr>
              <w:t>Médio</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3BEAA5" w14:textId="77777777" w:rsidR="00D5794A" w:rsidRPr="00831C7C" w:rsidRDefault="00D5794A" w:rsidP="00393CC4">
            <w:pPr>
              <w:ind w:left="-15"/>
              <w:jc w:val="center"/>
              <w:rPr>
                <w:b/>
                <w:bCs/>
                <w:color w:val="000000"/>
                <w:sz w:val="18"/>
                <w:szCs w:val="18"/>
              </w:rPr>
            </w:pPr>
            <w:r w:rsidRPr="00831C7C">
              <w:rPr>
                <w:b/>
                <w:bCs/>
                <w:color w:val="000000"/>
                <w:sz w:val="18"/>
                <w:szCs w:val="18"/>
              </w:rPr>
              <w:t>Técnico</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A595EE" w14:textId="77777777" w:rsidR="00D5794A" w:rsidRPr="00831C7C" w:rsidRDefault="00D5794A" w:rsidP="00393CC4">
            <w:pPr>
              <w:ind w:left="-15"/>
              <w:jc w:val="center"/>
              <w:rPr>
                <w:b/>
                <w:bCs/>
                <w:color w:val="000000"/>
                <w:sz w:val="18"/>
                <w:szCs w:val="18"/>
              </w:rPr>
            </w:pPr>
            <w:r w:rsidRPr="00831C7C">
              <w:rPr>
                <w:b/>
                <w:bCs/>
                <w:color w:val="000000"/>
                <w:sz w:val="18"/>
                <w:szCs w:val="18"/>
              </w:rPr>
              <w:t>Superior</w:t>
            </w:r>
          </w:p>
        </w:tc>
        <w:tc>
          <w:tcPr>
            <w:tcW w:w="561" w:type="dxa"/>
            <w:tcBorders>
              <w:left w:val="single" w:sz="4" w:space="0" w:color="auto"/>
              <w:bottom w:val="single" w:sz="4" w:space="0" w:color="auto"/>
              <w:right w:val="single" w:sz="4" w:space="0" w:color="auto"/>
            </w:tcBorders>
            <w:vAlign w:val="center"/>
            <w:hideMark/>
          </w:tcPr>
          <w:p w14:paraId="5A75AB11" w14:textId="5D4824B5" w:rsidR="00D5794A" w:rsidRPr="00831C7C" w:rsidRDefault="00D5794A" w:rsidP="00393CC4">
            <w:pPr>
              <w:ind w:left="-15"/>
              <w:jc w:val="center"/>
              <w:rPr>
                <w:b/>
                <w:bCs/>
                <w:color w:val="000000"/>
                <w:sz w:val="18"/>
                <w:szCs w:val="18"/>
              </w:rPr>
            </w:pPr>
            <w:r w:rsidRPr="00D5794A">
              <w:rPr>
                <w:b/>
                <w:bCs/>
                <w:color w:val="000000"/>
                <w:sz w:val="18"/>
                <w:szCs w:val="18"/>
              </w:rPr>
              <w:t>Total</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30A2AF" w14:textId="77777777" w:rsidR="00D5794A" w:rsidRPr="00831C7C" w:rsidRDefault="00D5794A" w:rsidP="00393CC4">
            <w:pPr>
              <w:ind w:left="-15"/>
              <w:jc w:val="center"/>
              <w:rPr>
                <w:b/>
                <w:bCs/>
                <w:color w:val="000000"/>
                <w:sz w:val="18"/>
                <w:szCs w:val="18"/>
              </w:rPr>
            </w:pPr>
            <w:r w:rsidRPr="00831C7C">
              <w:rPr>
                <w:b/>
                <w:bCs/>
                <w:color w:val="000000"/>
                <w:sz w:val="18"/>
                <w:szCs w:val="18"/>
              </w:rPr>
              <w:t>Fundamental</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E08EA" w14:textId="77777777" w:rsidR="00D5794A" w:rsidRPr="00831C7C" w:rsidRDefault="00D5794A" w:rsidP="00393CC4">
            <w:pPr>
              <w:ind w:left="-15"/>
              <w:jc w:val="center"/>
              <w:rPr>
                <w:b/>
                <w:bCs/>
                <w:color w:val="000000"/>
                <w:sz w:val="18"/>
                <w:szCs w:val="18"/>
              </w:rPr>
            </w:pPr>
            <w:r w:rsidRPr="00831C7C">
              <w:rPr>
                <w:b/>
                <w:bCs/>
                <w:color w:val="000000"/>
                <w:sz w:val="18"/>
                <w:szCs w:val="18"/>
              </w:rPr>
              <w:t>Médio</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08BDDE" w14:textId="77777777" w:rsidR="00D5794A" w:rsidRPr="00831C7C" w:rsidRDefault="00D5794A" w:rsidP="00393CC4">
            <w:pPr>
              <w:ind w:left="-15"/>
              <w:jc w:val="center"/>
              <w:rPr>
                <w:b/>
                <w:bCs/>
                <w:color w:val="000000"/>
                <w:sz w:val="18"/>
                <w:szCs w:val="18"/>
              </w:rPr>
            </w:pPr>
            <w:r w:rsidRPr="00831C7C">
              <w:rPr>
                <w:b/>
                <w:bCs/>
                <w:color w:val="000000"/>
                <w:sz w:val="18"/>
                <w:szCs w:val="18"/>
              </w:rPr>
              <w:t>Técnico</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68C4B7" w14:textId="77777777" w:rsidR="00D5794A" w:rsidRPr="00831C7C" w:rsidRDefault="00D5794A" w:rsidP="00393CC4">
            <w:pPr>
              <w:ind w:left="-15"/>
              <w:jc w:val="center"/>
              <w:rPr>
                <w:b/>
                <w:bCs/>
                <w:color w:val="000000"/>
                <w:sz w:val="18"/>
                <w:szCs w:val="18"/>
              </w:rPr>
            </w:pPr>
            <w:r w:rsidRPr="00831C7C">
              <w:rPr>
                <w:b/>
                <w:bCs/>
                <w:color w:val="000000"/>
                <w:sz w:val="18"/>
                <w:szCs w:val="18"/>
              </w:rPr>
              <w:t>Superior</w:t>
            </w:r>
          </w:p>
        </w:tc>
        <w:tc>
          <w:tcPr>
            <w:tcW w:w="567" w:type="dxa"/>
            <w:tcBorders>
              <w:left w:val="single" w:sz="4" w:space="0" w:color="auto"/>
              <w:bottom w:val="single" w:sz="4" w:space="0" w:color="auto"/>
              <w:right w:val="single" w:sz="4" w:space="0" w:color="auto"/>
            </w:tcBorders>
            <w:vAlign w:val="center"/>
            <w:hideMark/>
          </w:tcPr>
          <w:p w14:paraId="0C4F7CDF" w14:textId="286CF341" w:rsidR="00D5794A" w:rsidRPr="00831C7C" w:rsidRDefault="00D5794A" w:rsidP="00393CC4">
            <w:pPr>
              <w:ind w:left="-15"/>
              <w:jc w:val="center"/>
              <w:rPr>
                <w:b/>
                <w:bCs/>
                <w:color w:val="000000"/>
                <w:sz w:val="18"/>
                <w:szCs w:val="18"/>
              </w:rPr>
            </w:pPr>
            <w:r w:rsidRPr="00D5794A">
              <w:rPr>
                <w:b/>
                <w:bCs/>
                <w:color w:val="000000"/>
                <w:sz w:val="18"/>
                <w:szCs w:val="18"/>
              </w:rPr>
              <w:t>Total</w:t>
            </w:r>
          </w:p>
        </w:tc>
        <w:tc>
          <w:tcPr>
            <w:tcW w:w="610" w:type="dxa"/>
            <w:vMerge/>
            <w:tcBorders>
              <w:left w:val="single" w:sz="4" w:space="0" w:color="auto"/>
              <w:bottom w:val="single" w:sz="4" w:space="0" w:color="auto"/>
              <w:right w:val="single" w:sz="4" w:space="0" w:color="auto"/>
            </w:tcBorders>
            <w:vAlign w:val="center"/>
          </w:tcPr>
          <w:p w14:paraId="56185347" w14:textId="77777777" w:rsidR="00D5794A" w:rsidRPr="00D5794A" w:rsidRDefault="00D5794A" w:rsidP="00393CC4">
            <w:pPr>
              <w:ind w:left="-15"/>
              <w:jc w:val="center"/>
              <w:rPr>
                <w:b/>
                <w:bCs/>
                <w:color w:val="000000"/>
                <w:sz w:val="18"/>
                <w:szCs w:val="18"/>
              </w:rPr>
            </w:pPr>
          </w:p>
        </w:tc>
      </w:tr>
      <w:tr w:rsidR="00D5794A" w:rsidRPr="00831C7C" w14:paraId="05D75579"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AC431" w14:textId="0870E8CF" w:rsidR="00D5794A" w:rsidRPr="00831C7C" w:rsidRDefault="00D5794A" w:rsidP="00393CC4">
            <w:pPr>
              <w:ind w:left="-15"/>
              <w:jc w:val="center"/>
              <w:rPr>
                <w:color w:val="000000"/>
                <w:sz w:val="18"/>
                <w:szCs w:val="18"/>
              </w:rPr>
            </w:pPr>
            <w:r w:rsidRPr="00831C7C">
              <w:rPr>
                <w:color w:val="000000"/>
                <w:sz w:val="18"/>
                <w:szCs w:val="18"/>
              </w:rPr>
              <w:t>2</w:t>
            </w:r>
            <w:r w:rsidR="00452E75">
              <w:rPr>
                <w:color w:val="000000"/>
                <w:sz w:val="18"/>
                <w:szCs w:val="18"/>
              </w:rPr>
              <w:t>.</w:t>
            </w:r>
            <w:r w:rsidRPr="00831C7C">
              <w:rPr>
                <w:color w:val="000000"/>
                <w:sz w:val="18"/>
                <w:szCs w:val="18"/>
              </w:rPr>
              <w:t>000,01 a 4</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154DBD" w14:textId="77777777" w:rsidR="00D5794A" w:rsidRPr="00831C7C" w:rsidRDefault="00D5794A" w:rsidP="00393CC4">
            <w:pPr>
              <w:ind w:left="-15"/>
              <w:jc w:val="center"/>
              <w:rPr>
                <w:color w:val="000000"/>
                <w:sz w:val="18"/>
                <w:szCs w:val="18"/>
              </w:rPr>
            </w:pPr>
            <w:r w:rsidRPr="00831C7C">
              <w:rPr>
                <w:color w:val="000000"/>
                <w:sz w:val="18"/>
                <w:szCs w:val="18"/>
              </w:rPr>
              <w:t>797</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541F82" w14:textId="77777777" w:rsidR="00D5794A" w:rsidRPr="00831C7C" w:rsidRDefault="00D5794A" w:rsidP="00393CC4">
            <w:pPr>
              <w:ind w:left="-15"/>
              <w:jc w:val="center"/>
              <w:rPr>
                <w:color w:val="000000"/>
                <w:sz w:val="18"/>
                <w:szCs w:val="18"/>
              </w:rPr>
            </w:pPr>
            <w:r w:rsidRPr="00831C7C">
              <w:rPr>
                <w:color w:val="000000"/>
                <w:sz w:val="18"/>
                <w:szCs w:val="18"/>
              </w:rPr>
              <w:t>6</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497B85" w14:textId="739256C7"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14671E" w14:textId="161B30BB"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C4E6E0" w14:textId="77777777" w:rsidR="00D5794A" w:rsidRPr="00831C7C" w:rsidRDefault="00D5794A" w:rsidP="00393CC4">
            <w:pPr>
              <w:ind w:left="-15"/>
              <w:jc w:val="center"/>
              <w:rPr>
                <w:color w:val="000000"/>
                <w:sz w:val="18"/>
                <w:szCs w:val="18"/>
              </w:rPr>
            </w:pPr>
            <w:r w:rsidRPr="00831C7C">
              <w:rPr>
                <w:color w:val="000000"/>
                <w:sz w:val="18"/>
                <w:szCs w:val="18"/>
              </w:rPr>
              <w:t>803</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DDA1EAD" w14:textId="77777777" w:rsidR="00D5794A" w:rsidRPr="00831C7C" w:rsidRDefault="00D5794A" w:rsidP="00393CC4">
            <w:pPr>
              <w:ind w:left="-15"/>
              <w:jc w:val="center"/>
              <w:rPr>
                <w:color w:val="000000"/>
                <w:sz w:val="18"/>
                <w:szCs w:val="18"/>
              </w:rPr>
            </w:pPr>
            <w:r w:rsidRPr="00831C7C">
              <w:rPr>
                <w:color w:val="000000"/>
                <w:sz w:val="18"/>
                <w:szCs w:val="18"/>
              </w:rPr>
              <w:t>266</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D7C3FD" w14:textId="77777777" w:rsidR="00D5794A" w:rsidRPr="00831C7C" w:rsidRDefault="00D5794A" w:rsidP="00393CC4">
            <w:pPr>
              <w:ind w:left="-15"/>
              <w:jc w:val="center"/>
              <w:rPr>
                <w:color w:val="000000"/>
                <w:sz w:val="18"/>
                <w:szCs w:val="18"/>
              </w:rPr>
            </w:pPr>
            <w:r w:rsidRPr="00831C7C">
              <w:rPr>
                <w:color w:val="000000"/>
                <w:sz w:val="18"/>
                <w:szCs w:val="18"/>
              </w:rPr>
              <w:t>21</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86A564" w14:textId="30F0A9F7"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83B710" w14:textId="48284ECF"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128A19" w14:textId="77777777" w:rsidR="00D5794A" w:rsidRPr="00831C7C" w:rsidRDefault="00D5794A" w:rsidP="00393CC4">
            <w:pPr>
              <w:ind w:left="-15"/>
              <w:jc w:val="center"/>
              <w:rPr>
                <w:color w:val="000000"/>
                <w:sz w:val="18"/>
                <w:szCs w:val="18"/>
              </w:rPr>
            </w:pPr>
            <w:r w:rsidRPr="00831C7C">
              <w:rPr>
                <w:color w:val="000000"/>
                <w:sz w:val="18"/>
                <w:szCs w:val="18"/>
              </w:rPr>
              <w:t>287</w:t>
            </w:r>
          </w:p>
        </w:tc>
        <w:tc>
          <w:tcPr>
            <w:tcW w:w="610" w:type="dxa"/>
            <w:tcBorders>
              <w:top w:val="single" w:sz="4" w:space="0" w:color="auto"/>
              <w:left w:val="nil"/>
              <w:bottom w:val="single" w:sz="4" w:space="0" w:color="auto"/>
              <w:right w:val="single" w:sz="4" w:space="0" w:color="auto"/>
            </w:tcBorders>
            <w:vAlign w:val="center"/>
          </w:tcPr>
          <w:p w14:paraId="6A6ACEB8" w14:textId="658CE1E8" w:rsidR="00D5794A" w:rsidRPr="00831C7C" w:rsidRDefault="00D5794A" w:rsidP="00393CC4">
            <w:pPr>
              <w:ind w:left="-15"/>
              <w:jc w:val="center"/>
              <w:rPr>
                <w:color w:val="000000"/>
                <w:sz w:val="18"/>
                <w:szCs w:val="18"/>
              </w:rPr>
            </w:pPr>
            <w:r w:rsidRPr="00831C7C">
              <w:rPr>
                <w:color w:val="000000"/>
                <w:sz w:val="18"/>
                <w:szCs w:val="18"/>
              </w:rPr>
              <w:t>1</w:t>
            </w:r>
            <w:r w:rsidR="00582422">
              <w:rPr>
                <w:color w:val="000000"/>
                <w:sz w:val="18"/>
                <w:szCs w:val="18"/>
              </w:rPr>
              <w:t>.</w:t>
            </w:r>
            <w:r w:rsidRPr="00831C7C">
              <w:rPr>
                <w:color w:val="000000"/>
                <w:sz w:val="18"/>
                <w:szCs w:val="18"/>
              </w:rPr>
              <w:t>090</w:t>
            </w:r>
          </w:p>
        </w:tc>
      </w:tr>
      <w:tr w:rsidR="00D5794A" w:rsidRPr="00831C7C" w14:paraId="56A07F41"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6BAEE" w14:textId="4F17D6D4" w:rsidR="00D5794A" w:rsidRPr="00831C7C" w:rsidRDefault="00D5794A" w:rsidP="00393CC4">
            <w:pPr>
              <w:ind w:left="-15"/>
              <w:jc w:val="center"/>
              <w:rPr>
                <w:color w:val="000000"/>
                <w:sz w:val="18"/>
                <w:szCs w:val="18"/>
              </w:rPr>
            </w:pPr>
            <w:r w:rsidRPr="00831C7C">
              <w:rPr>
                <w:color w:val="000000"/>
                <w:sz w:val="18"/>
                <w:szCs w:val="18"/>
              </w:rPr>
              <w:t>4</w:t>
            </w:r>
            <w:r w:rsidR="00452E75">
              <w:rPr>
                <w:color w:val="000000"/>
                <w:sz w:val="18"/>
                <w:szCs w:val="18"/>
              </w:rPr>
              <w:t>.</w:t>
            </w:r>
            <w:r w:rsidRPr="00831C7C">
              <w:rPr>
                <w:color w:val="000000"/>
                <w:sz w:val="18"/>
                <w:szCs w:val="18"/>
              </w:rPr>
              <w:t>000,01 a 6</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6E0A3E" w14:textId="77777777" w:rsidR="00D5794A" w:rsidRPr="00831C7C" w:rsidRDefault="00D5794A" w:rsidP="00393CC4">
            <w:pPr>
              <w:ind w:left="-15"/>
              <w:jc w:val="center"/>
              <w:rPr>
                <w:color w:val="000000"/>
                <w:sz w:val="18"/>
                <w:szCs w:val="18"/>
              </w:rPr>
            </w:pPr>
            <w:r w:rsidRPr="00831C7C">
              <w:rPr>
                <w:color w:val="000000"/>
                <w:sz w:val="18"/>
                <w:szCs w:val="18"/>
              </w:rPr>
              <w:t>17</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8B8E78" w14:textId="77777777" w:rsidR="00D5794A" w:rsidRPr="00831C7C" w:rsidRDefault="00D5794A" w:rsidP="00393CC4">
            <w:pPr>
              <w:ind w:left="-15"/>
              <w:jc w:val="center"/>
              <w:rPr>
                <w:color w:val="000000"/>
                <w:sz w:val="18"/>
                <w:szCs w:val="18"/>
              </w:rPr>
            </w:pPr>
            <w:r w:rsidRPr="00831C7C">
              <w:rPr>
                <w:color w:val="000000"/>
                <w:sz w:val="18"/>
                <w:szCs w:val="18"/>
              </w:rPr>
              <w:t>410</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E54FEF" w14:textId="3D6C956D" w:rsidR="00D5794A" w:rsidRPr="00831C7C" w:rsidRDefault="00D5794A" w:rsidP="00393CC4">
            <w:pPr>
              <w:ind w:left="-15"/>
              <w:jc w:val="center"/>
              <w:rPr>
                <w:color w:val="000000"/>
                <w:sz w:val="18"/>
                <w:szCs w:val="18"/>
              </w:rPr>
            </w:pPr>
            <w:r w:rsidRPr="00831C7C">
              <w:rPr>
                <w:color w:val="000000"/>
                <w:sz w:val="18"/>
                <w:szCs w:val="18"/>
              </w:rPr>
              <w:t>1</w:t>
            </w:r>
            <w:r w:rsidR="00582422">
              <w:rPr>
                <w:color w:val="000000"/>
                <w:sz w:val="18"/>
                <w:szCs w:val="18"/>
              </w:rPr>
              <w:t>.</w:t>
            </w:r>
            <w:r w:rsidRPr="00831C7C">
              <w:rPr>
                <w:color w:val="000000"/>
                <w:sz w:val="18"/>
                <w:szCs w:val="18"/>
              </w:rPr>
              <w:t>308</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386275" w14:textId="6FD8DC03"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260C28" w14:textId="6B91EB25" w:rsidR="00D5794A" w:rsidRPr="00831C7C" w:rsidRDefault="00D5794A" w:rsidP="00393CC4">
            <w:pPr>
              <w:ind w:left="-15"/>
              <w:jc w:val="center"/>
              <w:rPr>
                <w:color w:val="000000"/>
                <w:sz w:val="18"/>
                <w:szCs w:val="18"/>
              </w:rPr>
            </w:pPr>
            <w:r w:rsidRPr="00831C7C">
              <w:rPr>
                <w:color w:val="000000"/>
                <w:sz w:val="18"/>
                <w:szCs w:val="18"/>
              </w:rPr>
              <w:t>1</w:t>
            </w:r>
            <w:r w:rsidR="00582422">
              <w:rPr>
                <w:color w:val="000000"/>
                <w:sz w:val="18"/>
                <w:szCs w:val="18"/>
              </w:rPr>
              <w:t>.</w:t>
            </w:r>
            <w:r w:rsidRPr="00831C7C">
              <w:rPr>
                <w:color w:val="000000"/>
                <w:sz w:val="18"/>
                <w:szCs w:val="18"/>
              </w:rPr>
              <w:t>735</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AD1259" w14:textId="77777777" w:rsidR="00D5794A" w:rsidRPr="00831C7C" w:rsidRDefault="00D5794A" w:rsidP="00393CC4">
            <w:pPr>
              <w:ind w:left="-15"/>
              <w:jc w:val="center"/>
              <w:rPr>
                <w:color w:val="000000"/>
                <w:sz w:val="18"/>
                <w:szCs w:val="18"/>
              </w:rPr>
            </w:pPr>
            <w:r w:rsidRPr="00831C7C">
              <w:rPr>
                <w:color w:val="000000"/>
                <w:sz w:val="18"/>
                <w:szCs w:val="18"/>
              </w:rPr>
              <w:t>89</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A5ECE6" w14:textId="77777777" w:rsidR="00D5794A" w:rsidRPr="00831C7C" w:rsidRDefault="00D5794A" w:rsidP="00393CC4">
            <w:pPr>
              <w:ind w:left="-15"/>
              <w:jc w:val="center"/>
              <w:rPr>
                <w:color w:val="000000"/>
                <w:sz w:val="18"/>
                <w:szCs w:val="18"/>
              </w:rPr>
            </w:pPr>
            <w:r w:rsidRPr="00831C7C">
              <w:rPr>
                <w:color w:val="000000"/>
                <w:sz w:val="18"/>
                <w:szCs w:val="18"/>
              </w:rPr>
              <w:t>292</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7E0419" w14:textId="77777777" w:rsidR="00D5794A" w:rsidRPr="00831C7C" w:rsidRDefault="00D5794A" w:rsidP="00393CC4">
            <w:pPr>
              <w:ind w:left="-15"/>
              <w:jc w:val="center"/>
              <w:rPr>
                <w:color w:val="000000"/>
                <w:sz w:val="18"/>
                <w:szCs w:val="18"/>
              </w:rPr>
            </w:pPr>
            <w:r w:rsidRPr="00831C7C">
              <w:rPr>
                <w:color w:val="000000"/>
                <w:sz w:val="18"/>
                <w:szCs w:val="18"/>
              </w:rPr>
              <w:t>262</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03D66" w14:textId="7B83A11F"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BF057E1" w14:textId="77777777" w:rsidR="00D5794A" w:rsidRPr="00831C7C" w:rsidRDefault="00D5794A" w:rsidP="00393CC4">
            <w:pPr>
              <w:ind w:left="-15"/>
              <w:jc w:val="center"/>
              <w:rPr>
                <w:color w:val="000000"/>
                <w:sz w:val="18"/>
                <w:szCs w:val="18"/>
              </w:rPr>
            </w:pPr>
            <w:r w:rsidRPr="00831C7C">
              <w:rPr>
                <w:color w:val="000000"/>
                <w:sz w:val="18"/>
                <w:szCs w:val="18"/>
              </w:rPr>
              <w:t>643</w:t>
            </w:r>
          </w:p>
        </w:tc>
        <w:tc>
          <w:tcPr>
            <w:tcW w:w="610" w:type="dxa"/>
            <w:tcBorders>
              <w:top w:val="single" w:sz="4" w:space="0" w:color="auto"/>
              <w:left w:val="nil"/>
              <w:bottom w:val="single" w:sz="4" w:space="0" w:color="auto"/>
              <w:right w:val="single" w:sz="4" w:space="0" w:color="auto"/>
            </w:tcBorders>
            <w:vAlign w:val="center"/>
          </w:tcPr>
          <w:p w14:paraId="17818F31" w14:textId="19B2ED98" w:rsidR="00D5794A" w:rsidRPr="00831C7C" w:rsidRDefault="00D5794A" w:rsidP="00393CC4">
            <w:pPr>
              <w:ind w:left="-15"/>
              <w:jc w:val="center"/>
              <w:rPr>
                <w:color w:val="000000"/>
                <w:sz w:val="18"/>
                <w:szCs w:val="18"/>
              </w:rPr>
            </w:pPr>
            <w:r w:rsidRPr="00831C7C">
              <w:rPr>
                <w:color w:val="000000"/>
                <w:sz w:val="18"/>
                <w:szCs w:val="18"/>
              </w:rPr>
              <w:t>2</w:t>
            </w:r>
            <w:r w:rsidR="00582422">
              <w:rPr>
                <w:color w:val="000000"/>
                <w:sz w:val="18"/>
                <w:szCs w:val="18"/>
              </w:rPr>
              <w:t>.</w:t>
            </w:r>
            <w:r w:rsidRPr="00831C7C">
              <w:rPr>
                <w:color w:val="000000"/>
                <w:sz w:val="18"/>
                <w:szCs w:val="18"/>
              </w:rPr>
              <w:t>378</w:t>
            </w:r>
          </w:p>
        </w:tc>
      </w:tr>
      <w:tr w:rsidR="00D5794A" w:rsidRPr="00831C7C" w14:paraId="6335B149"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ED679" w14:textId="735DBAB9" w:rsidR="00D5794A" w:rsidRPr="00831C7C" w:rsidRDefault="00D5794A" w:rsidP="00393CC4">
            <w:pPr>
              <w:ind w:left="-15"/>
              <w:jc w:val="center"/>
              <w:rPr>
                <w:color w:val="000000"/>
                <w:sz w:val="18"/>
                <w:szCs w:val="18"/>
              </w:rPr>
            </w:pPr>
            <w:r w:rsidRPr="00831C7C">
              <w:rPr>
                <w:color w:val="000000"/>
                <w:sz w:val="18"/>
                <w:szCs w:val="18"/>
              </w:rPr>
              <w:t>6</w:t>
            </w:r>
            <w:r w:rsidR="00452E75">
              <w:rPr>
                <w:color w:val="000000"/>
                <w:sz w:val="18"/>
                <w:szCs w:val="18"/>
              </w:rPr>
              <w:t>.</w:t>
            </w:r>
            <w:r w:rsidRPr="00831C7C">
              <w:rPr>
                <w:color w:val="000000"/>
                <w:sz w:val="18"/>
                <w:szCs w:val="18"/>
              </w:rPr>
              <w:t>000,01 a 8</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B6D573" w14:textId="30E0F4AD"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27490F" w14:textId="77777777" w:rsidR="00D5794A" w:rsidRPr="00831C7C" w:rsidRDefault="00D5794A" w:rsidP="00393CC4">
            <w:pPr>
              <w:ind w:left="-15"/>
              <w:jc w:val="center"/>
              <w:rPr>
                <w:color w:val="000000"/>
                <w:sz w:val="18"/>
                <w:szCs w:val="18"/>
              </w:rPr>
            </w:pPr>
            <w:r w:rsidRPr="00831C7C">
              <w:rPr>
                <w:color w:val="000000"/>
                <w:sz w:val="18"/>
                <w:szCs w:val="18"/>
              </w:rPr>
              <w:t>232</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2AABB3" w14:textId="77777777" w:rsidR="00D5794A" w:rsidRPr="00831C7C" w:rsidRDefault="00D5794A" w:rsidP="00393CC4">
            <w:pPr>
              <w:ind w:left="-15"/>
              <w:jc w:val="center"/>
              <w:rPr>
                <w:color w:val="000000"/>
                <w:sz w:val="18"/>
                <w:szCs w:val="18"/>
              </w:rPr>
            </w:pPr>
            <w:r w:rsidRPr="00831C7C">
              <w:rPr>
                <w:color w:val="000000"/>
                <w:sz w:val="18"/>
                <w:szCs w:val="18"/>
              </w:rPr>
              <w:t>632</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09D767" w14:textId="77777777" w:rsidR="00D5794A" w:rsidRPr="00831C7C" w:rsidRDefault="00D5794A" w:rsidP="00393CC4">
            <w:pPr>
              <w:ind w:left="-15"/>
              <w:jc w:val="center"/>
              <w:rPr>
                <w:color w:val="000000"/>
                <w:sz w:val="18"/>
                <w:szCs w:val="18"/>
              </w:rPr>
            </w:pPr>
            <w:r w:rsidRPr="00831C7C">
              <w:rPr>
                <w:color w:val="000000"/>
                <w:sz w:val="18"/>
                <w:szCs w:val="18"/>
              </w:rPr>
              <w:t>83</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998168" w14:textId="77777777" w:rsidR="00D5794A" w:rsidRPr="00831C7C" w:rsidRDefault="00D5794A" w:rsidP="00393CC4">
            <w:pPr>
              <w:ind w:left="-15"/>
              <w:jc w:val="center"/>
              <w:rPr>
                <w:color w:val="000000"/>
                <w:sz w:val="18"/>
                <w:szCs w:val="18"/>
              </w:rPr>
            </w:pPr>
            <w:r w:rsidRPr="00831C7C">
              <w:rPr>
                <w:color w:val="000000"/>
                <w:sz w:val="18"/>
                <w:szCs w:val="18"/>
              </w:rPr>
              <w:t>947</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063757" w14:textId="77777777" w:rsidR="00D5794A" w:rsidRPr="00831C7C" w:rsidRDefault="00D5794A" w:rsidP="00393CC4">
            <w:pPr>
              <w:ind w:left="-15"/>
              <w:jc w:val="center"/>
              <w:rPr>
                <w:color w:val="000000"/>
                <w:sz w:val="18"/>
                <w:szCs w:val="18"/>
              </w:rPr>
            </w:pPr>
            <w:r w:rsidRPr="00831C7C">
              <w:rPr>
                <w:color w:val="000000"/>
                <w:sz w:val="18"/>
                <w:szCs w:val="18"/>
              </w:rPr>
              <w:t>3</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F85E62A" w14:textId="77777777" w:rsidR="00D5794A" w:rsidRPr="00831C7C" w:rsidRDefault="00D5794A" w:rsidP="00393CC4">
            <w:pPr>
              <w:ind w:left="-15"/>
              <w:jc w:val="center"/>
              <w:rPr>
                <w:color w:val="000000"/>
                <w:sz w:val="18"/>
                <w:szCs w:val="18"/>
              </w:rPr>
            </w:pPr>
            <w:r w:rsidRPr="00831C7C">
              <w:rPr>
                <w:color w:val="000000"/>
                <w:sz w:val="18"/>
                <w:szCs w:val="18"/>
              </w:rPr>
              <w:t>152</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DB9FC5" w14:textId="77777777" w:rsidR="00D5794A" w:rsidRPr="00831C7C" w:rsidRDefault="00D5794A" w:rsidP="00393CC4">
            <w:pPr>
              <w:ind w:left="-15"/>
              <w:jc w:val="center"/>
              <w:rPr>
                <w:color w:val="000000"/>
                <w:sz w:val="18"/>
                <w:szCs w:val="18"/>
              </w:rPr>
            </w:pPr>
            <w:r w:rsidRPr="00831C7C">
              <w:rPr>
                <w:color w:val="000000"/>
                <w:sz w:val="18"/>
                <w:szCs w:val="18"/>
              </w:rPr>
              <w:t>171</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CF91E" w14:textId="77777777" w:rsidR="00D5794A" w:rsidRPr="00831C7C" w:rsidRDefault="00D5794A" w:rsidP="00393CC4">
            <w:pPr>
              <w:ind w:left="-15"/>
              <w:jc w:val="center"/>
              <w:rPr>
                <w:color w:val="000000"/>
                <w:sz w:val="18"/>
                <w:szCs w:val="18"/>
              </w:rPr>
            </w:pPr>
            <w:r w:rsidRPr="00831C7C">
              <w:rPr>
                <w:color w:val="000000"/>
                <w:sz w:val="18"/>
                <w:szCs w:val="18"/>
              </w:rPr>
              <w:t>12</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3DE8B6" w14:textId="77777777" w:rsidR="00D5794A" w:rsidRPr="00831C7C" w:rsidRDefault="00D5794A" w:rsidP="00393CC4">
            <w:pPr>
              <w:ind w:left="-15"/>
              <w:jc w:val="center"/>
              <w:rPr>
                <w:color w:val="000000"/>
                <w:sz w:val="18"/>
                <w:szCs w:val="18"/>
              </w:rPr>
            </w:pPr>
            <w:r w:rsidRPr="00831C7C">
              <w:rPr>
                <w:color w:val="000000"/>
                <w:sz w:val="18"/>
                <w:szCs w:val="18"/>
              </w:rPr>
              <w:t>338</w:t>
            </w:r>
          </w:p>
        </w:tc>
        <w:tc>
          <w:tcPr>
            <w:tcW w:w="610" w:type="dxa"/>
            <w:tcBorders>
              <w:top w:val="single" w:sz="4" w:space="0" w:color="auto"/>
              <w:left w:val="nil"/>
              <w:bottom w:val="single" w:sz="4" w:space="0" w:color="auto"/>
              <w:right w:val="single" w:sz="4" w:space="0" w:color="auto"/>
            </w:tcBorders>
            <w:vAlign w:val="center"/>
          </w:tcPr>
          <w:p w14:paraId="37CC35C6" w14:textId="0C2C81FA" w:rsidR="00D5794A" w:rsidRPr="00831C7C" w:rsidRDefault="00D5794A" w:rsidP="00393CC4">
            <w:pPr>
              <w:ind w:left="-15"/>
              <w:jc w:val="center"/>
              <w:rPr>
                <w:color w:val="000000"/>
                <w:sz w:val="18"/>
                <w:szCs w:val="18"/>
              </w:rPr>
            </w:pPr>
            <w:r w:rsidRPr="00831C7C">
              <w:rPr>
                <w:color w:val="000000"/>
                <w:sz w:val="18"/>
                <w:szCs w:val="18"/>
              </w:rPr>
              <w:t>1</w:t>
            </w:r>
            <w:r w:rsidR="00582422">
              <w:rPr>
                <w:color w:val="000000"/>
                <w:sz w:val="18"/>
                <w:szCs w:val="18"/>
              </w:rPr>
              <w:t>.</w:t>
            </w:r>
            <w:r w:rsidRPr="00831C7C">
              <w:rPr>
                <w:color w:val="000000"/>
                <w:sz w:val="18"/>
                <w:szCs w:val="18"/>
              </w:rPr>
              <w:t>285</w:t>
            </w:r>
          </w:p>
        </w:tc>
      </w:tr>
      <w:tr w:rsidR="00D5794A" w:rsidRPr="00831C7C" w14:paraId="72594C4A"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F2DD7" w14:textId="4A9BD018" w:rsidR="00D5794A" w:rsidRPr="00831C7C" w:rsidRDefault="00D5794A" w:rsidP="00393CC4">
            <w:pPr>
              <w:ind w:left="-15"/>
              <w:jc w:val="center"/>
              <w:rPr>
                <w:color w:val="000000"/>
                <w:sz w:val="18"/>
                <w:szCs w:val="18"/>
              </w:rPr>
            </w:pPr>
            <w:r w:rsidRPr="00831C7C">
              <w:rPr>
                <w:color w:val="000000"/>
                <w:sz w:val="18"/>
                <w:szCs w:val="18"/>
              </w:rPr>
              <w:t>8</w:t>
            </w:r>
            <w:r w:rsidR="00452E75">
              <w:rPr>
                <w:color w:val="000000"/>
                <w:sz w:val="18"/>
                <w:szCs w:val="18"/>
              </w:rPr>
              <w:t>.</w:t>
            </w:r>
            <w:r w:rsidRPr="00831C7C">
              <w:rPr>
                <w:color w:val="000000"/>
                <w:sz w:val="18"/>
                <w:szCs w:val="18"/>
              </w:rPr>
              <w:t>000,01 a 10</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EE4F4D" w14:textId="188B1FFD"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64E74E" w14:textId="77777777" w:rsidR="00D5794A" w:rsidRPr="00831C7C" w:rsidRDefault="00D5794A" w:rsidP="00393CC4">
            <w:pPr>
              <w:ind w:left="-15"/>
              <w:jc w:val="center"/>
              <w:rPr>
                <w:color w:val="000000"/>
                <w:sz w:val="18"/>
                <w:szCs w:val="18"/>
              </w:rPr>
            </w:pPr>
            <w:r w:rsidRPr="00831C7C">
              <w:rPr>
                <w:color w:val="000000"/>
                <w:sz w:val="18"/>
                <w:szCs w:val="18"/>
              </w:rPr>
              <w:t>17</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0A8D3B" w14:textId="77777777" w:rsidR="00D5794A" w:rsidRPr="00831C7C" w:rsidRDefault="00D5794A" w:rsidP="00393CC4">
            <w:pPr>
              <w:ind w:left="-15"/>
              <w:jc w:val="center"/>
              <w:rPr>
                <w:color w:val="000000"/>
                <w:sz w:val="18"/>
                <w:szCs w:val="18"/>
              </w:rPr>
            </w:pPr>
            <w:r w:rsidRPr="00831C7C">
              <w:rPr>
                <w:color w:val="000000"/>
                <w:sz w:val="18"/>
                <w:szCs w:val="18"/>
              </w:rPr>
              <w:t>4</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D8C782" w14:textId="77777777" w:rsidR="00D5794A" w:rsidRPr="00831C7C" w:rsidRDefault="00D5794A" w:rsidP="00393CC4">
            <w:pPr>
              <w:ind w:left="-15"/>
              <w:jc w:val="center"/>
              <w:rPr>
                <w:color w:val="000000"/>
                <w:sz w:val="18"/>
                <w:szCs w:val="18"/>
              </w:rPr>
            </w:pPr>
            <w:r w:rsidRPr="00831C7C">
              <w:rPr>
                <w:color w:val="000000"/>
                <w:sz w:val="18"/>
                <w:szCs w:val="18"/>
              </w:rPr>
              <w:t>503</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A8D1B" w14:textId="77777777" w:rsidR="00D5794A" w:rsidRPr="00831C7C" w:rsidRDefault="00D5794A" w:rsidP="00393CC4">
            <w:pPr>
              <w:ind w:left="-15"/>
              <w:jc w:val="center"/>
              <w:rPr>
                <w:color w:val="000000"/>
                <w:sz w:val="18"/>
                <w:szCs w:val="18"/>
              </w:rPr>
            </w:pPr>
            <w:r w:rsidRPr="00831C7C">
              <w:rPr>
                <w:color w:val="000000"/>
                <w:sz w:val="18"/>
                <w:szCs w:val="18"/>
              </w:rPr>
              <w:t>524</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B43E92" w14:textId="0BB2BC7A"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D120F6" w14:textId="77777777" w:rsidR="00D5794A" w:rsidRPr="00831C7C" w:rsidRDefault="00D5794A" w:rsidP="00393CC4">
            <w:pPr>
              <w:ind w:left="-15"/>
              <w:jc w:val="center"/>
              <w:rPr>
                <w:color w:val="000000"/>
                <w:sz w:val="18"/>
                <w:szCs w:val="18"/>
              </w:rPr>
            </w:pPr>
            <w:r w:rsidRPr="00831C7C">
              <w:rPr>
                <w:color w:val="000000"/>
                <w:sz w:val="18"/>
                <w:szCs w:val="18"/>
              </w:rPr>
              <w:t>48</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EA4081" w14:textId="77777777" w:rsidR="00D5794A" w:rsidRPr="00831C7C" w:rsidRDefault="00D5794A" w:rsidP="00393CC4">
            <w:pPr>
              <w:ind w:left="-15"/>
              <w:jc w:val="center"/>
              <w:rPr>
                <w:color w:val="000000"/>
                <w:sz w:val="18"/>
                <w:szCs w:val="18"/>
              </w:rPr>
            </w:pPr>
            <w:r w:rsidRPr="00831C7C">
              <w:rPr>
                <w:color w:val="000000"/>
                <w:sz w:val="18"/>
                <w:szCs w:val="18"/>
              </w:rPr>
              <w:t>2</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B9651D" w14:textId="77777777" w:rsidR="00D5794A" w:rsidRPr="00831C7C" w:rsidRDefault="00D5794A" w:rsidP="00393CC4">
            <w:pPr>
              <w:ind w:left="-15"/>
              <w:jc w:val="center"/>
              <w:rPr>
                <w:color w:val="000000"/>
                <w:sz w:val="18"/>
                <w:szCs w:val="18"/>
              </w:rPr>
            </w:pPr>
            <w:r w:rsidRPr="00831C7C">
              <w:rPr>
                <w:color w:val="000000"/>
                <w:sz w:val="18"/>
                <w:szCs w:val="18"/>
              </w:rPr>
              <w:t>89</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68D19D" w14:textId="77777777" w:rsidR="00D5794A" w:rsidRPr="00831C7C" w:rsidRDefault="00D5794A" w:rsidP="00393CC4">
            <w:pPr>
              <w:ind w:left="-15"/>
              <w:jc w:val="center"/>
              <w:rPr>
                <w:color w:val="000000"/>
                <w:sz w:val="18"/>
                <w:szCs w:val="18"/>
              </w:rPr>
            </w:pPr>
            <w:r w:rsidRPr="00831C7C">
              <w:rPr>
                <w:color w:val="000000"/>
                <w:sz w:val="18"/>
                <w:szCs w:val="18"/>
              </w:rPr>
              <w:t>139</w:t>
            </w:r>
          </w:p>
        </w:tc>
        <w:tc>
          <w:tcPr>
            <w:tcW w:w="610" w:type="dxa"/>
            <w:tcBorders>
              <w:top w:val="single" w:sz="4" w:space="0" w:color="auto"/>
              <w:left w:val="nil"/>
              <w:bottom w:val="single" w:sz="4" w:space="0" w:color="auto"/>
              <w:right w:val="single" w:sz="4" w:space="0" w:color="auto"/>
            </w:tcBorders>
            <w:vAlign w:val="center"/>
          </w:tcPr>
          <w:p w14:paraId="685273E8" w14:textId="745DC7F8" w:rsidR="00D5794A" w:rsidRPr="00831C7C" w:rsidRDefault="00D5794A" w:rsidP="00393CC4">
            <w:pPr>
              <w:ind w:left="-15"/>
              <w:jc w:val="center"/>
              <w:rPr>
                <w:color w:val="000000"/>
                <w:sz w:val="18"/>
                <w:szCs w:val="18"/>
              </w:rPr>
            </w:pPr>
            <w:r w:rsidRPr="00831C7C">
              <w:rPr>
                <w:color w:val="000000"/>
                <w:sz w:val="18"/>
                <w:szCs w:val="18"/>
              </w:rPr>
              <w:t>663</w:t>
            </w:r>
          </w:p>
        </w:tc>
      </w:tr>
      <w:tr w:rsidR="00D5794A" w:rsidRPr="00831C7C" w14:paraId="372E3031"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09782" w14:textId="6DAD9391" w:rsidR="00D5794A" w:rsidRPr="00831C7C" w:rsidRDefault="00D5794A" w:rsidP="00393CC4">
            <w:pPr>
              <w:ind w:left="-15"/>
              <w:jc w:val="center"/>
              <w:rPr>
                <w:color w:val="000000"/>
                <w:sz w:val="18"/>
                <w:szCs w:val="18"/>
              </w:rPr>
            </w:pPr>
            <w:r w:rsidRPr="00831C7C">
              <w:rPr>
                <w:color w:val="000000"/>
                <w:sz w:val="18"/>
                <w:szCs w:val="18"/>
              </w:rPr>
              <w:t>10</w:t>
            </w:r>
            <w:r w:rsidR="00452E75">
              <w:rPr>
                <w:color w:val="000000"/>
                <w:sz w:val="18"/>
                <w:szCs w:val="18"/>
              </w:rPr>
              <w:t>.</w:t>
            </w:r>
            <w:r w:rsidRPr="00831C7C">
              <w:rPr>
                <w:color w:val="000000"/>
                <w:sz w:val="18"/>
                <w:szCs w:val="18"/>
              </w:rPr>
              <w:t>000,01 a 12</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515454" w14:textId="47E93754"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1D0F41" w14:textId="77777777" w:rsidR="00D5794A" w:rsidRPr="00831C7C" w:rsidRDefault="00D5794A" w:rsidP="00393CC4">
            <w:pPr>
              <w:ind w:left="-15"/>
              <w:jc w:val="center"/>
              <w:rPr>
                <w:color w:val="000000"/>
                <w:sz w:val="18"/>
                <w:szCs w:val="18"/>
              </w:rPr>
            </w:pPr>
            <w:r w:rsidRPr="00831C7C">
              <w:rPr>
                <w:color w:val="000000"/>
                <w:sz w:val="18"/>
                <w:szCs w:val="18"/>
              </w:rPr>
              <w:t>1</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DF0A74" w14:textId="1BFEAC1B"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A0D5D1" w14:textId="77777777" w:rsidR="00D5794A" w:rsidRPr="00831C7C" w:rsidRDefault="00D5794A" w:rsidP="00393CC4">
            <w:pPr>
              <w:ind w:left="-15"/>
              <w:jc w:val="center"/>
              <w:rPr>
                <w:color w:val="000000"/>
                <w:sz w:val="18"/>
                <w:szCs w:val="18"/>
              </w:rPr>
            </w:pPr>
            <w:r w:rsidRPr="00831C7C">
              <w:rPr>
                <w:color w:val="000000"/>
                <w:sz w:val="18"/>
                <w:szCs w:val="18"/>
              </w:rPr>
              <w:t>397</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F3765F3" w14:textId="77777777" w:rsidR="00D5794A" w:rsidRPr="00831C7C" w:rsidRDefault="00D5794A" w:rsidP="00393CC4">
            <w:pPr>
              <w:ind w:left="-15"/>
              <w:jc w:val="center"/>
              <w:rPr>
                <w:color w:val="000000"/>
                <w:sz w:val="18"/>
                <w:szCs w:val="18"/>
              </w:rPr>
            </w:pPr>
            <w:r w:rsidRPr="00831C7C">
              <w:rPr>
                <w:color w:val="000000"/>
                <w:sz w:val="18"/>
                <w:szCs w:val="18"/>
              </w:rPr>
              <w:t>398</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4F0FDE" w14:textId="07A314D0"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09A7A" w14:textId="77777777" w:rsidR="00D5794A" w:rsidRPr="00831C7C" w:rsidRDefault="00D5794A" w:rsidP="00393CC4">
            <w:pPr>
              <w:ind w:left="-15"/>
              <w:jc w:val="center"/>
              <w:rPr>
                <w:color w:val="000000"/>
                <w:sz w:val="18"/>
                <w:szCs w:val="18"/>
              </w:rPr>
            </w:pPr>
            <w:r w:rsidRPr="00831C7C">
              <w:rPr>
                <w:color w:val="000000"/>
                <w:sz w:val="18"/>
                <w:szCs w:val="18"/>
              </w:rPr>
              <w:t>24</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D32A8F" w14:textId="0A421550"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14B3E5" w14:textId="77777777" w:rsidR="00D5794A" w:rsidRPr="00831C7C" w:rsidRDefault="00D5794A" w:rsidP="00393CC4">
            <w:pPr>
              <w:ind w:left="-15"/>
              <w:jc w:val="center"/>
              <w:rPr>
                <w:color w:val="000000"/>
                <w:sz w:val="18"/>
                <w:szCs w:val="18"/>
              </w:rPr>
            </w:pPr>
            <w:r w:rsidRPr="00831C7C">
              <w:rPr>
                <w:color w:val="000000"/>
                <w:sz w:val="18"/>
                <w:szCs w:val="18"/>
              </w:rPr>
              <w:t>178</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465374" w14:textId="77777777" w:rsidR="00D5794A" w:rsidRPr="00831C7C" w:rsidRDefault="00D5794A" w:rsidP="00393CC4">
            <w:pPr>
              <w:ind w:left="-15"/>
              <w:jc w:val="center"/>
              <w:rPr>
                <w:color w:val="000000"/>
                <w:sz w:val="18"/>
                <w:szCs w:val="18"/>
              </w:rPr>
            </w:pPr>
            <w:r w:rsidRPr="00831C7C">
              <w:rPr>
                <w:color w:val="000000"/>
                <w:sz w:val="18"/>
                <w:szCs w:val="18"/>
              </w:rPr>
              <w:t>202</w:t>
            </w:r>
          </w:p>
        </w:tc>
        <w:tc>
          <w:tcPr>
            <w:tcW w:w="610" w:type="dxa"/>
            <w:tcBorders>
              <w:top w:val="single" w:sz="4" w:space="0" w:color="auto"/>
              <w:left w:val="nil"/>
              <w:bottom w:val="single" w:sz="4" w:space="0" w:color="auto"/>
              <w:right w:val="single" w:sz="4" w:space="0" w:color="auto"/>
            </w:tcBorders>
            <w:vAlign w:val="center"/>
          </w:tcPr>
          <w:p w14:paraId="24DF009F" w14:textId="4CCD65B6" w:rsidR="00D5794A" w:rsidRPr="00831C7C" w:rsidRDefault="00D5794A" w:rsidP="00393CC4">
            <w:pPr>
              <w:ind w:left="-15"/>
              <w:jc w:val="center"/>
              <w:rPr>
                <w:color w:val="000000"/>
                <w:sz w:val="18"/>
                <w:szCs w:val="18"/>
              </w:rPr>
            </w:pPr>
            <w:r w:rsidRPr="00831C7C">
              <w:rPr>
                <w:color w:val="000000"/>
                <w:sz w:val="18"/>
                <w:szCs w:val="18"/>
              </w:rPr>
              <w:t>600</w:t>
            </w:r>
          </w:p>
        </w:tc>
      </w:tr>
      <w:tr w:rsidR="00D5794A" w:rsidRPr="00831C7C" w14:paraId="2A099ADC"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B95CE" w14:textId="38A1E289" w:rsidR="00D5794A" w:rsidRPr="00831C7C" w:rsidRDefault="00D5794A" w:rsidP="00393CC4">
            <w:pPr>
              <w:ind w:left="-15"/>
              <w:jc w:val="center"/>
              <w:rPr>
                <w:color w:val="000000"/>
                <w:sz w:val="18"/>
                <w:szCs w:val="18"/>
              </w:rPr>
            </w:pPr>
            <w:r w:rsidRPr="00831C7C">
              <w:rPr>
                <w:color w:val="000000"/>
                <w:sz w:val="18"/>
                <w:szCs w:val="18"/>
              </w:rPr>
              <w:t>12</w:t>
            </w:r>
            <w:r w:rsidR="00452E75">
              <w:rPr>
                <w:color w:val="000000"/>
                <w:sz w:val="18"/>
                <w:szCs w:val="18"/>
              </w:rPr>
              <w:t>.</w:t>
            </w:r>
            <w:r w:rsidRPr="00831C7C">
              <w:rPr>
                <w:color w:val="000000"/>
                <w:sz w:val="18"/>
                <w:szCs w:val="18"/>
              </w:rPr>
              <w:t>000,01 a 14</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AEB6AF" w14:textId="5B83AF83"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A32FEA" w14:textId="15297C57"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721AC5" w14:textId="1C3C78BC"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79CD95" w14:textId="77777777" w:rsidR="00D5794A" w:rsidRPr="00831C7C" w:rsidRDefault="00D5794A" w:rsidP="00393CC4">
            <w:pPr>
              <w:ind w:left="-15"/>
              <w:jc w:val="center"/>
              <w:rPr>
                <w:color w:val="000000"/>
                <w:sz w:val="18"/>
                <w:szCs w:val="18"/>
              </w:rPr>
            </w:pPr>
            <w:r w:rsidRPr="00831C7C">
              <w:rPr>
                <w:color w:val="000000"/>
                <w:sz w:val="18"/>
                <w:szCs w:val="18"/>
              </w:rPr>
              <w:t>307</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0BB0D" w14:textId="77777777" w:rsidR="00D5794A" w:rsidRPr="00831C7C" w:rsidRDefault="00D5794A" w:rsidP="00393CC4">
            <w:pPr>
              <w:ind w:left="-15"/>
              <w:jc w:val="center"/>
              <w:rPr>
                <w:color w:val="000000"/>
                <w:sz w:val="18"/>
                <w:szCs w:val="18"/>
              </w:rPr>
            </w:pPr>
            <w:r w:rsidRPr="00831C7C">
              <w:rPr>
                <w:color w:val="000000"/>
                <w:sz w:val="18"/>
                <w:szCs w:val="18"/>
              </w:rPr>
              <w:t>307</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A4A71A" w14:textId="3C0ECFB1"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AB984A" w14:textId="590EB51C"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FE34DC" w14:textId="691758F8"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EBDEE" w14:textId="77777777" w:rsidR="00D5794A" w:rsidRPr="00831C7C" w:rsidRDefault="00D5794A" w:rsidP="00393CC4">
            <w:pPr>
              <w:ind w:left="-15"/>
              <w:jc w:val="center"/>
              <w:rPr>
                <w:color w:val="000000"/>
                <w:sz w:val="18"/>
                <w:szCs w:val="18"/>
              </w:rPr>
            </w:pPr>
            <w:r w:rsidRPr="00831C7C">
              <w:rPr>
                <w:color w:val="000000"/>
                <w:sz w:val="18"/>
                <w:szCs w:val="18"/>
              </w:rPr>
              <w:t>136</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91D69" w14:textId="77777777" w:rsidR="00D5794A" w:rsidRPr="00831C7C" w:rsidRDefault="00D5794A" w:rsidP="00393CC4">
            <w:pPr>
              <w:ind w:left="-15"/>
              <w:jc w:val="center"/>
              <w:rPr>
                <w:color w:val="000000"/>
                <w:sz w:val="18"/>
                <w:szCs w:val="18"/>
              </w:rPr>
            </w:pPr>
            <w:r w:rsidRPr="00831C7C">
              <w:rPr>
                <w:color w:val="000000"/>
                <w:sz w:val="18"/>
                <w:szCs w:val="18"/>
              </w:rPr>
              <w:t>136</w:t>
            </w:r>
          </w:p>
        </w:tc>
        <w:tc>
          <w:tcPr>
            <w:tcW w:w="610" w:type="dxa"/>
            <w:tcBorders>
              <w:top w:val="single" w:sz="4" w:space="0" w:color="auto"/>
              <w:left w:val="nil"/>
              <w:bottom w:val="single" w:sz="4" w:space="0" w:color="auto"/>
              <w:right w:val="single" w:sz="4" w:space="0" w:color="auto"/>
            </w:tcBorders>
            <w:vAlign w:val="center"/>
          </w:tcPr>
          <w:p w14:paraId="7B64AAD8" w14:textId="7EC3D141" w:rsidR="00D5794A" w:rsidRPr="00831C7C" w:rsidRDefault="00D5794A" w:rsidP="00393CC4">
            <w:pPr>
              <w:ind w:left="-15"/>
              <w:jc w:val="center"/>
              <w:rPr>
                <w:color w:val="000000"/>
                <w:sz w:val="18"/>
                <w:szCs w:val="18"/>
              </w:rPr>
            </w:pPr>
            <w:r w:rsidRPr="00831C7C">
              <w:rPr>
                <w:color w:val="000000"/>
                <w:sz w:val="18"/>
                <w:szCs w:val="18"/>
              </w:rPr>
              <w:t>443</w:t>
            </w:r>
          </w:p>
        </w:tc>
      </w:tr>
      <w:tr w:rsidR="00D5794A" w:rsidRPr="00831C7C" w14:paraId="46B88C59"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6BF1D" w14:textId="76C640E0" w:rsidR="00D5794A" w:rsidRPr="00831C7C" w:rsidRDefault="00D5794A" w:rsidP="00393CC4">
            <w:pPr>
              <w:ind w:left="-15"/>
              <w:jc w:val="center"/>
              <w:rPr>
                <w:color w:val="000000"/>
                <w:sz w:val="18"/>
                <w:szCs w:val="18"/>
              </w:rPr>
            </w:pPr>
            <w:r w:rsidRPr="00831C7C">
              <w:rPr>
                <w:color w:val="000000"/>
                <w:sz w:val="18"/>
                <w:szCs w:val="18"/>
              </w:rPr>
              <w:t>Acima de 14</w:t>
            </w:r>
            <w:r w:rsidR="00452E75">
              <w:rPr>
                <w:color w:val="000000"/>
                <w:sz w:val="18"/>
                <w:szCs w:val="18"/>
              </w:rPr>
              <w:t>.</w:t>
            </w:r>
            <w:r w:rsidRPr="00831C7C">
              <w:rPr>
                <w:color w:val="000000"/>
                <w:sz w:val="18"/>
                <w:szCs w:val="18"/>
              </w:rPr>
              <w:t>000,00</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5EA988" w14:textId="4C417D66"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9A92C2" w14:textId="3E96D9A0"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FCF9D6" w14:textId="4FE7C3E7"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096D05" w14:textId="77777777" w:rsidR="00D5794A" w:rsidRPr="00831C7C" w:rsidRDefault="00D5794A" w:rsidP="00393CC4">
            <w:pPr>
              <w:ind w:left="-15"/>
              <w:jc w:val="center"/>
              <w:rPr>
                <w:color w:val="000000"/>
                <w:sz w:val="18"/>
                <w:szCs w:val="18"/>
              </w:rPr>
            </w:pPr>
            <w:r w:rsidRPr="00831C7C">
              <w:rPr>
                <w:color w:val="000000"/>
                <w:sz w:val="18"/>
                <w:szCs w:val="18"/>
              </w:rPr>
              <w:t>580</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83056" w14:textId="77777777" w:rsidR="00D5794A" w:rsidRPr="00831C7C" w:rsidRDefault="00D5794A" w:rsidP="00393CC4">
            <w:pPr>
              <w:ind w:left="-15"/>
              <w:jc w:val="center"/>
              <w:rPr>
                <w:color w:val="000000"/>
                <w:sz w:val="18"/>
                <w:szCs w:val="18"/>
              </w:rPr>
            </w:pPr>
            <w:r w:rsidRPr="00831C7C">
              <w:rPr>
                <w:color w:val="000000"/>
                <w:sz w:val="18"/>
                <w:szCs w:val="18"/>
              </w:rPr>
              <w:t>580</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530CB7" w14:textId="606306D7"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1B882C" w14:textId="6120682B" w:rsidR="00D5794A" w:rsidRPr="00831C7C" w:rsidRDefault="00D5794A" w:rsidP="00393CC4">
            <w:pPr>
              <w:ind w:left="-15"/>
              <w:jc w:val="center"/>
              <w:rPr>
                <w:color w:val="000000"/>
                <w:sz w:val="18"/>
                <w:szCs w:val="18"/>
              </w:rPr>
            </w:pPr>
            <w:r w:rsidRPr="00831C7C">
              <w:rPr>
                <w:color w:val="000000"/>
                <w:sz w:val="18"/>
                <w:szCs w:val="18"/>
              </w:rPr>
              <w:t> </w:t>
            </w:r>
            <w:r w:rsidR="00582422">
              <w:rPr>
                <w:color w:val="000000"/>
                <w:sz w:val="18"/>
                <w:szCs w:val="18"/>
              </w:rPr>
              <w:t>-</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3C299" w14:textId="3D8E50EE" w:rsidR="00D5794A" w:rsidRPr="00831C7C" w:rsidRDefault="00582422" w:rsidP="00393CC4">
            <w:pPr>
              <w:ind w:left="-15"/>
              <w:jc w:val="center"/>
              <w:rPr>
                <w:color w:val="000000"/>
                <w:sz w:val="18"/>
                <w:szCs w:val="18"/>
              </w:rPr>
            </w:pPr>
            <w:r>
              <w:rPr>
                <w:color w:val="000000"/>
                <w:sz w:val="18"/>
                <w:szCs w:val="18"/>
              </w:rPr>
              <w:t>-</w:t>
            </w:r>
            <w:r w:rsidR="00D5794A" w:rsidRPr="00831C7C">
              <w:rPr>
                <w:color w:val="000000"/>
                <w:sz w:val="18"/>
                <w:szCs w:val="18"/>
              </w:rPr>
              <w:t> </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8D2D6B" w14:textId="77777777" w:rsidR="00D5794A" w:rsidRPr="00831C7C" w:rsidRDefault="00D5794A" w:rsidP="00393CC4">
            <w:pPr>
              <w:ind w:left="-15"/>
              <w:jc w:val="center"/>
              <w:rPr>
                <w:color w:val="000000"/>
                <w:sz w:val="18"/>
                <w:szCs w:val="18"/>
              </w:rPr>
            </w:pPr>
            <w:r w:rsidRPr="00831C7C">
              <w:rPr>
                <w:color w:val="000000"/>
                <w:sz w:val="18"/>
                <w:szCs w:val="18"/>
              </w:rPr>
              <w:t>334</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142070" w14:textId="77777777" w:rsidR="00D5794A" w:rsidRPr="00831C7C" w:rsidRDefault="00D5794A" w:rsidP="00393CC4">
            <w:pPr>
              <w:ind w:left="-15"/>
              <w:jc w:val="center"/>
              <w:rPr>
                <w:color w:val="000000"/>
                <w:sz w:val="18"/>
                <w:szCs w:val="18"/>
              </w:rPr>
            </w:pPr>
            <w:r w:rsidRPr="00831C7C">
              <w:rPr>
                <w:color w:val="000000"/>
                <w:sz w:val="18"/>
                <w:szCs w:val="18"/>
              </w:rPr>
              <w:t>334</w:t>
            </w:r>
          </w:p>
        </w:tc>
        <w:tc>
          <w:tcPr>
            <w:tcW w:w="610" w:type="dxa"/>
            <w:tcBorders>
              <w:top w:val="single" w:sz="4" w:space="0" w:color="auto"/>
              <w:left w:val="nil"/>
              <w:bottom w:val="single" w:sz="4" w:space="0" w:color="auto"/>
              <w:right w:val="single" w:sz="4" w:space="0" w:color="auto"/>
            </w:tcBorders>
            <w:vAlign w:val="center"/>
          </w:tcPr>
          <w:p w14:paraId="3E8ECA56" w14:textId="393F9829" w:rsidR="00D5794A" w:rsidRPr="00831C7C" w:rsidRDefault="00D5794A" w:rsidP="00393CC4">
            <w:pPr>
              <w:ind w:left="-15"/>
              <w:jc w:val="center"/>
              <w:rPr>
                <w:color w:val="000000"/>
                <w:sz w:val="18"/>
                <w:szCs w:val="18"/>
              </w:rPr>
            </w:pPr>
            <w:r w:rsidRPr="00831C7C">
              <w:rPr>
                <w:color w:val="000000"/>
                <w:sz w:val="18"/>
                <w:szCs w:val="18"/>
              </w:rPr>
              <w:t>914</w:t>
            </w:r>
          </w:p>
        </w:tc>
      </w:tr>
      <w:tr w:rsidR="00D5794A" w:rsidRPr="00831C7C" w14:paraId="28B8265A" w14:textId="77777777" w:rsidTr="00393CC4">
        <w:trPr>
          <w:trHeight w:val="300"/>
          <w:jc w:val="center"/>
        </w:trPr>
        <w:tc>
          <w:tcPr>
            <w:tcW w:w="112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D0DF8" w14:textId="77777777" w:rsidR="00D5794A" w:rsidRPr="00831C7C" w:rsidRDefault="00D5794A" w:rsidP="00393CC4">
            <w:pPr>
              <w:ind w:left="-15"/>
              <w:jc w:val="center"/>
              <w:rPr>
                <w:b/>
                <w:bCs/>
                <w:sz w:val="18"/>
                <w:szCs w:val="18"/>
              </w:rPr>
            </w:pPr>
            <w:r w:rsidRPr="00831C7C">
              <w:rPr>
                <w:b/>
                <w:bCs/>
                <w:sz w:val="18"/>
                <w:szCs w:val="18"/>
              </w:rPr>
              <w:t>Total</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3DC28E" w14:textId="77777777" w:rsidR="00D5794A" w:rsidRPr="00831C7C" w:rsidRDefault="00D5794A" w:rsidP="00393CC4">
            <w:pPr>
              <w:ind w:left="-15"/>
              <w:jc w:val="center"/>
              <w:rPr>
                <w:b/>
                <w:bCs/>
                <w:sz w:val="18"/>
                <w:szCs w:val="18"/>
              </w:rPr>
            </w:pPr>
            <w:r w:rsidRPr="00831C7C">
              <w:rPr>
                <w:b/>
                <w:bCs/>
                <w:sz w:val="18"/>
                <w:szCs w:val="18"/>
              </w:rPr>
              <w:t>814</w:t>
            </w:r>
          </w:p>
        </w:tc>
        <w:tc>
          <w:tcPr>
            <w:tcW w:w="70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5D84CD" w14:textId="77777777" w:rsidR="00D5794A" w:rsidRPr="00831C7C" w:rsidRDefault="00D5794A" w:rsidP="00393CC4">
            <w:pPr>
              <w:ind w:left="-15"/>
              <w:jc w:val="center"/>
              <w:rPr>
                <w:b/>
                <w:bCs/>
                <w:sz w:val="18"/>
                <w:szCs w:val="18"/>
              </w:rPr>
            </w:pPr>
            <w:r w:rsidRPr="00831C7C">
              <w:rPr>
                <w:b/>
                <w:bCs/>
                <w:sz w:val="18"/>
                <w:szCs w:val="18"/>
              </w:rPr>
              <w:t>666</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BC5D53" w14:textId="20729D3E" w:rsidR="00D5794A" w:rsidRPr="00831C7C" w:rsidRDefault="00D5794A" w:rsidP="00393CC4">
            <w:pPr>
              <w:ind w:left="-15"/>
              <w:jc w:val="center"/>
              <w:rPr>
                <w:b/>
                <w:bCs/>
                <w:sz w:val="18"/>
                <w:szCs w:val="18"/>
              </w:rPr>
            </w:pPr>
            <w:r w:rsidRPr="00831C7C">
              <w:rPr>
                <w:b/>
                <w:bCs/>
                <w:sz w:val="18"/>
                <w:szCs w:val="18"/>
              </w:rPr>
              <w:t>1</w:t>
            </w:r>
            <w:r w:rsidR="00582422">
              <w:rPr>
                <w:b/>
                <w:bCs/>
                <w:sz w:val="18"/>
                <w:szCs w:val="18"/>
              </w:rPr>
              <w:t>.</w:t>
            </w:r>
            <w:r w:rsidRPr="00831C7C">
              <w:rPr>
                <w:b/>
                <w:bCs/>
                <w:sz w:val="18"/>
                <w:szCs w:val="18"/>
              </w:rPr>
              <w:t>944</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55237A" w14:textId="2F3640FC" w:rsidR="00D5794A" w:rsidRPr="00831C7C" w:rsidRDefault="00D5794A" w:rsidP="00393CC4">
            <w:pPr>
              <w:ind w:left="-15"/>
              <w:jc w:val="center"/>
              <w:rPr>
                <w:b/>
                <w:bCs/>
                <w:sz w:val="18"/>
                <w:szCs w:val="18"/>
              </w:rPr>
            </w:pPr>
            <w:r w:rsidRPr="00831C7C">
              <w:rPr>
                <w:b/>
                <w:bCs/>
                <w:sz w:val="18"/>
                <w:szCs w:val="18"/>
              </w:rPr>
              <w:t>1</w:t>
            </w:r>
            <w:r w:rsidR="00582422">
              <w:rPr>
                <w:b/>
                <w:bCs/>
                <w:sz w:val="18"/>
                <w:szCs w:val="18"/>
              </w:rPr>
              <w:t>.</w:t>
            </w:r>
            <w:r w:rsidRPr="00831C7C">
              <w:rPr>
                <w:b/>
                <w:bCs/>
                <w:sz w:val="18"/>
                <w:szCs w:val="18"/>
              </w:rPr>
              <w:t>870</w:t>
            </w:r>
          </w:p>
        </w:tc>
        <w:tc>
          <w:tcPr>
            <w:tcW w:w="5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ECF7E" w14:textId="25BF24CD" w:rsidR="00D5794A" w:rsidRPr="00831C7C" w:rsidRDefault="00D5794A" w:rsidP="00393CC4">
            <w:pPr>
              <w:ind w:left="-15"/>
              <w:jc w:val="center"/>
              <w:rPr>
                <w:b/>
                <w:bCs/>
                <w:sz w:val="18"/>
                <w:szCs w:val="18"/>
              </w:rPr>
            </w:pPr>
            <w:r w:rsidRPr="00831C7C">
              <w:rPr>
                <w:b/>
                <w:bCs/>
                <w:sz w:val="18"/>
                <w:szCs w:val="18"/>
              </w:rPr>
              <w:t>5</w:t>
            </w:r>
            <w:r w:rsidR="00582422">
              <w:rPr>
                <w:b/>
                <w:bCs/>
                <w:sz w:val="18"/>
                <w:szCs w:val="18"/>
              </w:rPr>
              <w:t>.</w:t>
            </w:r>
            <w:r w:rsidRPr="00831C7C">
              <w:rPr>
                <w:b/>
                <w:bCs/>
                <w:sz w:val="18"/>
                <w:szCs w:val="18"/>
              </w:rPr>
              <w:t>294</w:t>
            </w:r>
          </w:p>
        </w:tc>
        <w:tc>
          <w:tcPr>
            <w:tcW w:w="109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AAFC3F" w14:textId="77777777" w:rsidR="00D5794A" w:rsidRPr="00831C7C" w:rsidRDefault="00D5794A" w:rsidP="00393CC4">
            <w:pPr>
              <w:ind w:left="-15"/>
              <w:jc w:val="center"/>
              <w:rPr>
                <w:b/>
                <w:bCs/>
                <w:sz w:val="18"/>
                <w:szCs w:val="18"/>
              </w:rPr>
            </w:pPr>
            <w:r w:rsidRPr="00831C7C">
              <w:rPr>
                <w:b/>
                <w:bCs/>
                <w:sz w:val="18"/>
                <w:szCs w:val="18"/>
              </w:rPr>
              <w:t>358</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9BF73F" w14:textId="77777777" w:rsidR="00D5794A" w:rsidRPr="00831C7C" w:rsidRDefault="00D5794A" w:rsidP="00393CC4">
            <w:pPr>
              <w:ind w:left="-15"/>
              <w:jc w:val="center"/>
              <w:rPr>
                <w:b/>
                <w:bCs/>
                <w:sz w:val="18"/>
                <w:szCs w:val="18"/>
              </w:rPr>
            </w:pPr>
            <w:r w:rsidRPr="00831C7C">
              <w:rPr>
                <w:b/>
                <w:bCs/>
                <w:sz w:val="18"/>
                <w:szCs w:val="18"/>
              </w:rPr>
              <w:t>537</w:t>
            </w: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68F731" w14:textId="77777777" w:rsidR="00D5794A" w:rsidRPr="00831C7C" w:rsidRDefault="00D5794A" w:rsidP="00393CC4">
            <w:pPr>
              <w:ind w:left="-15"/>
              <w:jc w:val="center"/>
              <w:rPr>
                <w:b/>
                <w:bCs/>
                <w:sz w:val="18"/>
                <w:szCs w:val="18"/>
              </w:rPr>
            </w:pPr>
            <w:r w:rsidRPr="00831C7C">
              <w:rPr>
                <w:b/>
                <w:bCs/>
                <w:sz w:val="18"/>
                <w:szCs w:val="18"/>
              </w:rPr>
              <w:t>435</w:t>
            </w: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FDB56" w14:textId="77777777" w:rsidR="00D5794A" w:rsidRPr="00831C7C" w:rsidRDefault="00D5794A" w:rsidP="00393CC4">
            <w:pPr>
              <w:ind w:left="-15"/>
              <w:jc w:val="center"/>
              <w:rPr>
                <w:b/>
                <w:bCs/>
                <w:sz w:val="18"/>
                <w:szCs w:val="18"/>
              </w:rPr>
            </w:pPr>
            <w:r w:rsidRPr="00831C7C">
              <w:rPr>
                <w:b/>
                <w:bCs/>
                <w:sz w:val="18"/>
                <w:szCs w:val="18"/>
              </w:rPr>
              <w:t>749</w:t>
            </w: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EE1F20" w14:textId="0B80ABD5" w:rsidR="00D5794A" w:rsidRPr="00831C7C" w:rsidRDefault="00D5794A" w:rsidP="00393CC4">
            <w:pPr>
              <w:ind w:left="-15"/>
              <w:jc w:val="center"/>
              <w:rPr>
                <w:b/>
                <w:bCs/>
                <w:sz w:val="18"/>
                <w:szCs w:val="18"/>
              </w:rPr>
            </w:pPr>
            <w:r w:rsidRPr="00831C7C">
              <w:rPr>
                <w:b/>
                <w:bCs/>
                <w:sz w:val="18"/>
                <w:szCs w:val="18"/>
              </w:rPr>
              <w:t>2</w:t>
            </w:r>
            <w:r w:rsidR="00582422">
              <w:rPr>
                <w:b/>
                <w:bCs/>
                <w:sz w:val="18"/>
                <w:szCs w:val="18"/>
              </w:rPr>
              <w:t>.</w:t>
            </w:r>
            <w:r w:rsidRPr="00831C7C">
              <w:rPr>
                <w:b/>
                <w:bCs/>
                <w:sz w:val="18"/>
                <w:szCs w:val="18"/>
              </w:rPr>
              <w:t>079</w:t>
            </w:r>
          </w:p>
        </w:tc>
        <w:tc>
          <w:tcPr>
            <w:tcW w:w="610" w:type="dxa"/>
            <w:tcBorders>
              <w:top w:val="single" w:sz="4" w:space="0" w:color="auto"/>
              <w:left w:val="nil"/>
              <w:bottom w:val="single" w:sz="4" w:space="0" w:color="auto"/>
              <w:right w:val="single" w:sz="4" w:space="0" w:color="auto"/>
            </w:tcBorders>
            <w:vAlign w:val="center"/>
          </w:tcPr>
          <w:p w14:paraId="05E9CC77" w14:textId="6CC130EE" w:rsidR="00D5794A" w:rsidRPr="00831C7C" w:rsidRDefault="00D5794A" w:rsidP="00393CC4">
            <w:pPr>
              <w:ind w:left="-15"/>
              <w:jc w:val="center"/>
              <w:rPr>
                <w:b/>
                <w:bCs/>
                <w:sz w:val="18"/>
                <w:szCs w:val="18"/>
              </w:rPr>
            </w:pPr>
            <w:r w:rsidRPr="00831C7C">
              <w:rPr>
                <w:b/>
                <w:bCs/>
                <w:sz w:val="18"/>
                <w:szCs w:val="18"/>
              </w:rPr>
              <w:t>7</w:t>
            </w:r>
            <w:r w:rsidR="00582422">
              <w:rPr>
                <w:b/>
                <w:bCs/>
                <w:sz w:val="18"/>
                <w:szCs w:val="18"/>
              </w:rPr>
              <w:t>.</w:t>
            </w:r>
            <w:r w:rsidRPr="00831C7C">
              <w:rPr>
                <w:b/>
                <w:bCs/>
                <w:sz w:val="18"/>
                <w:szCs w:val="18"/>
              </w:rPr>
              <w:t>373</w:t>
            </w:r>
          </w:p>
        </w:tc>
      </w:tr>
    </w:tbl>
    <w:p w14:paraId="6DF8F9B0" w14:textId="7FC03D22" w:rsidR="00831C7C" w:rsidRDefault="00831C7C" w:rsidP="00831C7C">
      <w:pPr>
        <w:rPr>
          <w:sz w:val="24"/>
          <w:szCs w:val="24"/>
        </w:rPr>
      </w:pPr>
    </w:p>
    <w:p w14:paraId="43327C39" w14:textId="7657FC68" w:rsidR="00393CC4" w:rsidRPr="00831C7C" w:rsidRDefault="00393CC4" w:rsidP="00393CC4">
      <w:pPr>
        <w:shd w:val="clear" w:color="auto" w:fill="FFFFFF"/>
        <w:ind w:left="-567"/>
        <w:jc w:val="both"/>
        <w:rPr>
          <w:bCs/>
        </w:rPr>
      </w:pPr>
      <w:r>
        <w:rPr>
          <w:bCs/>
        </w:rPr>
        <w:t xml:space="preserve">d) </w:t>
      </w:r>
      <w:r w:rsidRPr="00393CC4">
        <w:rPr>
          <w:bCs/>
        </w:rPr>
        <w:t>Evolução da média salarial por grupo ocupacial de cargos</w:t>
      </w:r>
      <w:r>
        <w:rPr>
          <w:bCs/>
        </w:rPr>
        <w:t>,</w:t>
      </w:r>
      <w:r w:rsidRPr="00393CC4">
        <w:rPr>
          <w:bCs/>
        </w:rPr>
        <w:t xml:space="preserve"> por sexo</w:t>
      </w:r>
      <w:r>
        <w:rPr>
          <w:bCs/>
        </w:rPr>
        <w:t>:</w:t>
      </w:r>
    </w:p>
    <w:p w14:paraId="66F4B084" w14:textId="77777777" w:rsidR="00393CC4" w:rsidRDefault="00393CC4" w:rsidP="00831C7C">
      <w:pPr>
        <w:rPr>
          <w:sz w:val="24"/>
          <w:szCs w:val="24"/>
        </w:rPr>
      </w:pPr>
    </w:p>
    <w:tbl>
      <w:tblPr>
        <w:tblW w:w="5103" w:type="dxa"/>
        <w:tblInd w:w="704" w:type="dxa"/>
        <w:tblCellMar>
          <w:left w:w="0" w:type="dxa"/>
          <w:right w:w="0" w:type="dxa"/>
        </w:tblCellMar>
        <w:tblLook w:val="04A0" w:firstRow="1" w:lastRow="0" w:firstColumn="1" w:lastColumn="0" w:noHBand="0" w:noVBand="1"/>
      </w:tblPr>
      <w:tblGrid>
        <w:gridCol w:w="2268"/>
        <w:gridCol w:w="1418"/>
        <w:gridCol w:w="1417"/>
      </w:tblGrid>
      <w:tr w:rsidR="00282566" w:rsidRPr="00831C7C" w14:paraId="2A5E53B6" w14:textId="77777777" w:rsidTr="007232C0">
        <w:trPr>
          <w:trHeight w:val="284"/>
        </w:trPr>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EA820" w14:textId="77777777" w:rsidR="00282566" w:rsidRPr="00831C7C" w:rsidRDefault="00282566" w:rsidP="00831C7C">
            <w:pPr>
              <w:jc w:val="center"/>
              <w:rPr>
                <w:b/>
                <w:bCs/>
              </w:rPr>
            </w:pPr>
            <w:r w:rsidRPr="00831C7C">
              <w:rPr>
                <w:b/>
                <w:bCs/>
              </w:rPr>
              <w:t>Grupo Ocupacional</w:t>
            </w:r>
          </w:p>
        </w:tc>
        <w:tc>
          <w:tcPr>
            <w:tcW w:w="1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3C4A8F8" w14:textId="77777777" w:rsidR="00282566" w:rsidRPr="00831C7C" w:rsidRDefault="00282566" w:rsidP="00831C7C">
            <w:pPr>
              <w:jc w:val="center"/>
              <w:rPr>
                <w:b/>
                <w:bCs/>
              </w:rPr>
            </w:pPr>
            <w:r w:rsidRPr="00831C7C">
              <w:rPr>
                <w:b/>
                <w:bCs/>
              </w:rPr>
              <w:t>Mulheres</w:t>
            </w: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A9307AA" w14:textId="77777777" w:rsidR="00282566" w:rsidRPr="00831C7C" w:rsidRDefault="00282566" w:rsidP="00831C7C">
            <w:pPr>
              <w:jc w:val="center"/>
              <w:rPr>
                <w:b/>
                <w:bCs/>
              </w:rPr>
            </w:pPr>
            <w:r w:rsidRPr="00831C7C">
              <w:rPr>
                <w:b/>
                <w:bCs/>
              </w:rPr>
              <w:t>Homens</w:t>
            </w:r>
          </w:p>
        </w:tc>
      </w:tr>
      <w:tr w:rsidR="00282566" w:rsidRPr="00831C7C" w14:paraId="4BE1D97B" w14:textId="77777777" w:rsidTr="007232C0">
        <w:trPr>
          <w:trHeight w:val="284"/>
        </w:trPr>
        <w:tc>
          <w:tcPr>
            <w:tcW w:w="226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E41C8" w14:textId="77777777" w:rsidR="00282566" w:rsidRPr="00831C7C" w:rsidRDefault="00282566" w:rsidP="00831C7C">
            <w:r w:rsidRPr="00831C7C">
              <w:t>Fundamental</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EE9F99" w14:textId="77777777" w:rsidR="00282566" w:rsidRPr="00831C7C" w:rsidRDefault="00282566" w:rsidP="00831C7C">
            <w:pPr>
              <w:jc w:val="center"/>
              <w:rPr>
                <w:color w:val="000000"/>
              </w:rPr>
            </w:pPr>
            <w:r w:rsidRPr="00831C7C">
              <w:rPr>
                <w:color w:val="000000"/>
              </w:rPr>
              <w:t>5%</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6D99DC" w14:textId="77777777" w:rsidR="00282566" w:rsidRPr="00831C7C" w:rsidRDefault="00282566" w:rsidP="00831C7C">
            <w:pPr>
              <w:jc w:val="center"/>
              <w:rPr>
                <w:color w:val="000000"/>
              </w:rPr>
            </w:pPr>
            <w:r w:rsidRPr="00831C7C">
              <w:rPr>
                <w:color w:val="000000"/>
              </w:rPr>
              <w:t>6%</w:t>
            </w:r>
          </w:p>
        </w:tc>
      </w:tr>
      <w:tr w:rsidR="00282566" w:rsidRPr="00831C7C" w14:paraId="521A1B28" w14:textId="77777777" w:rsidTr="007232C0">
        <w:trPr>
          <w:trHeight w:val="284"/>
        </w:trPr>
        <w:tc>
          <w:tcPr>
            <w:tcW w:w="226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11309" w14:textId="77777777" w:rsidR="00282566" w:rsidRPr="00831C7C" w:rsidRDefault="00282566" w:rsidP="00831C7C">
            <w:r w:rsidRPr="00831C7C">
              <w:t>Médio</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240175" w14:textId="77777777" w:rsidR="00282566" w:rsidRPr="00831C7C" w:rsidRDefault="00282566" w:rsidP="00831C7C">
            <w:pPr>
              <w:jc w:val="center"/>
              <w:rPr>
                <w:color w:val="000000"/>
              </w:rPr>
            </w:pPr>
            <w:r w:rsidRPr="00831C7C">
              <w:rPr>
                <w:color w:val="000000"/>
              </w:rPr>
              <w:t>7%</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58C064" w14:textId="77777777" w:rsidR="00282566" w:rsidRPr="00831C7C" w:rsidRDefault="00282566" w:rsidP="00831C7C">
            <w:pPr>
              <w:jc w:val="center"/>
              <w:rPr>
                <w:color w:val="000000"/>
              </w:rPr>
            </w:pPr>
            <w:r w:rsidRPr="00831C7C">
              <w:rPr>
                <w:color w:val="000000"/>
              </w:rPr>
              <w:t>7%</w:t>
            </w:r>
          </w:p>
        </w:tc>
      </w:tr>
      <w:tr w:rsidR="00282566" w:rsidRPr="00831C7C" w14:paraId="51FB2DFC" w14:textId="77777777" w:rsidTr="007232C0">
        <w:trPr>
          <w:trHeight w:val="284"/>
        </w:trPr>
        <w:tc>
          <w:tcPr>
            <w:tcW w:w="226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0C02C" w14:textId="77777777" w:rsidR="00282566" w:rsidRPr="00831C7C" w:rsidRDefault="00282566" w:rsidP="00831C7C">
            <w:r w:rsidRPr="00831C7C">
              <w:t>Superior</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292E61" w14:textId="77777777" w:rsidR="00282566" w:rsidRPr="00831C7C" w:rsidRDefault="00282566" w:rsidP="00831C7C">
            <w:pPr>
              <w:jc w:val="center"/>
              <w:rPr>
                <w:color w:val="000000"/>
              </w:rPr>
            </w:pPr>
            <w:r w:rsidRPr="00831C7C">
              <w:rPr>
                <w:color w:val="000000"/>
              </w:rPr>
              <w:t>6%</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E50347" w14:textId="77777777" w:rsidR="00282566" w:rsidRPr="00831C7C" w:rsidRDefault="00282566" w:rsidP="00831C7C">
            <w:pPr>
              <w:jc w:val="center"/>
              <w:rPr>
                <w:color w:val="000000"/>
              </w:rPr>
            </w:pPr>
            <w:r w:rsidRPr="00831C7C">
              <w:rPr>
                <w:color w:val="000000"/>
              </w:rPr>
              <w:t>5%</w:t>
            </w:r>
          </w:p>
        </w:tc>
      </w:tr>
      <w:tr w:rsidR="00282566" w:rsidRPr="00831C7C" w14:paraId="58E20519" w14:textId="77777777" w:rsidTr="007232C0">
        <w:trPr>
          <w:trHeight w:val="284"/>
        </w:trPr>
        <w:tc>
          <w:tcPr>
            <w:tcW w:w="226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003A6" w14:textId="77777777" w:rsidR="00282566" w:rsidRPr="00831C7C" w:rsidRDefault="00282566" w:rsidP="00831C7C">
            <w:r w:rsidRPr="00831C7C">
              <w:t>Técnico</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38CEBF" w14:textId="77777777" w:rsidR="00282566" w:rsidRPr="00831C7C" w:rsidRDefault="00282566" w:rsidP="00831C7C">
            <w:pPr>
              <w:jc w:val="center"/>
              <w:rPr>
                <w:color w:val="000000"/>
              </w:rPr>
            </w:pPr>
            <w:r w:rsidRPr="00831C7C">
              <w:rPr>
                <w:color w:val="000000"/>
              </w:rPr>
              <w:t>5%</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604E41" w14:textId="77777777" w:rsidR="00282566" w:rsidRPr="00831C7C" w:rsidRDefault="00282566" w:rsidP="00831C7C">
            <w:pPr>
              <w:jc w:val="center"/>
              <w:rPr>
                <w:color w:val="000000"/>
              </w:rPr>
            </w:pPr>
            <w:r w:rsidRPr="00831C7C">
              <w:rPr>
                <w:color w:val="000000"/>
              </w:rPr>
              <w:t>5%</w:t>
            </w:r>
          </w:p>
        </w:tc>
      </w:tr>
      <w:tr w:rsidR="00282566" w:rsidRPr="00F946E7" w14:paraId="3B506205" w14:textId="77777777" w:rsidTr="007232C0">
        <w:trPr>
          <w:trHeight w:val="284"/>
        </w:trPr>
        <w:tc>
          <w:tcPr>
            <w:tcW w:w="226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EA6340" w14:textId="77777777" w:rsidR="00282566" w:rsidRPr="00831C7C" w:rsidRDefault="00282566" w:rsidP="00831C7C">
            <w:pPr>
              <w:rPr>
                <w:b/>
              </w:rPr>
            </w:pPr>
            <w:r w:rsidRPr="00831C7C">
              <w:rPr>
                <w:b/>
              </w:rPr>
              <w:t>Total Geral</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EE7FEB" w14:textId="77777777" w:rsidR="00282566" w:rsidRPr="00831C7C" w:rsidRDefault="00282566" w:rsidP="00831C7C">
            <w:pPr>
              <w:jc w:val="center"/>
              <w:rPr>
                <w:b/>
                <w:color w:val="000000"/>
              </w:rPr>
            </w:pPr>
            <w:r w:rsidRPr="00831C7C">
              <w:rPr>
                <w:b/>
                <w:color w:val="000000"/>
              </w:rPr>
              <w:t>6%</w:t>
            </w:r>
          </w:p>
        </w:tc>
        <w:tc>
          <w:tcPr>
            <w:tcW w:w="141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E22FB" w14:textId="77777777" w:rsidR="00282566" w:rsidRPr="00831C7C" w:rsidRDefault="00282566" w:rsidP="00831C7C">
            <w:pPr>
              <w:jc w:val="center"/>
              <w:rPr>
                <w:b/>
                <w:color w:val="000000"/>
              </w:rPr>
            </w:pPr>
            <w:r w:rsidRPr="00831C7C">
              <w:rPr>
                <w:b/>
                <w:color w:val="000000"/>
              </w:rPr>
              <w:t>6%</w:t>
            </w:r>
          </w:p>
        </w:tc>
      </w:tr>
      <w:tr w:rsidR="00282566" w:rsidRPr="00831C7C" w14:paraId="2CCC9797" w14:textId="77777777" w:rsidTr="00452E75">
        <w:trPr>
          <w:trHeight w:val="255"/>
        </w:trPr>
        <w:tc>
          <w:tcPr>
            <w:tcW w:w="2268" w:type="dxa"/>
            <w:tcBorders>
              <w:top w:val="nil"/>
              <w:left w:val="nil"/>
              <w:bottom w:val="nil"/>
              <w:right w:val="nil"/>
            </w:tcBorders>
            <w:tcMar>
              <w:top w:w="15" w:type="dxa"/>
              <w:left w:w="15" w:type="dxa"/>
              <w:bottom w:w="0" w:type="dxa"/>
              <w:right w:w="15" w:type="dxa"/>
            </w:tcMar>
            <w:vAlign w:val="bottom"/>
            <w:hideMark/>
          </w:tcPr>
          <w:p w14:paraId="15CD29EB" w14:textId="77777777" w:rsidR="00282566" w:rsidRPr="00831C7C" w:rsidRDefault="00282566" w:rsidP="00831C7C"/>
        </w:tc>
        <w:tc>
          <w:tcPr>
            <w:tcW w:w="1418" w:type="dxa"/>
            <w:tcBorders>
              <w:top w:val="nil"/>
              <w:left w:val="nil"/>
              <w:bottom w:val="nil"/>
              <w:right w:val="nil"/>
            </w:tcBorders>
            <w:tcMar>
              <w:top w:w="15" w:type="dxa"/>
              <w:left w:w="15" w:type="dxa"/>
              <w:bottom w:w="0" w:type="dxa"/>
              <w:right w:w="15" w:type="dxa"/>
            </w:tcMar>
            <w:vAlign w:val="bottom"/>
            <w:hideMark/>
          </w:tcPr>
          <w:p w14:paraId="7ACDD683" w14:textId="77777777" w:rsidR="00282566" w:rsidRPr="00831C7C" w:rsidRDefault="00282566" w:rsidP="00831C7C"/>
        </w:tc>
        <w:tc>
          <w:tcPr>
            <w:tcW w:w="1417" w:type="dxa"/>
            <w:tcBorders>
              <w:top w:val="nil"/>
              <w:left w:val="nil"/>
              <w:bottom w:val="nil"/>
              <w:right w:val="nil"/>
            </w:tcBorders>
            <w:tcMar>
              <w:top w:w="15" w:type="dxa"/>
              <w:left w:w="15" w:type="dxa"/>
              <w:bottom w:w="0" w:type="dxa"/>
              <w:right w:w="15" w:type="dxa"/>
            </w:tcMar>
            <w:vAlign w:val="bottom"/>
            <w:hideMark/>
          </w:tcPr>
          <w:p w14:paraId="45AB5DFE" w14:textId="77777777" w:rsidR="00282566" w:rsidRPr="00831C7C" w:rsidRDefault="00282566" w:rsidP="00831C7C"/>
        </w:tc>
      </w:tr>
    </w:tbl>
    <w:p w14:paraId="6F4ECA8F" w14:textId="77777777" w:rsidR="00B06CB0" w:rsidRPr="007B60BF" w:rsidRDefault="00C95EE0" w:rsidP="00B06CB0">
      <w:pPr>
        <w:shd w:val="clear" w:color="auto" w:fill="FFFFFF"/>
        <w:ind w:left="-567"/>
        <w:jc w:val="both"/>
        <w:rPr>
          <w:color w:val="000000"/>
        </w:rPr>
      </w:pPr>
      <w:r w:rsidRPr="007B60BF">
        <w:rPr>
          <w:b/>
          <w:color w:val="000000"/>
        </w:rPr>
        <w:t>Governança corporativa</w:t>
      </w:r>
    </w:p>
    <w:p w14:paraId="302F3E38" w14:textId="231ECA97" w:rsidR="00C95EE0" w:rsidRPr="007B60BF" w:rsidRDefault="00C95EE0" w:rsidP="00B06CB0">
      <w:pPr>
        <w:shd w:val="clear" w:color="auto" w:fill="FFFFFF"/>
        <w:ind w:left="-567"/>
        <w:jc w:val="both"/>
        <w:rPr>
          <w:color w:val="000000"/>
          <w:sz w:val="16"/>
          <w:szCs w:val="16"/>
        </w:rPr>
      </w:pPr>
      <w:r w:rsidRPr="007B60BF">
        <w:rPr>
          <w:color w:val="000000"/>
          <w:sz w:val="16"/>
          <w:szCs w:val="16"/>
        </w:rPr>
        <w:t> </w:t>
      </w:r>
    </w:p>
    <w:p w14:paraId="3222757B" w14:textId="57B38DE3" w:rsidR="00275E0F" w:rsidRPr="007B60BF" w:rsidRDefault="00C95EE0" w:rsidP="00A676C4">
      <w:pPr>
        <w:shd w:val="clear" w:color="auto" w:fill="FFFFFF"/>
        <w:ind w:left="-567"/>
        <w:jc w:val="both"/>
        <w:rPr>
          <w:color w:val="000000"/>
        </w:rPr>
      </w:pPr>
      <w:r w:rsidRPr="007B60BF">
        <w:rPr>
          <w:color w:val="000000"/>
        </w:rPr>
        <w:t xml:space="preserve">O sistema de governança do HCPA coordena </w:t>
      </w:r>
      <w:r w:rsidRPr="00B619A0">
        <w:rPr>
          <w:color w:val="000000"/>
        </w:rPr>
        <w:t>ações para atingir os objetivos estratégicos com transparência e conformidade. A estratégia é definida pela Assembleia Geral e pelo Conselho de Administração, enquanto a execução é liderada pela Presidência e sua Diretoria Executiva. A integridade do processo é assegurada por órgãos de fiscalização independe</w:t>
      </w:r>
      <w:r w:rsidR="00714F37" w:rsidRPr="00B619A0">
        <w:rPr>
          <w:color w:val="000000"/>
        </w:rPr>
        <w:t xml:space="preserve">ntes, tais como o Conselho Fiscal, o Comitê de Auditoria (órgão de assessoramento </w:t>
      </w:r>
      <w:r w:rsidR="0065766C" w:rsidRPr="00B619A0">
        <w:rPr>
          <w:color w:val="000000"/>
        </w:rPr>
        <w:t xml:space="preserve">ao conselho de administração) a auditoria independente e a Coordenadoria de Gestão de Auditoria Interna, </w:t>
      </w:r>
      <w:r w:rsidR="00714F37" w:rsidRPr="00B619A0">
        <w:rPr>
          <w:color w:val="000000"/>
        </w:rPr>
        <w:t>bem como pelas atividades da Coordenadoria de Gestão de Riscos e Integridade.</w:t>
      </w:r>
      <w:r w:rsidR="00714F37">
        <w:br w:type="page"/>
      </w:r>
    </w:p>
    <w:p w14:paraId="177E531A" w14:textId="067909E1" w:rsidR="001A1DC1" w:rsidRPr="007B60BF" w:rsidRDefault="00121225" w:rsidP="00CD7310">
      <w:pPr>
        <w:pStyle w:val="Ttulo1"/>
        <w:jc w:val="left"/>
      </w:pPr>
      <w:bookmarkStart w:id="7" w:name="_Toc223007842"/>
      <w:bookmarkEnd w:id="4"/>
      <w:r w:rsidRPr="007B60BF">
        <w:lastRenderedPageBreak/>
        <w:t>Bal</w:t>
      </w:r>
      <w:r w:rsidR="00CD7310" w:rsidRPr="007B60BF">
        <w:t>anço</w:t>
      </w:r>
      <w:r w:rsidR="006D099A" w:rsidRPr="007B60BF">
        <w:t>s</w:t>
      </w:r>
      <w:r w:rsidR="00CD7310" w:rsidRPr="007B60BF">
        <w:t xml:space="preserve"> Patrimonia</w:t>
      </w:r>
      <w:r w:rsidR="006D099A" w:rsidRPr="007B60BF">
        <w:t>is</w:t>
      </w:r>
      <w:bookmarkEnd w:id="7"/>
    </w:p>
    <w:p w14:paraId="6446C564" w14:textId="77777777" w:rsidR="00121225" w:rsidRPr="007B60BF" w:rsidRDefault="00121225" w:rsidP="00121225"/>
    <w:tbl>
      <w:tblPr>
        <w:tblW w:w="4997" w:type="pct"/>
        <w:jc w:val="right"/>
        <w:tblCellMar>
          <w:left w:w="70" w:type="dxa"/>
          <w:right w:w="70" w:type="dxa"/>
        </w:tblCellMar>
        <w:tblLook w:val="04A0" w:firstRow="1" w:lastRow="0" w:firstColumn="1" w:lastColumn="0" w:noHBand="0" w:noVBand="1"/>
      </w:tblPr>
      <w:tblGrid>
        <w:gridCol w:w="5000"/>
        <w:gridCol w:w="647"/>
        <w:gridCol w:w="223"/>
        <w:gridCol w:w="1503"/>
        <w:gridCol w:w="223"/>
        <w:gridCol w:w="1471"/>
      </w:tblGrid>
      <w:tr w:rsidR="00D00FA8" w:rsidRPr="007B60BF" w14:paraId="1272EF07" w14:textId="04572A4E" w:rsidTr="00D00FA8">
        <w:trPr>
          <w:trHeight w:val="315"/>
          <w:jc w:val="right"/>
        </w:trPr>
        <w:tc>
          <w:tcPr>
            <w:tcW w:w="2757" w:type="pct"/>
            <w:tcBorders>
              <w:top w:val="nil"/>
              <w:left w:val="nil"/>
              <w:bottom w:val="nil"/>
              <w:right w:val="nil"/>
            </w:tcBorders>
            <w:shd w:val="clear" w:color="000000" w:fill="FFFFFF"/>
            <w:noWrap/>
            <w:vAlign w:val="bottom"/>
            <w:hideMark/>
          </w:tcPr>
          <w:bookmarkEnd w:id="5"/>
          <w:p w14:paraId="0A0F68F8" w14:textId="77777777" w:rsidR="00D00FA8" w:rsidRPr="007B60BF" w:rsidRDefault="00D00FA8" w:rsidP="00D00FA8">
            <w:pPr>
              <w:rPr>
                <w:b/>
                <w:bCs/>
              </w:rPr>
            </w:pPr>
            <w:r w:rsidRPr="007B60BF">
              <w:rPr>
                <w:b/>
                <w:bCs/>
              </w:rPr>
              <w:t>Ativo</w:t>
            </w:r>
          </w:p>
        </w:tc>
        <w:tc>
          <w:tcPr>
            <w:tcW w:w="357" w:type="pct"/>
            <w:tcBorders>
              <w:top w:val="nil"/>
              <w:left w:val="nil"/>
              <w:bottom w:val="single" w:sz="8" w:space="0" w:color="auto"/>
              <w:right w:val="nil"/>
            </w:tcBorders>
            <w:shd w:val="clear" w:color="000000" w:fill="FFFFFF"/>
            <w:vAlign w:val="bottom"/>
            <w:hideMark/>
          </w:tcPr>
          <w:p w14:paraId="0C3AAB31" w14:textId="77777777" w:rsidR="00D00FA8" w:rsidRPr="007B60BF" w:rsidRDefault="00D00FA8" w:rsidP="00D00FA8">
            <w:pPr>
              <w:jc w:val="center"/>
              <w:rPr>
                <w:b/>
                <w:bCs/>
              </w:rPr>
            </w:pPr>
            <w:r w:rsidRPr="007B60BF">
              <w:rPr>
                <w:b/>
                <w:bCs/>
              </w:rPr>
              <w:t>Nota</w:t>
            </w:r>
          </w:p>
        </w:tc>
        <w:tc>
          <w:tcPr>
            <w:tcW w:w="123" w:type="pct"/>
            <w:tcBorders>
              <w:top w:val="nil"/>
              <w:left w:val="nil"/>
              <w:bottom w:val="nil"/>
              <w:right w:val="nil"/>
            </w:tcBorders>
            <w:shd w:val="clear" w:color="000000" w:fill="FFFFFF"/>
            <w:vAlign w:val="bottom"/>
            <w:hideMark/>
          </w:tcPr>
          <w:p w14:paraId="41C63A03" w14:textId="77777777" w:rsidR="00D00FA8" w:rsidRPr="007B60BF" w:rsidRDefault="00D00FA8" w:rsidP="00D00FA8">
            <w:pPr>
              <w:jc w:val="right"/>
              <w:rPr>
                <w:b/>
                <w:bCs/>
              </w:rPr>
            </w:pPr>
            <w:r w:rsidRPr="007B60BF">
              <w:rPr>
                <w:b/>
                <w:bCs/>
              </w:rPr>
              <w:t> </w:t>
            </w:r>
          </w:p>
        </w:tc>
        <w:tc>
          <w:tcPr>
            <w:tcW w:w="829" w:type="pct"/>
            <w:tcBorders>
              <w:top w:val="nil"/>
              <w:left w:val="nil"/>
              <w:bottom w:val="single" w:sz="8" w:space="0" w:color="auto"/>
              <w:right w:val="nil"/>
            </w:tcBorders>
            <w:shd w:val="clear" w:color="000000" w:fill="FFFFFF"/>
            <w:vAlign w:val="bottom"/>
            <w:hideMark/>
          </w:tcPr>
          <w:p w14:paraId="6CAC5C4E" w14:textId="15108393" w:rsidR="00D00FA8" w:rsidRPr="007B60BF" w:rsidRDefault="009173BF" w:rsidP="00465E6C">
            <w:pPr>
              <w:jc w:val="right"/>
              <w:rPr>
                <w:b/>
                <w:bCs/>
              </w:rPr>
            </w:pPr>
            <w:r w:rsidRPr="007B60BF">
              <w:rPr>
                <w:b/>
                <w:bCs/>
              </w:rPr>
              <w:t>31/12/2025</w:t>
            </w:r>
          </w:p>
        </w:tc>
        <w:tc>
          <w:tcPr>
            <w:tcW w:w="123" w:type="pct"/>
            <w:tcBorders>
              <w:top w:val="nil"/>
              <w:left w:val="nil"/>
              <w:bottom w:val="nil"/>
              <w:right w:val="nil"/>
            </w:tcBorders>
            <w:shd w:val="clear" w:color="000000" w:fill="FFFFFF"/>
            <w:vAlign w:val="bottom"/>
            <w:hideMark/>
          </w:tcPr>
          <w:p w14:paraId="2B5E06A9" w14:textId="77777777" w:rsidR="00D00FA8" w:rsidRPr="007B60BF" w:rsidRDefault="00D00FA8" w:rsidP="00D00FA8">
            <w:pPr>
              <w:jc w:val="right"/>
              <w:rPr>
                <w:b/>
                <w:bCs/>
              </w:rPr>
            </w:pPr>
            <w:r w:rsidRPr="007B60BF">
              <w:rPr>
                <w:b/>
                <w:bCs/>
              </w:rPr>
              <w:t> </w:t>
            </w:r>
          </w:p>
        </w:tc>
        <w:tc>
          <w:tcPr>
            <w:tcW w:w="811" w:type="pct"/>
            <w:tcBorders>
              <w:top w:val="nil"/>
              <w:left w:val="nil"/>
              <w:bottom w:val="single" w:sz="8" w:space="0" w:color="auto"/>
              <w:right w:val="nil"/>
            </w:tcBorders>
            <w:shd w:val="clear" w:color="000000" w:fill="FFFFFF"/>
            <w:vAlign w:val="bottom"/>
          </w:tcPr>
          <w:p w14:paraId="17A68361" w14:textId="49972247" w:rsidR="00D00FA8" w:rsidRPr="007B60BF" w:rsidRDefault="00D00FA8" w:rsidP="00D00FA8">
            <w:pPr>
              <w:jc w:val="right"/>
              <w:rPr>
                <w:b/>
              </w:rPr>
            </w:pPr>
            <w:r w:rsidRPr="007B60BF">
              <w:rPr>
                <w:b/>
                <w:bCs/>
              </w:rPr>
              <w:t>31/12/2024</w:t>
            </w:r>
          </w:p>
        </w:tc>
      </w:tr>
      <w:tr w:rsidR="00D00FA8" w:rsidRPr="007B60BF" w14:paraId="4C8C5755" w14:textId="6CAAA0FE" w:rsidTr="00D00FA8">
        <w:trPr>
          <w:trHeight w:val="300"/>
          <w:jc w:val="right"/>
        </w:trPr>
        <w:tc>
          <w:tcPr>
            <w:tcW w:w="2757" w:type="pct"/>
            <w:tcBorders>
              <w:top w:val="nil"/>
              <w:left w:val="nil"/>
              <w:bottom w:val="nil"/>
              <w:right w:val="nil"/>
            </w:tcBorders>
            <w:shd w:val="clear" w:color="000000" w:fill="FFFFFF"/>
            <w:noWrap/>
            <w:vAlign w:val="bottom"/>
            <w:hideMark/>
          </w:tcPr>
          <w:p w14:paraId="5E4888FA" w14:textId="77777777" w:rsidR="00D00FA8" w:rsidRPr="007B60BF" w:rsidRDefault="00D00FA8" w:rsidP="00D00FA8">
            <w:r w:rsidRPr="007B60BF">
              <w:t xml:space="preserve"> </w:t>
            </w:r>
          </w:p>
        </w:tc>
        <w:tc>
          <w:tcPr>
            <w:tcW w:w="357" w:type="pct"/>
            <w:tcBorders>
              <w:top w:val="nil"/>
              <w:left w:val="nil"/>
              <w:bottom w:val="nil"/>
              <w:right w:val="nil"/>
            </w:tcBorders>
            <w:shd w:val="clear" w:color="000000" w:fill="FFFFFF"/>
            <w:vAlign w:val="bottom"/>
            <w:hideMark/>
          </w:tcPr>
          <w:p w14:paraId="1FBBC9D2" w14:textId="399D7C9A" w:rsidR="00D00FA8" w:rsidRPr="007B60BF" w:rsidRDefault="00D00FA8" w:rsidP="00D00FA8">
            <w:pPr>
              <w:jc w:val="center"/>
              <w:rPr>
                <w:b/>
                <w:bCs/>
              </w:rPr>
            </w:pPr>
          </w:p>
        </w:tc>
        <w:tc>
          <w:tcPr>
            <w:tcW w:w="123" w:type="pct"/>
            <w:tcBorders>
              <w:top w:val="nil"/>
              <w:left w:val="nil"/>
              <w:bottom w:val="nil"/>
              <w:right w:val="nil"/>
            </w:tcBorders>
            <w:shd w:val="clear" w:color="000000" w:fill="FFFFFF"/>
            <w:vAlign w:val="bottom"/>
            <w:hideMark/>
          </w:tcPr>
          <w:p w14:paraId="023A3F74" w14:textId="77777777" w:rsidR="00D00FA8" w:rsidRPr="007B60BF" w:rsidRDefault="00D00FA8" w:rsidP="00D00FA8">
            <w:pPr>
              <w:jc w:val="right"/>
              <w:rPr>
                <w:b/>
                <w:bCs/>
              </w:rPr>
            </w:pPr>
            <w:r w:rsidRPr="007B60BF">
              <w:rPr>
                <w:b/>
                <w:bCs/>
              </w:rPr>
              <w:t> </w:t>
            </w:r>
          </w:p>
        </w:tc>
        <w:tc>
          <w:tcPr>
            <w:tcW w:w="829" w:type="pct"/>
            <w:tcBorders>
              <w:top w:val="nil"/>
              <w:left w:val="nil"/>
              <w:bottom w:val="nil"/>
              <w:right w:val="nil"/>
            </w:tcBorders>
            <w:shd w:val="clear" w:color="000000" w:fill="FFFFFF"/>
            <w:noWrap/>
            <w:vAlign w:val="bottom"/>
          </w:tcPr>
          <w:p w14:paraId="0FA10788" w14:textId="57B65987" w:rsidR="00D00FA8" w:rsidRPr="007B60BF" w:rsidRDefault="00D00FA8" w:rsidP="00D00FA8"/>
        </w:tc>
        <w:tc>
          <w:tcPr>
            <w:tcW w:w="123" w:type="pct"/>
            <w:tcBorders>
              <w:top w:val="nil"/>
              <w:left w:val="nil"/>
              <w:bottom w:val="nil"/>
              <w:right w:val="nil"/>
            </w:tcBorders>
            <w:shd w:val="clear" w:color="000000" w:fill="FFFFFF"/>
            <w:noWrap/>
            <w:vAlign w:val="bottom"/>
            <w:hideMark/>
          </w:tcPr>
          <w:p w14:paraId="2FAA9D57" w14:textId="77777777" w:rsidR="00D00FA8" w:rsidRPr="007B60BF" w:rsidRDefault="00D00FA8" w:rsidP="00D00FA8">
            <w:r w:rsidRPr="007B60BF">
              <w:t> </w:t>
            </w:r>
          </w:p>
        </w:tc>
        <w:tc>
          <w:tcPr>
            <w:tcW w:w="811" w:type="pct"/>
            <w:tcBorders>
              <w:top w:val="nil"/>
              <w:left w:val="nil"/>
              <w:bottom w:val="nil"/>
              <w:right w:val="nil"/>
            </w:tcBorders>
            <w:shd w:val="clear" w:color="000000" w:fill="FFFFFF"/>
            <w:vAlign w:val="bottom"/>
          </w:tcPr>
          <w:p w14:paraId="3F2C0557" w14:textId="77777777" w:rsidR="00D00FA8" w:rsidRPr="007B60BF" w:rsidRDefault="00D00FA8" w:rsidP="00D00FA8">
            <w:pPr>
              <w:jc w:val="right"/>
            </w:pPr>
          </w:p>
        </w:tc>
      </w:tr>
      <w:tr w:rsidR="00D00FA8" w:rsidRPr="007B60BF" w14:paraId="51C901CC" w14:textId="091BFCAD" w:rsidTr="0002633A">
        <w:trPr>
          <w:trHeight w:val="300"/>
          <w:jc w:val="right"/>
        </w:trPr>
        <w:tc>
          <w:tcPr>
            <w:tcW w:w="0" w:type="auto"/>
            <w:tcBorders>
              <w:top w:val="nil"/>
              <w:left w:val="nil"/>
              <w:bottom w:val="nil"/>
              <w:right w:val="nil"/>
            </w:tcBorders>
            <w:shd w:val="clear" w:color="000000" w:fill="FFFFFF"/>
            <w:noWrap/>
            <w:vAlign w:val="center"/>
            <w:hideMark/>
          </w:tcPr>
          <w:p w14:paraId="3EFF408E" w14:textId="77777777" w:rsidR="00D00FA8" w:rsidRPr="007B60BF" w:rsidRDefault="00D00FA8" w:rsidP="0002633A">
            <w:pPr>
              <w:rPr>
                <w:b/>
                <w:bCs/>
              </w:rPr>
            </w:pPr>
            <w:r w:rsidRPr="007B60BF">
              <w:rPr>
                <w:b/>
                <w:bCs/>
              </w:rPr>
              <w:t>Circulante</w:t>
            </w:r>
          </w:p>
        </w:tc>
        <w:tc>
          <w:tcPr>
            <w:tcW w:w="357" w:type="pct"/>
            <w:tcBorders>
              <w:top w:val="nil"/>
              <w:left w:val="nil"/>
              <w:bottom w:val="nil"/>
              <w:right w:val="nil"/>
            </w:tcBorders>
            <w:shd w:val="clear" w:color="000000" w:fill="FFFFFF"/>
            <w:vAlign w:val="center"/>
            <w:hideMark/>
          </w:tcPr>
          <w:p w14:paraId="615C57E8" w14:textId="69C1FB6E"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2EA554B2" w14:textId="77777777" w:rsidR="00D00FA8" w:rsidRPr="007B60BF" w:rsidRDefault="00D00FA8" w:rsidP="0002633A">
            <w:pPr>
              <w:jc w:val="right"/>
              <w:rPr>
                <w:b/>
              </w:rPr>
            </w:pPr>
            <w:r w:rsidRPr="007B60BF">
              <w:rPr>
                <w:b/>
              </w:rPr>
              <w:t> </w:t>
            </w:r>
          </w:p>
        </w:tc>
        <w:tc>
          <w:tcPr>
            <w:tcW w:w="829" w:type="pct"/>
            <w:tcBorders>
              <w:top w:val="nil"/>
              <w:left w:val="nil"/>
              <w:bottom w:val="nil"/>
              <w:right w:val="nil"/>
            </w:tcBorders>
            <w:shd w:val="clear" w:color="000000" w:fill="FFFFFF"/>
            <w:noWrap/>
            <w:vAlign w:val="center"/>
          </w:tcPr>
          <w:p w14:paraId="17AEFC58" w14:textId="456F6A11" w:rsidR="00D00FA8" w:rsidRPr="007B60BF" w:rsidRDefault="00D00FA8" w:rsidP="0002633A">
            <w:pPr>
              <w:rPr>
                <w:b/>
              </w:rPr>
            </w:pPr>
          </w:p>
        </w:tc>
        <w:tc>
          <w:tcPr>
            <w:tcW w:w="123" w:type="pct"/>
            <w:tcBorders>
              <w:top w:val="nil"/>
              <w:left w:val="nil"/>
              <w:bottom w:val="nil"/>
              <w:right w:val="nil"/>
            </w:tcBorders>
            <w:shd w:val="clear" w:color="000000" w:fill="FFFFFF"/>
            <w:noWrap/>
            <w:vAlign w:val="center"/>
            <w:hideMark/>
          </w:tcPr>
          <w:p w14:paraId="2F1380FB" w14:textId="77777777" w:rsidR="00D00FA8" w:rsidRPr="007B60BF" w:rsidRDefault="00D00FA8" w:rsidP="0002633A">
            <w:pPr>
              <w:rPr>
                <w:b/>
              </w:rPr>
            </w:pPr>
            <w:r w:rsidRPr="007B60BF">
              <w:rPr>
                <w:b/>
              </w:rPr>
              <w:t> </w:t>
            </w:r>
          </w:p>
        </w:tc>
        <w:tc>
          <w:tcPr>
            <w:tcW w:w="811" w:type="pct"/>
            <w:tcBorders>
              <w:top w:val="nil"/>
              <w:left w:val="nil"/>
              <w:bottom w:val="nil"/>
              <w:right w:val="nil"/>
            </w:tcBorders>
            <w:shd w:val="clear" w:color="000000" w:fill="FFFFFF"/>
            <w:vAlign w:val="center"/>
          </w:tcPr>
          <w:p w14:paraId="1CF4680F" w14:textId="77777777" w:rsidR="00D00FA8" w:rsidRPr="007B60BF" w:rsidRDefault="00D00FA8" w:rsidP="0002633A">
            <w:pPr>
              <w:jc w:val="right"/>
              <w:rPr>
                <w:b/>
              </w:rPr>
            </w:pPr>
          </w:p>
        </w:tc>
      </w:tr>
      <w:tr w:rsidR="00D00FA8" w:rsidRPr="007B60BF" w14:paraId="3D165696" w14:textId="56379A12" w:rsidTr="0002633A">
        <w:trPr>
          <w:trHeight w:val="300"/>
          <w:jc w:val="right"/>
        </w:trPr>
        <w:tc>
          <w:tcPr>
            <w:tcW w:w="0" w:type="auto"/>
            <w:tcBorders>
              <w:top w:val="nil"/>
              <w:left w:val="nil"/>
              <w:bottom w:val="nil"/>
              <w:right w:val="nil"/>
            </w:tcBorders>
            <w:shd w:val="clear" w:color="000000" w:fill="FFFFFF"/>
            <w:noWrap/>
            <w:vAlign w:val="center"/>
            <w:hideMark/>
          </w:tcPr>
          <w:p w14:paraId="2756C847" w14:textId="77777777" w:rsidR="00D00FA8" w:rsidRPr="007B60BF" w:rsidRDefault="00D00FA8" w:rsidP="0002633A">
            <w:r w:rsidRPr="007B60BF">
              <w:t xml:space="preserve">   Caixa e Equivalente de Caixa </w:t>
            </w:r>
          </w:p>
        </w:tc>
        <w:tc>
          <w:tcPr>
            <w:tcW w:w="357" w:type="pct"/>
            <w:tcBorders>
              <w:top w:val="nil"/>
              <w:left w:val="nil"/>
              <w:bottom w:val="nil"/>
              <w:right w:val="nil"/>
            </w:tcBorders>
            <w:shd w:val="clear" w:color="000000" w:fill="FFFFFF"/>
            <w:vAlign w:val="center"/>
            <w:hideMark/>
          </w:tcPr>
          <w:p w14:paraId="474E051D" w14:textId="6EA14D91" w:rsidR="00D00FA8" w:rsidRPr="007B60BF" w:rsidRDefault="00D00FA8" w:rsidP="0002633A">
            <w:pPr>
              <w:jc w:val="center"/>
              <w:rPr>
                <w:b/>
                <w:bCs/>
              </w:rPr>
            </w:pPr>
            <w:r w:rsidRPr="007B60BF">
              <w:rPr>
                <w:b/>
                <w:bCs/>
              </w:rPr>
              <w:t>5</w:t>
            </w:r>
          </w:p>
        </w:tc>
        <w:tc>
          <w:tcPr>
            <w:tcW w:w="123" w:type="pct"/>
            <w:tcBorders>
              <w:top w:val="nil"/>
              <w:left w:val="nil"/>
              <w:bottom w:val="nil"/>
              <w:right w:val="nil"/>
            </w:tcBorders>
            <w:shd w:val="clear" w:color="000000" w:fill="FFFFFF"/>
            <w:vAlign w:val="center"/>
            <w:hideMark/>
          </w:tcPr>
          <w:p w14:paraId="172701A7" w14:textId="77777777"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4E772E85" w14:textId="6E597B8F" w:rsidR="00D00FA8" w:rsidRPr="007B60BF" w:rsidRDefault="000B32F4" w:rsidP="0002633A">
            <w:pPr>
              <w:jc w:val="right"/>
            </w:pPr>
            <w:r w:rsidRPr="007B60BF">
              <w:t>276.492</w:t>
            </w:r>
          </w:p>
        </w:tc>
        <w:tc>
          <w:tcPr>
            <w:tcW w:w="123" w:type="pct"/>
            <w:tcBorders>
              <w:top w:val="nil"/>
              <w:left w:val="nil"/>
              <w:bottom w:val="nil"/>
              <w:right w:val="nil"/>
            </w:tcBorders>
            <w:shd w:val="clear" w:color="000000" w:fill="FFFFFF"/>
            <w:noWrap/>
            <w:vAlign w:val="center"/>
            <w:hideMark/>
          </w:tcPr>
          <w:p w14:paraId="4D408FC3" w14:textId="5E9EE1B2"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6C82A468" w14:textId="460AE2A5" w:rsidR="00D00FA8" w:rsidRPr="007B60BF" w:rsidRDefault="00D00FA8" w:rsidP="0002633A">
            <w:pPr>
              <w:jc w:val="right"/>
            </w:pPr>
            <w:r w:rsidRPr="007B60BF">
              <w:t>237.037</w:t>
            </w:r>
          </w:p>
        </w:tc>
      </w:tr>
      <w:tr w:rsidR="00D00FA8" w:rsidRPr="007B60BF" w14:paraId="0E006215" w14:textId="7360EC25" w:rsidTr="0002633A">
        <w:trPr>
          <w:trHeight w:val="300"/>
          <w:jc w:val="right"/>
        </w:trPr>
        <w:tc>
          <w:tcPr>
            <w:tcW w:w="0" w:type="auto"/>
            <w:tcBorders>
              <w:top w:val="nil"/>
              <w:left w:val="nil"/>
              <w:bottom w:val="nil"/>
              <w:right w:val="nil"/>
            </w:tcBorders>
            <w:shd w:val="clear" w:color="000000" w:fill="FFFFFF"/>
            <w:noWrap/>
            <w:vAlign w:val="center"/>
            <w:hideMark/>
          </w:tcPr>
          <w:p w14:paraId="1D049209" w14:textId="77777777" w:rsidR="00D00FA8" w:rsidRPr="007B60BF" w:rsidRDefault="00D00FA8" w:rsidP="0002633A">
            <w:r w:rsidRPr="007B60BF">
              <w:t xml:space="preserve">   Créditos a Receber Curto Prazo</w:t>
            </w:r>
          </w:p>
        </w:tc>
        <w:tc>
          <w:tcPr>
            <w:tcW w:w="357" w:type="pct"/>
            <w:tcBorders>
              <w:top w:val="nil"/>
              <w:left w:val="nil"/>
              <w:bottom w:val="nil"/>
              <w:right w:val="nil"/>
            </w:tcBorders>
            <w:shd w:val="clear" w:color="000000" w:fill="FFFFFF"/>
            <w:vAlign w:val="center"/>
            <w:hideMark/>
          </w:tcPr>
          <w:p w14:paraId="53631911" w14:textId="51D7A2D8"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1BC58B0D" w14:textId="77777777"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04743E74" w14:textId="77777777" w:rsidR="00D00FA8" w:rsidRPr="007B60BF" w:rsidRDefault="00D00FA8" w:rsidP="0002633A">
            <w:pPr>
              <w:jc w:val="right"/>
            </w:pPr>
          </w:p>
        </w:tc>
        <w:tc>
          <w:tcPr>
            <w:tcW w:w="123" w:type="pct"/>
            <w:tcBorders>
              <w:top w:val="nil"/>
              <w:left w:val="nil"/>
              <w:bottom w:val="nil"/>
              <w:right w:val="nil"/>
            </w:tcBorders>
            <w:shd w:val="clear" w:color="000000" w:fill="FFFFFF"/>
            <w:noWrap/>
            <w:vAlign w:val="center"/>
            <w:hideMark/>
          </w:tcPr>
          <w:p w14:paraId="7A8C9B9D" w14:textId="4C949987"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2FB92F94" w14:textId="77777777" w:rsidR="00D00FA8" w:rsidRPr="007B60BF" w:rsidRDefault="00D00FA8" w:rsidP="0002633A">
            <w:pPr>
              <w:jc w:val="right"/>
            </w:pPr>
          </w:p>
        </w:tc>
      </w:tr>
      <w:tr w:rsidR="00D00FA8" w:rsidRPr="007B60BF" w14:paraId="26AA3AFA" w14:textId="661241CB" w:rsidTr="0002633A">
        <w:trPr>
          <w:trHeight w:val="300"/>
          <w:jc w:val="right"/>
        </w:trPr>
        <w:tc>
          <w:tcPr>
            <w:tcW w:w="0" w:type="auto"/>
            <w:tcBorders>
              <w:top w:val="nil"/>
              <w:left w:val="nil"/>
              <w:bottom w:val="nil"/>
              <w:right w:val="nil"/>
            </w:tcBorders>
            <w:shd w:val="clear" w:color="000000" w:fill="FFFFFF"/>
            <w:noWrap/>
            <w:vAlign w:val="center"/>
            <w:hideMark/>
          </w:tcPr>
          <w:p w14:paraId="3FBF7581" w14:textId="77777777" w:rsidR="00D00FA8" w:rsidRPr="007B60BF" w:rsidRDefault="00D00FA8" w:rsidP="0002633A">
            <w:r w:rsidRPr="007B60BF">
              <w:t xml:space="preserve">          Faturas e Duplicatas a Receber</w:t>
            </w:r>
          </w:p>
        </w:tc>
        <w:tc>
          <w:tcPr>
            <w:tcW w:w="357" w:type="pct"/>
            <w:tcBorders>
              <w:top w:val="nil"/>
              <w:left w:val="nil"/>
              <w:bottom w:val="nil"/>
              <w:right w:val="nil"/>
            </w:tcBorders>
            <w:shd w:val="clear" w:color="000000" w:fill="FFFFFF"/>
            <w:vAlign w:val="center"/>
            <w:hideMark/>
          </w:tcPr>
          <w:p w14:paraId="2F0BA058" w14:textId="588F2A49"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6C131892" w14:textId="77777777"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33A2999E" w14:textId="3CE27EE5" w:rsidR="00D00FA8" w:rsidRPr="007B60BF" w:rsidRDefault="000B32F4" w:rsidP="0002633A">
            <w:pPr>
              <w:jc w:val="right"/>
            </w:pPr>
            <w:r w:rsidRPr="007B60BF">
              <w:t>155</w:t>
            </w:r>
          </w:p>
        </w:tc>
        <w:tc>
          <w:tcPr>
            <w:tcW w:w="123" w:type="pct"/>
            <w:tcBorders>
              <w:top w:val="nil"/>
              <w:left w:val="nil"/>
              <w:bottom w:val="nil"/>
              <w:right w:val="nil"/>
            </w:tcBorders>
            <w:shd w:val="clear" w:color="000000" w:fill="FFFFFF"/>
            <w:noWrap/>
            <w:vAlign w:val="center"/>
            <w:hideMark/>
          </w:tcPr>
          <w:p w14:paraId="7FEC108C" w14:textId="7BD29CC4"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67B923BE" w14:textId="2AA5C084" w:rsidR="00D00FA8" w:rsidRPr="007B60BF" w:rsidRDefault="00D00FA8" w:rsidP="0002633A">
            <w:pPr>
              <w:jc w:val="right"/>
            </w:pPr>
            <w:r w:rsidRPr="007B60BF">
              <w:t>178</w:t>
            </w:r>
          </w:p>
        </w:tc>
      </w:tr>
      <w:tr w:rsidR="00D00FA8" w:rsidRPr="007B60BF" w14:paraId="115AED84" w14:textId="7549EF1E" w:rsidTr="0002633A">
        <w:trPr>
          <w:trHeight w:val="300"/>
          <w:jc w:val="right"/>
        </w:trPr>
        <w:tc>
          <w:tcPr>
            <w:tcW w:w="0" w:type="auto"/>
            <w:tcBorders>
              <w:top w:val="nil"/>
              <w:left w:val="nil"/>
              <w:bottom w:val="nil"/>
              <w:right w:val="nil"/>
            </w:tcBorders>
            <w:shd w:val="clear" w:color="000000" w:fill="FFFFFF"/>
            <w:noWrap/>
            <w:vAlign w:val="center"/>
            <w:hideMark/>
          </w:tcPr>
          <w:p w14:paraId="6BA550E6" w14:textId="77777777" w:rsidR="00D00FA8" w:rsidRPr="007B60BF" w:rsidRDefault="00D00FA8" w:rsidP="0002633A">
            <w:r w:rsidRPr="007B60BF">
              <w:t xml:space="preserve">          Crédito de Fornecimento de Serviços </w:t>
            </w:r>
          </w:p>
        </w:tc>
        <w:tc>
          <w:tcPr>
            <w:tcW w:w="357" w:type="pct"/>
            <w:tcBorders>
              <w:top w:val="nil"/>
              <w:left w:val="nil"/>
              <w:bottom w:val="nil"/>
              <w:right w:val="nil"/>
            </w:tcBorders>
            <w:shd w:val="clear" w:color="000000" w:fill="FFFFFF"/>
            <w:vAlign w:val="center"/>
            <w:hideMark/>
          </w:tcPr>
          <w:p w14:paraId="401D7DB8" w14:textId="5BF76573" w:rsidR="00D00FA8" w:rsidRPr="007B60BF" w:rsidRDefault="00D00FA8" w:rsidP="0002633A">
            <w:pPr>
              <w:jc w:val="center"/>
              <w:rPr>
                <w:b/>
                <w:bCs/>
              </w:rPr>
            </w:pPr>
            <w:r w:rsidRPr="007B60BF">
              <w:rPr>
                <w:b/>
                <w:bCs/>
              </w:rPr>
              <w:t>6</w:t>
            </w:r>
          </w:p>
        </w:tc>
        <w:tc>
          <w:tcPr>
            <w:tcW w:w="123" w:type="pct"/>
            <w:tcBorders>
              <w:top w:val="nil"/>
              <w:left w:val="nil"/>
              <w:bottom w:val="nil"/>
              <w:right w:val="nil"/>
            </w:tcBorders>
            <w:shd w:val="clear" w:color="000000" w:fill="FFFFFF"/>
            <w:vAlign w:val="center"/>
            <w:hideMark/>
          </w:tcPr>
          <w:p w14:paraId="466CC08E" w14:textId="77777777"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5523D0B7" w14:textId="78BAA9F8" w:rsidR="00D00FA8" w:rsidRPr="007B60BF" w:rsidRDefault="000B32F4" w:rsidP="0002633A">
            <w:pPr>
              <w:jc w:val="right"/>
            </w:pPr>
            <w:r w:rsidRPr="007B60BF">
              <w:t>76.875</w:t>
            </w:r>
          </w:p>
        </w:tc>
        <w:tc>
          <w:tcPr>
            <w:tcW w:w="123" w:type="pct"/>
            <w:tcBorders>
              <w:top w:val="nil"/>
              <w:left w:val="nil"/>
              <w:bottom w:val="nil"/>
              <w:right w:val="nil"/>
            </w:tcBorders>
            <w:shd w:val="clear" w:color="000000" w:fill="FFFFFF"/>
            <w:noWrap/>
            <w:vAlign w:val="center"/>
            <w:hideMark/>
          </w:tcPr>
          <w:p w14:paraId="5A0AE11C" w14:textId="59D50B67"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59A11D29" w14:textId="33D742FF" w:rsidR="00D00FA8" w:rsidRPr="007B60BF" w:rsidRDefault="00D00FA8" w:rsidP="0002633A">
            <w:pPr>
              <w:jc w:val="right"/>
            </w:pPr>
            <w:r w:rsidRPr="007B60BF">
              <w:t>58.212</w:t>
            </w:r>
          </w:p>
        </w:tc>
      </w:tr>
      <w:tr w:rsidR="00D00FA8" w:rsidRPr="007B60BF" w14:paraId="4EAEF7A4" w14:textId="77777777" w:rsidTr="0002633A">
        <w:trPr>
          <w:trHeight w:val="300"/>
          <w:jc w:val="right"/>
        </w:trPr>
        <w:tc>
          <w:tcPr>
            <w:tcW w:w="0" w:type="auto"/>
            <w:tcBorders>
              <w:top w:val="nil"/>
              <w:left w:val="nil"/>
              <w:bottom w:val="nil"/>
              <w:right w:val="nil"/>
            </w:tcBorders>
            <w:shd w:val="clear" w:color="000000" w:fill="FFFFFF"/>
            <w:noWrap/>
            <w:vAlign w:val="center"/>
          </w:tcPr>
          <w:p w14:paraId="2BBECEB7" w14:textId="00A408A6" w:rsidR="00D00FA8" w:rsidRPr="007B60BF" w:rsidRDefault="00D00FA8" w:rsidP="0002633A">
            <w:r w:rsidRPr="007B60BF">
              <w:t xml:space="preserve">          Adiantamentos a Pessoal </w:t>
            </w:r>
          </w:p>
        </w:tc>
        <w:tc>
          <w:tcPr>
            <w:tcW w:w="357" w:type="pct"/>
            <w:tcBorders>
              <w:top w:val="nil"/>
              <w:left w:val="nil"/>
              <w:bottom w:val="nil"/>
              <w:right w:val="nil"/>
            </w:tcBorders>
            <w:shd w:val="clear" w:color="000000" w:fill="FFFFFF"/>
            <w:vAlign w:val="center"/>
          </w:tcPr>
          <w:p w14:paraId="520D1833" w14:textId="7FB8C4D2" w:rsidR="00D00FA8" w:rsidRPr="007B60BF" w:rsidRDefault="00D00FA8" w:rsidP="0002633A">
            <w:pPr>
              <w:jc w:val="center"/>
              <w:rPr>
                <w:b/>
                <w:bCs/>
              </w:rPr>
            </w:pPr>
            <w:r w:rsidRPr="007B60BF">
              <w:rPr>
                <w:b/>
                <w:bCs/>
              </w:rPr>
              <w:t>7</w:t>
            </w:r>
          </w:p>
        </w:tc>
        <w:tc>
          <w:tcPr>
            <w:tcW w:w="123" w:type="pct"/>
            <w:tcBorders>
              <w:top w:val="nil"/>
              <w:left w:val="nil"/>
              <w:bottom w:val="nil"/>
              <w:right w:val="nil"/>
            </w:tcBorders>
            <w:shd w:val="clear" w:color="000000" w:fill="FFFFFF"/>
            <w:vAlign w:val="center"/>
          </w:tcPr>
          <w:p w14:paraId="5B662E93" w14:textId="1CCBAB0D"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7A159344" w14:textId="17611D81" w:rsidR="00D00FA8" w:rsidRPr="007B60BF" w:rsidRDefault="000B32F4" w:rsidP="0002633A">
            <w:pPr>
              <w:jc w:val="right"/>
            </w:pPr>
            <w:r w:rsidRPr="007B60BF">
              <w:t>26.951</w:t>
            </w:r>
          </w:p>
        </w:tc>
        <w:tc>
          <w:tcPr>
            <w:tcW w:w="123" w:type="pct"/>
            <w:tcBorders>
              <w:top w:val="nil"/>
              <w:left w:val="nil"/>
              <w:bottom w:val="nil"/>
              <w:right w:val="nil"/>
            </w:tcBorders>
            <w:shd w:val="clear" w:color="000000" w:fill="FFFFFF"/>
            <w:noWrap/>
            <w:vAlign w:val="center"/>
          </w:tcPr>
          <w:p w14:paraId="28BF9E0D" w14:textId="77777777"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38F3BA3A" w14:textId="64320F92" w:rsidR="00D00FA8" w:rsidRPr="007B60BF" w:rsidRDefault="00D00FA8" w:rsidP="0002633A">
            <w:pPr>
              <w:jc w:val="right"/>
            </w:pPr>
            <w:r w:rsidRPr="007B60BF">
              <w:t>21.859</w:t>
            </w:r>
          </w:p>
        </w:tc>
      </w:tr>
      <w:tr w:rsidR="00D00FA8" w:rsidRPr="007B60BF" w14:paraId="5492D7F8" w14:textId="2B68FACB" w:rsidTr="0002633A">
        <w:trPr>
          <w:trHeight w:val="300"/>
          <w:jc w:val="right"/>
        </w:trPr>
        <w:tc>
          <w:tcPr>
            <w:tcW w:w="0" w:type="auto"/>
            <w:tcBorders>
              <w:top w:val="nil"/>
              <w:left w:val="nil"/>
              <w:bottom w:val="nil"/>
              <w:right w:val="nil"/>
            </w:tcBorders>
            <w:shd w:val="clear" w:color="000000" w:fill="FFFFFF"/>
            <w:noWrap/>
            <w:vAlign w:val="center"/>
            <w:hideMark/>
          </w:tcPr>
          <w:p w14:paraId="4B26C647" w14:textId="63294938" w:rsidR="00D00FA8" w:rsidRPr="007B60BF" w:rsidRDefault="00D00FA8" w:rsidP="0002633A">
            <w:r w:rsidRPr="007B60BF">
              <w:t xml:space="preserve">          Demais Contas a Receber</w:t>
            </w:r>
          </w:p>
        </w:tc>
        <w:tc>
          <w:tcPr>
            <w:tcW w:w="357" w:type="pct"/>
            <w:tcBorders>
              <w:top w:val="nil"/>
              <w:left w:val="nil"/>
              <w:bottom w:val="nil"/>
              <w:right w:val="nil"/>
            </w:tcBorders>
            <w:shd w:val="clear" w:color="000000" w:fill="FFFFFF"/>
            <w:vAlign w:val="center"/>
            <w:hideMark/>
          </w:tcPr>
          <w:p w14:paraId="299166D7" w14:textId="2A519F51"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4A22FFCD" w14:textId="069C012A"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3BBC3011" w14:textId="5A27DF41" w:rsidR="007050EB" w:rsidRPr="007B60BF" w:rsidRDefault="00011727" w:rsidP="0002633A">
            <w:pPr>
              <w:jc w:val="right"/>
            </w:pPr>
            <w:r w:rsidRPr="007B60BF">
              <w:t>693</w:t>
            </w:r>
          </w:p>
        </w:tc>
        <w:tc>
          <w:tcPr>
            <w:tcW w:w="123" w:type="pct"/>
            <w:tcBorders>
              <w:top w:val="nil"/>
              <w:left w:val="nil"/>
              <w:bottom w:val="nil"/>
              <w:right w:val="nil"/>
            </w:tcBorders>
            <w:shd w:val="clear" w:color="000000" w:fill="FFFFFF"/>
            <w:noWrap/>
            <w:vAlign w:val="center"/>
            <w:hideMark/>
          </w:tcPr>
          <w:p w14:paraId="3D8CD8CA" w14:textId="32212967"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10B27964" w14:textId="6F8C3332" w:rsidR="00D00FA8" w:rsidRPr="007B60BF" w:rsidRDefault="00D00FA8" w:rsidP="0002633A">
            <w:pPr>
              <w:jc w:val="right"/>
            </w:pPr>
            <w:r w:rsidRPr="007B60BF">
              <w:t>3.321</w:t>
            </w:r>
          </w:p>
        </w:tc>
      </w:tr>
      <w:tr w:rsidR="00D00FA8" w:rsidRPr="007B60BF" w14:paraId="20A3E5FD" w14:textId="7FA7B3B9" w:rsidTr="0002633A">
        <w:trPr>
          <w:trHeight w:val="300"/>
          <w:jc w:val="right"/>
        </w:trPr>
        <w:tc>
          <w:tcPr>
            <w:tcW w:w="0" w:type="auto"/>
            <w:tcBorders>
              <w:top w:val="nil"/>
              <w:left w:val="nil"/>
              <w:bottom w:val="nil"/>
              <w:right w:val="nil"/>
            </w:tcBorders>
            <w:shd w:val="clear" w:color="000000" w:fill="FFFFFF"/>
            <w:noWrap/>
            <w:vAlign w:val="center"/>
            <w:hideMark/>
          </w:tcPr>
          <w:p w14:paraId="6358BBB4" w14:textId="5050CCD3" w:rsidR="00D00FA8" w:rsidRPr="007B60BF" w:rsidRDefault="00D00FA8" w:rsidP="0002633A">
            <w:r w:rsidRPr="007B60BF">
              <w:t xml:space="preserve">   Estoques</w:t>
            </w:r>
          </w:p>
        </w:tc>
        <w:tc>
          <w:tcPr>
            <w:tcW w:w="357" w:type="pct"/>
            <w:tcBorders>
              <w:top w:val="nil"/>
              <w:left w:val="nil"/>
              <w:bottom w:val="nil"/>
              <w:right w:val="nil"/>
            </w:tcBorders>
            <w:shd w:val="clear" w:color="000000" w:fill="FFFFFF"/>
            <w:vAlign w:val="center"/>
            <w:hideMark/>
          </w:tcPr>
          <w:p w14:paraId="5E25CEAB" w14:textId="075608FE"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6B764DA3" w14:textId="0F7B1BD6" w:rsidR="00D00FA8" w:rsidRPr="007B60BF" w:rsidRDefault="00D00FA8" w:rsidP="0002633A">
            <w:pPr>
              <w:jc w:val="right"/>
            </w:pPr>
            <w:r w:rsidRPr="007B60BF">
              <w:t> </w:t>
            </w:r>
          </w:p>
        </w:tc>
        <w:tc>
          <w:tcPr>
            <w:tcW w:w="829" w:type="pct"/>
            <w:tcBorders>
              <w:top w:val="nil"/>
              <w:left w:val="nil"/>
              <w:bottom w:val="nil"/>
              <w:right w:val="nil"/>
            </w:tcBorders>
            <w:shd w:val="clear" w:color="000000" w:fill="FFFFFF"/>
            <w:noWrap/>
            <w:vAlign w:val="center"/>
          </w:tcPr>
          <w:p w14:paraId="348D460D" w14:textId="00E7951F" w:rsidR="00D00FA8" w:rsidRPr="007B60BF" w:rsidRDefault="00D00FA8" w:rsidP="0002633A">
            <w:pPr>
              <w:jc w:val="right"/>
            </w:pPr>
          </w:p>
        </w:tc>
        <w:tc>
          <w:tcPr>
            <w:tcW w:w="123" w:type="pct"/>
            <w:tcBorders>
              <w:top w:val="nil"/>
              <w:left w:val="nil"/>
              <w:bottom w:val="nil"/>
              <w:right w:val="nil"/>
            </w:tcBorders>
            <w:shd w:val="clear" w:color="000000" w:fill="FFFFFF"/>
            <w:noWrap/>
            <w:vAlign w:val="center"/>
            <w:hideMark/>
          </w:tcPr>
          <w:p w14:paraId="2AC5207D" w14:textId="1325C6CF" w:rsidR="00D00FA8" w:rsidRPr="007B60BF" w:rsidRDefault="00D00FA8" w:rsidP="0002633A">
            <w:pPr>
              <w:jc w:val="right"/>
            </w:pPr>
          </w:p>
        </w:tc>
        <w:tc>
          <w:tcPr>
            <w:tcW w:w="811" w:type="pct"/>
            <w:tcBorders>
              <w:top w:val="nil"/>
              <w:left w:val="nil"/>
              <w:bottom w:val="nil"/>
              <w:right w:val="nil"/>
            </w:tcBorders>
            <w:shd w:val="clear" w:color="000000" w:fill="FFFFFF"/>
            <w:vAlign w:val="center"/>
          </w:tcPr>
          <w:p w14:paraId="37A73921" w14:textId="77777777" w:rsidR="00D00FA8" w:rsidRPr="007B60BF" w:rsidRDefault="00D00FA8" w:rsidP="0002633A">
            <w:pPr>
              <w:jc w:val="right"/>
            </w:pPr>
          </w:p>
        </w:tc>
      </w:tr>
      <w:tr w:rsidR="000B32F4" w:rsidRPr="007B60BF" w14:paraId="7335D7B1" w14:textId="65F757F0" w:rsidTr="0002633A">
        <w:trPr>
          <w:trHeight w:val="300"/>
          <w:jc w:val="right"/>
        </w:trPr>
        <w:tc>
          <w:tcPr>
            <w:tcW w:w="0" w:type="auto"/>
            <w:tcBorders>
              <w:top w:val="nil"/>
              <w:left w:val="nil"/>
              <w:bottom w:val="nil"/>
              <w:right w:val="nil"/>
            </w:tcBorders>
            <w:shd w:val="clear" w:color="000000" w:fill="FFFFFF"/>
            <w:noWrap/>
            <w:vAlign w:val="center"/>
            <w:hideMark/>
          </w:tcPr>
          <w:p w14:paraId="4ABAD9D9" w14:textId="0789B900" w:rsidR="000B32F4" w:rsidRPr="007B60BF" w:rsidRDefault="000B32F4" w:rsidP="0002633A">
            <w:r w:rsidRPr="007B60BF">
              <w:t xml:space="preserve">          Estoques Materiais de Consumo </w:t>
            </w:r>
          </w:p>
        </w:tc>
        <w:tc>
          <w:tcPr>
            <w:tcW w:w="357" w:type="pct"/>
            <w:tcBorders>
              <w:top w:val="nil"/>
              <w:left w:val="nil"/>
              <w:bottom w:val="nil"/>
              <w:right w:val="nil"/>
            </w:tcBorders>
            <w:shd w:val="clear" w:color="000000" w:fill="FFFFFF"/>
            <w:vAlign w:val="center"/>
            <w:hideMark/>
          </w:tcPr>
          <w:p w14:paraId="7D4449D9" w14:textId="1E1F72AC" w:rsidR="000B32F4" w:rsidRPr="007B60BF" w:rsidRDefault="000B32F4" w:rsidP="0002633A">
            <w:pPr>
              <w:jc w:val="center"/>
              <w:rPr>
                <w:b/>
                <w:bCs/>
              </w:rPr>
            </w:pPr>
            <w:r w:rsidRPr="007B60BF">
              <w:rPr>
                <w:b/>
                <w:bCs/>
              </w:rPr>
              <w:t>8</w:t>
            </w:r>
          </w:p>
        </w:tc>
        <w:tc>
          <w:tcPr>
            <w:tcW w:w="123" w:type="pct"/>
            <w:tcBorders>
              <w:top w:val="nil"/>
              <w:left w:val="nil"/>
              <w:bottom w:val="nil"/>
              <w:right w:val="nil"/>
            </w:tcBorders>
            <w:shd w:val="clear" w:color="000000" w:fill="FFFFFF"/>
            <w:vAlign w:val="center"/>
            <w:hideMark/>
          </w:tcPr>
          <w:p w14:paraId="3FD1F8E0" w14:textId="5D4F615B" w:rsidR="000B32F4" w:rsidRPr="007B60BF" w:rsidRDefault="000B32F4" w:rsidP="0002633A">
            <w:pPr>
              <w:jc w:val="right"/>
            </w:pPr>
            <w:r w:rsidRPr="007B60BF">
              <w:t> </w:t>
            </w:r>
          </w:p>
        </w:tc>
        <w:tc>
          <w:tcPr>
            <w:tcW w:w="829" w:type="pct"/>
            <w:tcBorders>
              <w:top w:val="nil"/>
              <w:left w:val="nil"/>
              <w:bottom w:val="nil"/>
              <w:right w:val="nil"/>
            </w:tcBorders>
            <w:shd w:val="clear" w:color="auto" w:fill="auto"/>
            <w:noWrap/>
            <w:vAlign w:val="center"/>
          </w:tcPr>
          <w:p w14:paraId="75458AB4" w14:textId="532E73DD" w:rsidR="000B32F4" w:rsidRPr="007B60BF" w:rsidRDefault="000B32F4" w:rsidP="0002633A">
            <w:pPr>
              <w:jc w:val="right"/>
            </w:pPr>
            <w:r w:rsidRPr="007B60BF">
              <w:t>30.150</w:t>
            </w:r>
          </w:p>
        </w:tc>
        <w:tc>
          <w:tcPr>
            <w:tcW w:w="123" w:type="pct"/>
            <w:tcBorders>
              <w:top w:val="nil"/>
              <w:left w:val="nil"/>
              <w:bottom w:val="nil"/>
              <w:right w:val="nil"/>
            </w:tcBorders>
            <w:shd w:val="clear" w:color="auto" w:fill="auto"/>
            <w:noWrap/>
            <w:vAlign w:val="center"/>
            <w:hideMark/>
          </w:tcPr>
          <w:p w14:paraId="07E719B9" w14:textId="2B48BBA8" w:rsidR="000B32F4" w:rsidRPr="007B60BF" w:rsidRDefault="000B32F4" w:rsidP="0002633A">
            <w:pPr>
              <w:jc w:val="right"/>
            </w:pPr>
          </w:p>
        </w:tc>
        <w:tc>
          <w:tcPr>
            <w:tcW w:w="811" w:type="pct"/>
            <w:tcBorders>
              <w:top w:val="nil"/>
              <w:left w:val="nil"/>
              <w:bottom w:val="nil"/>
              <w:right w:val="nil"/>
            </w:tcBorders>
            <w:vAlign w:val="center"/>
          </w:tcPr>
          <w:p w14:paraId="4079F578" w14:textId="7094F93A" w:rsidR="000B32F4" w:rsidRPr="007B60BF" w:rsidRDefault="000B32F4" w:rsidP="0002633A">
            <w:pPr>
              <w:jc w:val="right"/>
            </w:pPr>
            <w:r w:rsidRPr="007B60BF">
              <w:t>27.996</w:t>
            </w:r>
          </w:p>
        </w:tc>
      </w:tr>
      <w:tr w:rsidR="000B32F4" w:rsidRPr="007B60BF" w14:paraId="7E774C14" w14:textId="03C54F1B" w:rsidTr="0002633A">
        <w:trPr>
          <w:trHeight w:val="300"/>
          <w:jc w:val="right"/>
        </w:trPr>
        <w:tc>
          <w:tcPr>
            <w:tcW w:w="0" w:type="auto"/>
            <w:tcBorders>
              <w:top w:val="nil"/>
              <w:left w:val="nil"/>
              <w:bottom w:val="nil"/>
              <w:right w:val="nil"/>
            </w:tcBorders>
            <w:shd w:val="clear" w:color="000000" w:fill="FFFFFF"/>
            <w:noWrap/>
            <w:vAlign w:val="center"/>
            <w:hideMark/>
          </w:tcPr>
          <w:p w14:paraId="73A08447" w14:textId="7CA11C6C" w:rsidR="000B32F4" w:rsidRPr="007B60BF" w:rsidRDefault="000B32F4" w:rsidP="0002633A">
            <w:r w:rsidRPr="007B60BF">
              <w:t xml:space="preserve">          Importação em Andamento</w:t>
            </w:r>
          </w:p>
        </w:tc>
        <w:tc>
          <w:tcPr>
            <w:tcW w:w="357" w:type="pct"/>
            <w:tcBorders>
              <w:top w:val="nil"/>
              <w:left w:val="nil"/>
              <w:bottom w:val="nil"/>
              <w:right w:val="nil"/>
            </w:tcBorders>
            <w:shd w:val="clear" w:color="000000" w:fill="FFFFFF"/>
            <w:vAlign w:val="center"/>
            <w:hideMark/>
          </w:tcPr>
          <w:p w14:paraId="6FFF960B" w14:textId="0AA39CEB" w:rsidR="000B32F4" w:rsidRPr="007B60BF" w:rsidRDefault="000B32F4" w:rsidP="0002633A">
            <w:pPr>
              <w:jc w:val="center"/>
              <w:rPr>
                <w:b/>
                <w:bCs/>
              </w:rPr>
            </w:pPr>
          </w:p>
        </w:tc>
        <w:tc>
          <w:tcPr>
            <w:tcW w:w="123" w:type="pct"/>
            <w:tcBorders>
              <w:top w:val="nil"/>
              <w:left w:val="nil"/>
              <w:bottom w:val="nil"/>
              <w:right w:val="nil"/>
            </w:tcBorders>
            <w:shd w:val="clear" w:color="000000" w:fill="FFFFFF"/>
            <w:vAlign w:val="center"/>
            <w:hideMark/>
          </w:tcPr>
          <w:p w14:paraId="3B2C26BF" w14:textId="55D4E89B" w:rsidR="000B32F4" w:rsidRPr="007B60BF" w:rsidRDefault="000B32F4" w:rsidP="0002633A">
            <w:pPr>
              <w:jc w:val="right"/>
            </w:pPr>
            <w:r w:rsidRPr="007B60BF">
              <w:t> </w:t>
            </w:r>
          </w:p>
        </w:tc>
        <w:tc>
          <w:tcPr>
            <w:tcW w:w="829" w:type="pct"/>
            <w:tcBorders>
              <w:top w:val="nil"/>
              <w:left w:val="nil"/>
              <w:right w:val="nil"/>
            </w:tcBorders>
            <w:shd w:val="clear" w:color="auto" w:fill="auto"/>
            <w:noWrap/>
            <w:vAlign w:val="center"/>
          </w:tcPr>
          <w:p w14:paraId="27D745E1" w14:textId="35A35869" w:rsidR="000B32F4" w:rsidRPr="007B60BF" w:rsidRDefault="000B32F4" w:rsidP="0002633A">
            <w:pPr>
              <w:jc w:val="right"/>
            </w:pPr>
            <w:r w:rsidRPr="007B60BF">
              <w:t>1.264</w:t>
            </w:r>
          </w:p>
        </w:tc>
        <w:tc>
          <w:tcPr>
            <w:tcW w:w="123" w:type="pct"/>
            <w:tcBorders>
              <w:top w:val="nil"/>
              <w:left w:val="nil"/>
              <w:bottom w:val="nil"/>
              <w:right w:val="nil"/>
            </w:tcBorders>
            <w:shd w:val="clear" w:color="auto" w:fill="auto"/>
            <w:noWrap/>
            <w:vAlign w:val="center"/>
            <w:hideMark/>
          </w:tcPr>
          <w:p w14:paraId="08A09013" w14:textId="2053E84F" w:rsidR="000B32F4" w:rsidRPr="007B60BF" w:rsidRDefault="000B32F4" w:rsidP="0002633A">
            <w:pPr>
              <w:jc w:val="right"/>
            </w:pPr>
          </w:p>
        </w:tc>
        <w:tc>
          <w:tcPr>
            <w:tcW w:w="811" w:type="pct"/>
            <w:tcBorders>
              <w:top w:val="nil"/>
              <w:left w:val="nil"/>
              <w:right w:val="nil"/>
            </w:tcBorders>
            <w:vAlign w:val="center"/>
          </w:tcPr>
          <w:p w14:paraId="7B01CF7B" w14:textId="0CAC1399" w:rsidR="000B32F4" w:rsidRPr="007B60BF" w:rsidRDefault="000B32F4" w:rsidP="0002633A">
            <w:pPr>
              <w:jc w:val="right"/>
            </w:pPr>
            <w:r w:rsidRPr="007B60BF">
              <w:t>3.164</w:t>
            </w:r>
          </w:p>
        </w:tc>
      </w:tr>
      <w:tr w:rsidR="00D00FA8" w:rsidRPr="007B60BF" w14:paraId="53C5906C" w14:textId="577794BD" w:rsidTr="0002633A">
        <w:trPr>
          <w:trHeight w:val="300"/>
          <w:jc w:val="right"/>
        </w:trPr>
        <w:tc>
          <w:tcPr>
            <w:tcW w:w="0" w:type="auto"/>
            <w:tcBorders>
              <w:top w:val="nil"/>
              <w:left w:val="nil"/>
              <w:bottom w:val="nil"/>
              <w:right w:val="nil"/>
            </w:tcBorders>
            <w:shd w:val="clear" w:color="000000" w:fill="FFFFFF"/>
            <w:noWrap/>
            <w:vAlign w:val="center"/>
            <w:hideMark/>
          </w:tcPr>
          <w:p w14:paraId="41AEA668" w14:textId="6DA435E8" w:rsidR="00D00FA8" w:rsidRPr="007B60BF" w:rsidRDefault="00D00FA8" w:rsidP="0002633A">
            <w:r w:rsidRPr="007B60BF">
              <w:t xml:space="preserve">   Despesas Pagas Antecipadamente</w:t>
            </w:r>
          </w:p>
        </w:tc>
        <w:tc>
          <w:tcPr>
            <w:tcW w:w="357" w:type="pct"/>
            <w:tcBorders>
              <w:top w:val="nil"/>
              <w:left w:val="nil"/>
              <w:bottom w:val="nil"/>
              <w:right w:val="nil"/>
            </w:tcBorders>
            <w:shd w:val="clear" w:color="000000" w:fill="FFFFFF"/>
            <w:vAlign w:val="center"/>
            <w:hideMark/>
          </w:tcPr>
          <w:p w14:paraId="6432C975" w14:textId="41C79007"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0B677A01" w14:textId="555F18AF" w:rsidR="00D00FA8" w:rsidRPr="007B60BF" w:rsidRDefault="00D00FA8" w:rsidP="0002633A">
            <w:pPr>
              <w:jc w:val="right"/>
            </w:pPr>
            <w:r w:rsidRPr="007B60BF">
              <w:t> </w:t>
            </w:r>
          </w:p>
        </w:tc>
        <w:tc>
          <w:tcPr>
            <w:tcW w:w="829" w:type="pct"/>
            <w:tcBorders>
              <w:top w:val="nil"/>
              <w:left w:val="nil"/>
              <w:bottom w:val="single" w:sz="4" w:space="0" w:color="auto"/>
              <w:right w:val="nil"/>
            </w:tcBorders>
            <w:shd w:val="clear" w:color="auto" w:fill="auto"/>
            <w:noWrap/>
            <w:vAlign w:val="center"/>
          </w:tcPr>
          <w:p w14:paraId="1BC02C71" w14:textId="4FD85DA8" w:rsidR="00D00FA8" w:rsidRPr="007B60BF" w:rsidRDefault="000B32F4" w:rsidP="0002633A">
            <w:pPr>
              <w:jc w:val="right"/>
            </w:pPr>
            <w:r w:rsidRPr="007B60BF">
              <w:t>1.035</w:t>
            </w:r>
          </w:p>
        </w:tc>
        <w:tc>
          <w:tcPr>
            <w:tcW w:w="123" w:type="pct"/>
            <w:tcBorders>
              <w:top w:val="nil"/>
              <w:left w:val="nil"/>
              <w:bottom w:val="nil"/>
              <w:right w:val="nil"/>
            </w:tcBorders>
            <w:shd w:val="clear" w:color="auto" w:fill="auto"/>
            <w:noWrap/>
            <w:vAlign w:val="center"/>
            <w:hideMark/>
          </w:tcPr>
          <w:p w14:paraId="3675A7BE" w14:textId="55BF8C41" w:rsidR="00D00FA8" w:rsidRPr="007B60BF" w:rsidRDefault="00D00FA8" w:rsidP="0002633A">
            <w:pPr>
              <w:jc w:val="right"/>
            </w:pPr>
          </w:p>
        </w:tc>
        <w:tc>
          <w:tcPr>
            <w:tcW w:w="811" w:type="pct"/>
            <w:tcBorders>
              <w:top w:val="nil"/>
              <w:left w:val="nil"/>
              <w:bottom w:val="single" w:sz="4" w:space="0" w:color="auto"/>
              <w:right w:val="nil"/>
            </w:tcBorders>
            <w:vAlign w:val="center"/>
          </w:tcPr>
          <w:p w14:paraId="782FB59C" w14:textId="6B3956EC" w:rsidR="00D00FA8" w:rsidRPr="007B60BF" w:rsidRDefault="00D00FA8" w:rsidP="0002633A">
            <w:pPr>
              <w:jc w:val="right"/>
            </w:pPr>
            <w:r w:rsidRPr="007B60BF">
              <w:t>990</w:t>
            </w:r>
          </w:p>
        </w:tc>
      </w:tr>
      <w:tr w:rsidR="00D00FA8" w:rsidRPr="007B60BF" w14:paraId="47501740" w14:textId="1B489C4D" w:rsidTr="0002633A">
        <w:trPr>
          <w:trHeight w:val="315"/>
          <w:jc w:val="right"/>
        </w:trPr>
        <w:tc>
          <w:tcPr>
            <w:tcW w:w="0" w:type="auto"/>
            <w:tcBorders>
              <w:top w:val="nil"/>
              <w:left w:val="nil"/>
              <w:bottom w:val="nil"/>
              <w:right w:val="nil"/>
            </w:tcBorders>
            <w:shd w:val="clear" w:color="000000" w:fill="FFFFFF"/>
            <w:noWrap/>
            <w:vAlign w:val="center"/>
            <w:hideMark/>
          </w:tcPr>
          <w:p w14:paraId="4F2F38F6" w14:textId="7BC31497" w:rsidR="00D00FA8" w:rsidRPr="007B60BF" w:rsidRDefault="00D00FA8" w:rsidP="0002633A">
            <w:pPr>
              <w:rPr>
                <w:b/>
              </w:rPr>
            </w:pPr>
            <w:r w:rsidRPr="007B60BF">
              <w:rPr>
                <w:b/>
              </w:rPr>
              <w:t xml:space="preserve">   </w:t>
            </w:r>
          </w:p>
        </w:tc>
        <w:tc>
          <w:tcPr>
            <w:tcW w:w="357" w:type="pct"/>
            <w:tcBorders>
              <w:top w:val="nil"/>
              <w:left w:val="nil"/>
              <w:bottom w:val="nil"/>
              <w:right w:val="nil"/>
            </w:tcBorders>
            <w:shd w:val="clear" w:color="000000" w:fill="FFFFFF"/>
            <w:vAlign w:val="center"/>
            <w:hideMark/>
          </w:tcPr>
          <w:p w14:paraId="61A923E2" w14:textId="1FED4046"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30D2923C" w14:textId="136588CF" w:rsidR="00D00FA8" w:rsidRPr="007B60BF" w:rsidRDefault="00D00FA8" w:rsidP="0002633A">
            <w:pPr>
              <w:jc w:val="right"/>
              <w:rPr>
                <w:b/>
              </w:rPr>
            </w:pPr>
            <w:r w:rsidRPr="007B60BF">
              <w:rPr>
                <w:b/>
                <w:bCs/>
              </w:rPr>
              <w:t> </w:t>
            </w:r>
          </w:p>
        </w:tc>
        <w:tc>
          <w:tcPr>
            <w:tcW w:w="829" w:type="pct"/>
            <w:tcBorders>
              <w:top w:val="single" w:sz="4" w:space="0" w:color="auto"/>
              <w:left w:val="nil"/>
              <w:bottom w:val="single" w:sz="8" w:space="0" w:color="auto"/>
              <w:right w:val="nil"/>
            </w:tcBorders>
            <w:shd w:val="clear" w:color="auto" w:fill="auto"/>
            <w:noWrap/>
            <w:vAlign w:val="center"/>
          </w:tcPr>
          <w:p w14:paraId="1940C850" w14:textId="55BDEE33" w:rsidR="00D00FA8" w:rsidRPr="007B60BF" w:rsidRDefault="000B32F4" w:rsidP="00605825">
            <w:pPr>
              <w:jc w:val="right"/>
              <w:rPr>
                <w:b/>
              </w:rPr>
            </w:pPr>
            <w:r w:rsidRPr="007B60BF">
              <w:rPr>
                <w:b/>
              </w:rPr>
              <w:t>41</w:t>
            </w:r>
            <w:r w:rsidR="00605825" w:rsidRPr="007B60BF">
              <w:rPr>
                <w:b/>
              </w:rPr>
              <w:t>3.61</w:t>
            </w:r>
            <w:r w:rsidRPr="007B60BF">
              <w:rPr>
                <w:b/>
              </w:rPr>
              <w:t>5</w:t>
            </w:r>
          </w:p>
        </w:tc>
        <w:tc>
          <w:tcPr>
            <w:tcW w:w="123" w:type="pct"/>
            <w:tcBorders>
              <w:top w:val="nil"/>
              <w:left w:val="nil"/>
              <w:bottom w:val="nil"/>
              <w:right w:val="nil"/>
            </w:tcBorders>
            <w:shd w:val="clear" w:color="auto" w:fill="auto"/>
            <w:vAlign w:val="center"/>
            <w:hideMark/>
          </w:tcPr>
          <w:p w14:paraId="65516799" w14:textId="7E1DE69D" w:rsidR="00D00FA8" w:rsidRPr="007B60BF" w:rsidRDefault="00D00FA8" w:rsidP="0002633A">
            <w:pPr>
              <w:jc w:val="right"/>
              <w:rPr>
                <w:b/>
              </w:rPr>
            </w:pPr>
          </w:p>
        </w:tc>
        <w:tc>
          <w:tcPr>
            <w:tcW w:w="811" w:type="pct"/>
            <w:tcBorders>
              <w:top w:val="single" w:sz="4" w:space="0" w:color="auto"/>
              <w:left w:val="nil"/>
              <w:bottom w:val="single" w:sz="8" w:space="0" w:color="auto"/>
              <w:right w:val="nil"/>
            </w:tcBorders>
            <w:vAlign w:val="center"/>
          </w:tcPr>
          <w:p w14:paraId="7D42D0FC" w14:textId="21C04F5A" w:rsidR="00D00FA8" w:rsidRPr="007B60BF" w:rsidRDefault="00D00FA8" w:rsidP="0002633A">
            <w:pPr>
              <w:jc w:val="right"/>
              <w:rPr>
                <w:b/>
              </w:rPr>
            </w:pPr>
            <w:r w:rsidRPr="007B60BF">
              <w:rPr>
                <w:b/>
              </w:rPr>
              <w:t>352.757</w:t>
            </w:r>
          </w:p>
        </w:tc>
      </w:tr>
      <w:tr w:rsidR="00D00FA8" w:rsidRPr="007B60BF" w14:paraId="00938BEE" w14:textId="6572F386" w:rsidTr="0002633A">
        <w:trPr>
          <w:trHeight w:val="315"/>
          <w:jc w:val="right"/>
        </w:trPr>
        <w:tc>
          <w:tcPr>
            <w:tcW w:w="0" w:type="auto"/>
            <w:tcBorders>
              <w:top w:val="nil"/>
              <w:left w:val="nil"/>
              <w:bottom w:val="nil"/>
              <w:right w:val="nil"/>
            </w:tcBorders>
            <w:shd w:val="clear" w:color="000000" w:fill="FFFFFF"/>
            <w:noWrap/>
            <w:vAlign w:val="center"/>
            <w:hideMark/>
          </w:tcPr>
          <w:p w14:paraId="6698BF33" w14:textId="53C9675B" w:rsidR="00D00FA8" w:rsidRPr="007B60BF" w:rsidRDefault="00D00FA8" w:rsidP="0002633A">
            <w:r w:rsidRPr="007B60BF">
              <w:t> </w:t>
            </w:r>
          </w:p>
        </w:tc>
        <w:tc>
          <w:tcPr>
            <w:tcW w:w="357" w:type="pct"/>
            <w:tcBorders>
              <w:top w:val="nil"/>
              <w:left w:val="nil"/>
              <w:bottom w:val="nil"/>
              <w:right w:val="nil"/>
            </w:tcBorders>
            <w:shd w:val="clear" w:color="000000" w:fill="FFFFFF"/>
            <w:vAlign w:val="center"/>
            <w:hideMark/>
          </w:tcPr>
          <w:p w14:paraId="0CEBF646" w14:textId="6BC78E33"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5353A0BD" w14:textId="3D9D1D3B" w:rsidR="00D00FA8" w:rsidRPr="007B60BF" w:rsidRDefault="00D00FA8" w:rsidP="0002633A">
            <w:pPr>
              <w:jc w:val="right"/>
              <w:rPr>
                <w:b/>
                <w:bCs/>
              </w:rPr>
            </w:pPr>
            <w:r w:rsidRPr="007B60BF">
              <w:t> </w:t>
            </w:r>
          </w:p>
        </w:tc>
        <w:tc>
          <w:tcPr>
            <w:tcW w:w="829" w:type="pct"/>
            <w:tcBorders>
              <w:top w:val="nil"/>
              <w:left w:val="nil"/>
              <w:bottom w:val="nil"/>
              <w:right w:val="nil"/>
            </w:tcBorders>
            <w:shd w:val="clear" w:color="auto" w:fill="auto"/>
            <w:vAlign w:val="center"/>
          </w:tcPr>
          <w:p w14:paraId="4A4A4D2C" w14:textId="2BE5928E" w:rsidR="00D00FA8" w:rsidRPr="007B60BF" w:rsidRDefault="00D00FA8" w:rsidP="0002633A">
            <w:pPr>
              <w:jc w:val="right"/>
              <w:rPr>
                <w:b/>
                <w:bCs/>
              </w:rPr>
            </w:pPr>
          </w:p>
        </w:tc>
        <w:tc>
          <w:tcPr>
            <w:tcW w:w="123" w:type="pct"/>
            <w:tcBorders>
              <w:top w:val="nil"/>
              <w:left w:val="nil"/>
              <w:bottom w:val="nil"/>
              <w:right w:val="nil"/>
            </w:tcBorders>
            <w:shd w:val="clear" w:color="auto" w:fill="auto"/>
            <w:vAlign w:val="center"/>
          </w:tcPr>
          <w:p w14:paraId="1F7F7B03" w14:textId="5C251456" w:rsidR="00D00FA8" w:rsidRPr="007B60BF" w:rsidRDefault="00D00FA8" w:rsidP="0002633A">
            <w:pPr>
              <w:jc w:val="right"/>
              <w:rPr>
                <w:b/>
                <w:bCs/>
              </w:rPr>
            </w:pPr>
          </w:p>
        </w:tc>
        <w:tc>
          <w:tcPr>
            <w:tcW w:w="811" w:type="pct"/>
            <w:tcBorders>
              <w:top w:val="nil"/>
              <w:left w:val="nil"/>
              <w:bottom w:val="nil"/>
              <w:right w:val="nil"/>
            </w:tcBorders>
            <w:vAlign w:val="center"/>
          </w:tcPr>
          <w:p w14:paraId="62EADA90" w14:textId="77777777" w:rsidR="00D00FA8" w:rsidRPr="007B60BF" w:rsidRDefault="00D00FA8" w:rsidP="0002633A">
            <w:pPr>
              <w:jc w:val="right"/>
              <w:rPr>
                <w:b/>
                <w:bCs/>
              </w:rPr>
            </w:pPr>
          </w:p>
        </w:tc>
      </w:tr>
      <w:tr w:rsidR="00D00FA8" w:rsidRPr="007B60BF" w14:paraId="19BDC401" w14:textId="29EC7411" w:rsidTr="0002633A">
        <w:trPr>
          <w:trHeight w:val="300"/>
          <w:jc w:val="right"/>
        </w:trPr>
        <w:tc>
          <w:tcPr>
            <w:tcW w:w="0" w:type="auto"/>
            <w:tcBorders>
              <w:top w:val="nil"/>
              <w:left w:val="nil"/>
              <w:bottom w:val="nil"/>
              <w:right w:val="nil"/>
            </w:tcBorders>
            <w:shd w:val="clear" w:color="000000" w:fill="FFFFFF"/>
            <w:noWrap/>
            <w:vAlign w:val="center"/>
            <w:hideMark/>
          </w:tcPr>
          <w:p w14:paraId="376BD598" w14:textId="17E60FC1" w:rsidR="00D00FA8" w:rsidRPr="007B60BF" w:rsidRDefault="00D00FA8" w:rsidP="0002633A">
            <w:r w:rsidRPr="007B60BF">
              <w:rPr>
                <w:b/>
                <w:bCs/>
              </w:rPr>
              <w:t>Não Circulante</w:t>
            </w:r>
          </w:p>
        </w:tc>
        <w:tc>
          <w:tcPr>
            <w:tcW w:w="357" w:type="pct"/>
            <w:tcBorders>
              <w:top w:val="nil"/>
              <w:left w:val="nil"/>
              <w:bottom w:val="nil"/>
              <w:right w:val="nil"/>
            </w:tcBorders>
            <w:shd w:val="clear" w:color="000000" w:fill="FFFFFF"/>
            <w:vAlign w:val="center"/>
            <w:hideMark/>
          </w:tcPr>
          <w:p w14:paraId="3EEE0189" w14:textId="61A73363"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4BBDB77D" w14:textId="265AAB22" w:rsidR="00D00FA8" w:rsidRPr="007B60BF" w:rsidRDefault="00D00FA8" w:rsidP="0002633A">
            <w:pPr>
              <w:jc w:val="right"/>
            </w:pPr>
            <w:r w:rsidRPr="007B60BF">
              <w:t> </w:t>
            </w:r>
          </w:p>
        </w:tc>
        <w:tc>
          <w:tcPr>
            <w:tcW w:w="829" w:type="pct"/>
            <w:tcBorders>
              <w:top w:val="nil"/>
              <w:left w:val="nil"/>
              <w:bottom w:val="nil"/>
              <w:right w:val="nil"/>
            </w:tcBorders>
            <w:shd w:val="clear" w:color="auto" w:fill="auto"/>
            <w:noWrap/>
            <w:vAlign w:val="center"/>
          </w:tcPr>
          <w:p w14:paraId="483524A1" w14:textId="213415FF" w:rsidR="00D00FA8" w:rsidRPr="007B60BF" w:rsidRDefault="00D00FA8" w:rsidP="0002633A">
            <w:pPr>
              <w:jc w:val="right"/>
            </w:pPr>
          </w:p>
        </w:tc>
        <w:tc>
          <w:tcPr>
            <w:tcW w:w="123" w:type="pct"/>
            <w:tcBorders>
              <w:top w:val="nil"/>
              <w:left w:val="nil"/>
              <w:bottom w:val="nil"/>
              <w:right w:val="nil"/>
            </w:tcBorders>
            <w:shd w:val="clear" w:color="auto" w:fill="auto"/>
            <w:noWrap/>
            <w:vAlign w:val="center"/>
            <w:hideMark/>
          </w:tcPr>
          <w:p w14:paraId="39CB15BF" w14:textId="3F77F540" w:rsidR="00D00FA8" w:rsidRPr="007B60BF" w:rsidRDefault="00D00FA8" w:rsidP="0002633A">
            <w:pPr>
              <w:jc w:val="right"/>
            </w:pPr>
          </w:p>
        </w:tc>
        <w:tc>
          <w:tcPr>
            <w:tcW w:w="811" w:type="pct"/>
            <w:tcBorders>
              <w:top w:val="nil"/>
              <w:left w:val="nil"/>
              <w:bottom w:val="nil"/>
              <w:right w:val="nil"/>
            </w:tcBorders>
            <w:vAlign w:val="center"/>
          </w:tcPr>
          <w:p w14:paraId="465F686B" w14:textId="77777777" w:rsidR="00D00FA8" w:rsidRPr="007B60BF" w:rsidRDefault="00D00FA8" w:rsidP="0002633A">
            <w:pPr>
              <w:jc w:val="right"/>
            </w:pPr>
          </w:p>
        </w:tc>
      </w:tr>
      <w:tr w:rsidR="00D00FA8" w:rsidRPr="007B60BF" w14:paraId="656246C1" w14:textId="46A314CA" w:rsidTr="0002633A">
        <w:trPr>
          <w:trHeight w:val="300"/>
          <w:jc w:val="right"/>
        </w:trPr>
        <w:tc>
          <w:tcPr>
            <w:tcW w:w="0" w:type="auto"/>
            <w:tcBorders>
              <w:top w:val="nil"/>
              <w:left w:val="nil"/>
              <w:bottom w:val="nil"/>
              <w:right w:val="nil"/>
            </w:tcBorders>
            <w:shd w:val="clear" w:color="000000" w:fill="FFFFFF"/>
            <w:noWrap/>
            <w:vAlign w:val="center"/>
            <w:hideMark/>
          </w:tcPr>
          <w:p w14:paraId="20152751" w14:textId="0DF6B3B3" w:rsidR="00D00FA8" w:rsidRPr="007B60BF" w:rsidRDefault="00D00FA8" w:rsidP="0002633A">
            <w:pPr>
              <w:rPr>
                <w:b/>
                <w:bCs/>
              </w:rPr>
            </w:pPr>
            <w:r w:rsidRPr="007B60BF">
              <w:t xml:space="preserve">   Realizável a Longo Prazo</w:t>
            </w:r>
          </w:p>
        </w:tc>
        <w:tc>
          <w:tcPr>
            <w:tcW w:w="357" w:type="pct"/>
            <w:tcBorders>
              <w:top w:val="nil"/>
              <w:left w:val="nil"/>
              <w:bottom w:val="nil"/>
              <w:right w:val="nil"/>
            </w:tcBorders>
            <w:shd w:val="clear" w:color="000000" w:fill="FFFFFF"/>
            <w:vAlign w:val="center"/>
            <w:hideMark/>
          </w:tcPr>
          <w:p w14:paraId="669216CE" w14:textId="666B365A"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0D81C883" w14:textId="351FF7C9" w:rsidR="00D00FA8" w:rsidRPr="007B60BF" w:rsidRDefault="00D00FA8" w:rsidP="0002633A">
            <w:pPr>
              <w:jc w:val="right"/>
            </w:pPr>
            <w:r w:rsidRPr="007B60BF">
              <w:t> </w:t>
            </w:r>
          </w:p>
        </w:tc>
        <w:tc>
          <w:tcPr>
            <w:tcW w:w="829" w:type="pct"/>
            <w:tcBorders>
              <w:top w:val="nil"/>
              <w:left w:val="nil"/>
              <w:bottom w:val="nil"/>
              <w:right w:val="nil"/>
            </w:tcBorders>
            <w:shd w:val="clear" w:color="auto" w:fill="auto"/>
            <w:noWrap/>
            <w:vAlign w:val="center"/>
          </w:tcPr>
          <w:p w14:paraId="46F5FDBD" w14:textId="663CAB41" w:rsidR="00D00FA8" w:rsidRPr="007B60BF" w:rsidRDefault="00D00FA8" w:rsidP="0002633A">
            <w:pPr>
              <w:jc w:val="right"/>
            </w:pPr>
          </w:p>
        </w:tc>
        <w:tc>
          <w:tcPr>
            <w:tcW w:w="123" w:type="pct"/>
            <w:tcBorders>
              <w:top w:val="nil"/>
              <w:left w:val="nil"/>
              <w:bottom w:val="nil"/>
              <w:right w:val="nil"/>
            </w:tcBorders>
            <w:shd w:val="clear" w:color="auto" w:fill="auto"/>
            <w:noWrap/>
            <w:vAlign w:val="center"/>
            <w:hideMark/>
          </w:tcPr>
          <w:p w14:paraId="661425AF" w14:textId="63185625" w:rsidR="00D00FA8" w:rsidRPr="007B60BF" w:rsidRDefault="00D00FA8" w:rsidP="0002633A">
            <w:pPr>
              <w:jc w:val="right"/>
            </w:pPr>
          </w:p>
        </w:tc>
        <w:tc>
          <w:tcPr>
            <w:tcW w:w="811" w:type="pct"/>
            <w:tcBorders>
              <w:top w:val="nil"/>
              <w:left w:val="nil"/>
              <w:bottom w:val="nil"/>
              <w:right w:val="nil"/>
            </w:tcBorders>
            <w:vAlign w:val="center"/>
          </w:tcPr>
          <w:p w14:paraId="05C64699" w14:textId="77777777" w:rsidR="00D00FA8" w:rsidRPr="007B60BF" w:rsidRDefault="00D00FA8" w:rsidP="0002633A">
            <w:pPr>
              <w:jc w:val="right"/>
            </w:pPr>
          </w:p>
        </w:tc>
      </w:tr>
      <w:tr w:rsidR="00D00FA8" w:rsidRPr="007B60BF" w14:paraId="40A55ADE" w14:textId="68B6BE02" w:rsidTr="0002633A">
        <w:trPr>
          <w:trHeight w:val="300"/>
          <w:jc w:val="right"/>
        </w:trPr>
        <w:tc>
          <w:tcPr>
            <w:tcW w:w="0" w:type="auto"/>
            <w:tcBorders>
              <w:top w:val="nil"/>
              <w:left w:val="nil"/>
              <w:bottom w:val="nil"/>
              <w:right w:val="nil"/>
            </w:tcBorders>
            <w:shd w:val="clear" w:color="000000" w:fill="FFFFFF"/>
            <w:noWrap/>
            <w:vAlign w:val="center"/>
            <w:hideMark/>
          </w:tcPr>
          <w:p w14:paraId="064152E7" w14:textId="56C915B5" w:rsidR="00D00FA8" w:rsidRPr="007B60BF" w:rsidRDefault="00D00FA8" w:rsidP="0002633A">
            <w:r w:rsidRPr="007B60BF">
              <w:t xml:space="preserve">          Depósitos Judiciais</w:t>
            </w:r>
          </w:p>
        </w:tc>
        <w:tc>
          <w:tcPr>
            <w:tcW w:w="357" w:type="pct"/>
            <w:tcBorders>
              <w:top w:val="nil"/>
              <w:left w:val="nil"/>
              <w:bottom w:val="nil"/>
              <w:right w:val="nil"/>
            </w:tcBorders>
            <w:shd w:val="clear" w:color="000000" w:fill="FFFFFF"/>
            <w:vAlign w:val="center"/>
            <w:hideMark/>
          </w:tcPr>
          <w:p w14:paraId="131613E7" w14:textId="3A110F49" w:rsidR="00D00FA8" w:rsidRPr="007B60BF" w:rsidRDefault="00D00FA8" w:rsidP="0002633A">
            <w:pPr>
              <w:jc w:val="center"/>
              <w:rPr>
                <w:b/>
                <w:bCs/>
              </w:rPr>
            </w:pPr>
          </w:p>
        </w:tc>
        <w:tc>
          <w:tcPr>
            <w:tcW w:w="123" w:type="pct"/>
            <w:tcBorders>
              <w:top w:val="nil"/>
              <w:left w:val="nil"/>
              <w:bottom w:val="nil"/>
              <w:right w:val="nil"/>
            </w:tcBorders>
            <w:shd w:val="clear" w:color="000000" w:fill="FFFFFF"/>
            <w:vAlign w:val="center"/>
            <w:hideMark/>
          </w:tcPr>
          <w:p w14:paraId="5106504C" w14:textId="02BDB258" w:rsidR="00D00FA8" w:rsidRPr="007B60BF" w:rsidRDefault="00D00FA8" w:rsidP="0002633A">
            <w:pPr>
              <w:jc w:val="right"/>
            </w:pPr>
            <w:r w:rsidRPr="007B60BF">
              <w:t> </w:t>
            </w:r>
          </w:p>
        </w:tc>
        <w:tc>
          <w:tcPr>
            <w:tcW w:w="829" w:type="pct"/>
            <w:tcBorders>
              <w:top w:val="nil"/>
              <w:left w:val="nil"/>
              <w:bottom w:val="nil"/>
              <w:right w:val="nil"/>
            </w:tcBorders>
            <w:shd w:val="clear" w:color="auto" w:fill="auto"/>
            <w:noWrap/>
            <w:vAlign w:val="center"/>
          </w:tcPr>
          <w:p w14:paraId="7A43431B" w14:textId="0D543FF5" w:rsidR="00D00FA8" w:rsidRPr="007B60BF" w:rsidRDefault="000B32F4" w:rsidP="0002633A">
            <w:pPr>
              <w:jc w:val="right"/>
            </w:pPr>
            <w:r w:rsidRPr="007B60BF">
              <w:t>1.733</w:t>
            </w:r>
          </w:p>
        </w:tc>
        <w:tc>
          <w:tcPr>
            <w:tcW w:w="123" w:type="pct"/>
            <w:tcBorders>
              <w:top w:val="nil"/>
              <w:left w:val="nil"/>
              <w:bottom w:val="nil"/>
              <w:right w:val="nil"/>
            </w:tcBorders>
            <w:shd w:val="clear" w:color="auto" w:fill="auto"/>
            <w:noWrap/>
            <w:vAlign w:val="center"/>
            <w:hideMark/>
          </w:tcPr>
          <w:p w14:paraId="0172584D" w14:textId="3DF0E85A" w:rsidR="00D00FA8" w:rsidRPr="007B60BF" w:rsidRDefault="00D00FA8" w:rsidP="0002633A">
            <w:pPr>
              <w:jc w:val="right"/>
            </w:pPr>
          </w:p>
        </w:tc>
        <w:tc>
          <w:tcPr>
            <w:tcW w:w="811" w:type="pct"/>
            <w:tcBorders>
              <w:top w:val="nil"/>
              <w:left w:val="nil"/>
              <w:bottom w:val="nil"/>
              <w:right w:val="nil"/>
            </w:tcBorders>
            <w:vAlign w:val="center"/>
          </w:tcPr>
          <w:p w14:paraId="6316BD14" w14:textId="5341EF7D" w:rsidR="00D00FA8" w:rsidRPr="007B60BF" w:rsidRDefault="00D00FA8" w:rsidP="0002633A">
            <w:pPr>
              <w:jc w:val="right"/>
            </w:pPr>
            <w:r w:rsidRPr="007B60BF">
              <w:t>1.609</w:t>
            </w:r>
          </w:p>
        </w:tc>
      </w:tr>
      <w:tr w:rsidR="00D00FA8" w:rsidRPr="007B60BF" w14:paraId="02F5DA87" w14:textId="77777777" w:rsidTr="0002633A">
        <w:trPr>
          <w:trHeight w:val="300"/>
          <w:jc w:val="right"/>
        </w:trPr>
        <w:tc>
          <w:tcPr>
            <w:tcW w:w="0" w:type="auto"/>
            <w:tcBorders>
              <w:top w:val="nil"/>
              <w:left w:val="nil"/>
              <w:bottom w:val="nil"/>
              <w:right w:val="nil"/>
            </w:tcBorders>
            <w:shd w:val="clear" w:color="000000" w:fill="FFFFFF"/>
            <w:noWrap/>
            <w:vAlign w:val="center"/>
          </w:tcPr>
          <w:p w14:paraId="4F78B328" w14:textId="6A12549F" w:rsidR="00D00FA8" w:rsidRPr="007B60BF" w:rsidRDefault="00D00FA8" w:rsidP="0002633A">
            <w:r w:rsidRPr="007B60BF">
              <w:t xml:space="preserve">   Imobilizado </w:t>
            </w:r>
          </w:p>
        </w:tc>
        <w:tc>
          <w:tcPr>
            <w:tcW w:w="357" w:type="pct"/>
            <w:tcBorders>
              <w:top w:val="nil"/>
              <w:left w:val="nil"/>
              <w:bottom w:val="nil"/>
              <w:right w:val="nil"/>
            </w:tcBorders>
            <w:shd w:val="clear" w:color="000000" w:fill="FFFFFF"/>
            <w:vAlign w:val="center"/>
          </w:tcPr>
          <w:p w14:paraId="647DEC7B" w14:textId="7FE46038" w:rsidR="00D00FA8" w:rsidRPr="007B60BF" w:rsidRDefault="00D00FA8" w:rsidP="0002633A">
            <w:pPr>
              <w:jc w:val="center"/>
              <w:rPr>
                <w:b/>
                <w:bCs/>
              </w:rPr>
            </w:pPr>
            <w:r w:rsidRPr="007B60BF">
              <w:rPr>
                <w:b/>
                <w:bCs/>
              </w:rPr>
              <w:t>9</w:t>
            </w:r>
          </w:p>
        </w:tc>
        <w:tc>
          <w:tcPr>
            <w:tcW w:w="123" w:type="pct"/>
            <w:tcBorders>
              <w:top w:val="nil"/>
              <w:left w:val="nil"/>
              <w:bottom w:val="nil"/>
              <w:right w:val="nil"/>
            </w:tcBorders>
            <w:shd w:val="clear" w:color="000000" w:fill="FFFFFF"/>
            <w:vAlign w:val="center"/>
          </w:tcPr>
          <w:p w14:paraId="4DE61A8D" w14:textId="7BEC1CD7" w:rsidR="00D00FA8" w:rsidRPr="007B60BF" w:rsidRDefault="00D00FA8" w:rsidP="0002633A">
            <w:pPr>
              <w:jc w:val="right"/>
            </w:pPr>
            <w:r w:rsidRPr="007B60BF">
              <w:t> </w:t>
            </w:r>
          </w:p>
        </w:tc>
        <w:tc>
          <w:tcPr>
            <w:tcW w:w="829" w:type="pct"/>
            <w:tcBorders>
              <w:top w:val="nil"/>
              <w:left w:val="nil"/>
              <w:bottom w:val="nil"/>
              <w:right w:val="nil"/>
            </w:tcBorders>
            <w:shd w:val="clear" w:color="auto" w:fill="auto"/>
            <w:noWrap/>
            <w:vAlign w:val="center"/>
          </w:tcPr>
          <w:p w14:paraId="0F957455" w14:textId="3A6FBDD0" w:rsidR="00D00FA8" w:rsidRPr="007B60BF" w:rsidRDefault="000B32F4" w:rsidP="0002633A">
            <w:pPr>
              <w:jc w:val="right"/>
            </w:pPr>
            <w:r w:rsidRPr="007B60BF">
              <w:t>961.814</w:t>
            </w:r>
          </w:p>
        </w:tc>
        <w:tc>
          <w:tcPr>
            <w:tcW w:w="123" w:type="pct"/>
            <w:tcBorders>
              <w:top w:val="nil"/>
              <w:left w:val="nil"/>
              <w:bottom w:val="nil"/>
              <w:right w:val="nil"/>
            </w:tcBorders>
            <w:shd w:val="clear" w:color="auto" w:fill="auto"/>
            <w:noWrap/>
            <w:vAlign w:val="center"/>
          </w:tcPr>
          <w:p w14:paraId="739CA3F0" w14:textId="77777777" w:rsidR="00D00FA8" w:rsidRPr="007B60BF" w:rsidRDefault="00D00FA8" w:rsidP="0002633A">
            <w:pPr>
              <w:jc w:val="right"/>
            </w:pPr>
          </w:p>
        </w:tc>
        <w:tc>
          <w:tcPr>
            <w:tcW w:w="811" w:type="pct"/>
            <w:tcBorders>
              <w:top w:val="nil"/>
              <w:left w:val="nil"/>
              <w:bottom w:val="nil"/>
              <w:right w:val="nil"/>
            </w:tcBorders>
            <w:vAlign w:val="center"/>
          </w:tcPr>
          <w:p w14:paraId="6790C7C2" w14:textId="05663416" w:rsidR="00D00FA8" w:rsidRPr="007B60BF" w:rsidRDefault="00D00FA8" w:rsidP="0002633A">
            <w:pPr>
              <w:jc w:val="right"/>
            </w:pPr>
            <w:r w:rsidRPr="007B60BF">
              <w:t>951.002</w:t>
            </w:r>
          </w:p>
        </w:tc>
      </w:tr>
      <w:tr w:rsidR="00D00FA8" w:rsidRPr="007B60BF" w14:paraId="03F9733B" w14:textId="459A079F" w:rsidTr="0002633A">
        <w:trPr>
          <w:trHeight w:val="300"/>
          <w:jc w:val="right"/>
        </w:trPr>
        <w:tc>
          <w:tcPr>
            <w:tcW w:w="0" w:type="auto"/>
            <w:tcBorders>
              <w:top w:val="nil"/>
              <w:left w:val="nil"/>
              <w:bottom w:val="nil"/>
              <w:right w:val="nil"/>
            </w:tcBorders>
            <w:shd w:val="clear" w:color="000000" w:fill="FFFFFF"/>
            <w:noWrap/>
            <w:vAlign w:val="center"/>
            <w:hideMark/>
          </w:tcPr>
          <w:p w14:paraId="2F7D5A78" w14:textId="0979D580" w:rsidR="00D00FA8" w:rsidRPr="007B60BF" w:rsidRDefault="00D00FA8" w:rsidP="0002633A">
            <w:r w:rsidRPr="007B60BF">
              <w:t xml:space="preserve">   Intangível </w:t>
            </w:r>
          </w:p>
        </w:tc>
        <w:tc>
          <w:tcPr>
            <w:tcW w:w="357" w:type="pct"/>
            <w:tcBorders>
              <w:top w:val="nil"/>
              <w:left w:val="nil"/>
              <w:bottom w:val="nil"/>
              <w:right w:val="nil"/>
            </w:tcBorders>
            <w:shd w:val="clear" w:color="000000" w:fill="FFFFFF"/>
            <w:vAlign w:val="center"/>
            <w:hideMark/>
          </w:tcPr>
          <w:p w14:paraId="77047F30" w14:textId="7BA11912" w:rsidR="00D00FA8" w:rsidRPr="007B60BF" w:rsidRDefault="00D00FA8" w:rsidP="0002633A">
            <w:pPr>
              <w:jc w:val="center"/>
            </w:pPr>
            <w:r w:rsidRPr="007B60BF">
              <w:rPr>
                <w:b/>
                <w:bCs/>
              </w:rPr>
              <w:t>10</w:t>
            </w:r>
          </w:p>
        </w:tc>
        <w:tc>
          <w:tcPr>
            <w:tcW w:w="123" w:type="pct"/>
            <w:tcBorders>
              <w:top w:val="nil"/>
              <w:left w:val="nil"/>
              <w:bottom w:val="nil"/>
              <w:right w:val="nil"/>
            </w:tcBorders>
            <w:shd w:val="clear" w:color="000000" w:fill="FFFFFF"/>
            <w:vAlign w:val="center"/>
            <w:hideMark/>
          </w:tcPr>
          <w:p w14:paraId="02904D3A" w14:textId="2B8A023F" w:rsidR="00D00FA8" w:rsidRPr="007B60BF" w:rsidRDefault="00D00FA8" w:rsidP="0002633A">
            <w:pPr>
              <w:jc w:val="right"/>
            </w:pPr>
            <w:r w:rsidRPr="007B60BF">
              <w:t> </w:t>
            </w:r>
          </w:p>
        </w:tc>
        <w:tc>
          <w:tcPr>
            <w:tcW w:w="829" w:type="pct"/>
            <w:tcBorders>
              <w:top w:val="nil"/>
              <w:left w:val="nil"/>
              <w:bottom w:val="single" w:sz="8" w:space="0" w:color="auto"/>
              <w:right w:val="nil"/>
            </w:tcBorders>
            <w:shd w:val="clear" w:color="auto" w:fill="auto"/>
            <w:noWrap/>
            <w:vAlign w:val="center"/>
          </w:tcPr>
          <w:p w14:paraId="74EF560D" w14:textId="43F9D437" w:rsidR="00D00FA8" w:rsidRPr="007B60BF" w:rsidRDefault="000B32F4" w:rsidP="0002633A">
            <w:pPr>
              <w:jc w:val="right"/>
            </w:pPr>
            <w:r w:rsidRPr="007B60BF">
              <w:t>1.391</w:t>
            </w:r>
          </w:p>
        </w:tc>
        <w:tc>
          <w:tcPr>
            <w:tcW w:w="123" w:type="pct"/>
            <w:tcBorders>
              <w:top w:val="nil"/>
              <w:left w:val="nil"/>
              <w:bottom w:val="nil"/>
              <w:right w:val="nil"/>
            </w:tcBorders>
            <w:shd w:val="clear" w:color="auto" w:fill="auto"/>
            <w:noWrap/>
            <w:vAlign w:val="center"/>
            <w:hideMark/>
          </w:tcPr>
          <w:p w14:paraId="1CC52278" w14:textId="2AAF9C69" w:rsidR="00D00FA8" w:rsidRPr="007B60BF" w:rsidRDefault="00D00FA8" w:rsidP="0002633A">
            <w:pPr>
              <w:jc w:val="right"/>
            </w:pPr>
          </w:p>
        </w:tc>
        <w:tc>
          <w:tcPr>
            <w:tcW w:w="811" w:type="pct"/>
            <w:tcBorders>
              <w:top w:val="nil"/>
              <w:left w:val="nil"/>
              <w:bottom w:val="single" w:sz="8" w:space="0" w:color="auto"/>
              <w:right w:val="nil"/>
            </w:tcBorders>
            <w:vAlign w:val="center"/>
          </w:tcPr>
          <w:p w14:paraId="60F858D1" w14:textId="5C786FAD" w:rsidR="00D00FA8" w:rsidRPr="007B60BF" w:rsidRDefault="00D00FA8" w:rsidP="0002633A">
            <w:pPr>
              <w:jc w:val="right"/>
            </w:pPr>
            <w:r w:rsidRPr="007B60BF">
              <w:t>1.631</w:t>
            </w:r>
          </w:p>
        </w:tc>
      </w:tr>
      <w:tr w:rsidR="00D00FA8" w:rsidRPr="007B60BF" w14:paraId="27724287" w14:textId="08947C8C" w:rsidTr="0002633A">
        <w:trPr>
          <w:trHeight w:val="300"/>
          <w:jc w:val="right"/>
        </w:trPr>
        <w:tc>
          <w:tcPr>
            <w:tcW w:w="0" w:type="auto"/>
            <w:tcBorders>
              <w:top w:val="nil"/>
              <w:left w:val="nil"/>
              <w:bottom w:val="nil"/>
              <w:right w:val="nil"/>
            </w:tcBorders>
            <w:shd w:val="clear" w:color="000000" w:fill="FFFFFF"/>
            <w:noWrap/>
            <w:vAlign w:val="center"/>
            <w:hideMark/>
          </w:tcPr>
          <w:p w14:paraId="13C6476C" w14:textId="5824ACFB" w:rsidR="00D00FA8" w:rsidRPr="007B60BF" w:rsidRDefault="00D00FA8" w:rsidP="0002633A">
            <w:pPr>
              <w:rPr>
                <w:b/>
              </w:rPr>
            </w:pPr>
            <w:r w:rsidRPr="007B60BF">
              <w:rPr>
                <w:b/>
              </w:rPr>
              <w:t> </w:t>
            </w:r>
          </w:p>
        </w:tc>
        <w:tc>
          <w:tcPr>
            <w:tcW w:w="357" w:type="pct"/>
            <w:tcBorders>
              <w:top w:val="nil"/>
              <w:left w:val="nil"/>
              <w:bottom w:val="nil"/>
              <w:right w:val="nil"/>
            </w:tcBorders>
            <w:shd w:val="clear" w:color="000000" w:fill="FFFFFF"/>
            <w:vAlign w:val="center"/>
            <w:hideMark/>
          </w:tcPr>
          <w:p w14:paraId="38AEBB6C" w14:textId="184F4246" w:rsidR="00D00FA8" w:rsidRPr="007B60BF" w:rsidRDefault="00D00FA8" w:rsidP="0002633A">
            <w:pPr>
              <w:jc w:val="center"/>
              <w:rPr>
                <w:b/>
                <w:bCs/>
              </w:rPr>
            </w:pPr>
            <w:r w:rsidRPr="007B60BF">
              <w:rPr>
                <w:b/>
                <w:bCs/>
              </w:rPr>
              <w:t> </w:t>
            </w:r>
          </w:p>
        </w:tc>
        <w:tc>
          <w:tcPr>
            <w:tcW w:w="123" w:type="pct"/>
            <w:tcBorders>
              <w:top w:val="nil"/>
              <w:left w:val="nil"/>
              <w:bottom w:val="nil"/>
              <w:right w:val="nil"/>
            </w:tcBorders>
            <w:shd w:val="clear" w:color="000000" w:fill="FFFFFF"/>
            <w:vAlign w:val="center"/>
            <w:hideMark/>
          </w:tcPr>
          <w:p w14:paraId="2258F920" w14:textId="3D1DE787" w:rsidR="00D00FA8" w:rsidRPr="007B60BF" w:rsidRDefault="00D00FA8" w:rsidP="0002633A">
            <w:pPr>
              <w:jc w:val="right"/>
              <w:rPr>
                <w:b/>
              </w:rPr>
            </w:pPr>
            <w:r w:rsidRPr="007B60BF">
              <w:rPr>
                <w:b/>
                <w:bCs/>
              </w:rPr>
              <w:t> </w:t>
            </w:r>
          </w:p>
        </w:tc>
        <w:tc>
          <w:tcPr>
            <w:tcW w:w="829" w:type="pct"/>
            <w:tcBorders>
              <w:top w:val="nil"/>
              <w:left w:val="nil"/>
              <w:bottom w:val="nil"/>
              <w:right w:val="nil"/>
            </w:tcBorders>
            <w:shd w:val="clear" w:color="auto" w:fill="auto"/>
            <w:noWrap/>
            <w:vAlign w:val="center"/>
          </w:tcPr>
          <w:p w14:paraId="4A5A00C3" w14:textId="329B5D1B" w:rsidR="00D00FA8" w:rsidRPr="007B60BF" w:rsidRDefault="000B32F4" w:rsidP="0002633A">
            <w:pPr>
              <w:jc w:val="right"/>
              <w:rPr>
                <w:b/>
              </w:rPr>
            </w:pPr>
            <w:r w:rsidRPr="007B60BF">
              <w:rPr>
                <w:b/>
              </w:rPr>
              <w:t>964.938</w:t>
            </w:r>
          </w:p>
        </w:tc>
        <w:tc>
          <w:tcPr>
            <w:tcW w:w="123" w:type="pct"/>
            <w:tcBorders>
              <w:top w:val="nil"/>
              <w:left w:val="nil"/>
              <w:bottom w:val="nil"/>
              <w:right w:val="nil"/>
            </w:tcBorders>
            <w:shd w:val="clear" w:color="auto" w:fill="auto"/>
            <w:noWrap/>
            <w:vAlign w:val="center"/>
            <w:hideMark/>
          </w:tcPr>
          <w:p w14:paraId="79DC2542" w14:textId="2E102523" w:rsidR="00D00FA8" w:rsidRPr="007B60BF" w:rsidRDefault="00D00FA8" w:rsidP="0002633A">
            <w:pPr>
              <w:jc w:val="right"/>
              <w:rPr>
                <w:b/>
              </w:rPr>
            </w:pPr>
          </w:p>
        </w:tc>
        <w:tc>
          <w:tcPr>
            <w:tcW w:w="811" w:type="pct"/>
            <w:tcBorders>
              <w:top w:val="nil"/>
              <w:left w:val="nil"/>
              <w:bottom w:val="nil"/>
              <w:right w:val="nil"/>
            </w:tcBorders>
            <w:vAlign w:val="center"/>
          </w:tcPr>
          <w:p w14:paraId="304CFCAE" w14:textId="136135A3" w:rsidR="00D00FA8" w:rsidRPr="007B60BF" w:rsidRDefault="00D00FA8" w:rsidP="0002633A">
            <w:pPr>
              <w:jc w:val="right"/>
              <w:rPr>
                <w:b/>
              </w:rPr>
            </w:pPr>
            <w:r w:rsidRPr="007B60BF">
              <w:rPr>
                <w:b/>
              </w:rPr>
              <w:t>954.242</w:t>
            </w:r>
          </w:p>
        </w:tc>
      </w:tr>
      <w:tr w:rsidR="00D00FA8" w:rsidRPr="007B60BF" w14:paraId="3AB23363" w14:textId="633BAF4B" w:rsidTr="0002633A">
        <w:trPr>
          <w:trHeight w:val="315"/>
          <w:jc w:val="right"/>
        </w:trPr>
        <w:tc>
          <w:tcPr>
            <w:tcW w:w="0" w:type="auto"/>
            <w:tcBorders>
              <w:top w:val="nil"/>
              <w:left w:val="nil"/>
              <w:bottom w:val="nil"/>
              <w:right w:val="nil"/>
            </w:tcBorders>
            <w:shd w:val="clear" w:color="auto" w:fill="auto"/>
            <w:noWrap/>
            <w:vAlign w:val="center"/>
            <w:hideMark/>
          </w:tcPr>
          <w:p w14:paraId="656EFB06" w14:textId="4BA85834" w:rsidR="00D00FA8" w:rsidRPr="007B60BF" w:rsidRDefault="00D00FA8" w:rsidP="0002633A">
            <w:r w:rsidRPr="007B60BF">
              <w:t> </w:t>
            </w:r>
          </w:p>
        </w:tc>
        <w:tc>
          <w:tcPr>
            <w:tcW w:w="357" w:type="pct"/>
            <w:tcBorders>
              <w:top w:val="nil"/>
              <w:left w:val="nil"/>
              <w:bottom w:val="nil"/>
              <w:right w:val="nil"/>
            </w:tcBorders>
            <w:shd w:val="clear" w:color="auto" w:fill="auto"/>
            <w:vAlign w:val="center"/>
            <w:hideMark/>
          </w:tcPr>
          <w:p w14:paraId="6DA1080B" w14:textId="5CB4E61E" w:rsidR="00D00FA8" w:rsidRPr="007B60BF" w:rsidRDefault="00D00FA8" w:rsidP="0002633A">
            <w:pPr>
              <w:jc w:val="center"/>
              <w:rPr>
                <w:b/>
                <w:bCs/>
              </w:rPr>
            </w:pPr>
            <w:r w:rsidRPr="007B60BF">
              <w:t> </w:t>
            </w:r>
          </w:p>
        </w:tc>
        <w:tc>
          <w:tcPr>
            <w:tcW w:w="123" w:type="pct"/>
            <w:tcBorders>
              <w:top w:val="nil"/>
              <w:left w:val="nil"/>
              <w:bottom w:val="nil"/>
              <w:right w:val="nil"/>
            </w:tcBorders>
            <w:shd w:val="clear" w:color="auto" w:fill="auto"/>
            <w:vAlign w:val="center"/>
            <w:hideMark/>
          </w:tcPr>
          <w:p w14:paraId="55BE794B" w14:textId="7836D17B" w:rsidR="00D00FA8" w:rsidRPr="007B60BF" w:rsidRDefault="00D00FA8" w:rsidP="0002633A">
            <w:pPr>
              <w:jc w:val="right"/>
            </w:pPr>
            <w:r w:rsidRPr="007B60BF">
              <w:t> </w:t>
            </w:r>
          </w:p>
        </w:tc>
        <w:tc>
          <w:tcPr>
            <w:tcW w:w="829" w:type="pct"/>
            <w:tcBorders>
              <w:top w:val="single" w:sz="8" w:space="0" w:color="auto"/>
              <w:left w:val="nil"/>
              <w:bottom w:val="nil"/>
              <w:right w:val="nil"/>
            </w:tcBorders>
            <w:shd w:val="clear" w:color="auto" w:fill="auto"/>
            <w:noWrap/>
            <w:vAlign w:val="center"/>
          </w:tcPr>
          <w:p w14:paraId="07401049" w14:textId="6A0F507F" w:rsidR="00D00FA8" w:rsidRPr="007B60BF" w:rsidRDefault="00D00FA8" w:rsidP="0002633A">
            <w:pPr>
              <w:jc w:val="right"/>
            </w:pPr>
          </w:p>
        </w:tc>
        <w:tc>
          <w:tcPr>
            <w:tcW w:w="123" w:type="pct"/>
            <w:tcBorders>
              <w:top w:val="nil"/>
              <w:left w:val="nil"/>
              <w:bottom w:val="nil"/>
              <w:right w:val="nil"/>
            </w:tcBorders>
            <w:shd w:val="clear" w:color="auto" w:fill="auto"/>
            <w:vAlign w:val="center"/>
            <w:hideMark/>
          </w:tcPr>
          <w:p w14:paraId="3FBD726C" w14:textId="3CE8E4BE" w:rsidR="00D00FA8" w:rsidRPr="007B60BF" w:rsidRDefault="00D00FA8" w:rsidP="0002633A">
            <w:pPr>
              <w:jc w:val="right"/>
            </w:pPr>
          </w:p>
        </w:tc>
        <w:tc>
          <w:tcPr>
            <w:tcW w:w="811" w:type="pct"/>
            <w:tcBorders>
              <w:top w:val="single" w:sz="8" w:space="0" w:color="auto"/>
              <w:left w:val="nil"/>
              <w:bottom w:val="nil"/>
              <w:right w:val="nil"/>
            </w:tcBorders>
            <w:vAlign w:val="center"/>
          </w:tcPr>
          <w:p w14:paraId="067FB228" w14:textId="77777777" w:rsidR="00D00FA8" w:rsidRPr="007B60BF" w:rsidRDefault="00D00FA8" w:rsidP="0002633A">
            <w:pPr>
              <w:jc w:val="right"/>
              <w:rPr>
                <w:b/>
              </w:rPr>
            </w:pPr>
          </w:p>
        </w:tc>
      </w:tr>
      <w:tr w:rsidR="00D00FA8" w:rsidRPr="007B60BF" w14:paraId="1BAC9A35" w14:textId="6B7294EF" w:rsidTr="0002633A">
        <w:trPr>
          <w:trHeight w:val="315"/>
          <w:jc w:val="right"/>
        </w:trPr>
        <w:tc>
          <w:tcPr>
            <w:tcW w:w="0" w:type="auto"/>
            <w:tcBorders>
              <w:top w:val="nil"/>
              <w:left w:val="nil"/>
              <w:bottom w:val="nil"/>
              <w:right w:val="nil"/>
            </w:tcBorders>
            <w:shd w:val="clear" w:color="000000" w:fill="FFFFFF"/>
            <w:noWrap/>
            <w:vAlign w:val="center"/>
            <w:hideMark/>
          </w:tcPr>
          <w:p w14:paraId="616A2352" w14:textId="7644B79D" w:rsidR="00D00FA8" w:rsidRPr="007B60BF" w:rsidRDefault="00D00FA8" w:rsidP="0002633A">
            <w:pPr>
              <w:rPr>
                <w:b/>
              </w:rPr>
            </w:pPr>
            <w:r w:rsidRPr="007B60BF">
              <w:rPr>
                <w:b/>
                <w:bCs/>
              </w:rPr>
              <w:t xml:space="preserve">  Total do Ativo</w:t>
            </w:r>
          </w:p>
        </w:tc>
        <w:tc>
          <w:tcPr>
            <w:tcW w:w="357" w:type="pct"/>
            <w:tcBorders>
              <w:top w:val="nil"/>
              <w:left w:val="nil"/>
              <w:bottom w:val="nil"/>
              <w:right w:val="nil"/>
            </w:tcBorders>
            <w:shd w:val="clear" w:color="000000" w:fill="FFFFFF"/>
            <w:vAlign w:val="center"/>
            <w:hideMark/>
          </w:tcPr>
          <w:p w14:paraId="3FD9F022" w14:textId="04202827" w:rsidR="00D00FA8" w:rsidRPr="007B60BF" w:rsidRDefault="00D00FA8" w:rsidP="0002633A">
            <w:pPr>
              <w:jc w:val="right"/>
              <w:rPr>
                <w:b/>
                <w:bCs/>
              </w:rPr>
            </w:pPr>
            <w:r w:rsidRPr="007B60BF">
              <w:rPr>
                <w:b/>
                <w:bCs/>
              </w:rPr>
              <w:t> </w:t>
            </w:r>
          </w:p>
        </w:tc>
        <w:tc>
          <w:tcPr>
            <w:tcW w:w="123" w:type="pct"/>
            <w:tcBorders>
              <w:top w:val="nil"/>
              <w:left w:val="nil"/>
              <w:bottom w:val="nil"/>
              <w:right w:val="nil"/>
            </w:tcBorders>
            <w:shd w:val="clear" w:color="000000" w:fill="FFFFFF"/>
            <w:vAlign w:val="center"/>
            <w:hideMark/>
          </w:tcPr>
          <w:p w14:paraId="26DE1F0C" w14:textId="02B624DA" w:rsidR="00D00FA8" w:rsidRPr="007B60BF" w:rsidRDefault="00D00FA8" w:rsidP="0002633A">
            <w:pPr>
              <w:jc w:val="right"/>
              <w:rPr>
                <w:b/>
                <w:bCs/>
              </w:rPr>
            </w:pPr>
            <w:r w:rsidRPr="007B60BF">
              <w:rPr>
                <w:b/>
                <w:bCs/>
              </w:rPr>
              <w:t> </w:t>
            </w:r>
          </w:p>
        </w:tc>
        <w:tc>
          <w:tcPr>
            <w:tcW w:w="829" w:type="pct"/>
            <w:tcBorders>
              <w:top w:val="nil"/>
              <w:left w:val="nil"/>
              <w:bottom w:val="double" w:sz="6" w:space="0" w:color="auto"/>
              <w:right w:val="nil"/>
            </w:tcBorders>
            <w:shd w:val="clear" w:color="auto" w:fill="auto"/>
            <w:vAlign w:val="center"/>
          </w:tcPr>
          <w:p w14:paraId="3259C8E8" w14:textId="2F5599D5" w:rsidR="00D00FA8" w:rsidRPr="007B60BF" w:rsidRDefault="00945143" w:rsidP="00E711FF">
            <w:pPr>
              <w:jc w:val="right"/>
              <w:rPr>
                <w:b/>
                <w:bCs/>
              </w:rPr>
            </w:pPr>
            <w:r w:rsidRPr="007B60BF">
              <w:rPr>
                <w:b/>
                <w:bCs/>
              </w:rPr>
              <w:t>1.3</w:t>
            </w:r>
            <w:r w:rsidR="00E711FF" w:rsidRPr="007B60BF">
              <w:rPr>
                <w:b/>
                <w:bCs/>
              </w:rPr>
              <w:t>78.55</w:t>
            </w:r>
            <w:r w:rsidRPr="007B60BF">
              <w:rPr>
                <w:b/>
                <w:bCs/>
              </w:rPr>
              <w:t>3</w:t>
            </w:r>
          </w:p>
        </w:tc>
        <w:tc>
          <w:tcPr>
            <w:tcW w:w="123" w:type="pct"/>
            <w:tcBorders>
              <w:top w:val="nil"/>
              <w:left w:val="nil"/>
              <w:bottom w:val="nil"/>
              <w:right w:val="nil"/>
            </w:tcBorders>
            <w:shd w:val="clear" w:color="auto" w:fill="auto"/>
            <w:vAlign w:val="center"/>
          </w:tcPr>
          <w:p w14:paraId="397D32F0" w14:textId="2CF2593D" w:rsidR="00D00FA8" w:rsidRPr="007B60BF" w:rsidRDefault="00D00FA8" w:rsidP="0002633A">
            <w:pPr>
              <w:jc w:val="right"/>
              <w:rPr>
                <w:b/>
                <w:bCs/>
              </w:rPr>
            </w:pPr>
          </w:p>
        </w:tc>
        <w:tc>
          <w:tcPr>
            <w:tcW w:w="811" w:type="pct"/>
            <w:tcBorders>
              <w:top w:val="nil"/>
              <w:left w:val="nil"/>
              <w:bottom w:val="double" w:sz="6" w:space="0" w:color="auto"/>
              <w:right w:val="nil"/>
            </w:tcBorders>
            <w:vAlign w:val="center"/>
          </w:tcPr>
          <w:p w14:paraId="65C84C35" w14:textId="13537660" w:rsidR="00D00FA8" w:rsidRPr="007B60BF" w:rsidRDefault="00D00FA8" w:rsidP="0002633A">
            <w:pPr>
              <w:jc w:val="right"/>
              <w:rPr>
                <w:b/>
              </w:rPr>
            </w:pPr>
            <w:r w:rsidRPr="007B60BF">
              <w:rPr>
                <w:b/>
                <w:bCs/>
              </w:rPr>
              <w:t>1.306.999</w:t>
            </w:r>
          </w:p>
        </w:tc>
      </w:tr>
    </w:tbl>
    <w:p w14:paraId="3C82042F" w14:textId="77777777" w:rsidR="00C843EB" w:rsidRPr="007B60BF" w:rsidRDefault="00C843EB" w:rsidP="00C843EB"/>
    <w:p w14:paraId="62E759A9" w14:textId="77777777" w:rsidR="001517F0" w:rsidRPr="007B60BF" w:rsidRDefault="001517F0" w:rsidP="00C179F4"/>
    <w:p w14:paraId="60679962" w14:textId="77777777" w:rsidR="00C843EB" w:rsidRPr="007B60BF" w:rsidRDefault="00C843EB" w:rsidP="00C179F4"/>
    <w:p w14:paraId="01744183" w14:textId="77777777" w:rsidR="00C843EB" w:rsidRPr="007B60BF" w:rsidRDefault="00DF06DB" w:rsidP="00C179F4">
      <w:r w:rsidRPr="007B60BF">
        <w:t>A</w:t>
      </w:r>
      <w:r w:rsidR="00C843EB" w:rsidRPr="007B60BF">
        <w:t>s notas explicativas são parte integran</w:t>
      </w:r>
      <w:r w:rsidR="00606533" w:rsidRPr="007B60BF">
        <w:t>te das demonstrações contábeis.</w:t>
      </w:r>
    </w:p>
    <w:p w14:paraId="6401EA32" w14:textId="77777777" w:rsidR="001517F0" w:rsidRPr="007B60BF" w:rsidRDefault="001517F0" w:rsidP="00C179F4"/>
    <w:p w14:paraId="3882756E" w14:textId="77777777" w:rsidR="001517F0" w:rsidRPr="007B60BF" w:rsidRDefault="001517F0" w:rsidP="00606533"/>
    <w:p w14:paraId="7FDFC62A" w14:textId="77777777" w:rsidR="0049721C" w:rsidRPr="007B60BF" w:rsidRDefault="0049721C" w:rsidP="0049721C">
      <w:pPr>
        <w:rPr>
          <w:b/>
        </w:rPr>
      </w:pPr>
    </w:p>
    <w:p w14:paraId="46C224DB" w14:textId="77777777" w:rsidR="0049721C" w:rsidRPr="007B60BF" w:rsidRDefault="0049721C">
      <w:pPr>
        <w:rPr>
          <w:color w:val="FF0000"/>
        </w:rPr>
      </w:pPr>
      <w:r w:rsidRPr="007B60BF">
        <w:rPr>
          <w:b/>
          <w:color w:val="FF0000"/>
        </w:rPr>
        <w:br w:type="page"/>
      </w:r>
    </w:p>
    <w:tbl>
      <w:tblPr>
        <w:tblW w:w="5001" w:type="pct"/>
        <w:jc w:val="right"/>
        <w:tblCellMar>
          <w:left w:w="70" w:type="dxa"/>
          <w:right w:w="70" w:type="dxa"/>
        </w:tblCellMar>
        <w:tblLook w:val="04A0" w:firstRow="1" w:lastRow="0" w:firstColumn="1" w:lastColumn="0" w:noHBand="0" w:noVBand="1"/>
      </w:tblPr>
      <w:tblGrid>
        <w:gridCol w:w="5412"/>
        <w:gridCol w:w="597"/>
        <w:gridCol w:w="192"/>
        <w:gridCol w:w="1338"/>
        <w:gridCol w:w="192"/>
        <w:gridCol w:w="1343"/>
      </w:tblGrid>
      <w:tr w:rsidR="008E783E" w:rsidRPr="007B60BF" w14:paraId="06B47884" w14:textId="77777777" w:rsidTr="00832632">
        <w:trPr>
          <w:trHeight w:val="315"/>
          <w:jc w:val="right"/>
        </w:trPr>
        <w:tc>
          <w:tcPr>
            <w:tcW w:w="2982" w:type="pct"/>
            <w:tcBorders>
              <w:top w:val="nil"/>
              <w:left w:val="nil"/>
              <w:right w:val="nil"/>
            </w:tcBorders>
            <w:shd w:val="clear" w:color="000000" w:fill="FFFFFF"/>
            <w:noWrap/>
            <w:vAlign w:val="center"/>
          </w:tcPr>
          <w:p w14:paraId="2BE3C3F9" w14:textId="68FAA28C" w:rsidR="008E783E" w:rsidRPr="007B60BF" w:rsidRDefault="005D06CD" w:rsidP="008E783E">
            <w:pPr>
              <w:pStyle w:val="Ttulo1"/>
              <w:jc w:val="left"/>
            </w:pPr>
            <w:bookmarkStart w:id="8" w:name="_Toc196923030"/>
            <w:bookmarkStart w:id="9" w:name="_Toc205383027"/>
            <w:bookmarkStart w:id="10" w:name="_Toc213249547"/>
            <w:bookmarkStart w:id="11" w:name="_Toc223007843"/>
            <w:r w:rsidRPr="007B60BF">
              <w:lastRenderedPageBreak/>
              <w:t>Balanços Patrimoniais</w:t>
            </w:r>
            <w:bookmarkEnd w:id="8"/>
            <w:bookmarkEnd w:id="9"/>
            <w:bookmarkEnd w:id="10"/>
            <w:bookmarkEnd w:id="11"/>
          </w:p>
        </w:tc>
        <w:tc>
          <w:tcPr>
            <w:tcW w:w="329" w:type="pct"/>
            <w:tcBorders>
              <w:top w:val="nil"/>
              <w:left w:val="nil"/>
              <w:right w:val="nil"/>
            </w:tcBorders>
            <w:shd w:val="clear" w:color="000000" w:fill="FFFFFF"/>
            <w:vAlign w:val="bottom"/>
          </w:tcPr>
          <w:p w14:paraId="5BE1F5C1" w14:textId="77777777" w:rsidR="008E783E" w:rsidRPr="007B60BF" w:rsidRDefault="008E783E" w:rsidP="008E783E">
            <w:pPr>
              <w:pStyle w:val="Ttulo1"/>
              <w:jc w:val="left"/>
            </w:pPr>
          </w:p>
        </w:tc>
        <w:tc>
          <w:tcPr>
            <w:tcW w:w="106" w:type="pct"/>
            <w:tcBorders>
              <w:top w:val="nil"/>
              <w:left w:val="nil"/>
              <w:right w:val="nil"/>
            </w:tcBorders>
            <w:shd w:val="clear" w:color="000000" w:fill="FFFFFF"/>
            <w:vAlign w:val="center"/>
          </w:tcPr>
          <w:p w14:paraId="069DE634" w14:textId="77777777" w:rsidR="008E783E" w:rsidRPr="007B60BF" w:rsidRDefault="008E783E" w:rsidP="008E783E">
            <w:pPr>
              <w:pStyle w:val="Ttulo1"/>
              <w:jc w:val="left"/>
            </w:pPr>
          </w:p>
        </w:tc>
        <w:tc>
          <w:tcPr>
            <w:tcW w:w="737" w:type="pct"/>
            <w:tcBorders>
              <w:top w:val="nil"/>
              <w:left w:val="nil"/>
              <w:right w:val="nil"/>
            </w:tcBorders>
            <w:shd w:val="clear" w:color="000000" w:fill="FFFFFF"/>
            <w:vAlign w:val="bottom"/>
          </w:tcPr>
          <w:p w14:paraId="7294FA61" w14:textId="77777777" w:rsidR="008E783E" w:rsidRPr="007B60BF" w:rsidRDefault="008E783E" w:rsidP="008E783E">
            <w:pPr>
              <w:pStyle w:val="Ttulo1"/>
              <w:jc w:val="left"/>
            </w:pPr>
          </w:p>
        </w:tc>
        <w:tc>
          <w:tcPr>
            <w:tcW w:w="106" w:type="pct"/>
            <w:tcBorders>
              <w:top w:val="nil"/>
              <w:left w:val="nil"/>
              <w:right w:val="nil"/>
            </w:tcBorders>
            <w:vAlign w:val="bottom"/>
          </w:tcPr>
          <w:p w14:paraId="585662DB" w14:textId="77777777" w:rsidR="008E783E" w:rsidRPr="007B60BF" w:rsidRDefault="008E783E" w:rsidP="008E783E">
            <w:pPr>
              <w:pStyle w:val="Ttulo1"/>
              <w:jc w:val="left"/>
            </w:pPr>
          </w:p>
        </w:tc>
        <w:tc>
          <w:tcPr>
            <w:tcW w:w="740" w:type="pct"/>
            <w:tcBorders>
              <w:top w:val="nil"/>
              <w:left w:val="nil"/>
              <w:right w:val="nil"/>
            </w:tcBorders>
            <w:shd w:val="clear" w:color="000000" w:fill="FFFFFF"/>
            <w:vAlign w:val="bottom"/>
          </w:tcPr>
          <w:p w14:paraId="051B6313" w14:textId="77777777" w:rsidR="008E783E" w:rsidRPr="007B60BF" w:rsidRDefault="008E783E" w:rsidP="008E783E">
            <w:pPr>
              <w:pStyle w:val="Ttulo1"/>
              <w:jc w:val="left"/>
            </w:pPr>
          </w:p>
        </w:tc>
      </w:tr>
      <w:tr w:rsidR="009221E6" w:rsidRPr="007B60BF" w14:paraId="05F38DCE" w14:textId="77777777" w:rsidTr="00832632">
        <w:trPr>
          <w:trHeight w:val="315"/>
          <w:jc w:val="right"/>
        </w:trPr>
        <w:tc>
          <w:tcPr>
            <w:tcW w:w="2982" w:type="pct"/>
            <w:tcBorders>
              <w:top w:val="nil"/>
              <w:left w:val="nil"/>
              <w:right w:val="nil"/>
            </w:tcBorders>
            <w:shd w:val="clear" w:color="000000" w:fill="FFFFFF"/>
            <w:noWrap/>
            <w:vAlign w:val="center"/>
          </w:tcPr>
          <w:p w14:paraId="3B37BEB0" w14:textId="512C3482" w:rsidR="008E783E" w:rsidRPr="007B60BF" w:rsidRDefault="008E783E" w:rsidP="008E783E">
            <w:pPr>
              <w:pStyle w:val="Ttulo1"/>
              <w:jc w:val="left"/>
            </w:pPr>
          </w:p>
        </w:tc>
        <w:tc>
          <w:tcPr>
            <w:tcW w:w="329" w:type="pct"/>
            <w:tcBorders>
              <w:top w:val="nil"/>
              <w:left w:val="nil"/>
              <w:right w:val="nil"/>
            </w:tcBorders>
            <w:shd w:val="clear" w:color="000000" w:fill="FFFFFF"/>
            <w:vAlign w:val="bottom"/>
          </w:tcPr>
          <w:p w14:paraId="649B2819" w14:textId="77777777" w:rsidR="009221E6" w:rsidRPr="007B60BF" w:rsidRDefault="009221E6" w:rsidP="008E783E">
            <w:pPr>
              <w:pStyle w:val="Ttulo1"/>
              <w:jc w:val="left"/>
            </w:pPr>
          </w:p>
        </w:tc>
        <w:tc>
          <w:tcPr>
            <w:tcW w:w="106" w:type="pct"/>
            <w:tcBorders>
              <w:top w:val="nil"/>
              <w:left w:val="nil"/>
              <w:right w:val="nil"/>
            </w:tcBorders>
            <w:shd w:val="clear" w:color="000000" w:fill="FFFFFF"/>
            <w:vAlign w:val="center"/>
          </w:tcPr>
          <w:p w14:paraId="2F5E2FD5" w14:textId="77777777" w:rsidR="009221E6" w:rsidRPr="007B60BF" w:rsidRDefault="009221E6" w:rsidP="008E783E">
            <w:pPr>
              <w:pStyle w:val="Ttulo1"/>
              <w:jc w:val="left"/>
            </w:pPr>
          </w:p>
        </w:tc>
        <w:tc>
          <w:tcPr>
            <w:tcW w:w="737" w:type="pct"/>
            <w:tcBorders>
              <w:top w:val="nil"/>
              <w:left w:val="nil"/>
              <w:right w:val="nil"/>
            </w:tcBorders>
            <w:shd w:val="clear" w:color="000000" w:fill="FFFFFF"/>
            <w:vAlign w:val="bottom"/>
          </w:tcPr>
          <w:p w14:paraId="4B5DD5AC" w14:textId="77777777" w:rsidR="009221E6" w:rsidRPr="007B60BF" w:rsidRDefault="009221E6" w:rsidP="008E783E">
            <w:pPr>
              <w:pStyle w:val="Ttulo1"/>
              <w:jc w:val="left"/>
            </w:pPr>
          </w:p>
        </w:tc>
        <w:tc>
          <w:tcPr>
            <w:tcW w:w="106" w:type="pct"/>
            <w:tcBorders>
              <w:top w:val="nil"/>
              <w:left w:val="nil"/>
              <w:right w:val="nil"/>
            </w:tcBorders>
            <w:vAlign w:val="bottom"/>
          </w:tcPr>
          <w:p w14:paraId="69DAF269" w14:textId="77777777" w:rsidR="009221E6" w:rsidRPr="007B60BF" w:rsidRDefault="009221E6" w:rsidP="008E783E">
            <w:pPr>
              <w:pStyle w:val="Ttulo1"/>
              <w:jc w:val="left"/>
            </w:pPr>
          </w:p>
        </w:tc>
        <w:tc>
          <w:tcPr>
            <w:tcW w:w="740" w:type="pct"/>
            <w:tcBorders>
              <w:top w:val="nil"/>
              <w:left w:val="nil"/>
              <w:right w:val="nil"/>
            </w:tcBorders>
            <w:shd w:val="clear" w:color="000000" w:fill="FFFFFF"/>
            <w:vAlign w:val="bottom"/>
          </w:tcPr>
          <w:p w14:paraId="0F929890" w14:textId="77777777" w:rsidR="009221E6" w:rsidRPr="007B60BF" w:rsidRDefault="009221E6" w:rsidP="008E783E">
            <w:pPr>
              <w:pStyle w:val="Ttulo1"/>
              <w:jc w:val="left"/>
            </w:pPr>
          </w:p>
        </w:tc>
      </w:tr>
      <w:tr w:rsidR="007A3DA7" w:rsidRPr="007B60BF" w14:paraId="113695D9" w14:textId="75B6BD4F" w:rsidTr="00832632">
        <w:trPr>
          <w:trHeight w:val="315"/>
          <w:jc w:val="right"/>
        </w:trPr>
        <w:tc>
          <w:tcPr>
            <w:tcW w:w="2982" w:type="pct"/>
            <w:tcBorders>
              <w:left w:val="nil"/>
              <w:bottom w:val="nil"/>
              <w:right w:val="nil"/>
            </w:tcBorders>
            <w:shd w:val="clear" w:color="000000" w:fill="FFFFFF"/>
            <w:noWrap/>
            <w:vAlign w:val="center"/>
            <w:hideMark/>
          </w:tcPr>
          <w:p w14:paraId="75F5270F" w14:textId="2DEEDA5B" w:rsidR="007A3DA7" w:rsidRPr="007B60BF" w:rsidRDefault="007A3DA7" w:rsidP="007A3DA7">
            <w:r w:rsidRPr="007B60BF">
              <w:rPr>
                <w:b/>
                <w:bCs/>
              </w:rPr>
              <w:t>Passivo</w:t>
            </w:r>
          </w:p>
        </w:tc>
        <w:tc>
          <w:tcPr>
            <w:tcW w:w="329" w:type="pct"/>
            <w:tcBorders>
              <w:left w:val="nil"/>
              <w:bottom w:val="single" w:sz="8" w:space="0" w:color="auto"/>
              <w:right w:val="nil"/>
            </w:tcBorders>
            <w:shd w:val="clear" w:color="000000" w:fill="FFFFFF"/>
            <w:vAlign w:val="bottom"/>
            <w:hideMark/>
          </w:tcPr>
          <w:p w14:paraId="58E866C1" w14:textId="77777777" w:rsidR="007A3DA7" w:rsidRPr="007B60BF" w:rsidRDefault="007A3DA7" w:rsidP="007A3DA7">
            <w:pPr>
              <w:jc w:val="center"/>
              <w:rPr>
                <w:b/>
                <w:bCs/>
              </w:rPr>
            </w:pPr>
            <w:r w:rsidRPr="007B60BF">
              <w:rPr>
                <w:b/>
                <w:bCs/>
              </w:rPr>
              <w:t>Nota</w:t>
            </w:r>
          </w:p>
        </w:tc>
        <w:tc>
          <w:tcPr>
            <w:tcW w:w="106" w:type="pct"/>
            <w:tcBorders>
              <w:left w:val="nil"/>
              <w:bottom w:val="nil"/>
              <w:right w:val="nil"/>
            </w:tcBorders>
            <w:shd w:val="clear" w:color="000000" w:fill="FFFFFF"/>
            <w:vAlign w:val="center"/>
            <w:hideMark/>
          </w:tcPr>
          <w:p w14:paraId="66BAE123" w14:textId="77777777" w:rsidR="007A3DA7" w:rsidRPr="007B60BF" w:rsidRDefault="007A3DA7" w:rsidP="007A3DA7">
            <w:pPr>
              <w:jc w:val="center"/>
              <w:rPr>
                <w:b/>
                <w:bCs/>
              </w:rPr>
            </w:pPr>
            <w:r w:rsidRPr="007B60BF">
              <w:rPr>
                <w:b/>
                <w:bCs/>
              </w:rPr>
              <w:t> </w:t>
            </w:r>
          </w:p>
        </w:tc>
        <w:tc>
          <w:tcPr>
            <w:tcW w:w="737" w:type="pct"/>
            <w:tcBorders>
              <w:left w:val="nil"/>
              <w:bottom w:val="single" w:sz="8" w:space="0" w:color="auto"/>
              <w:right w:val="nil"/>
            </w:tcBorders>
            <w:shd w:val="clear" w:color="000000" w:fill="FFFFFF"/>
            <w:vAlign w:val="bottom"/>
            <w:hideMark/>
          </w:tcPr>
          <w:p w14:paraId="2A5BF28E" w14:textId="30B9A398" w:rsidR="007A3DA7" w:rsidRPr="007B60BF" w:rsidRDefault="009173BF" w:rsidP="00465E6C">
            <w:pPr>
              <w:jc w:val="right"/>
              <w:rPr>
                <w:b/>
                <w:bCs/>
              </w:rPr>
            </w:pPr>
            <w:r w:rsidRPr="007B60BF">
              <w:rPr>
                <w:b/>
                <w:bCs/>
              </w:rPr>
              <w:t>31/12</w:t>
            </w:r>
            <w:r w:rsidR="007A3DA7" w:rsidRPr="007B60BF">
              <w:rPr>
                <w:b/>
                <w:bCs/>
              </w:rPr>
              <w:t>/2025</w:t>
            </w:r>
          </w:p>
        </w:tc>
        <w:tc>
          <w:tcPr>
            <w:tcW w:w="106" w:type="pct"/>
            <w:tcBorders>
              <w:left w:val="nil"/>
              <w:bottom w:val="nil"/>
              <w:right w:val="nil"/>
            </w:tcBorders>
            <w:vAlign w:val="bottom"/>
            <w:hideMark/>
          </w:tcPr>
          <w:p w14:paraId="2474E836" w14:textId="77777777" w:rsidR="007A3DA7" w:rsidRPr="007B60BF" w:rsidRDefault="007A3DA7" w:rsidP="007A3DA7">
            <w:pPr>
              <w:rPr>
                <w:b/>
                <w:bCs/>
              </w:rPr>
            </w:pPr>
          </w:p>
        </w:tc>
        <w:tc>
          <w:tcPr>
            <w:tcW w:w="740" w:type="pct"/>
            <w:tcBorders>
              <w:left w:val="nil"/>
              <w:bottom w:val="single" w:sz="8" w:space="0" w:color="auto"/>
              <w:right w:val="nil"/>
            </w:tcBorders>
            <w:shd w:val="clear" w:color="000000" w:fill="FFFFFF"/>
            <w:vAlign w:val="bottom"/>
          </w:tcPr>
          <w:p w14:paraId="7038BCFA" w14:textId="1C457DA1" w:rsidR="007A3DA7" w:rsidRPr="007B60BF" w:rsidRDefault="007A3DA7" w:rsidP="007A3DA7">
            <w:pPr>
              <w:jc w:val="right"/>
              <w:rPr>
                <w:b/>
                <w:bCs/>
              </w:rPr>
            </w:pPr>
            <w:r w:rsidRPr="007B60BF">
              <w:rPr>
                <w:b/>
                <w:bCs/>
              </w:rPr>
              <w:t>31/12/2024</w:t>
            </w:r>
          </w:p>
        </w:tc>
      </w:tr>
      <w:tr w:rsidR="007A3DA7" w:rsidRPr="007B60BF" w14:paraId="672DB94B" w14:textId="2042107E" w:rsidTr="00832632">
        <w:trPr>
          <w:trHeight w:val="300"/>
          <w:jc w:val="right"/>
        </w:trPr>
        <w:tc>
          <w:tcPr>
            <w:tcW w:w="2982" w:type="pct"/>
            <w:tcBorders>
              <w:top w:val="nil"/>
              <w:left w:val="nil"/>
              <w:bottom w:val="nil"/>
              <w:right w:val="nil"/>
            </w:tcBorders>
            <w:shd w:val="clear" w:color="000000" w:fill="FFFFFF"/>
            <w:noWrap/>
            <w:vAlign w:val="center"/>
          </w:tcPr>
          <w:p w14:paraId="24402DAE" w14:textId="77777777" w:rsidR="007A3DA7" w:rsidRPr="007B60BF" w:rsidRDefault="007A3DA7" w:rsidP="007A3DA7">
            <w:pPr>
              <w:rPr>
                <w:b/>
                <w:bCs/>
              </w:rPr>
            </w:pPr>
          </w:p>
        </w:tc>
        <w:tc>
          <w:tcPr>
            <w:tcW w:w="329" w:type="pct"/>
            <w:tcBorders>
              <w:top w:val="nil"/>
              <w:left w:val="nil"/>
              <w:bottom w:val="nil"/>
              <w:right w:val="nil"/>
            </w:tcBorders>
            <w:shd w:val="clear" w:color="000000" w:fill="FFFFFF"/>
            <w:vAlign w:val="center"/>
          </w:tcPr>
          <w:p w14:paraId="4D2521C9" w14:textId="77777777" w:rsidR="007A3DA7" w:rsidRPr="007B60BF" w:rsidRDefault="007A3DA7" w:rsidP="007A3DA7">
            <w:pPr>
              <w:jc w:val="center"/>
            </w:pPr>
          </w:p>
        </w:tc>
        <w:tc>
          <w:tcPr>
            <w:tcW w:w="106" w:type="pct"/>
            <w:tcBorders>
              <w:top w:val="nil"/>
              <w:left w:val="nil"/>
              <w:bottom w:val="nil"/>
              <w:right w:val="nil"/>
            </w:tcBorders>
            <w:shd w:val="clear" w:color="000000" w:fill="FFFFFF"/>
            <w:vAlign w:val="center"/>
          </w:tcPr>
          <w:p w14:paraId="248DFEA1" w14:textId="77777777" w:rsidR="007A3DA7" w:rsidRPr="007B60BF" w:rsidRDefault="007A3DA7" w:rsidP="007A3DA7">
            <w:pPr>
              <w:jc w:val="center"/>
            </w:pPr>
          </w:p>
        </w:tc>
        <w:tc>
          <w:tcPr>
            <w:tcW w:w="737" w:type="pct"/>
            <w:tcBorders>
              <w:top w:val="nil"/>
              <w:left w:val="nil"/>
              <w:bottom w:val="nil"/>
              <w:right w:val="nil"/>
            </w:tcBorders>
            <w:shd w:val="clear" w:color="000000" w:fill="FFFFFF"/>
            <w:vAlign w:val="bottom"/>
          </w:tcPr>
          <w:p w14:paraId="766E1B76" w14:textId="77777777" w:rsidR="007A3DA7" w:rsidRPr="007B60BF" w:rsidRDefault="007A3DA7" w:rsidP="007A3DA7">
            <w:pPr>
              <w:jc w:val="right"/>
            </w:pPr>
          </w:p>
        </w:tc>
        <w:tc>
          <w:tcPr>
            <w:tcW w:w="106" w:type="pct"/>
            <w:tcBorders>
              <w:top w:val="nil"/>
              <w:left w:val="nil"/>
              <w:bottom w:val="nil"/>
              <w:right w:val="nil"/>
            </w:tcBorders>
            <w:shd w:val="clear" w:color="000000" w:fill="FFFFFF"/>
            <w:vAlign w:val="bottom"/>
          </w:tcPr>
          <w:p w14:paraId="792067D0" w14:textId="77777777" w:rsidR="007A3DA7" w:rsidRPr="007B60BF" w:rsidRDefault="007A3DA7" w:rsidP="007A3DA7"/>
        </w:tc>
        <w:tc>
          <w:tcPr>
            <w:tcW w:w="740" w:type="pct"/>
            <w:tcBorders>
              <w:top w:val="nil"/>
              <w:left w:val="nil"/>
              <w:bottom w:val="nil"/>
              <w:right w:val="nil"/>
            </w:tcBorders>
            <w:shd w:val="clear" w:color="000000" w:fill="FFFFFF"/>
            <w:vAlign w:val="bottom"/>
          </w:tcPr>
          <w:p w14:paraId="39A47A1F" w14:textId="77777777" w:rsidR="007A3DA7" w:rsidRPr="007B60BF" w:rsidRDefault="007A3DA7" w:rsidP="007A3DA7">
            <w:pPr>
              <w:jc w:val="right"/>
            </w:pPr>
          </w:p>
        </w:tc>
      </w:tr>
      <w:tr w:rsidR="007A3DA7" w:rsidRPr="007B60BF" w14:paraId="7F9410D2" w14:textId="262BCE63" w:rsidTr="0002633A">
        <w:trPr>
          <w:trHeight w:val="300"/>
          <w:jc w:val="right"/>
        </w:trPr>
        <w:tc>
          <w:tcPr>
            <w:tcW w:w="2982" w:type="pct"/>
            <w:tcBorders>
              <w:top w:val="nil"/>
              <w:left w:val="nil"/>
              <w:bottom w:val="nil"/>
              <w:right w:val="nil"/>
            </w:tcBorders>
            <w:shd w:val="clear" w:color="000000" w:fill="FFFFFF"/>
            <w:noWrap/>
            <w:vAlign w:val="center"/>
            <w:hideMark/>
          </w:tcPr>
          <w:p w14:paraId="761F5D6D" w14:textId="77777777" w:rsidR="007A3DA7" w:rsidRPr="007B60BF" w:rsidRDefault="007A3DA7" w:rsidP="007A3DA7">
            <w:pPr>
              <w:rPr>
                <w:b/>
                <w:bCs/>
              </w:rPr>
            </w:pPr>
            <w:r w:rsidRPr="007B60BF">
              <w:rPr>
                <w:b/>
                <w:bCs/>
              </w:rPr>
              <w:t>Circulante</w:t>
            </w:r>
          </w:p>
        </w:tc>
        <w:tc>
          <w:tcPr>
            <w:tcW w:w="329" w:type="pct"/>
            <w:tcBorders>
              <w:top w:val="nil"/>
              <w:left w:val="nil"/>
              <w:bottom w:val="nil"/>
              <w:right w:val="nil"/>
            </w:tcBorders>
            <w:shd w:val="clear" w:color="000000" w:fill="FFFFFF"/>
            <w:vAlign w:val="center"/>
            <w:hideMark/>
          </w:tcPr>
          <w:p w14:paraId="2C501642" w14:textId="23D64A04" w:rsidR="007A3DA7" w:rsidRPr="007B60BF" w:rsidRDefault="007A3DA7" w:rsidP="007A3DA7">
            <w:pPr>
              <w:jc w:val="center"/>
            </w:pPr>
          </w:p>
        </w:tc>
        <w:tc>
          <w:tcPr>
            <w:tcW w:w="106" w:type="pct"/>
            <w:tcBorders>
              <w:top w:val="nil"/>
              <w:left w:val="nil"/>
              <w:bottom w:val="nil"/>
              <w:right w:val="nil"/>
            </w:tcBorders>
            <w:shd w:val="clear" w:color="000000" w:fill="FFFFFF"/>
            <w:vAlign w:val="center"/>
            <w:hideMark/>
          </w:tcPr>
          <w:p w14:paraId="1772BEF7"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000000" w:fill="FFFFFF"/>
            <w:vAlign w:val="center"/>
            <w:hideMark/>
          </w:tcPr>
          <w:p w14:paraId="2814CD2B" w14:textId="77777777" w:rsidR="007A3DA7" w:rsidRPr="007B60BF" w:rsidRDefault="007A3DA7" w:rsidP="00A93E95">
            <w:pPr>
              <w:spacing w:line="276" w:lineRule="auto"/>
              <w:jc w:val="right"/>
            </w:pPr>
            <w:r w:rsidRPr="007B60BF">
              <w:t> </w:t>
            </w:r>
          </w:p>
        </w:tc>
        <w:tc>
          <w:tcPr>
            <w:tcW w:w="106" w:type="pct"/>
            <w:tcBorders>
              <w:top w:val="nil"/>
              <w:left w:val="nil"/>
              <w:bottom w:val="nil"/>
              <w:right w:val="nil"/>
            </w:tcBorders>
            <w:shd w:val="clear" w:color="000000" w:fill="FFFFFF"/>
            <w:vAlign w:val="center"/>
            <w:hideMark/>
          </w:tcPr>
          <w:p w14:paraId="410FB061" w14:textId="77777777" w:rsidR="007A3DA7" w:rsidRPr="007B60BF" w:rsidRDefault="007A3DA7" w:rsidP="00A93E95">
            <w:pPr>
              <w:spacing w:line="276" w:lineRule="auto"/>
              <w:jc w:val="right"/>
            </w:pPr>
            <w:r w:rsidRPr="007B60BF">
              <w:t> </w:t>
            </w:r>
          </w:p>
        </w:tc>
        <w:tc>
          <w:tcPr>
            <w:tcW w:w="740" w:type="pct"/>
            <w:tcBorders>
              <w:top w:val="nil"/>
              <w:left w:val="nil"/>
              <w:bottom w:val="nil"/>
              <w:right w:val="nil"/>
            </w:tcBorders>
            <w:shd w:val="clear" w:color="000000" w:fill="FFFFFF"/>
            <w:vAlign w:val="center"/>
          </w:tcPr>
          <w:p w14:paraId="3FC380E2" w14:textId="369C2947" w:rsidR="007A3DA7" w:rsidRPr="007B60BF" w:rsidRDefault="007A3DA7" w:rsidP="00A93E95">
            <w:pPr>
              <w:spacing w:line="276" w:lineRule="auto"/>
              <w:jc w:val="right"/>
            </w:pPr>
            <w:r w:rsidRPr="007B60BF">
              <w:t> </w:t>
            </w:r>
          </w:p>
        </w:tc>
      </w:tr>
      <w:tr w:rsidR="007A3DA7" w:rsidRPr="007B60BF" w14:paraId="5EDC6A74" w14:textId="6CCEC7E1" w:rsidTr="0002633A">
        <w:trPr>
          <w:trHeight w:val="300"/>
          <w:jc w:val="right"/>
        </w:trPr>
        <w:tc>
          <w:tcPr>
            <w:tcW w:w="2982" w:type="pct"/>
            <w:tcBorders>
              <w:top w:val="nil"/>
              <w:left w:val="nil"/>
              <w:bottom w:val="nil"/>
              <w:right w:val="nil"/>
            </w:tcBorders>
            <w:shd w:val="clear" w:color="000000" w:fill="FFFFFF"/>
            <w:noWrap/>
            <w:vAlign w:val="center"/>
            <w:hideMark/>
          </w:tcPr>
          <w:p w14:paraId="6E564B90" w14:textId="77777777" w:rsidR="007A3DA7" w:rsidRPr="007B60BF" w:rsidRDefault="007A3DA7" w:rsidP="007A3DA7">
            <w:r w:rsidRPr="007B60BF">
              <w:t xml:space="preserve">   Fornecedores</w:t>
            </w:r>
          </w:p>
        </w:tc>
        <w:tc>
          <w:tcPr>
            <w:tcW w:w="329" w:type="pct"/>
            <w:tcBorders>
              <w:top w:val="nil"/>
              <w:left w:val="nil"/>
              <w:bottom w:val="nil"/>
              <w:right w:val="nil"/>
            </w:tcBorders>
            <w:shd w:val="clear" w:color="000000" w:fill="FFFFFF"/>
            <w:vAlign w:val="center"/>
            <w:hideMark/>
          </w:tcPr>
          <w:p w14:paraId="7F9DB624" w14:textId="0FF7E51B" w:rsidR="007A3DA7" w:rsidRPr="007B60BF" w:rsidRDefault="007A3DA7" w:rsidP="007A3DA7">
            <w:pPr>
              <w:jc w:val="center"/>
              <w:rPr>
                <w:b/>
                <w:bCs/>
              </w:rPr>
            </w:pPr>
            <w:r w:rsidRPr="007B60BF">
              <w:rPr>
                <w:b/>
                <w:bCs/>
              </w:rPr>
              <w:t>11</w:t>
            </w:r>
          </w:p>
        </w:tc>
        <w:tc>
          <w:tcPr>
            <w:tcW w:w="106" w:type="pct"/>
            <w:tcBorders>
              <w:top w:val="nil"/>
              <w:left w:val="nil"/>
              <w:bottom w:val="nil"/>
              <w:right w:val="nil"/>
            </w:tcBorders>
            <w:shd w:val="clear" w:color="000000" w:fill="FFFFFF"/>
            <w:vAlign w:val="center"/>
            <w:hideMark/>
          </w:tcPr>
          <w:p w14:paraId="60617365" w14:textId="77777777" w:rsidR="007A3DA7" w:rsidRPr="007B60BF" w:rsidRDefault="007A3DA7" w:rsidP="007A3DA7">
            <w:pPr>
              <w:jc w:val="center"/>
              <w:rPr>
                <w:b/>
                <w:bCs/>
              </w:rPr>
            </w:pPr>
            <w:r w:rsidRPr="007B60BF">
              <w:rPr>
                <w:b/>
                <w:bCs/>
              </w:rPr>
              <w:t> </w:t>
            </w:r>
          </w:p>
        </w:tc>
        <w:tc>
          <w:tcPr>
            <w:tcW w:w="737" w:type="pct"/>
            <w:tcBorders>
              <w:top w:val="nil"/>
              <w:left w:val="nil"/>
              <w:bottom w:val="nil"/>
              <w:right w:val="nil"/>
            </w:tcBorders>
            <w:shd w:val="clear" w:color="000000" w:fill="FFFFFF"/>
            <w:vAlign w:val="center"/>
          </w:tcPr>
          <w:p w14:paraId="1594CE53" w14:textId="004E36DB" w:rsidR="007A3DA7" w:rsidRPr="007B60BF" w:rsidRDefault="00A93E95" w:rsidP="00A93E95">
            <w:pPr>
              <w:jc w:val="right"/>
            </w:pPr>
            <w:r w:rsidRPr="007B60BF">
              <w:t>33.929</w:t>
            </w:r>
          </w:p>
        </w:tc>
        <w:tc>
          <w:tcPr>
            <w:tcW w:w="106" w:type="pct"/>
            <w:tcBorders>
              <w:top w:val="nil"/>
              <w:left w:val="nil"/>
              <w:bottom w:val="nil"/>
              <w:right w:val="nil"/>
            </w:tcBorders>
            <w:shd w:val="clear" w:color="000000" w:fill="FFFFFF"/>
            <w:vAlign w:val="center"/>
            <w:hideMark/>
          </w:tcPr>
          <w:p w14:paraId="08BBF775"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5213560C" w14:textId="2D795C6D" w:rsidR="007A3DA7" w:rsidRPr="007B60BF" w:rsidRDefault="007A3DA7" w:rsidP="00A93E95">
            <w:pPr>
              <w:jc w:val="right"/>
            </w:pPr>
            <w:r w:rsidRPr="007B60BF">
              <w:t>26.971</w:t>
            </w:r>
          </w:p>
        </w:tc>
      </w:tr>
      <w:tr w:rsidR="007A3DA7" w:rsidRPr="007B60BF" w14:paraId="49E3A680" w14:textId="55DDAAA0" w:rsidTr="0002633A">
        <w:trPr>
          <w:trHeight w:val="300"/>
          <w:jc w:val="right"/>
        </w:trPr>
        <w:tc>
          <w:tcPr>
            <w:tcW w:w="2982" w:type="pct"/>
            <w:tcBorders>
              <w:top w:val="nil"/>
              <w:left w:val="nil"/>
              <w:bottom w:val="nil"/>
              <w:right w:val="nil"/>
            </w:tcBorders>
            <w:shd w:val="clear" w:color="000000" w:fill="FFFFFF"/>
            <w:noWrap/>
            <w:vAlign w:val="center"/>
            <w:hideMark/>
          </w:tcPr>
          <w:p w14:paraId="48ECCDDD" w14:textId="77777777" w:rsidR="007A3DA7" w:rsidRPr="007B60BF" w:rsidRDefault="007A3DA7" w:rsidP="007A3DA7">
            <w:r w:rsidRPr="007B60BF">
              <w:t xml:space="preserve">   Obrigações Tributárias e Sociais </w:t>
            </w:r>
          </w:p>
        </w:tc>
        <w:tc>
          <w:tcPr>
            <w:tcW w:w="329" w:type="pct"/>
            <w:tcBorders>
              <w:top w:val="nil"/>
              <w:left w:val="nil"/>
              <w:bottom w:val="nil"/>
              <w:right w:val="nil"/>
            </w:tcBorders>
            <w:shd w:val="clear" w:color="000000" w:fill="FFFFFF"/>
            <w:vAlign w:val="center"/>
            <w:hideMark/>
          </w:tcPr>
          <w:p w14:paraId="3FA27C70" w14:textId="21F6CFE1" w:rsidR="007A3DA7" w:rsidRPr="007B60BF" w:rsidRDefault="007A3DA7" w:rsidP="007A3DA7">
            <w:pPr>
              <w:jc w:val="center"/>
              <w:rPr>
                <w:b/>
                <w:bCs/>
              </w:rPr>
            </w:pPr>
            <w:r w:rsidRPr="007B60BF">
              <w:rPr>
                <w:b/>
                <w:bCs/>
              </w:rPr>
              <w:t>12</w:t>
            </w:r>
          </w:p>
        </w:tc>
        <w:tc>
          <w:tcPr>
            <w:tcW w:w="106" w:type="pct"/>
            <w:tcBorders>
              <w:top w:val="nil"/>
              <w:left w:val="nil"/>
              <w:bottom w:val="nil"/>
              <w:right w:val="nil"/>
            </w:tcBorders>
            <w:shd w:val="clear" w:color="000000" w:fill="FFFFFF"/>
            <w:vAlign w:val="center"/>
            <w:hideMark/>
          </w:tcPr>
          <w:p w14:paraId="578CB6C4" w14:textId="77777777" w:rsidR="007A3DA7" w:rsidRPr="007B60BF" w:rsidRDefault="007A3DA7" w:rsidP="007A3DA7">
            <w:pPr>
              <w:jc w:val="center"/>
              <w:rPr>
                <w:b/>
                <w:bCs/>
              </w:rPr>
            </w:pPr>
            <w:r w:rsidRPr="007B60BF">
              <w:rPr>
                <w:b/>
                <w:bCs/>
              </w:rPr>
              <w:t> </w:t>
            </w:r>
          </w:p>
        </w:tc>
        <w:tc>
          <w:tcPr>
            <w:tcW w:w="737" w:type="pct"/>
            <w:tcBorders>
              <w:top w:val="nil"/>
              <w:left w:val="nil"/>
              <w:bottom w:val="nil"/>
              <w:right w:val="nil"/>
            </w:tcBorders>
            <w:shd w:val="clear" w:color="000000" w:fill="FFFFFF"/>
            <w:vAlign w:val="center"/>
          </w:tcPr>
          <w:p w14:paraId="4C4C747D" w14:textId="2A480ADB" w:rsidR="007A3DA7" w:rsidRPr="007B60BF" w:rsidRDefault="00A93E95" w:rsidP="00A93E95">
            <w:pPr>
              <w:jc w:val="right"/>
            </w:pPr>
            <w:r w:rsidRPr="007B60BF">
              <w:t>107.937</w:t>
            </w:r>
          </w:p>
        </w:tc>
        <w:tc>
          <w:tcPr>
            <w:tcW w:w="106" w:type="pct"/>
            <w:tcBorders>
              <w:top w:val="nil"/>
              <w:left w:val="nil"/>
              <w:bottom w:val="nil"/>
              <w:right w:val="nil"/>
            </w:tcBorders>
            <w:shd w:val="clear" w:color="000000" w:fill="FFFFFF"/>
            <w:vAlign w:val="center"/>
            <w:hideMark/>
          </w:tcPr>
          <w:p w14:paraId="2C1DBFD8"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7F0A7AEF" w14:textId="39B63712" w:rsidR="007A3DA7" w:rsidRPr="007B60BF" w:rsidRDefault="007A3DA7" w:rsidP="00A93E95">
            <w:pPr>
              <w:jc w:val="right"/>
            </w:pPr>
            <w:r w:rsidRPr="007B60BF">
              <w:t>98.722</w:t>
            </w:r>
          </w:p>
        </w:tc>
      </w:tr>
      <w:tr w:rsidR="007A3DA7" w:rsidRPr="007B60BF" w14:paraId="57EE12C3" w14:textId="4BE1DE92" w:rsidTr="0002633A">
        <w:trPr>
          <w:trHeight w:val="300"/>
          <w:jc w:val="right"/>
        </w:trPr>
        <w:tc>
          <w:tcPr>
            <w:tcW w:w="2982" w:type="pct"/>
            <w:tcBorders>
              <w:top w:val="nil"/>
              <w:left w:val="nil"/>
              <w:bottom w:val="nil"/>
              <w:right w:val="nil"/>
            </w:tcBorders>
            <w:shd w:val="clear" w:color="000000" w:fill="FFFFFF"/>
            <w:noWrap/>
            <w:vAlign w:val="center"/>
            <w:hideMark/>
          </w:tcPr>
          <w:p w14:paraId="3D776BB2" w14:textId="77777777" w:rsidR="007A3DA7" w:rsidRPr="007B60BF" w:rsidRDefault="007A3DA7" w:rsidP="007A3DA7">
            <w:r w:rsidRPr="007B60BF">
              <w:t xml:space="preserve">   Obrigações com Pessoal</w:t>
            </w:r>
          </w:p>
        </w:tc>
        <w:tc>
          <w:tcPr>
            <w:tcW w:w="329" w:type="pct"/>
            <w:tcBorders>
              <w:top w:val="nil"/>
              <w:left w:val="nil"/>
              <w:bottom w:val="nil"/>
              <w:right w:val="nil"/>
            </w:tcBorders>
            <w:shd w:val="clear" w:color="000000" w:fill="FFFFFF"/>
            <w:vAlign w:val="center"/>
            <w:hideMark/>
          </w:tcPr>
          <w:p w14:paraId="296B546C" w14:textId="02D96B54" w:rsidR="007A3DA7" w:rsidRPr="007B60BF" w:rsidRDefault="007A3DA7" w:rsidP="007A3DA7">
            <w:pPr>
              <w:jc w:val="center"/>
              <w:rPr>
                <w:b/>
                <w:bCs/>
              </w:rPr>
            </w:pPr>
            <w:r w:rsidRPr="007B60BF">
              <w:rPr>
                <w:b/>
                <w:bCs/>
              </w:rPr>
              <w:t>13</w:t>
            </w:r>
          </w:p>
        </w:tc>
        <w:tc>
          <w:tcPr>
            <w:tcW w:w="106" w:type="pct"/>
            <w:tcBorders>
              <w:top w:val="nil"/>
              <w:left w:val="nil"/>
              <w:bottom w:val="nil"/>
              <w:right w:val="nil"/>
            </w:tcBorders>
            <w:shd w:val="clear" w:color="000000" w:fill="FFFFFF"/>
            <w:vAlign w:val="center"/>
            <w:hideMark/>
          </w:tcPr>
          <w:p w14:paraId="15927506" w14:textId="77777777" w:rsidR="007A3DA7" w:rsidRPr="007B60BF" w:rsidRDefault="007A3DA7" w:rsidP="007A3DA7">
            <w:pPr>
              <w:jc w:val="center"/>
              <w:rPr>
                <w:b/>
                <w:bCs/>
              </w:rPr>
            </w:pPr>
            <w:r w:rsidRPr="007B60BF">
              <w:rPr>
                <w:b/>
                <w:bCs/>
              </w:rPr>
              <w:t> </w:t>
            </w:r>
          </w:p>
        </w:tc>
        <w:tc>
          <w:tcPr>
            <w:tcW w:w="737" w:type="pct"/>
            <w:tcBorders>
              <w:top w:val="nil"/>
              <w:left w:val="nil"/>
              <w:bottom w:val="nil"/>
              <w:right w:val="nil"/>
            </w:tcBorders>
            <w:shd w:val="clear" w:color="000000" w:fill="FFFFFF"/>
            <w:vAlign w:val="center"/>
          </w:tcPr>
          <w:p w14:paraId="2EA02D17" w14:textId="6858C38E" w:rsidR="007A3DA7" w:rsidRPr="007B60BF" w:rsidRDefault="00A93E95" w:rsidP="00A93E95">
            <w:pPr>
              <w:jc w:val="right"/>
            </w:pPr>
            <w:r w:rsidRPr="007B60BF">
              <w:t>103.873</w:t>
            </w:r>
          </w:p>
        </w:tc>
        <w:tc>
          <w:tcPr>
            <w:tcW w:w="106" w:type="pct"/>
            <w:tcBorders>
              <w:top w:val="nil"/>
              <w:left w:val="nil"/>
              <w:bottom w:val="nil"/>
              <w:right w:val="nil"/>
            </w:tcBorders>
            <w:shd w:val="clear" w:color="000000" w:fill="FFFFFF"/>
            <w:vAlign w:val="center"/>
            <w:hideMark/>
          </w:tcPr>
          <w:p w14:paraId="51EE90E3"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3DE78099" w14:textId="1A9D8F4C" w:rsidR="007A3DA7" w:rsidRPr="007B60BF" w:rsidRDefault="007A3DA7" w:rsidP="00A93E95">
            <w:pPr>
              <w:jc w:val="right"/>
            </w:pPr>
            <w:r w:rsidRPr="007B60BF">
              <w:t>92.826</w:t>
            </w:r>
          </w:p>
        </w:tc>
      </w:tr>
      <w:tr w:rsidR="007A3DA7" w:rsidRPr="007B60BF" w14:paraId="10054933" w14:textId="34C55C3E" w:rsidTr="0002633A">
        <w:trPr>
          <w:trHeight w:val="300"/>
          <w:jc w:val="right"/>
        </w:trPr>
        <w:tc>
          <w:tcPr>
            <w:tcW w:w="2982" w:type="pct"/>
            <w:tcBorders>
              <w:top w:val="nil"/>
              <w:left w:val="nil"/>
              <w:bottom w:val="nil"/>
              <w:right w:val="nil"/>
            </w:tcBorders>
            <w:shd w:val="clear" w:color="000000" w:fill="FFFFFF"/>
            <w:noWrap/>
            <w:vAlign w:val="center"/>
            <w:hideMark/>
          </w:tcPr>
          <w:p w14:paraId="63529EA0" w14:textId="7D5BBE13" w:rsidR="007A3DA7" w:rsidRPr="007B60BF" w:rsidRDefault="007A3DA7" w:rsidP="007A3DA7">
            <w:r w:rsidRPr="007B60BF">
              <w:t xml:space="preserve">   Contingências Passivas e Provisões com despesas de Pessoal</w:t>
            </w:r>
          </w:p>
        </w:tc>
        <w:tc>
          <w:tcPr>
            <w:tcW w:w="329" w:type="pct"/>
            <w:tcBorders>
              <w:top w:val="nil"/>
              <w:left w:val="nil"/>
              <w:bottom w:val="nil"/>
              <w:right w:val="nil"/>
            </w:tcBorders>
            <w:shd w:val="clear" w:color="000000" w:fill="FFFFFF"/>
            <w:vAlign w:val="center"/>
            <w:hideMark/>
          </w:tcPr>
          <w:p w14:paraId="739C4D84" w14:textId="4CCD9BBD" w:rsidR="007A3DA7" w:rsidRPr="007B60BF" w:rsidRDefault="007A3DA7" w:rsidP="007A3DA7">
            <w:pPr>
              <w:jc w:val="center"/>
              <w:rPr>
                <w:b/>
                <w:bCs/>
              </w:rPr>
            </w:pPr>
            <w:r w:rsidRPr="007B60BF">
              <w:rPr>
                <w:b/>
                <w:bCs/>
              </w:rPr>
              <w:t>14</w:t>
            </w:r>
          </w:p>
        </w:tc>
        <w:tc>
          <w:tcPr>
            <w:tcW w:w="106" w:type="pct"/>
            <w:tcBorders>
              <w:top w:val="nil"/>
              <w:left w:val="nil"/>
              <w:bottom w:val="nil"/>
              <w:right w:val="nil"/>
            </w:tcBorders>
            <w:shd w:val="clear" w:color="000000" w:fill="FFFFFF"/>
            <w:vAlign w:val="center"/>
            <w:hideMark/>
          </w:tcPr>
          <w:p w14:paraId="4E56C8A6" w14:textId="77777777" w:rsidR="007A3DA7" w:rsidRPr="007B60BF" w:rsidRDefault="007A3DA7" w:rsidP="007A3DA7">
            <w:pPr>
              <w:jc w:val="center"/>
              <w:rPr>
                <w:b/>
                <w:bCs/>
              </w:rPr>
            </w:pPr>
            <w:r w:rsidRPr="007B60BF">
              <w:rPr>
                <w:b/>
                <w:bCs/>
              </w:rPr>
              <w:t> </w:t>
            </w:r>
          </w:p>
        </w:tc>
        <w:tc>
          <w:tcPr>
            <w:tcW w:w="737" w:type="pct"/>
            <w:tcBorders>
              <w:top w:val="nil"/>
              <w:left w:val="nil"/>
              <w:bottom w:val="nil"/>
              <w:right w:val="nil"/>
            </w:tcBorders>
            <w:shd w:val="clear" w:color="000000" w:fill="FFFFFF"/>
            <w:vAlign w:val="center"/>
          </w:tcPr>
          <w:p w14:paraId="725C6058" w14:textId="72455977" w:rsidR="007A3DA7" w:rsidRPr="007B60BF" w:rsidRDefault="00A93E95" w:rsidP="00A93E95">
            <w:pPr>
              <w:jc w:val="right"/>
            </w:pPr>
            <w:r w:rsidRPr="007B60BF">
              <w:t>275.958</w:t>
            </w:r>
          </w:p>
        </w:tc>
        <w:tc>
          <w:tcPr>
            <w:tcW w:w="106" w:type="pct"/>
            <w:tcBorders>
              <w:top w:val="nil"/>
              <w:left w:val="nil"/>
              <w:bottom w:val="nil"/>
              <w:right w:val="nil"/>
            </w:tcBorders>
            <w:shd w:val="clear" w:color="000000" w:fill="FFFFFF"/>
            <w:vAlign w:val="center"/>
            <w:hideMark/>
          </w:tcPr>
          <w:p w14:paraId="5CE8FA37"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4ACFED12" w14:textId="7199679B" w:rsidR="007A3DA7" w:rsidRPr="007B60BF" w:rsidRDefault="007A3DA7" w:rsidP="00A93E95">
            <w:pPr>
              <w:jc w:val="right"/>
            </w:pPr>
            <w:r w:rsidRPr="007B60BF">
              <w:t>248.879</w:t>
            </w:r>
          </w:p>
        </w:tc>
      </w:tr>
      <w:tr w:rsidR="007A3DA7" w:rsidRPr="007B60BF" w14:paraId="2C07EEF9" w14:textId="0AA1D25E" w:rsidTr="0002633A">
        <w:trPr>
          <w:trHeight w:val="315"/>
          <w:jc w:val="right"/>
        </w:trPr>
        <w:tc>
          <w:tcPr>
            <w:tcW w:w="2982" w:type="pct"/>
            <w:tcBorders>
              <w:top w:val="nil"/>
              <w:left w:val="nil"/>
              <w:bottom w:val="nil"/>
              <w:right w:val="nil"/>
            </w:tcBorders>
            <w:shd w:val="clear" w:color="000000" w:fill="FFFFFF"/>
            <w:noWrap/>
            <w:vAlign w:val="center"/>
            <w:hideMark/>
          </w:tcPr>
          <w:p w14:paraId="35D5F4FB" w14:textId="77777777" w:rsidR="007A3DA7" w:rsidRPr="007B60BF" w:rsidRDefault="007A3DA7" w:rsidP="007A3DA7">
            <w:r w:rsidRPr="007B60BF">
              <w:t xml:space="preserve">   Outras Obrigações</w:t>
            </w:r>
          </w:p>
        </w:tc>
        <w:tc>
          <w:tcPr>
            <w:tcW w:w="329" w:type="pct"/>
            <w:tcBorders>
              <w:top w:val="nil"/>
              <w:left w:val="nil"/>
              <w:bottom w:val="nil"/>
              <w:right w:val="nil"/>
            </w:tcBorders>
            <w:shd w:val="clear" w:color="000000" w:fill="FFFFFF"/>
            <w:vAlign w:val="center"/>
            <w:hideMark/>
          </w:tcPr>
          <w:p w14:paraId="6C2417A6" w14:textId="397D5593" w:rsidR="007A3DA7" w:rsidRPr="007B60BF" w:rsidRDefault="007A3DA7" w:rsidP="007A3DA7">
            <w:pPr>
              <w:jc w:val="center"/>
              <w:rPr>
                <w:b/>
              </w:rPr>
            </w:pPr>
          </w:p>
        </w:tc>
        <w:tc>
          <w:tcPr>
            <w:tcW w:w="106" w:type="pct"/>
            <w:tcBorders>
              <w:top w:val="nil"/>
              <w:left w:val="nil"/>
              <w:bottom w:val="nil"/>
              <w:right w:val="nil"/>
            </w:tcBorders>
            <w:shd w:val="clear" w:color="000000" w:fill="FFFFFF"/>
            <w:vAlign w:val="center"/>
            <w:hideMark/>
          </w:tcPr>
          <w:p w14:paraId="3FAC2CAC" w14:textId="77777777" w:rsidR="007A3DA7" w:rsidRPr="007B60BF" w:rsidRDefault="007A3DA7" w:rsidP="007A3DA7">
            <w:pPr>
              <w:jc w:val="center"/>
            </w:pPr>
            <w:r w:rsidRPr="007B60BF">
              <w:t> </w:t>
            </w:r>
          </w:p>
        </w:tc>
        <w:tc>
          <w:tcPr>
            <w:tcW w:w="737" w:type="pct"/>
            <w:tcBorders>
              <w:top w:val="nil"/>
              <w:left w:val="nil"/>
              <w:bottom w:val="single" w:sz="8" w:space="0" w:color="auto"/>
              <w:right w:val="nil"/>
            </w:tcBorders>
            <w:shd w:val="clear" w:color="000000" w:fill="FFFFFF"/>
            <w:vAlign w:val="center"/>
          </w:tcPr>
          <w:p w14:paraId="4B3A9594" w14:textId="6A0E4102" w:rsidR="007A3DA7" w:rsidRPr="007B60BF" w:rsidRDefault="00011727" w:rsidP="00A93E95">
            <w:pPr>
              <w:jc w:val="right"/>
            </w:pPr>
            <w:r w:rsidRPr="007B60BF">
              <w:t>11.320</w:t>
            </w:r>
          </w:p>
        </w:tc>
        <w:tc>
          <w:tcPr>
            <w:tcW w:w="106" w:type="pct"/>
            <w:tcBorders>
              <w:top w:val="nil"/>
              <w:left w:val="nil"/>
              <w:bottom w:val="nil"/>
              <w:right w:val="nil"/>
            </w:tcBorders>
            <w:shd w:val="clear" w:color="000000" w:fill="FFFFFF"/>
            <w:vAlign w:val="center"/>
            <w:hideMark/>
          </w:tcPr>
          <w:p w14:paraId="21893977" w14:textId="77777777" w:rsidR="007A3DA7" w:rsidRPr="007B60BF" w:rsidRDefault="007A3DA7" w:rsidP="00A93E95">
            <w:pPr>
              <w:jc w:val="right"/>
            </w:pPr>
            <w:r w:rsidRPr="007B60BF">
              <w:t> </w:t>
            </w:r>
          </w:p>
        </w:tc>
        <w:tc>
          <w:tcPr>
            <w:tcW w:w="740" w:type="pct"/>
            <w:tcBorders>
              <w:top w:val="nil"/>
              <w:left w:val="nil"/>
              <w:bottom w:val="single" w:sz="8" w:space="0" w:color="auto"/>
              <w:right w:val="nil"/>
            </w:tcBorders>
            <w:shd w:val="clear" w:color="000000" w:fill="FFFFFF"/>
            <w:vAlign w:val="center"/>
          </w:tcPr>
          <w:p w14:paraId="50840EC1" w14:textId="236DE3D2" w:rsidR="007A3DA7" w:rsidRPr="007B60BF" w:rsidRDefault="007A3DA7" w:rsidP="00A93E95">
            <w:pPr>
              <w:jc w:val="right"/>
            </w:pPr>
            <w:r w:rsidRPr="007B60BF">
              <w:t>12.812</w:t>
            </w:r>
          </w:p>
        </w:tc>
      </w:tr>
      <w:tr w:rsidR="007A3DA7" w:rsidRPr="007B60BF" w14:paraId="3B973788" w14:textId="64F449E1" w:rsidTr="0002633A">
        <w:trPr>
          <w:trHeight w:val="315"/>
          <w:jc w:val="right"/>
        </w:trPr>
        <w:tc>
          <w:tcPr>
            <w:tcW w:w="2982" w:type="pct"/>
            <w:tcBorders>
              <w:top w:val="nil"/>
              <w:left w:val="nil"/>
              <w:bottom w:val="nil"/>
              <w:right w:val="nil"/>
            </w:tcBorders>
            <w:shd w:val="clear" w:color="000000" w:fill="FFFFFF"/>
            <w:noWrap/>
            <w:vAlign w:val="center"/>
            <w:hideMark/>
          </w:tcPr>
          <w:p w14:paraId="47679C40" w14:textId="77777777" w:rsidR="007A3DA7" w:rsidRPr="007B60BF" w:rsidRDefault="007A3DA7" w:rsidP="007A3DA7">
            <w:pPr>
              <w:rPr>
                <w:b/>
              </w:rPr>
            </w:pPr>
            <w:r w:rsidRPr="007B60BF">
              <w:rPr>
                <w:b/>
              </w:rPr>
              <w:t xml:space="preserve">   </w:t>
            </w:r>
          </w:p>
        </w:tc>
        <w:tc>
          <w:tcPr>
            <w:tcW w:w="329" w:type="pct"/>
            <w:tcBorders>
              <w:top w:val="nil"/>
              <w:left w:val="nil"/>
              <w:bottom w:val="nil"/>
              <w:right w:val="nil"/>
            </w:tcBorders>
            <w:shd w:val="clear" w:color="000000" w:fill="FFFFFF"/>
            <w:vAlign w:val="center"/>
            <w:hideMark/>
          </w:tcPr>
          <w:p w14:paraId="6CE21C43" w14:textId="1848B2CF" w:rsidR="007A3DA7" w:rsidRPr="007B60BF" w:rsidRDefault="007A3DA7" w:rsidP="007A3DA7">
            <w:pPr>
              <w:jc w:val="center"/>
              <w:rPr>
                <w:b/>
                <w:bCs/>
              </w:rPr>
            </w:pPr>
          </w:p>
        </w:tc>
        <w:tc>
          <w:tcPr>
            <w:tcW w:w="106" w:type="pct"/>
            <w:tcBorders>
              <w:top w:val="nil"/>
              <w:left w:val="nil"/>
              <w:bottom w:val="nil"/>
              <w:right w:val="nil"/>
            </w:tcBorders>
            <w:shd w:val="clear" w:color="000000" w:fill="FFFFFF"/>
            <w:vAlign w:val="center"/>
            <w:hideMark/>
          </w:tcPr>
          <w:p w14:paraId="39632E73" w14:textId="77777777" w:rsidR="007A3DA7" w:rsidRPr="007B60BF" w:rsidRDefault="007A3DA7" w:rsidP="007A3DA7">
            <w:pPr>
              <w:jc w:val="center"/>
              <w:rPr>
                <w:b/>
                <w:bCs/>
              </w:rPr>
            </w:pPr>
            <w:r w:rsidRPr="007B60BF">
              <w:rPr>
                <w:b/>
                <w:bCs/>
              </w:rPr>
              <w:t> </w:t>
            </w:r>
          </w:p>
        </w:tc>
        <w:tc>
          <w:tcPr>
            <w:tcW w:w="737" w:type="pct"/>
            <w:tcBorders>
              <w:top w:val="nil"/>
              <w:left w:val="nil"/>
              <w:bottom w:val="single" w:sz="8" w:space="0" w:color="auto"/>
              <w:right w:val="nil"/>
            </w:tcBorders>
            <w:shd w:val="clear" w:color="000000" w:fill="FFFFFF"/>
            <w:vAlign w:val="center"/>
          </w:tcPr>
          <w:p w14:paraId="2CF9D236" w14:textId="1055D024" w:rsidR="007A3DA7" w:rsidRPr="007B60BF" w:rsidRDefault="00A93E95" w:rsidP="00011727">
            <w:pPr>
              <w:jc w:val="right"/>
              <w:rPr>
                <w:b/>
                <w:bCs/>
              </w:rPr>
            </w:pPr>
            <w:r w:rsidRPr="007B60BF">
              <w:rPr>
                <w:b/>
                <w:bCs/>
              </w:rPr>
              <w:t>53</w:t>
            </w:r>
            <w:r w:rsidR="00011727" w:rsidRPr="007B60BF">
              <w:rPr>
                <w:b/>
                <w:bCs/>
              </w:rPr>
              <w:t>3.01</w:t>
            </w:r>
            <w:r w:rsidRPr="007B60BF">
              <w:rPr>
                <w:b/>
                <w:bCs/>
              </w:rPr>
              <w:t>7</w:t>
            </w:r>
          </w:p>
        </w:tc>
        <w:tc>
          <w:tcPr>
            <w:tcW w:w="106" w:type="pct"/>
            <w:tcBorders>
              <w:top w:val="nil"/>
              <w:left w:val="nil"/>
              <w:bottom w:val="nil"/>
              <w:right w:val="nil"/>
            </w:tcBorders>
            <w:shd w:val="clear" w:color="000000" w:fill="FFFFFF"/>
            <w:vAlign w:val="center"/>
            <w:hideMark/>
          </w:tcPr>
          <w:p w14:paraId="070232B2" w14:textId="77777777" w:rsidR="007A3DA7" w:rsidRPr="007B60BF" w:rsidRDefault="007A3DA7" w:rsidP="00A93E95">
            <w:pPr>
              <w:jc w:val="right"/>
              <w:rPr>
                <w:b/>
                <w:bCs/>
              </w:rPr>
            </w:pPr>
            <w:r w:rsidRPr="007B60BF">
              <w:rPr>
                <w:b/>
                <w:bCs/>
              </w:rPr>
              <w:t> </w:t>
            </w:r>
          </w:p>
        </w:tc>
        <w:tc>
          <w:tcPr>
            <w:tcW w:w="740" w:type="pct"/>
            <w:tcBorders>
              <w:top w:val="nil"/>
              <w:left w:val="nil"/>
              <w:bottom w:val="single" w:sz="8" w:space="0" w:color="auto"/>
              <w:right w:val="nil"/>
            </w:tcBorders>
            <w:shd w:val="clear" w:color="000000" w:fill="FFFFFF"/>
            <w:vAlign w:val="center"/>
          </w:tcPr>
          <w:p w14:paraId="56A65A08" w14:textId="5BB779DC" w:rsidR="007A3DA7" w:rsidRPr="007B60BF" w:rsidRDefault="007A3DA7" w:rsidP="00A93E95">
            <w:pPr>
              <w:jc w:val="right"/>
              <w:rPr>
                <w:b/>
                <w:bCs/>
              </w:rPr>
            </w:pPr>
            <w:r w:rsidRPr="007B60BF">
              <w:rPr>
                <w:b/>
                <w:bCs/>
              </w:rPr>
              <w:t>480.210</w:t>
            </w:r>
          </w:p>
        </w:tc>
      </w:tr>
      <w:tr w:rsidR="007A3DA7" w:rsidRPr="007B60BF" w14:paraId="3CD5612F" w14:textId="51D9C53C" w:rsidTr="0002633A">
        <w:trPr>
          <w:trHeight w:val="300"/>
          <w:jc w:val="right"/>
        </w:trPr>
        <w:tc>
          <w:tcPr>
            <w:tcW w:w="2982" w:type="pct"/>
            <w:tcBorders>
              <w:top w:val="nil"/>
              <w:left w:val="nil"/>
              <w:bottom w:val="nil"/>
              <w:right w:val="nil"/>
            </w:tcBorders>
            <w:shd w:val="clear" w:color="000000" w:fill="FFFFFF"/>
            <w:noWrap/>
            <w:vAlign w:val="center"/>
            <w:hideMark/>
          </w:tcPr>
          <w:p w14:paraId="333A252A" w14:textId="77777777" w:rsidR="007A3DA7" w:rsidRPr="007B60BF" w:rsidRDefault="007A3DA7" w:rsidP="007A3DA7">
            <w:pPr>
              <w:rPr>
                <w:b/>
                <w:bCs/>
              </w:rPr>
            </w:pPr>
            <w:r w:rsidRPr="007B60BF">
              <w:rPr>
                <w:b/>
                <w:bCs/>
              </w:rPr>
              <w:t>Não Circulante</w:t>
            </w:r>
          </w:p>
        </w:tc>
        <w:tc>
          <w:tcPr>
            <w:tcW w:w="329" w:type="pct"/>
            <w:tcBorders>
              <w:top w:val="nil"/>
              <w:left w:val="nil"/>
              <w:bottom w:val="nil"/>
              <w:right w:val="nil"/>
            </w:tcBorders>
            <w:shd w:val="clear" w:color="000000" w:fill="FFFFFF"/>
            <w:vAlign w:val="center"/>
            <w:hideMark/>
          </w:tcPr>
          <w:p w14:paraId="58B07E0B" w14:textId="380070D6" w:rsidR="007A3DA7" w:rsidRPr="007B60BF" w:rsidRDefault="007A3DA7" w:rsidP="007A3DA7">
            <w:pPr>
              <w:jc w:val="center"/>
              <w:rPr>
                <w:b/>
              </w:rPr>
            </w:pPr>
          </w:p>
        </w:tc>
        <w:tc>
          <w:tcPr>
            <w:tcW w:w="106" w:type="pct"/>
            <w:tcBorders>
              <w:top w:val="nil"/>
              <w:left w:val="nil"/>
              <w:bottom w:val="nil"/>
              <w:right w:val="nil"/>
            </w:tcBorders>
            <w:shd w:val="clear" w:color="000000" w:fill="FFFFFF"/>
            <w:vAlign w:val="center"/>
            <w:hideMark/>
          </w:tcPr>
          <w:p w14:paraId="05E05845"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000000" w:fill="FFFFFF"/>
            <w:vAlign w:val="center"/>
          </w:tcPr>
          <w:p w14:paraId="0AA7149A" w14:textId="71582059" w:rsidR="007A3DA7" w:rsidRPr="007B60BF" w:rsidRDefault="007A3DA7" w:rsidP="00A93E95">
            <w:pPr>
              <w:jc w:val="right"/>
            </w:pPr>
          </w:p>
        </w:tc>
        <w:tc>
          <w:tcPr>
            <w:tcW w:w="106" w:type="pct"/>
            <w:tcBorders>
              <w:top w:val="nil"/>
              <w:left w:val="nil"/>
              <w:bottom w:val="nil"/>
              <w:right w:val="nil"/>
            </w:tcBorders>
            <w:shd w:val="clear" w:color="000000" w:fill="FFFFFF"/>
            <w:vAlign w:val="center"/>
          </w:tcPr>
          <w:p w14:paraId="46CE2100" w14:textId="38DB2C22" w:rsidR="007A3DA7" w:rsidRPr="007B60BF" w:rsidRDefault="007A3DA7" w:rsidP="00A93E95">
            <w:pPr>
              <w:jc w:val="right"/>
            </w:pPr>
          </w:p>
        </w:tc>
        <w:tc>
          <w:tcPr>
            <w:tcW w:w="740" w:type="pct"/>
            <w:tcBorders>
              <w:top w:val="nil"/>
              <w:left w:val="nil"/>
              <w:bottom w:val="nil"/>
              <w:right w:val="nil"/>
            </w:tcBorders>
            <w:shd w:val="clear" w:color="000000" w:fill="FFFFFF"/>
            <w:vAlign w:val="center"/>
          </w:tcPr>
          <w:p w14:paraId="07E04B9C" w14:textId="77777777" w:rsidR="007A3DA7" w:rsidRPr="007B60BF" w:rsidRDefault="007A3DA7" w:rsidP="00A93E95">
            <w:pPr>
              <w:jc w:val="right"/>
            </w:pPr>
          </w:p>
        </w:tc>
      </w:tr>
      <w:tr w:rsidR="007A3DA7" w:rsidRPr="007B60BF" w14:paraId="0483B15C" w14:textId="675E7B7D" w:rsidTr="0002633A">
        <w:trPr>
          <w:trHeight w:val="300"/>
          <w:jc w:val="right"/>
        </w:trPr>
        <w:tc>
          <w:tcPr>
            <w:tcW w:w="2982" w:type="pct"/>
            <w:tcBorders>
              <w:top w:val="nil"/>
              <w:left w:val="nil"/>
              <w:bottom w:val="nil"/>
              <w:right w:val="nil"/>
            </w:tcBorders>
            <w:shd w:val="clear" w:color="000000" w:fill="FFFFFF"/>
            <w:noWrap/>
            <w:vAlign w:val="center"/>
            <w:hideMark/>
          </w:tcPr>
          <w:p w14:paraId="60FE0F2E" w14:textId="77777777" w:rsidR="007A3DA7" w:rsidRPr="007B60BF" w:rsidRDefault="007A3DA7" w:rsidP="007A3DA7">
            <w:r w:rsidRPr="007B60BF">
              <w:t xml:space="preserve">   Exigível a Longo Prazo</w:t>
            </w:r>
          </w:p>
        </w:tc>
        <w:tc>
          <w:tcPr>
            <w:tcW w:w="329" w:type="pct"/>
            <w:tcBorders>
              <w:top w:val="nil"/>
              <w:left w:val="nil"/>
              <w:bottom w:val="nil"/>
              <w:right w:val="nil"/>
            </w:tcBorders>
            <w:shd w:val="clear" w:color="000000" w:fill="FFFFFF"/>
            <w:vAlign w:val="center"/>
            <w:hideMark/>
          </w:tcPr>
          <w:p w14:paraId="0D994004" w14:textId="03F5A015" w:rsidR="007A3DA7" w:rsidRPr="007B60BF" w:rsidRDefault="007A3DA7" w:rsidP="007A3DA7">
            <w:pPr>
              <w:jc w:val="center"/>
              <w:rPr>
                <w:b/>
              </w:rPr>
            </w:pPr>
          </w:p>
        </w:tc>
        <w:tc>
          <w:tcPr>
            <w:tcW w:w="106" w:type="pct"/>
            <w:tcBorders>
              <w:top w:val="nil"/>
              <w:left w:val="nil"/>
              <w:bottom w:val="nil"/>
              <w:right w:val="nil"/>
            </w:tcBorders>
            <w:shd w:val="clear" w:color="000000" w:fill="FFFFFF"/>
            <w:vAlign w:val="center"/>
            <w:hideMark/>
          </w:tcPr>
          <w:p w14:paraId="4B3986EF"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000000" w:fill="FFFFFF"/>
            <w:vAlign w:val="center"/>
          </w:tcPr>
          <w:p w14:paraId="78FA627A" w14:textId="69D9FF92" w:rsidR="007A3DA7" w:rsidRPr="007B60BF" w:rsidRDefault="007A3DA7" w:rsidP="00A93E95">
            <w:pPr>
              <w:jc w:val="right"/>
            </w:pPr>
          </w:p>
        </w:tc>
        <w:tc>
          <w:tcPr>
            <w:tcW w:w="106" w:type="pct"/>
            <w:tcBorders>
              <w:top w:val="nil"/>
              <w:left w:val="nil"/>
              <w:bottom w:val="nil"/>
              <w:right w:val="nil"/>
            </w:tcBorders>
            <w:shd w:val="clear" w:color="000000" w:fill="FFFFFF"/>
            <w:vAlign w:val="center"/>
            <w:hideMark/>
          </w:tcPr>
          <w:p w14:paraId="38A0D27D"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0D047177" w14:textId="77777777" w:rsidR="007A3DA7" w:rsidRPr="007B60BF" w:rsidRDefault="007A3DA7" w:rsidP="00A93E95">
            <w:pPr>
              <w:jc w:val="right"/>
            </w:pPr>
          </w:p>
        </w:tc>
      </w:tr>
      <w:tr w:rsidR="007C141D" w:rsidRPr="007B60BF" w14:paraId="700E782A" w14:textId="6C4BE436" w:rsidTr="0002633A">
        <w:trPr>
          <w:trHeight w:val="300"/>
          <w:jc w:val="right"/>
        </w:trPr>
        <w:tc>
          <w:tcPr>
            <w:tcW w:w="2982" w:type="pct"/>
            <w:tcBorders>
              <w:top w:val="nil"/>
              <w:left w:val="nil"/>
              <w:bottom w:val="nil"/>
              <w:right w:val="nil"/>
            </w:tcBorders>
            <w:shd w:val="clear" w:color="000000" w:fill="FFFFFF"/>
            <w:noWrap/>
            <w:vAlign w:val="center"/>
            <w:hideMark/>
          </w:tcPr>
          <w:p w14:paraId="4B37B6B7" w14:textId="77777777" w:rsidR="007C141D" w:rsidRPr="007B60BF" w:rsidRDefault="007C141D" w:rsidP="007C141D">
            <w:r w:rsidRPr="007B60BF">
              <w:t xml:space="preserve">        Subvenções e Doações para Investimentos </w:t>
            </w:r>
          </w:p>
        </w:tc>
        <w:tc>
          <w:tcPr>
            <w:tcW w:w="329" w:type="pct"/>
            <w:tcBorders>
              <w:top w:val="nil"/>
              <w:left w:val="nil"/>
              <w:bottom w:val="nil"/>
              <w:right w:val="nil"/>
            </w:tcBorders>
            <w:shd w:val="clear" w:color="000000" w:fill="FFFFFF"/>
            <w:vAlign w:val="center"/>
            <w:hideMark/>
          </w:tcPr>
          <w:p w14:paraId="33696F56" w14:textId="010AED0C" w:rsidR="007C141D" w:rsidRPr="007B60BF" w:rsidRDefault="007C141D" w:rsidP="007C141D">
            <w:pPr>
              <w:jc w:val="center"/>
              <w:rPr>
                <w:b/>
                <w:sz w:val="22"/>
                <w:szCs w:val="22"/>
              </w:rPr>
            </w:pPr>
          </w:p>
        </w:tc>
        <w:tc>
          <w:tcPr>
            <w:tcW w:w="106" w:type="pct"/>
            <w:tcBorders>
              <w:top w:val="nil"/>
              <w:left w:val="nil"/>
              <w:bottom w:val="nil"/>
              <w:right w:val="nil"/>
            </w:tcBorders>
            <w:shd w:val="clear" w:color="000000" w:fill="FFFFFF"/>
            <w:vAlign w:val="center"/>
            <w:hideMark/>
          </w:tcPr>
          <w:p w14:paraId="6EE0FC73" w14:textId="77777777" w:rsidR="007C141D" w:rsidRPr="007B60BF" w:rsidRDefault="007C141D" w:rsidP="007C141D">
            <w:pPr>
              <w:jc w:val="center"/>
              <w:rPr>
                <w:b/>
                <w:bCs/>
              </w:rPr>
            </w:pPr>
            <w:r w:rsidRPr="007B60BF">
              <w:rPr>
                <w:b/>
                <w:bCs/>
              </w:rPr>
              <w:t> </w:t>
            </w:r>
          </w:p>
        </w:tc>
        <w:tc>
          <w:tcPr>
            <w:tcW w:w="737" w:type="pct"/>
            <w:tcBorders>
              <w:top w:val="nil"/>
              <w:left w:val="nil"/>
              <w:bottom w:val="nil"/>
              <w:right w:val="nil"/>
            </w:tcBorders>
            <w:shd w:val="clear" w:color="auto" w:fill="auto"/>
            <w:vAlign w:val="center"/>
          </w:tcPr>
          <w:p w14:paraId="4841A92F" w14:textId="304F761C" w:rsidR="007C141D" w:rsidRPr="007B60BF" w:rsidRDefault="007C141D" w:rsidP="007C141D">
            <w:pPr>
              <w:jc w:val="right"/>
            </w:pPr>
            <w:r w:rsidRPr="007B60BF">
              <w:t>47.049</w:t>
            </w:r>
          </w:p>
        </w:tc>
        <w:tc>
          <w:tcPr>
            <w:tcW w:w="106" w:type="pct"/>
            <w:tcBorders>
              <w:top w:val="nil"/>
              <w:left w:val="nil"/>
              <w:bottom w:val="nil"/>
              <w:right w:val="nil"/>
            </w:tcBorders>
            <w:shd w:val="clear" w:color="000000" w:fill="FFFFFF"/>
            <w:vAlign w:val="center"/>
            <w:hideMark/>
          </w:tcPr>
          <w:p w14:paraId="1A044F03" w14:textId="77777777" w:rsidR="007C141D" w:rsidRPr="007B60BF" w:rsidRDefault="007C141D" w:rsidP="007C141D">
            <w:pPr>
              <w:jc w:val="right"/>
            </w:pPr>
            <w:r w:rsidRPr="007B60BF">
              <w:t> </w:t>
            </w:r>
          </w:p>
        </w:tc>
        <w:tc>
          <w:tcPr>
            <w:tcW w:w="740" w:type="pct"/>
            <w:tcBorders>
              <w:top w:val="nil"/>
              <w:left w:val="nil"/>
              <w:bottom w:val="nil"/>
              <w:right w:val="nil"/>
            </w:tcBorders>
            <w:shd w:val="clear" w:color="000000" w:fill="FFFFFF"/>
            <w:vAlign w:val="center"/>
          </w:tcPr>
          <w:p w14:paraId="4B22A065" w14:textId="07CD4648" w:rsidR="007C141D" w:rsidRPr="007B60BF" w:rsidRDefault="007C141D" w:rsidP="007C141D">
            <w:pPr>
              <w:jc w:val="right"/>
            </w:pPr>
            <w:r w:rsidRPr="007B60BF">
              <w:t>23.812</w:t>
            </w:r>
          </w:p>
        </w:tc>
      </w:tr>
      <w:tr w:rsidR="007C141D" w:rsidRPr="007B60BF" w14:paraId="233D3DBA" w14:textId="401DAEF7" w:rsidTr="0002633A">
        <w:trPr>
          <w:trHeight w:val="315"/>
          <w:jc w:val="right"/>
        </w:trPr>
        <w:tc>
          <w:tcPr>
            <w:tcW w:w="2982" w:type="pct"/>
            <w:tcBorders>
              <w:top w:val="nil"/>
              <w:left w:val="nil"/>
              <w:bottom w:val="nil"/>
              <w:right w:val="nil"/>
            </w:tcBorders>
            <w:shd w:val="clear" w:color="000000" w:fill="FFFFFF"/>
            <w:noWrap/>
            <w:vAlign w:val="center"/>
            <w:hideMark/>
          </w:tcPr>
          <w:p w14:paraId="7624CAF5" w14:textId="75DBE7E2" w:rsidR="007C141D" w:rsidRPr="007B60BF" w:rsidRDefault="007C141D" w:rsidP="007C141D">
            <w:r w:rsidRPr="007B60BF">
              <w:t xml:space="preserve">        Contingências Passivas</w:t>
            </w:r>
          </w:p>
        </w:tc>
        <w:tc>
          <w:tcPr>
            <w:tcW w:w="329" w:type="pct"/>
            <w:tcBorders>
              <w:top w:val="nil"/>
              <w:left w:val="nil"/>
              <w:bottom w:val="nil"/>
              <w:right w:val="nil"/>
            </w:tcBorders>
            <w:shd w:val="clear" w:color="000000" w:fill="FFFFFF"/>
            <w:vAlign w:val="center"/>
            <w:hideMark/>
          </w:tcPr>
          <w:p w14:paraId="7C8B01D3" w14:textId="0BC2B71E" w:rsidR="007C141D" w:rsidRPr="007B60BF" w:rsidRDefault="007C141D" w:rsidP="007C141D">
            <w:pPr>
              <w:jc w:val="center"/>
              <w:rPr>
                <w:b/>
                <w:bCs/>
              </w:rPr>
            </w:pPr>
            <w:r w:rsidRPr="007B60BF">
              <w:rPr>
                <w:b/>
                <w:bCs/>
              </w:rPr>
              <w:t>14</w:t>
            </w:r>
          </w:p>
        </w:tc>
        <w:tc>
          <w:tcPr>
            <w:tcW w:w="106" w:type="pct"/>
            <w:tcBorders>
              <w:top w:val="nil"/>
              <w:left w:val="nil"/>
              <w:bottom w:val="nil"/>
              <w:right w:val="nil"/>
            </w:tcBorders>
            <w:shd w:val="clear" w:color="000000" w:fill="FFFFFF"/>
            <w:vAlign w:val="center"/>
            <w:hideMark/>
          </w:tcPr>
          <w:p w14:paraId="7BD20059" w14:textId="77777777" w:rsidR="007C141D" w:rsidRPr="007B60BF" w:rsidRDefault="007C141D" w:rsidP="007C141D">
            <w:pPr>
              <w:jc w:val="center"/>
              <w:rPr>
                <w:b/>
                <w:bCs/>
              </w:rPr>
            </w:pPr>
            <w:r w:rsidRPr="007B60BF">
              <w:rPr>
                <w:b/>
                <w:bCs/>
              </w:rPr>
              <w:t> </w:t>
            </w:r>
          </w:p>
        </w:tc>
        <w:tc>
          <w:tcPr>
            <w:tcW w:w="737" w:type="pct"/>
            <w:tcBorders>
              <w:top w:val="nil"/>
              <w:left w:val="nil"/>
              <w:bottom w:val="single" w:sz="8" w:space="0" w:color="auto"/>
              <w:right w:val="nil"/>
            </w:tcBorders>
            <w:shd w:val="clear" w:color="auto" w:fill="auto"/>
            <w:vAlign w:val="center"/>
          </w:tcPr>
          <w:p w14:paraId="42644A8C" w14:textId="7372DC5F" w:rsidR="007C141D" w:rsidRPr="007B60BF" w:rsidRDefault="007C141D" w:rsidP="007C141D">
            <w:pPr>
              <w:jc w:val="right"/>
            </w:pPr>
            <w:r w:rsidRPr="007B60BF">
              <w:t>854.348</w:t>
            </w:r>
          </w:p>
        </w:tc>
        <w:tc>
          <w:tcPr>
            <w:tcW w:w="106" w:type="pct"/>
            <w:tcBorders>
              <w:top w:val="nil"/>
              <w:left w:val="nil"/>
              <w:bottom w:val="nil"/>
              <w:right w:val="nil"/>
            </w:tcBorders>
            <w:shd w:val="clear" w:color="000000" w:fill="FFFFFF"/>
            <w:vAlign w:val="center"/>
            <w:hideMark/>
          </w:tcPr>
          <w:p w14:paraId="1C8CAC36" w14:textId="77777777" w:rsidR="007C141D" w:rsidRPr="007B60BF" w:rsidRDefault="007C141D" w:rsidP="007C141D">
            <w:pPr>
              <w:jc w:val="right"/>
            </w:pPr>
            <w:r w:rsidRPr="007B60BF">
              <w:t> </w:t>
            </w:r>
          </w:p>
        </w:tc>
        <w:tc>
          <w:tcPr>
            <w:tcW w:w="740" w:type="pct"/>
            <w:tcBorders>
              <w:top w:val="nil"/>
              <w:left w:val="nil"/>
              <w:bottom w:val="single" w:sz="8" w:space="0" w:color="auto"/>
              <w:right w:val="nil"/>
            </w:tcBorders>
            <w:shd w:val="clear" w:color="000000" w:fill="FFFFFF"/>
            <w:vAlign w:val="center"/>
          </w:tcPr>
          <w:p w14:paraId="07AD79FB" w14:textId="552CA1FF" w:rsidR="007C141D" w:rsidRPr="007B60BF" w:rsidRDefault="007C141D" w:rsidP="007C141D">
            <w:pPr>
              <w:jc w:val="right"/>
            </w:pPr>
            <w:r w:rsidRPr="007B60BF">
              <w:t>792.402</w:t>
            </w:r>
          </w:p>
        </w:tc>
      </w:tr>
      <w:tr w:rsidR="007A3DA7" w:rsidRPr="007B60BF" w14:paraId="50ABD6E4" w14:textId="0D1AB931" w:rsidTr="0002633A">
        <w:trPr>
          <w:trHeight w:val="315"/>
          <w:jc w:val="right"/>
        </w:trPr>
        <w:tc>
          <w:tcPr>
            <w:tcW w:w="2982" w:type="pct"/>
            <w:tcBorders>
              <w:top w:val="nil"/>
              <w:left w:val="nil"/>
              <w:bottom w:val="nil"/>
              <w:right w:val="nil"/>
            </w:tcBorders>
            <w:shd w:val="clear" w:color="000000" w:fill="FFFFFF"/>
            <w:noWrap/>
            <w:vAlign w:val="center"/>
            <w:hideMark/>
          </w:tcPr>
          <w:p w14:paraId="7F75C8B5" w14:textId="77777777" w:rsidR="007A3DA7" w:rsidRPr="007B60BF" w:rsidRDefault="007A3DA7" w:rsidP="007A3DA7">
            <w:pPr>
              <w:jc w:val="right"/>
              <w:rPr>
                <w:b/>
              </w:rPr>
            </w:pPr>
            <w:r w:rsidRPr="007B60BF">
              <w:rPr>
                <w:b/>
              </w:rPr>
              <w:t> </w:t>
            </w:r>
          </w:p>
        </w:tc>
        <w:tc>
          <w:tcPr>
            <w:tcW w:w="329" w:type="pct"/>
            <w:tcBorders>
              <w:top w:val="nil"/>
              <w:left w:val="nil"/>
              <w:bottom w:val="nil"/>
              <w:right w:val="nil"/>
            </w:tcBorders>
            <w:shd w:val="clear" w:color="000000" w:fill="FFFFFF"/>
            <w:vAlign w:val="center"/>
            <w:hideMark/>
          </w:tcPr>
          <w:p w14:paraId="64A1B42C" w14:textId="1B34874E" w:rsidR="007A3DA7" w:rsidRPr="007B60BF" w:rsidRDefault="007A3DA7" w:rsidP="007A3DA7">
            <w:pPr>
              <w:jc w:val="center"/>
              <w:rPr>
                <w:b/>
                <w:bCs/>
              </w:rPr>
            </w:pPr>
          </w:p>
        </w:tc>
        <w:tc>
          <w:tcPr>
            <w:tcW w:w="106" w:type="pct"/>
            <w:tcBorders>
              <w:top w:val="nil"/>
              <w:left w:val="nil"/>
              <w:bottom w:val="nil"/>
              <w:right w:val="nil"/>
            </w:tcBorders>
            <w:shd w:val="clear" w:color="000000" w:fill="FFFFFF"/>
            <w:vAlign w:val="center"/>
            <w:hideMark/>
          </w:tcPr>
          <w:p w14:paraId="2A89F5E5" w14:textId="77777777" w:rsidR="007A3DA7" w:rsidRPr="007B60BF" w:rsidRDefault="007A3DA7" w:rsidP="007A3DA7">
            <w:pPr>
              <w:jc w:val="center"/>
              <w:rPr>
                <w:b/>
                <w:bCs/>
              </w:rPr>
            </w:pPr>
            <w:r w:rsidRPr="007B60BF">
              <w:rPr>
                <w:b/>
                <w:bCs/>
              </w:rPr>
              <w:t> </w:t>
            </w:r>
          </w:p>
        </w:tc>
        <w:tc>
          <w:tcPr>
            <w:tcW w:w="737" w:type="pct"/>
            <w:tcBorders>
              <w:top w:val="nil"/>
              <w:left w:val="nil"/>
              <w:bottom w:val="single" w:sz="8" w:space="0" w:color="auto"/>
              <w:right w:val="nil"/>
            </w:tcBorders>
            <w:shd w:val="clear" w:color="auto" w:fill="auto"/>
            <w:vAlign w:val="center"/>
          </w:tcPr>
          <w:p w14:paraId="09AB19FA" w14:textId="67603BB0" w:rsidR="007A3DA7" w:rsidRPr="007B60BF" w:rsidRDefault="00A93E95" w:rsidP="00A93E95">
            <w:pPr>
              <w:jc w:val="right"/>
              <w:rPr>
                <w:b/>
                <w:bCs/>
              </w:rPr>
            </w:pPr>
            <w:r w:rsidRPr="007B60BF">
              <w:rPr>
                <w:b/>
                <w:bCs/>
              </w:rPr>
              <w:t>901.397</w:t>
            </w:r>
          </w:p>
        </w:tc>
        <w:tc>
          <w:tcPr>
            <w:tcW w:w="106" w:type="pct"/>
            <w:tcBorders>
              <w:top w:val="nil"/>
              <w:left w:val="nil"/>
              <w:bottom w:val="nil"/>
              <w:right w:val="nil"/>
            </w:tcBorders>
            <w:shd w:val="clear" w:color="000000" w:fill="FFFFFF"/>
            <w:vAlign w:val="center"/>
            <w:hideMark/>
          </w:tcPr>
          <w:p w14:paraId="04103FC0" w14:textId="77777777" w:rsidR="007A3DA7" w:rsidRPr="007B60BF" w:rsidRDefault="007A3DA7" w:rsidP="00A93E95">
            <w:pPr>
              <w:jc w:val="right"/>
              <w:rPr>
                <w:b/>
                <w:bCs/>
              </w:rPr>
            </w:pPr>
            <w:r w:rsidRPr="007B60BF">
              <w:rPr>
                <w:b/>
                <w:bCs/>
              </w:rPr>
              <w:t> </w:t>
            </w:r>
          </w:p>
        </w:tc>
        <w:tc>
          <w:tcPr>
            <w:tcW w:w="740" w:type="pct"/>
            <w:tcBorders>
              <w:top w:val="nil"/>
              <w:left w:val="nil"/>
              <w:bottom w:val="single" w:sz="8" w:space="0" w:color="auto"/>
              <w:right w:val="nil"/>
            </w:tcBorders>
            <w:shd w:val="clear" w:color="000000" w:fill="FFFFFF"/>
            <w:vAlign w:val="center"/>
          </w:tcPr>
          <w:p w14:paraId="56BEE014" w14:textId="06EA0558" w:rsidR="007A3DA7" w:rsidRPr="007B60BF" w:rsidRDefault="007A3DA7" w:rsidP="00A93E95">
            <w:pPr>
              <w:jc w:val="right"/>
              <w:rPr>
                <w:b/>
                <w:bCs/>
              </w:rPr>
            </w:pPr>
            <w:r w:rsidRPr="007B60BF">
              <w:rPr>
                <w:b/>
                <w:bCs/>
              </w:rPr>
              <w:t>816.214</w:t>
            </w:r>
          </w:p>
        </w:tc>
      </w:tr>
      <w:tr w:rsidR="007A3DA7" w:rsidRPr="007B60BF" w14:paraId="4E1CD2AE" w14:textId="3AAF63EA" w:rsidTr="0002633A">
        <w:trPr>
          <w:trHeight w:val="300"/>
          <w:jc w:val="right"/>
        </w:trPr>
        <w:tc>
          <w:tcPr>
            <w:tcW w:w="2982" w:type="pct"/>
            <w:tcBorders>
              <w:top w:val="nil"/>
              <w:left w:val="nil"/>
              <w:bottom w:val="nil"/>
              <w:right w:val="nil"/>
            </w:tcBorders>
            <w:shd w:val="clear" w:color="000000" w:fill="FFFFFF"/>
            <w:noWrap/>
            <w:vAlign w:val="center"/>
            <w:hideMark/>
          </w:tcPr>
          <w:p w14:paraId="6B5FB960" w14:textId="77777777" w:rsidR="007A3DA7" w:rsidRPr="007B60BF" w:rsidRDefault="007A3DA7" w:rsidP="007A3DA7">
            <w:r w:rsidRPr="007B60BF">
              <w:t> </w:t>
            </w:r>
          </w:p>
        </w:tc>
        <w:tc>
          <w:tcPr>
            <w:tcW w:w="329" w:type="pct"/>
            <w:tcBorders>
              <w:top w:val="nil"/>
              <w:left w:val="nil"/>
              <w:bottom w:val="nil"/>
              <w:right w:val="nil"/>
            </w:tcBorders>
            <w:shd w:val="clear" w:color="000000" w:fill="FFFFFF"/>
            <w:vAlign w:val="center"/>
            <w:hideMark/>
          </w:tcPr>
          <w:p w14:paraId="52577BD4" w14:textId="493779AD" w:rsidR="007A3DA7" w:rsidRPr="007B60BF" w:rsidRDefault="007A3DA7" w:rsidP="007A3DA7">
            <w:pPr>
              <w:jc w:val="center"/>
              <w:rPr>
                <w:b/>
              </w:rPr>
            </w:pPr>
          </w:p>
        </w:tc>
        <w:tc>
          <w:tcPr>
            <w:tcW w:w="106" w:type="pct"/>
            <w:tcBorders>
              <w:top w:val="nil"/>
              <w:left w:val="nil"/>
              <w:bottom w:val="nil"/>
              <w:right w:val="nil"/>
            </w:tcBorders>
            <w:shd w:val="clear" w:color="000000" w:fill="FFFFFF"/>
            <w:vAlign w:val="center"/>
            <w:hideMark/>
          </w:tcPr>
          <w:p w14:paraId="013659D9"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auto" w:fill="auto"/>
            <w:vAlign w:val="center"/>
          </w:tcPr>
          <w:p w14:paraId="1D21878A" w14:textId="77777777" w:rsidR="007A3DA7" w:rsidRPr="007B60BF" w:rsidRDefault="007A3DA7" w:rsidP="00A93E95">
            <w:pPr>
              <w:jc w:val="right"/>
            </w:pPr>
          </w:p>
        </w:tc>
        <w:tc>
          <w:tcPr>
            <w:tcW w:w="106" w:type="pct"/>
            <w:tcBorders>
              <w:top w:val="nil"/>
              <w:left w:val="nil"/>
              <w:bottom w:val="nil"/>
              <w:right w:val="nil"/>
            </w:tcBorders>
            <w:shd w:val="clear" w:color="000000" w:fill="FFFFFF"/>
            <w:vAlign w:val="center"/>
            <w:hideMark/>
          </w:tcPr>
          <w:p w14:paraId="2A598B55"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7573E25E" w14:textId="77777777" w:rsidR="007A3DA7" w:rsidRPr="007B60BF" w:rsidRDefault="007A3DA7" w:rsidP="00A93E95">
            <w:pPr>
              <w:jc w:val="right"/>
            </w:pPr>
          </w:p>
        </w:tc>
      </w:tr>
      <w:tr w:rsidR="007A3DA7" w:rsidRPr="007B60BF" w14:paraId="173CA1D0" w14:textId="657ECFA4" w:rsidTr="0002633A">
        <w:trPr>
          <w:trHeight w:val="300"/>
          <w:jc w:val="right"/>
        </w:trPr>
        <w:tc>
          <w:tcPr>
            <w:tcW w:w="2982" w:type="pct"/>
            <w:tcBorders>
              <w:top w:val="nil"/>
              <w:left w:val="nil"/>
              <w:bottom w:val="nil"/>
              <w:right w:val="nil"/>
            </w:tcBorders>
            <w:shd w:val="clear" w:color="000000" w:fill="FFFFFF"/>
            <w:noWrap/>
            <w:vAlign w:val="center"/>
            <w:hideMark/>
          </w:tcPr>
          <w:p w14:paraId="42CB2C09" w14:textId="77777777" w:rsidR="007A3DA7" w:rsidRPr="007B60BF" w:rsidRDefault="007A3DA7" w:rsidP="007A3DA7">
            <w:pPr>
              <w:rPr>
                <w:b/>
                <w:bCs/>
              </w:rPr>
            </w:pPr>
            <w:r w:rsidRPr="007B60BF">
              <w:rPr>
                <w:b/>
                <w:bCs/>
              </w:rPr>
              <w:t>Patrimônio Líquido</w:t>
            </w:r>
          </w:p>
        </w:tc>
        <w:tc>
          <w:tcPr>
            <w:tcW w:w="329" w:type="pct"/>
            <w:tcBorders>
              <w:top w:val="nil"/>
              <w:left w:val="nil"/>
              <w:bottom w:val="nil"/>
              <w:right w:val="nil"/>
            </w:tcBorders>
            <w:shd w:val="clear" w:color="000000" w:fill="FFFFFF"/>
            <w:vAlign w:val="center"/>
            <w:hideMark/>
          </w:tcPr>
          <w:p w14:paraId="07653269" w14:textId="7043CBFB" w:rsidR="007A3DA7" w:rsidRPr="007B60BF" w:rsidRDefault="007A3DA7" w:rsidP="007A3DA7">
            <w:pPr>
              <w:jc w:val="center"/>
              <w:rPr>
                <w:b/>
              </w:rPr>
            </w:pPr>
          </w:p>
        </w:tc>
        <w:tc>
          <w:tcPr>
            <w:tcW w:w="106" w:type="pct"/>
            <w:tcBorders>
              <w:top w:val="nil"/>
              <w:left w:val="nil"/>
              <w:bottom w:val="nil"/>
              <w:right w:val="nil"/>
            </w:tcBorders>
            <w:shd w:val="clear" w:color="000000" w:fill="FFFFFF"/>
            <w:vAlign w:val="center"/>
            <w:hideMark/>
          </w:tcPr>
          <w:p w14:paraId="504B9127"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000000" w:fill="FFFFFF"/>
            <w:vAlign w:val="center"/>
          </w:tcPr>
          <w:p w14:paraId="7E0C690B" w14:textId="77777777" w:rsidR="007A3DA7" w:rsidRPr="007B60BF" w:rsidRDefault="007A3DA7" w:rsidP="00A93E95">
            <w:pPr>
              <w:jc w:val="right"/>
            </w:pPr>
          </w:p>
        </w:tc>
        <w:tc>
          <w:tcPr>
            <w:tcW w:w="106" w:type="pct"/>
            <w:tcBorders>
              <w:top w:val="nil"/>
              <w:left w:val="nil"/>
              <w:bottom w:val="nil"/>
              <w:right w:val="nil"/>
            </w:tcBorders>
            <w:shd w:val="clear" w:color="000000" w:fill="FFFFFF"/>
            <w:vAlign w:val="center"/>
            <w:hideMark/>
          </w:tcPr>
          <w:p w14:paraId="3D26D012"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5D39BC5F" w14:textId="77777777" w:rsidR="007A3DA7" w:rsidRPr="007B60BF" w:rsidRDefault="007A3DA7" w:rsidP="00A93E95">
            <w:pPr>
              <w:jc w:val="right"/>
            </w:pPr>
          </w:p>
        </w:tc>
      </w:tr>
      <w:tr w:rsidR="00A93E95" w:rsidRPr="007B60BF" w14:paraId="29F5BF7B" w14:textId="466AC60E" w:rsidTr="0002633A">
        <w:trPr>
          <w:trHeight w:val="300"/>
          <w:jc w:val="right"/>
        </w:trPr>
        <w:tc>
          <w:tcPr>
            <w:tcW w:w="2982" w:type="pct"/>
            <w:tcBorders>
              <w:top w:val="nil"/>
              <w:left w:val="nil"/>
              <w:bottom w:val="nil"/>
              <w:right w:val="nil"/>
            </w:tcBorders>
            <w:shd w:val="clear" w:color="000000" w:fill="FFFFFF"/>
            <w:noWrap/>
            <w:vAlign w:val="center"/>
            <w:hideMark/>
          </w:tcPr>
          <w:p w14:paraId="0C1868C8" w14:textId="77777777" w:rsidR="00A93E95" w:rsidRPr="007B60BF" w:rsidRDefault="00A93E95" w:rsidP="00A93E95">
            <w:r w:rsidRPr="007B60BF">
              <w:t xml:space="preserve">   Capital Realizado</w:t>
            </w:r>
          </w:p>
        </w:tc>
        <w:tc>
          <w:tcPr>
            <w:tcW w:w="329" w:type="pct"/>
            <w:tcBorders>
              <w:top w:val="nil"/>
              <w:left w:val="nil"/>
              <w:bottom w:val="nil"/>
              <w:right w:val="nil"/>
            </w:tcBorders>
            <w:shd w:val="clear" w:color="000000" w:fill="FFFFFF"/>
            <w:vAlign w:val="center"/>
            <w:hideMark/>
          </w:tcPr>
          <w:p w14:paraId="1F786752" w14:textId="788422DB" w:rsidR="00A93E95" w:rsidRPr="007B60BF" w:rsidRDefault="00A93E95" w:rsidP="00CA526E">
            <w:pPr>
              <w:jc w:val="center"/>
              <w:rPr>
                <w:b/>
              </w:rPr>
            </w:pPr>
            <w:r w:rsidRPr="007B60BF">
              <w:rPr>
                <w:b/>
              </w:rPr>
              <w:t>1</w:t>
            </w:r>
            <w:r w:rsidR="00CA526E" w:rsidRPr="007B60BF">
              <w:rPr>
                <w:b/>
              </w:rPr>
              <w:t>6</w:t>
            </w:r>
          </w:p>
        </w:tc>
        <w:tc>
          <w:tcPr>
            <w:tcW w:w="106" w:type="pct"/>
            <w:tcBorders>
              <w:top w:val="nil"/>
              <w:left w:val="nil"/>
              <w:bottom w:val="nil"/>
              <w:right w:val="nil"/>
            </w:tcBorders>
            <w:shd w:val="clear" w:color="000000" w:fill="FFFFFF"/>
            <w:vAlign w:val="center"/>
            <w:hideMark/>
          </w:tcPr>
          <w:p w14:paraId="69208423" w14:textId="77777777" w:rsidR="00A93E95" w:rsidRPr="007B60BF" w:rsidRDefault="00A93E95" w:rsidP="00A93E95">
            <w:pPr>
              <w:jc w:val="center"/>
            </w:pPr>
            <w:r w:rsidRPr="007B60BF">
              <w:t> </w:t>
            </w:r>
          </w:p>
        </w:tc>
        <w:tc>
          <w:tcPr>
            <w:tcW w:w="737" w:type="pct"/>
            <w:tcBorders>
              <w:top w:val="nil"/>
              <w:left w:val="nil"/>
              <w:bottom w:val="nil"/>
              <w:right w:val="nil"/>
            </w:tcBorders>
            <w:shd w:val="clear" w:color="auto" w:fill="auto"/>
            <w:vAlign w:val="center"/>
          </w:tcPr>
          <w:p w14:paraId="1F7A1A45" w14:textId="7C66CEC2" w:rsidR="00A93E95" w:rsidRPr="007B60BF" w:rsidRDefault="00A93E95" w:rsidP="00A93E95">
            <w:pPr>
              <w:jc w:val="right"/>
            </w:pPr>
            <w:r w:rsidRPr="007B60BF">
              <w:t xml:space="preserve"> 1.293.468 </w:t>
            </w:r>
          </w:p>
        </w:tc>
        <w:tc>
          <w:tcPr>
            <w:tcW w:w="106" w:type="pct"/>
            <w:tcBorders>
              <w:top w:val="nil"/>
              <w:left w:val="nil"/>
              <w:bottom w:val="nil"/>
              <w:right w:val="nil"/>
            </w:tcBorders>
            <w:shd w:val="clear" w:color="000000" w:fill="FFFFFF"/>
            <w:vAlign w:val="center"/>
            <w:hideMark/>
          </w:tcPr>
          <w:p w14:paraId="2A4E7D98" w14:textId="77777777" w:rsidR="00A93E95" w:rsidRPr="007B60BF" w:rsidRDefault="00A93E95" w:rsidP="00A93E95">
            <w:pPr>
              <w:jc w:val="right"/>
            </w:pPr>
            <w:r w:rsidRPr="007B60BF">
              <w:t> </w:t>
            </w:r>
          </w:p>
        </w:tc>
        <w:tc>
          <w:tcPr>
            <w:tcW w:w="740" w:type="pct"/>
            <w:tcBorders>
              <w:top w:val="nil"/>
              <w:left w:val="nil"/>
              <w:bottom w:val="nil"/>
              <w:right w:val="nil"/>
            </w:tcBorders>
            <w:shd w:val="clear" w:color="000000" w:fill="FFFFFF"/>
            <w:vAlign w:val="center"/>
          </w:tcPr>
          <w:p w14:paraId="11F0CA5E" w14:textId="3A0AE68F" w:rsidR="00A93E95" w:rsidRPr="007B60BF" w:rsidRDefault="00A93E95" w:rsidP="00A93E95">
            <w:pPr>
              <w:jc w:val="right"/>
            </w:pPr>
            <w:r w:rsidRPr="007B60BF">
              <w:t xml:space="preserve"> 1.284.791 </w:t>
            </w:r>
          </w:p>
        </w:tc>
      </w:tr>
      <w:tr w:rsidR="00A93E95" w:rsidRPr="007B60BF" w14:paraId="1BA1DB35" w14:textId="3F253D02" w:rsidTr="0002633A">
        <w:trPr>
          <w:trHeight w:val="300"/>
          <w:jc w:val="right"/>
        </w:trPr>
        <w:tc>
          <w:tcPr>
            <w:tcW w:w="2982" w:type="pct"/>
            <w:tcBorders>
              <w:top w:val="nil"/>
              <w:left w:val="nil"/>
              <w:bottom w:val="nil"/>
              <w:right w:val="nil"/>
            </w:tcBorders>
            <w:shd w:val="clear" w:color="000000" w:fill="FFFFFF"/>
            <w:noWrap/>
            <w:vAlign w:val="center"/>
            <w:hideMark/>
          </w:tcPr>
          <w:p w14:paraId="53BFA527" w14:textId="77777777" w:rsidR="00A93E95" w:rsidRPr="007B60BF" w:rsidRDefault="00A93E95" w:rsidP="00A93E95">
            <w:r w:rsidRPr="007B60BF">
              <w:t xml:space="preserve">   Adiantamento p/Futuro Aumento de Capital</w:t>
            </w:r>
          </w:p>
        </w:tc>
        <w:tc>
          <w:tcPr>
            <w:tcW w:w="329" w:type="pct"/>
            <w:tcBorders>
              <w:top w:val="nil"/>
              <w:left w:val="nil"/>
              <w:bottom w:val="nil"/>
              <w:right w:val="nil"/>
            </w:tcBorders>
            <w:shd w:val="clear" w:color="000000" w:fill="FFFFFF"/>
            <w:vAlign w:val="center"/>
            <w:hideMark/>
          </w:tcPr>
          <w:p w14:paraId="7A2FB057" w14:textId="25B8415E" w:rsidR="00A93E95" w:rsidRPr="007B60BF" w:rsidRDefault="00A93E95" w:rsidP="00A93E95">
            <w:pPr>
              <w:jc w:val="center"/>
              <w:rPr>
                <w:b/>
              </w:rPr>
            </w:pPr>
          </w:p>
        </w:tc>
        <w:tc>
          <w:tcPr>
            <w:tcW w:w="106" w:type="pct"/>
            <w:tcBorders>
              <w:top w:val="nil"/>
              <w:left w:val="nil"/>
              <w:bottom w:val="nil"/>
              <w:right w:val="nil"/>
            </w:tcBorders>
            <w:shd w:val="clear" w:color="000000" w:fill="FFFFFF"/>
            <w:vAlign w:val="center"/>
            <w:hideMark/>
          </w:tcPr>
          <w:p w14:paraId="128CFE62" w14:textId="77777777" w:rsidR="00A93E95" w:rsidRPr="007B60BF" w:rsidRDefault="00A93E95" w:rsidP="00A93E95">
            <w:pPr>
              <w:jc w:val="center"/>
            </w:pPr>
            <w:r w:rsidRPr="007B60BF">
              <w:t> </w:t>
            </w:r>
          </w:p>
        </w:tc>
        <w:tc>
          <w:tcPr>
            <w:tcW w:w="737" w:type="pct"/>
            <w:tcBorders>
              <w:top w:val="nil"/>
              <w:left w:val="nil"/>
              <w:bottom w:val="nil"/>
              <w:right w:val="nil"/>
            </w:tcBorders>
            <w:shd w:val="clear" w:color="auto" w:fill="auto"/>
            <w:vAlign w:val="center"/>
          </w:tcPr>
          <w:p w14:paraId="4607A3FB" w14:textId="4576BD1F" w:rsidR="00A93E95" w:rsidRPr="007B60BF" w:rsidRDefault="00A93E95" w:rsidP="00A452AC">
            <w:pPr>
              <w:jc w:val="right"/>
            </w:pPr>
            <w:r w:rsidRPr="007B60BF">
              <w:t xml:space="preserve"> 24.31</w:t>
            </w:r>
            <w:r w:rsidR="00A452AC" w:rsidRPr="007B60BF">
              <w:t>6</w:t>
            </w:r>
            <w:r w:rsidRPr="007B60BF">
              <w:t xml:space="preserve"> </w:t>
            </w:r>
          </w:p>
        </w:tc>
        <w:tc>
          <w:tcPr>
            <w:tcW w:w="106" w:type="pct"/>
            <w:tcBorders>
              <w:top w:val="nil"/>
              <w:left w:val="nil"/>
              <w:bottom w:val="nil"/>
              <w:right w:val="nil"/>
            </w:tcBorders>
            <w:shd w:val="clear" w:color="000000" w:fill="FFFFFF"/>
            <w:vAlign w:val="center"/>
            <w:hideMark/>
          </w:tcPr>
          <w:p w14:paraId="2E2ABEBC" w14:textId="77777777" w:rsidR="00A93E95" w:rsidRPr="007B60BF" w:rsidRDefault="00A93E95" w:rsidP="00A93E95">
            <w:pPr>
              <w:jc w:val="right"/>
            </w:pPr>
            <w:r w:rsidRPr="007B60BF">
              <w:t> </w:t>
            </w:r>
          </w:p>
        </w:tc>
        <w:tc>
          <w:tcPr>
            <w:tcW w:w="740" w:type="pct"/>
            <w:tcBorders>
              <w:top w:val="nil"/>
              <w:left w:val="nil"/>
              <w:bottom w:val="nil"/>
              <w:right w:val="nil"/>
            </w:tcBorders>
            <w:shd w:val="clear" w:color="000000" w:fill="FFFFFF"/>
            <w:vAlign w:val="center"/>
          </w:tcPr>
          <w:p w14:paraId="7F482665" w14:textId="46D5C8EC" w:rsidR="00A93E95" w:rsidRPr="007B60BF" w:rsidRDefault="00A93E95" w:rsidP="00A93E95">
            <w:pPr>
              <w:jc w:val="right"/>
            </w:pPr>
            <w:r w:rsidRPr="007B60BF">
              <w:t xml:space="preserve"> 8.813 </w:t>
            </w:r>
          </w:p>
        </w:tc>
      </w:tr>
      <w:tr w:rsidR="00A93E95" w:rsidRPr="007B60BF" w14:paraId="2181FBA0" w14:textId="059E8B21" w:rsidTr="0002633A">
        <w:trPr>
          <w:trHeight w:val="300"/>
          <w:jc w:val="right"/>
        </w:trPr>
        <w:tc>
          <w:tcPr>
            <w:tcW w:w="2982" w:type="pct"/>
            <w:tcBorders>
              <w:top w:val="nil"/>
              <w:left w:val="nil"/>
              <w:bottom w:val="nil"/>
              <w:right w:val="nil"/>
            </w:tcBorders>
            <w:shd w:val="clear" w:color="000000" w:fill="FFFFFF"/>
            <w:noWrap/>
            <w:vAlign w:val="center"/>
            <w:hideMark/>
          </w:tcPr>
          <w:p w14:paraId="2B632EF0" w14:textId="77777777" w:rsidR="00A93E95" w:rsidRPr="007B60BF" w:rsidRDefault="00A93E95" w:rsidP="00A93E95">
            <w:r w:rsidRPr="007B60BF">
              <w:t xml:space="preserve">   Ajuste de Avaliação Patrimonial</w:t>
            </w:r>
          </w:p>
        </w:tc>
        <w:tc>
          <w:tcPr>
            <w:tcW w:w="329" w:type="pct"/>
            <w:tcBorders>
              <w:top w:val="nil"/>
              <w:left w:val="nil"/>
              <w:bottom w:val="nil"/>
              <w:right w:val="nil"/>
            </w:tcBorders>
            <w:shd w:val="clear" w:color="000000" w:fill="FFFFFF"/>
            <w:vAlign w:val="center"/>
            <w:hideMark/>
          </w:tcPr>
          <w:p w14:paraId="170C66E3" w14:textId="3F726D43" w:rsidR="00A93E95" w:rsidRPr="007B60BF" w:rsidRDefault="00CA526E" w:rsidP="00A93E95">
            <w:pPr>
              <w:jc w:val="center"/>
              <w:rPr>
                <w:b/>
                <w:bCs/>
              </w:rPr>
            </w:pPr>
            <w:r w:rsidRPr="007B60BF">
              <w:rPr>
                <w:b/>
                <w:bCs/>
              </w:rPr>
              <w:t>16</w:t>
            </w:r>
          </w:p>
        </w:tc>
        <w:tc>
          <w:tcPr>
            <w:tcW w:w="106" w:type="pct"/>
            <w:tcBorders>
              <w:top w:val="nil"/>
              <w:left w:val="nil"/>
              <w:bottom w:val="nil"/>
              <w:right w:val="nil"/>
            </w:tcBorders>
            <w:shd w:val="clear" w:color="000000" w:fill="FFFFFF"/>
            <w:vAlign w:val="center"/>
            <w:hideMark/>
          </w:tcPr>
          <w:p w14:paraId="51D3C0B2" w14:textId="77777777" w:rsidR="00A93E95" w:rsidRPr="007B60BF" w:rsidRDefault="00A93E95" w:rsidP="00A93E95">
            <w:pPr>
              <w:jc w:val="center"/>
            </w:pPr>
            <w:r w:rsidRPr="007B60BF">
              <w:t> </w:t>
            </w:r>
          </w:p>
        </w:tc>
        <w:tc>
          <w:tcPr>
            <w:tcW w:w="737" w:type="pct"/>
            <w:tcBorders>
              <w:top w:val="nil"/>
              <w:left w:val="nil"/>
              <w:bottom w:val="nil"/>
              <w:right w:val="nil"/>
            </w:tcBorders>
            <w:shd w:val="clear" w:color="auto" w:fill="auto"/>
            <w:vAlign w:val="center"/>
          </w:tcPr>
          <w:p w14:paraId="43944947" w14:textId="09749ADD" w:rsidR="00A93E95" w:rsidRPr="007B60BF" w:rsidRDefault="00A93E95" w:rsidP="00A93E95">
            <w:pPr>
              <w:jc w:val="right"/>
            </w:pPr>
            <w:r w:rsidRPr="007B60BF">
              <w:t xml:space="preserve">(20.893) </w:t>
            </w:r>
          </w:p>
        </w:tc>
        <w:tc>
          <w:tcPr>
            <w:tcW w:w="106" w:type="pct"/>
            <w:tcBorders>
              <w:top w:val="nil"/>
              <w:left w:val="nil"/>
              <w:bottom w:val="nil"/>
              <w:right w:val="nil"/>
            </w:tcBorders>
            <w:shd w:val="clear" w:color="000000" w:fill="FFFFFF"/>
            <w:vAlign w:val="center"/>
            <w:hideMark/>
          </w:tcPr>
          <w:p w14:paraId="2ACBEFC0" w14:textId="77777777" w:rsidR="00A93E95" w:rsidRPr="007B60BF" w:rsidRDefault="00A93E95" w:rsidP="00A93E95">
            <w:pPr>
              <w:jc w:val="right"/>
            </w:pPr>
            <w:r w:rsidRPr="007B60BF">
              <w:t> </w:t>
            </w:r>
          </w:p>
        </w:tc>
        <w:tc>
          <w:tcPr>
            <w:tcW w:w="740" w:type="pct"/>
            <w:tcBorders>
              <w:top w:val="nil"/>
              <w:left w:val="nil"/>
              <w:bottom w:val="nil"/>
              <w:right w:val="nil"/>
            </w:tcBorders>
            <w:shd w:val="clear" w:color="000000" w:fill="FFFFFF"/>
            <w:vAlign w:val="center"/>
          </w:tcPr>
          <w:p w14:paraId="3115BCB2" w14:textId="50BCE045" w:rsidR="00A93E95" w:rsidRPr="007B60BF" w:rsidRDefault="00A93E95" w:rsidP="00A93E95">
            <w:pPr>
              <w:jc w:val="right"/>
            </w:pPr>
            <w:r w:rsidRPr="007B60BF">
              <w:t xml:space="preserve">(20.113) </w:t>
            </w:r>
          </w:p>
        </w:tc>
      </w:tr>
      <w:tr w:rsidR="00A93E95" w:rsidRPr="007B60BF" w14:paraId="0FCB5613" w14:textId="136DDF61" w:rsidTr="0002633A">
        <w:trPr>
          <w:trHeight w:val="315"/>
          <w:jc w:val="right"/>
        </w:trPr>
        <w:tc>
          <w:tcPr>
            <w:tcW w:w="2982" w:type="pct"/>
            <w:tcBorders>
              <w:top w:val="nil"/>
              <w:left w:val="nil"/>
              <w:bottom w:val="nil"/>
              <w:right w:val="nil"/>
            </w:tcBorders>
            <w:shd w:val="clear" w:color="000000" w:fill="FFFFFF"/>
            <w:noWrap/>
            <w:vAlign w:val="center"/>
            <w:hideMark/>
          </w:tcPr>
          <w:p w14:paraId="129EE5BF" w14:textId="479EEBC4" w:rsidR="00A93E95" w:rsidRPr="007B60BF" w:rsidRDefault="00A93E95" w:rsidP="00A93E95">
            <w:pPr>
              <w:pStyle w:val="Textodecomentrio"/>
              <w:rPr>
                <w:sz w:val="24"/>
                <w:szCs w:val="24"/>
              </w:rPr>
            </w:pPr>
            <w:r w:rsidRPr="007B60BF">
              <w:t xml:space="preserve">   Prejuízos Acumulados</w:t>
            </w:r>
          </w:p>
        </w:tc>
        <w:tc>
          <w:tcPr>
            <w:tcW w:w="329" w:type="pct"/>
            <w:tcBorders>
              <w:top w:val="nil"/>
              <w:left w:val="nil"/>
              <w:bottom w:val="nil"/>
              <w:right w:val="nil"/>
            </w:tcBorders>
            <w:shd w:val="clear" w:color="000000" w:fill="FFFFFF"/>
            <w:vAlign w:val="center"/>
            <w:hideMark/>
          </w:tcPr>
          <w:p w14:paraId="74E081D6" w14:textId="0F5121FC" w:rsidR="00A93E95" w:rsidRPr="007B60BF" w:rsidRDefault="00A93E95" w:rsidP="00A93E95">
            <w:pPr>
              <w:jc w:val="center"/>
              <w:rPr>
                <w:b/>
              </w:rPr>
            </w:pPr>
          </w:p>
        </w:tc>
        <w:tc>
          <w:tcPr>
            <w:tcW w:w="106" w:type="pct"/>
            <w:tcBorders>
              <w:top w:val="nil"/>
              <w:left w:val="nil"/>
              <w:bottom w:val="nil"/>
              <w:right w:val="nil"/>
            </w:tcBorders>
            <w:shd w:val="clear" w:color="000000" w:fill="FFFFFF"/>
            <w:vAlign w:val="center"/>
            <w:hideMark/>
          </w:tcPr>
          <w:p w14:paraId="63E1EA72" w14:textId="77777777" w:rsidR="00A93E95" w:rsidRPr="007B60BF" w:rsidRDefault="00A93E95" w:rsidP="00A93E95">
            <w:pPr>
              <w:jc w:val="center"/>
            </w:pPr>
            <w:r w:rsidRPr="007B60BF">
              <w:t> </w:t>
            </w:r>
          </w:p>
        </w:tc>
        <w:tc>
          <w:tcPr>
            <w:tcW w:w="737" w:type="pct"/>
            <w:tcBorders>
              <w:top w:val="nil"/>
              <w:left w:val="nil"/>
              <w:bottom w:val="single" w:sz="8" w:space="0" w:color="auto"/>
              <w:right w:val="nil"/>
            </w:tcBorders>
            <w:shd w:val="clear" w:color="auto" w:fill="auto"/>
            <w:vAlign w:val="center"/>
          </w:tcPr>
          <w:p w14:paraId="6CEC136B" w14:textId="131C0085" w:rsidR="00A93E95" w:rsidRPr="007B60BF" w:rsidRDefault="00A93E95" w:rsidP="00A452AC">
            <w:pPr>
              <w:jc w:val="right"/>
            </w:pPr>
            <w:r w:rsidRPr="007B60BF">
              <w:t>(1.352.75</w:t>
            </w:r>
            <w:r w:rsidR="00A452AC" w:rsidRPr="007B60BF">
              <w:t>2</w:t>
            </w:r>
            <w:r w:rsidRPr="007B60BF">
              <w:t xml:space="preserve">) </w:t>
            </w:r>
          </w:p>
        </w:tc>
        <w:tc>
          <w:tcPr>
            <w:tcW w:w="106" w:type="pct"/>
            <w:tcBorders>
              <w:top w:val="nil"/>
              <w:left w:val="nil"/>
              <w:bottom w:val="nil"/>
              <w:right w:val="nil"/>
            </w:tcBorders>
            <w:shd w:val="clear" w:color="000000" w:fill="FFFFFF"/>
            <w:vAlign w:val="center"/>
            <w:hideMark/>
          </w:tcPr>
          <w:p w14:paraId="37B1E150" w14:textId="77777777" w:rsidR="00A93E95" w:rsidRPr="007B60BF" w:rsidRDefault="00A93E95" w:rsidP="00A93E95">
            <w:pPr>
              <w:jc w:val="right"/>
            </w:pPr>
            <w:r w:rsidRPr="007B60BF">
              <w:t> </w:t>
            </w:r>
          </w:p>
        </w:tc>
        <w:tc>
          <w:tcPr>
            <w:tcW w:w="740" w:type="pct"/>
            <w:tcBorders>
              <w:top w:val="nil"/>
              <w:left w:val="nil"/>
              <w:bottom w:val="single" w:sz="8" w:space="0" w:color="auto"/>
              <w:right w:val="nil"/>
            </w:tcBorders>
            <w:shd w:val="clear" w:color="000000" w:fill="FFFFFF"/>
            <w:vAlign w:val="center"/>
          </w:tcPr>
          <w:p w14:paraId="2E7924D7" w14:textId="58C9CD11" w:rsidR="00A93E95" w:rsidRPr="007B60BF" w:rsidRDefault="00A93E95" w:rsidP="00A93E95">
            <w:pPr>
              <w:jc w:val="right"/>
            </w:pPr>
            <w:r w:rsidRPr="007B60BF">
              <w:t xml:space="preserve">(1.262.916) </w:t>
            </w:r>
          </w:p>
        </w:tc>
      </w:tr>
      <w:tr w:rsidR="007A3DA7" w:rsidRPr="007B60BF" w14:paraId="2AC501FD" w14:textId="0605F7E8" w:rsidTr="0002633A">
        <w:trPr>
          <w:trHeight w:val="315"/>
          <w:jc w:val="right"/>
        </w:trPr>
        <w:tc>
          <w:tcPr>
            <w:tcW w:w="2982" w:type="pct"/>
            <w:tcBorders>
              <w:top w:val="nil"/>
              <w:left w:val="nil"/>
              <w:bottom w:val="nil"/>
              <w:right w:val="nil"/>
            </w:tcBorders>
            <w:shd w:val="clear" w:color="000000" w:fill="FFFFFF"/>
            <w:noWrap/>
            <w:vAlign w:val="center"/>
            <w:hideMark/>
          </w:tcPr>
          <w:p w14:paraId="06B1DFD0" w14:textId="77777777" w:rsidR="007A3DA7" w:rsidRPr="007B60BF" w:rsidRDefault="007A3DA7" w:rsidP="007A3DA7">
            <w:pPr>
              <w:jc w:val="right"/>
              <w:rPr>
                <w:b/>
              </w:rPr>
            </w:pPr>
            <w:r w:rsidRPr="007B60BF">
              <w:rPr>
                <w:b/>
              </w:rPr>
              <w:t> </w:t>
            </w:r>
          </w:p>
        </w:tc>
        <w:tc>
          <w:tcPr>
            <w:tcW w:w="329" w:type="pct"/>
            <w:tcBorders>
              <w:top w:val="nil"/>
              <w:left w:val="nil"/>
              <w:bottom w:val="nil"/>
              <w:right w:val="nil"/>
            </w:tcBorders>
            <w:shd w:val="clear" w:color="000000" w:fill="FFFFFF"/>
            <w:vAlign w:val="center"/>
            <w:hideMark/>
          </w:tcPr>
          <w:p w14:paraId="70E3D7EC" w14:textId="0D7E3EA3" w:rsidR="007A3DA7" w:rsidRPr="007B60BF" w:rsidRDefault="007A3DA7" w:rsidP="007A3DA7">
            <w:pPr>
              <w:jc w:val="center"/>
              <w:rPr>
                <w:b/>
                <w:bCs/>
              </w:rPr>
            </w:pPr>
          </w:p>
        </w:tc>
        <w:tc>
          <w:tcPr>
            <w:tcW w:w="106" w:type="pct"/>
            <w:tcBorders>
              <w:top w:val="nil"/>
              <w:left w:val="nil"/>
              <w:bottom w:val="nil"/>
              <w:right w:val="nil"/>
            </w:tcBorders>
            <w:shd w:val="clear" w:color="000000" w:fill="FFFFFF"/>
            <w:vAlign w:val="center"/>
            <w:hideMark/>
          </w:tcPr>
          <w:p w14:paraId="6FDF5CC3" w14:textId="77777777" w:rsidR="007A3DA7" w:rsidRPr="007B60BF" w:rsidRDefault="007A3DA7" w:rsidP="007A3DA7">
            <w:pPr>
              <w:jc w:val="center"/>
              <w:rPr>
                <w:b/>
                <w:bCs/>
              </w:rPr>
            </w:pPr>
            <w:r w:rsidRPr="007B60BF">
              <w:rPr>
                <w:b/>
                <w:bCs/>
              </w:rPr>
              <w:t> </w:t>
            </w:r>
          </w:p>
        </w:tc>
        <w:tc>
          <w:tcPr>
            <w:tcW w:w="737" w:type="pct"/>
            <w:tcBorders>
              <w:top w:val="nil"/>
              <w:left w:val="nil"/>
              <w:bottom w:val="single" w:sz="8" w:space="0" w:color="auto"/>
              <w:right w:val="nil"/>
            </w:tcBorders>
            <w:shd w:val="clear" w:color="auto" w:fill="auto"/>
            <w:vAlign w:val="center"/>
          </w:tcPr>
          <w:p w14:paraId="66F6918F" w14:textId="3FA805F9" w:rsidR="007A3DA7" w:rsidRPr="007B60BF" w:rsidRDefault="00A93E95" w:rsidP="00A93E95">
            <w:pPr>
              <w:jc w:val="right"/>
              <w:rPr>
                <w:b/>
                <w:bCs/>
              </w:rPr>
            </w:pPr>
            <w:r w:rsidRPr="007B60BF">
              <w:rPr>
                <w:b/>
                <w:bCs/>
              </w:rPr>
              <w:t>(55.861)</w:t>
            </w:r>
          </w:p>
        </w:tc>
        <w:tc>
          <w:tcPr>
            <w:tcW w:w="106" w:type="pct"/>
            <w:tcBorders>
              <w:top w:val="nil"/>
              <w:left w:val="nil"/>
              <w:bottom w:val="nil"/>
              <w:right w:val="nil"/>
            </w:tcBorders>
            <w:shd w:val="clear" w:color="000000" w:fill="FFFFFF"/>
            <w:vAlign w:val="center"/>
            <w:hideMark/>
          </w:tcPr>
          <w:p w14:paraId="1C3B0A5F" w14:textId="77777777" w:rsidR="007A3DA7" w:rsidRPr="007B60BF" w:rsidRDefault="007A3DA7" w:rsidP="00A93E95">
            <w:pPr>
              <w:jc w:val="right"/>
              <w:rPr>
                <w:b/>
                <w:bCs/>
              </w:rPr>
            </w:pPr>
            <w:r w:rsidRPr="007B60BF">
              <w:rPr>
                <w:b/>
                <w:bCs/>
              </w:rPr>
              <w:t> </w:t>
            </w:r>
          </w:p>
        </w:tc>
        <w:tc>
          <w:tcPr>
            <w:tcW w:w="740" w:type="pct"/>
            <w:tcBorders>
              <w:top w:val="nil"/>
              <w:left w:val="nil"/>
              <w:bottom w:val="single" w:sz="8" w:space="0" w:color="auto"/>
              <w:right w:val="nil"/>
            </w:tcBorders>
            <w:shd w:val="clear" w:color="000000" w:fill="FFFFFF"/>
            <w:vAlign w:val="center"/>
          </w:tcPr>
          <w:p w14:paraId="72EFF048" w14:textId="5DFEF4D9" w:rsidR="007A3DA7" w:rsidRPr="007B60BF" w:rsidRDefault="007A3DA7" w:rsidP="00A93E95">
            <w:pPr>
              <w:jc w:val="right"/>
              <w:rPr>
                <w:b/>
                <w:bCs/>
              </w:rPr>
            </w:pPr>
            <w:r w:rsidRPr="007B60BF">
              <w:rPr>
                <w:b/>
                <w:bCs/>
              </w:rPr>
              <w:t>10.575</w:t>
            </w:r>
          </w:p>
        </w:tc>
      </w:tr>
      <w:tr w:rsidR="007A3DA7" w:rsidRPr="007B60BF" w14:paraId="65B3D43A" w14:textId="7FE0A24F" w:rsidTr="0002633A">
        <w:trPr>
          <w:trHeight w:val="300"/>
          <w:jc w:val="right"/>
        </w:trPr>
        <w:tc>
          <w:tcPr>
            <w:tcW w:w="2982" w:type="pct"/>
            <w:tcBorders>
              <w:top w:val="nil"/>
              <w:left w:val="nil"/>
              <w:bottom w:val="nil"/>
              <w:right w:val="nil"/>
            </w:tcBorders>
            <w:shd w:val="clear" w:color="000000" w:fill="FFFFFF"/>
            <w:noWrap/>
            <w:vAlign w:val="center"/>
            <w:hideMark/>
          </w:tcPr>
          <w:p w14:paraId="62EA0DF1" w14:textId="77777777" w:rsidR="007A3DA7" w:rsidRPr="007B60BF" w:rsidRDefault="007A3DA7" w:rsidP="007A3DA7">
            <w:r w:rsidRPr="007B60BF">
              <w:t> </w:t>
            </w:r>
          </w:p>
        </w:tc>
        <w:tc>
          <w:tcPr>
            <w:tcW w:w="329" w:type="pct"/>
            <w:tcBorders>
              <w:top w:val="nil"/>
              <w:left w:val="nil"/>
              <w:bottom w:val="nil"/>
              <w:right w:val="nil"/>
            </w:tcBorders>
            <w:shd w:val="clear" w:color="000000" w:fill="FFFFFF"/>
            <w:vAlign w:val="center"/>
            <w:hideMark/>
          </w:tcPr>
          <w:p w14:paraId="4825B7E2" w14:textId="77777777" w:rsidR="007A3DA7" w:rsidRPr="007B60BF" w:rsidRDefault="007A3DA7" w:rsidP="007A3DA7">
            <w:pPr>
              <w:jc w:val="center"/>
            </w:pPr>
            <w:r w:rsidRPr="007B60BF">
              <w:t> </w:t>
            </w:r>
          </w:p>
        </w:tc>
        <w:tc>
          <w:tcPr>
            <w:tcW w:w="106" w:type="pct"/>
            <w:tcBorders>
              <w:top w:val="nil"/>
              <w:left w:val="nil"/>
              <w:bottom w:val="nil"/>
              <w:right w:val="nil"/>
            </w:tcBorders>
            <w:shd w:val="clear" w:color="000000" w:fill="FFFFFF"/>
            <w:vAlign w:val="center"/>
            <w:hideMark/>
          </w:tcPr>
          <w:p w14:paraId="6A0C3111" w14:textId="77777777" w:rsidR="007A3DA7" w:rsidRPr="007B60BF" w:rsidRDefault="007A3DA7" w:rsidP="007A3DA7">
            <w:pPr>
              <w:jc w:val="center"/>
            </w:pPr>
            <w:r w:rsidRPr="007B60BF">
              <w:t> </w:t>
            </w:r>
          </w:p>
        </w:tc>
        <w:tc>
          <w:tcPr>
            <w:tcW w:w="737" w:type="pct"/>
            <w:tcBorders>
              <w:top w:val="nil"/>
              <w:left w:val="nil"/>
              <w:bottom w:val="nil"/>
              <w:right w:val="nil"/>
            </w:tcBorders>
            <w:shd w:val="clear" w:color="000000" w:fill="FFFFFF"/>
            <w:vAlign w:val="center"/>
          </w:tcPr>
          <w:p w14:paraId="70C33C74" w14:textId="77777777" w:rsidR="007A3DA7" w:rsidRPr="007B60BF" w:rsidRDefault="007A3DA7" w:rsidP="00A93E95">
            <w:pPr>
              <w:jc w:val="right"/>
            </w:pPr>
          </w:p>
        </w:tc>
        <w:tc>
          <w:tcPr>
            <w:tcW w:w="106" w:type="pct"/>
            <w:tcBorders>
              <w:top w:val="nil"/>
              <w:left w:val="nil"/>
              <w:bottom w:val="nil"/>
              <w:right w:val="nil"/>
            </w:tcBorders>
            <w:shd w:val="clear" w:color="000000" w:fill="FFFFFF"/>
            <w:vAlign w:val="center"/>
            <w:hideMark/>
          </w:tcPr>
          <w:p w14:paraId="0CF321D5" w14:textId="77777777" w:rsidR="007A3DA7" w:rsidRPr="007B60BF" w:rsidRDefault="007A3DA7" w:rsidP="00A93E95">
            <w:pPr>
              <w:jc w:val="right"/>
            </w:pPr>
            <w:r w:rsidRPr="007B60BF">
              <w:t> </w:t>
            </w:r>
          </w:p>
        </w:tc>
        <w:tc>
          <w:tcPr>
            <w:tcW w:w="740" w:type="pct"/>
            <w:tcBorders>
              <w:top w:val="nil"/>
              <w:left w:val="nil"/>
              <w:bottom w:val="nil"/>
              <w:right w:val="nil"/>
            </w:tcBorders>
            <w:shd w:val="clear" w:color="000000" w:fill="FFFFFF"/>
            <w:vAlign w:val="center"/>
          </w:tcPr>
          <w:p w14:paraId="6D936A10" w14:textId="77777777" w:rsidR="007A3DA7" w:rsidRPr="007B60BF" w:rsidRDefault="007A3DA7" w:rsidP="00A93E95">
            <w:pPr>
              <w:jc w:val="right"/>
            </w:pPr>
          </w:p>
        </w:tc>
      </w:tr>
      <w:tr w:rsidR="007A3DA7" w:rsidRPr="007B60BF" w14:paraId="5B17E232" w14:textId="52B0359B" w:rsidTr="0002633A">
        <w:trPr>
          <w:trHeight w:val="315"/>
          <w:jc w:val="right"/>
        </w:trPr>
        <w:tc>
          <w:tcPr>
            <w:tcW w:w="2982" w:type="pct"/>
            <w:tcBorders>
              <w:top w:val="nil"/>
              <w:left w:val="nil"/>
              <w:bottom w:val="nil"/>
              <w:right w:val="nil"/>
            </w:tcBorders>
            <w:shd w:val="clear" w:color="000000" w:fill="FFFFFF"/>
            <w:noWrap/>
            <w:vAlign w:val="center"/>
            <w:hideMark/>
          </w:tcPr>
          <w:p w14:paraId="3EE19175" w14:textId="5C012157" w:rsidR="007A3DA7" w:rsidRPr="007B60BF" w:rsidRDefault="007A3DA7" w:rsidP="007A3DA7">
            <w:pPr>
              <w:rPr>
                <w:b/>
              </w:rPr>
            </w:pPr>
            <w:r w:rsidRPr="007B60BF">
              <w:rPr>
                <w:b/>
              </w:rPr>
              <w:t xml:space="preserve">  </w:t>
            </w:r>
            <w:r w:rsidRPr="007B60BF">
              <w:rPr>
                <w:b/>
                <w:bCs/>
              </w:rPr>
              <w:t>Total do Passivo e do Patrimônio Líquido</w:t>
            </w:r>
          </w:p>
        </w:tc>
        <w:tc>
          <w:tcPr>
            <w:tcW w:w="329" w:type="pct"/>
            <w:tcBorders>
              <w:top w:val="nil"/>
              <w:left w:val="nil"/>
              <w:bottom w:val="nil"/>
              <w:right w:val="nil"/>
            </w:tcBorders>
            <w:shd w:val="clear" w:color="000000" w:fill="FFFFFF"/>
            <w:vAlign w:val="center"/>
            <w:hideMark/>
          </w:tcPr>
          <w:p w14:paraId="6E960DEB" w14:textId="77777777" w:rsidR="007A3DA7" w:rsidRPr="007B60BF" w:rsidRDefault="007A3DA7" w:rsidP="007A3DA7">
            <w:pPr>
              <w:jc w:val="center"/>
              <w:rPr>
                <w:b/>
                <w:bCs/>
              </w:rPr>
            </w:pPr>
            <w:r w:rsidRPr="007B60BF">
              <w:rPr>
                <w:b/>
                <w:bCs/>
              </w:rPr>
              <w:t> </w:t>
            </w:r>
          </w:p>
        </w:tc>
        <w:tc>
          <w:tcPr>
            <w:tcW w:w="106" w:type="pct"/>
            <w:tcBorders>
              <w:top w:val="nil"/>
              <w:left w:val="nil"/>
              <w:bottom w:val="nil"/>
              <w:right w:val="nil"/>
            </w:tcBorders>
            <w:shd w:val="clear" w:color="000000" w:fill="FFFFFF"/>
            <w:vAlign w:val="center"/>
            <w:hideMark/>
          </w:tcPr>
          <w:p w14:paraId="0DA0D71A" w14:textId="77777777" w:rsidR="007A3DA7" w:rsidRPr="007B60BF" w:rsidRDefault="007A3DA7" w:rsidP="007A3DA7">
            <w:pPr>
              <w:jc w:val="center"/>
              <w:rPr>
                <w:b/>
                <w:bCs/>
              </w:rPr>
            </w:pPr>
            <w:r w:rsidRPr="007B60BF">
              <w:rPr>
                <w:b/>
                <w:bCs/>
              </w:rPr>
              <w:t> </w:t>
            </w:r>
          </w:p>
        </w:tc>
        <w:tc>
          <w:tcPr>
            <w:tcW w:w="737" w:type="pct"/>
            <w:tcBorders>
              <w:top w:val="nil"/>
              <w:left w:val="nil"/>
              <w:bottom w:val="double" w:sz="6" w:space="0" w:color="auto"/>
              <w:right w:val="nil"/>
            </w:tcBorders>
            <w:shd w:val="clear" w:color="auto" w:fill="auto"/>
            <w:vAlign w:val="center"/>
          </w:tcPr>
          <w:p w14:paraId="6E68B51E" w14:textId="3BE191B5" w:rsidR="007A3DA7" w:rsidRPr="007B60BF" w:rsidRDefault="00011727" w:rsidP="00A93E95">
            <w:pPr>
              <w:jc w:val="right"/>
              <w:rPr>
                <w:b/>
                <w:bCs/>
              </w:rPr>
            </w:pPr>
            <w:r w:rsidRPr="007B60BF">
              <w:rPr>
                <w:b/>
                <w:bCs/>
              </w:rPr>
              <w:t>1.378.553</w:t>
            </w:r>
          </w:p>
        </w:tc>
        <w:tc>
          <w:tcPr>
            <w:tcW w:w="106" w:type="pct"/>
            <w:tcBorders>
              <w:top w:val="nil"/>
              <w:left w:val="nil"/>
              <w:bottom w:val="nil"/>
              <w:right w:val="nil"/>
            </w:tcBorders>
            <w:shd w:val="clear" w:color="auto" w:fill="auto"/>
            <w:vAlign w:val="center"/>
            <w:hideMark/>
          </w:tcPr>
          <w:p w14:paraId="41F93456" w14:textId="45E6D6D0" w:rsidR="007A3DA7" w:rsidRPr="007B60BF" w:rsidRDefault="007A3DA7" w:rsidP="00A93E95">
            <w:pPr>
              <w:jc w:val="right"/>
              <w:rPr>
                <w:b/>
                <w:bCs/>
              </w:rPr>
            </w:pPr>
          </w:p>
        </w:tc>
        <w:tc>
          <w:tcPr>
            <w:tcW w:w="740" w:type="pct"/>
            <w:tcBorders>
              <w:top w:val="nil"/>
              <w:left w:val="nil"/>
              <w:bottom w:val="double" w:sz="6" w:space="0" w:color="auto"/>
              <w:right w:val="nil"/>
            </w:tcBorders>
            <w:vAlign w:val="center"/>
          </w:tcPr>
          <w:p w14:paraId="2A73CE1A" w14:textId="4D346C22" w:rsidR="007A3DA7" w:rsidRPr="007B60BF" w:rsidRDefault="007A3DA7" w:rsidP="00A93E95">
            <w:pPr>
              <w:jc w:val="right"/>
              <w:rPr>
                <w:b/>
                <w:bCs/>
              </w:rPr>
            </w:pPr>
            <w:r w:rsidRPr="007B60BF">
              <w:rPr>
                <w:b/>
                <w:bCs/>
              </w:rPr>
              <w:t>1.306.999</w:t>
            </w:r>
          </w:p>
        </w:tc>
      </w:tr>
    </w:tbl>
    <w:p w14:paraId="3E4D700E" w14:textId="77777777" w:rsidR="003B1386" w:rsidRPr="007B60BF" w:rsidRDefault="003B1386" w:rsidP="00C179F4"/>
    <w:p w14:paraId="3BD0A566" w14:textId="77777777" w:rsidR="003B1386" w:rsidRPr="007B60BF" w:rsidRDefault="003B1386" w:rsidP="00C179F4"/>
    <w:p w14:paraId="4E660B80" w14:textId="77777777" w:rsidR="00CD7AFB" w:rsidRPr="007B60BF" w:rsidRDefault="00CD7AFB" w:rsidP="00C179F4"/>
    <w:p w14:paraId="3BD41859" w14:textId="77777777" w:rsidR="007C4F70" w:rsidRPr="007B60BF" w:rsidRDefault="007C4F70" w:rsidP="00606533">
      <w:r w:rsidRPr="007B60BF">
        <w:t>As notas explicativas são parte integrante das demonstrações contábeis.</w:t>
      </w:r>
    </w:p>
    <w:p w14:paraId="52B6E8EB" w14:textId="77777777" w:rsidR="007C4F70" w:rsidRPr="007B60BF" w:rsidRDefault="007C4F70" w:rsidP="00CD7AFB">
      <w:pPr>
        <w:rPr>
          <w:b/>
        </w:rPr>
      </w:pPr>
    </w:p>
    <w:p w14:paraId="78C1CEE9" w14:textId="77777777" w:rsidR="007C4F70" w:rsidRPr="007B60BF" w:rsidRDefault="007C4F70">
      <w:pPr>
        <w:rPr>
          <w:color w:val="FF0000"/>
          <w:sz w:val="16"/>
          <w:szCs w:val="16"/>
        </w:rPr>
      </w:pPr>
      <w:r w:rsidRPr="007B60BF">
        <w:rPr>
          <w:color w:val="FF0000"/>
          <w:sz w:val="16"/>
          <w:szCs w:val="16"/>
        </w:rPr>
        <w:br w:type="page"/>
      </w:r>
    </w:p>
    <w:p w14:paraId="3E2BC2F2" w14:textId="6BF488CD" w:rsidR="007C4F70" w:rsidRPr="007B60BF" w:rsidRDefault="007C4F70" w:rsidP="00DE61D0">
      <w:pPr>
        <w:pStyle w:val="Ttulo1"/>
        <w:ind w:left="-567"/>
        <w:jc w:val="left"/>
      </w:pPr>
      <w:bookmarkStart w:id="12" w:name="_Toc223007844"/>
      <w:r w:rsidRPr="007B60BF">
        <w:lastRenderedPageBreak/>
        <w:t>Demon</w:t>
      </w:r>
      <w:r w:rsidR="008E783E" w:rsidRPr="007B60BF">
        <w:t>straç</w:t>
      </w:r>
      <w:r w:rsidR="006D099A" w:rsidRPr="007B60BF">
        <w:t>ões</w:t>
      </w:r>
      <w:r w:rsidR="008E783E" w:rsidRPr="007B60BF">
        <w:t xml:space="preserve"> do Resultado</w:t>
      </w:r>
      <w:bookmarkEnd w:id="12"/>
    </w:p>
    <w:p w14:paraId="1F311656" w14:textId="77777777" w:rsidR="006346DA" w:rsidRPr="007B60BF" w:rsidRDefault="006346DA" w:rsidP="006346DA"/>
    <w:tbl>
      <w:tblPr>
        <w:tblW w:w="5195" w:type="pct"/>
        <w:tblInd w:w="-567" w:type="dxa"/>
        <w:tblLayout w:type="fixed"/>
        <w:tblCellMar>
          <w:left w:w="70" w:type="dxa"/>
          <w:right w:w="70" w:type="dxa"/>
        </w:tblCellMar>
        <w:tblLook w:val="04A0" w:firstRow="1" w:lastRow="0" w:firstColumn="1" w:lastColumn="0" w:noHBand="0" w:noVBand="1"/>
      </w:tblPr>
      <w:tblGrid>
        <w:gridCol w:w="4823"/>
        <w:gridCol w:w="566"/>
        <w:gridCol w:w="850"/>
        <w:gridCol w:w="1585"/>
        <w:gridCol w:w="160"/>
        <w:gridCol w:w="1442"/>
      </w:tblGrid>
      <w:tr w:rsidR="00301AA7" w:rsidRPr="007B60BF" w14:paraId="0A97DDAD" w14:textId="792283D8" w:rsidTr="00301AA7">
        <w:tc>
          <w:tcPr>
            <w:tcW w:w="2557" w:type="pct"/>
            <w:noWrap/>
            <w:vAlign w:val="bottom"/>
          </w:tcPr>
          <w:p w14:paraId="645C7FB1" w14:textId="77777777" w:rsidR="009173BF" w:rsidRPr="007B60BF" w:rsidRDefault="009173BF" w:rsidP="007749C9">
            <w:pPr>
              <w:rPr>
                <w:b/>
                <w:bCs/>
                <w:color w:val="000000"/>
              </w:rPr>
            </w:pPr>
          </w:p>
        </w:tc>
        <w:tc>
          <w:tcPr>
            <w:tcW w:w="300" w:type="pct"/>
            <w:vAlign w:val="bottom"/>
            <w:hideMark/>
          </w:tcPr>
          <w:p w14:paraId="4B9B8BE8" w14:textId="77777777" w:rsidR="009173BF" w:rsidRPr="007B60BF" w:rsidRDefault="009173BF" w:rsidP="007749C9">
            <w:pPr>
              <w:jc w:val="right"/>
              <w:rPr>
                <w:b/>
                <w:bCs/>
                <w:color w:val="000000"/>
                <w:u w:val="single"/>
              </w:rPr>
            </w:pPr>
            <w:r w:rsidRPr="007B60BF">
              <w:rPr>
                <w:b/>
                <w:bCs/>
                <w:color w:val="000000"/>
                <w:u w:val="single"/>
              </w:rPr>
              <w:t>Nota</w:t>
            </w:r>
          </w:p>
        </w:tc>
        <w:tc>
          <w:tcPr>
            <w:tcW w:w="451" w:type="pct"/>
          </w:tcPr>
          <w:p w14:paraId="29531E9F" w14:textId="77777777" w:rsidR="009173BF" w:rsidRPr="007B60BF" w:rsidRDefault="009173BF" w:rsidP="007749C9">
            <w:pPr>
              <w:ind w:left="172"/>
              <w:jc w:val="center"/>
              <w:rPr>
                <w:b/>
                <w:bCs/>
                <w:color w:val="000000"/>
              </w:rPr>
            </w:pPr>
          </w:p>
        </w:tc>
        <w:tc>
          <w:tcPr>
            <w:tcW w:w="841" w:type="pct"/>
            <w:tcBorders>
              <w:bottom w:val="single" w:sz="4" w:space="0" w:color="auto"/>
            </w:tcBorders>
          </w:tcPr>
          <w:p w14:paraId="2F75B3B7" w14:textId="701C676E" w:rsidR="009173BF" w:rsidRPr="007B60BF" w:rsidRDefault="00F82749" w:rsidP="007749C9">
            <w:pPr>
              <w:jc w:val="right"/>
              <w:rPr>
                <w:b/>
              </w:rPr>
            </w:pPr>
            <w:r w:rsidRPr="007B60BF">
              <w:rPr>
                <w:b/>
              </w:rPr>
              <w:t>31/12/2025</w:t>
            </w:r>
          </w:p>
        </w:tc>
        <w:tc>
          <w:tcPr>
            <w:tcW w:w="85" w:type="pct"/>
          </w:tcPr>
          <w:p w14:paraId="517C4BAC" w14:textId="77777777" w:rsidR="009173BF" w:rsidRPr="007B60BF" w:rsidRDefault="009173BF" w:rsidP="007749C9">
            <w:pPr>
              <w:jc w:val="right"/>
              <w:rPr>
                <w:b/>
              </w:rPr>
            </w:pPr>
          </w:p>
        </w:tc>
        <w:tc>
          <w:tcPr>
            <w:tcW w:w="765" w:type="pct"/>
            <w:noWrap/>
            <w:hideMark/>
          </w:tcPr>
          <w:p w14:paraId="4E1B5BA6" w14:textId="6E6D4B93" w:rsidR="009173BF" w:rsidRPr="007B60BF" w:rsidRDefault="00F82749" w:rsidP="007749C9">
            <w:pPr>
              <w:jc w:val="right"/>
              <w:rPr>
                <w:b/>
              </w:rPr>
            </w:pPr>
            <w:r w:rsidRPr="007B60BF">
              <w:rPr>
                <w:b/>
              </w:rPr>
              <w:t>31/12/2024</w:t>
            </w:r>
          </w:p>
        </w:tc>
      </w:tr>
      <w:tr w:rsidR="00301AA7" w:rsidRPr="007B60BF" w14:paraId="42927714" w14:textId="105BA852" w:rsidTr="00301AA7">
        <w:tc>
          <w:tcPr>
            <w:tcW w:w="2557" w:type="pct"/>
            <w:noWrap/>
            <w:vAlign w:val="bottom"/>
          </w:tcPr>
          <w:p w14:paraId="7F1FFEAD" w14:textId="77777777" w:rsidR="009173BF" w:rsidRPr="007B60BF" w:rsidRDefault="009173BF" w:rsidP="007749C9">
            <w:pPr>
              <w:rPr>
                <w:b/>
                <w:bCs/>
                <w:color w:val="000000"/>
              </w:rPr>
            </w:pPr>
          </w:p>
        </w:tc>
        <w:tc>
          <w:tcPr>
            <w:tcW w:w="300" w:type="pct"/>
            <w:vAlign w:val="bottom"/>
          </w:tcPr>
          <w:p w14:paraId="097A21F8" w14:textId="77777777" w:rsidR="009173BF" w:rsidRPr="007B60BF" w:rsidRDefault="009173BF" w:rsidP="007749C9">
            <w:pPr>
              <w:rPr>
                <w:b/>
                <w:bCs/>
                <w:color w:val="000000"/>
              </w:rPr>
            </w:pPr>
          </w:p>
        </w:tc>
        <w:tc>
          <w:tcPr>
            <w:tcW w:w="451" w:type="pct"/>
          </w:tcPr>
          <w:p w14:paraId="2D75E8F5" w14:textId="77777777" w:rsidR="009173BF" w:rsidRPr="007B60BF" w:rsidRDefault="009173BF" w:rsidP="007749C9">
            <w:pPr>
              <w:rPr>
                <w:b/>
                <w:bCs/>
                <w:color w:val="000000"/>
              </w:rPr>
            </w:pPr>
          </w:p>
        </w:tc>
        <w:tc>
          <w:tcPr>
            <w:tcW w:w="841" w:type="pct"/>
            <w:tcBorders>
              <w:top w:val="single" w:sz="4" w:space="0" w:color="auto"/>
            </w:tcBorders>
            <w:vAlign w:val="bottom"/>
          </w:tcPr>
          <w:p w14:paraId="65A3B2A9" w14:textId="31026663" w:rsidR="009173BF" w:rsidRPr="007B60BF" w:rsidRDefault="009173BF" w:rsidP="007749C9">
            <w:pPr>
              <w:jc w:val="right"/>
            </w:pPr>
          </w:p>
        </w:tc>
        <w:tc>
          <w:tcPr>
            <w:tcW w:w="85" w:type="pct"/>
          </w:tcPr>
          <w:p w14:paraId="5409E9BD" w14:textId="77777777" w:rsidR="009173BF" w:rsidRPr="007B60BF" w:rsidRDefault="009173BF" w:rsidP="007749C9">
            <w:pPr>
              <w:jc w:val="right"/>
            </w:pPr>
          </w:p>
        </w:tc>
        <w:tc>
          <w:tcPr>
            <w:tcW w:w="765" w:type="pct"/>
            <w:tcBorders>
              <w:top w:val="single" w:sz="4" w:space="0" w:color="auto"/>
              <w:left w:val="nil"/>
              <w:bottom w:val="nil"/>
              <w:right w:val="nil"/>
            </w:tcBorders>
            <w:noWrap/>
          </w:tcPr>
          <w:p w14:paraId="69D59A6F" w14:textId="286FD74F" w:rsidR="009173BF" w:rsidRPr="007B60BF" w:rsidRDefault="009173BF" w:rsidP="007749C9">
            <w:pPr>
              <w:jc w:val="right"/>
            </w:pPr>
          </w:p>
        </w:tc>
      </w:tr>
      <w:tr w:rsidR="00301AA7" w:rsidRPr="007B60BF" w14:paraId="2131771A" w14:textId="08A98A72" w:rsidTr="00301AA7">
        <w:tc>
          <w:tcPr>
            <w:tcW w:w="2557" w:type="pct"/>
            <w:noWrap/>
            <w:vAlign w:val="bottom"/>
            <w:hideMark/>
          </w:tcPr>
          <w:p w14:paraId="07EF238B" w14:textId="77777777" w:rsidR="00F37825" w:rsidRPr="007B60BF" w:rsidRDefault="00F37825" w:rsidP="00F37825">
            <w:pPr>
              <w:rPr>
                <w:b/>
                <w:bCs/>
                <w:color w:val="000000"/>
              </w:rPr>
            </w:pPr>
            <w:r w:rsidRPr="007B60BF">
              <w:rPr>
                <w:b/>
                <w:bCs/>
                <w:color w:val="000000"/>
              </w:rPr>
              <w:t>Receita Operacional Bruta</w:t>
            </w:r>
          </w:p>
        </w:tc>
        <w:tc>
          <w:tcPr>
            <w:tcW w:w="300" w:type="pct"/>
            <w:vAlign w:val="bottom"/>
          </w:tcPr>
          <w:p w14:paraId="7C3346D6" w14:textId="24C0C6C8" w:rsidR="00F37825" w:rsidRPr="007B60BF" w:rsidRDefault="00F37825" w:rsidP="00F37825">
            <w:pPr>
              <w:jc w:val="right"/>
              <w:rPr>
                <w:b/>
                <w:bCs/>
                <w:color w:val="000000"/>
              </w:rPr>
            </w:pPr>
          </w:p>
        </w:tc>
        <w:tc>
          <w:tcPr>
            <w:tcW w:w="451" w:type="pct"/>
          </w:tcPr>
          <w:p w14:paraId="56317A8C" w14:textId="77777777" w:rsidR="00F37825" w:rsidRPr="007B60BF" w:rsidRDefault="00F37825" w:rsidP="00F37825">
            <w:pPr>
              <w:jc w:val="right"/>
              <w:rPr>
                <w:b/>
                <w:bCs/>
                <w:color w:val="000000"/>
              </w:rPr>
            </w:pPr>
          </w:p>
        </w:tc>
        <w:tc>
          <w:tcPr>
            <w:tcW w:w="841" w:type="pct"/>
            <w:tcBorders>
              <w:bottom w:val="single" w:sz="4" w:space="0" w:color="auto"/>
            </w:tcBorders>
          </w:tcPr>
          <w:p w14:paraId="3D2A01FA" w14:textId="382B0E5A" w:rsidR="00F37825" w:rsidRPr="007B60BF" w:rsidRDefault="00F37825" w:rsidP="00F37825">
            <w:pPr>
              <w:jc w:val="right"/>
              <w:rPr>
                <w:b/>
              </w:rPr>
            </w:pPr>
            <w:r w:rsidRPr="007B60BF">
              <w:rPr>
                <w:b/>
              </w:rPr>
              <w:t xml:space="preserve"> 382.618 </w:t>
            </w:r>
          </w:p>
        </w:tc>
        <w:tc>
          <w:tcPr>
            <w:tcW w:w="85" w:type="pct"/>
          </w:tcPr>
          <w:p w14:paraId="0F9AB1DC" w14:textId="77777777" w:rsidR="00F37825" w:rsidRPr="007B60BF" w:rsidRDefault="00F37825" w:rsidP="00F37825">
            <w:pPr>
              <w:jc w:val="right"/>
              <w:rPr>
                <w:b/>
              </w:rPr>
            </w:pPr>
          </w:p>
        </w:tc>
        <w:tc>
          <w:tcPr>
            <w:tcW w:w="765" w:type="pct"/>
            <w:tcBorders>
              <w:top w:val="nil"/>
              <w:left w:val="nil"/>
              <w:bottom w:val="single" w:sz="4" w:space="0" w:color="auto"/>
              <w:right w:val="nil"/>
            </w:tcBorders>
            <w:noWrap/>
          </w:tcPr>
          <w:p w14:paraId="4C2777F3" w14:textId="58F4B060" w:rsidR="00F37825" w:rsidRPr="007B60BF" w:rsidRDefault="00F37825" w:rsidP="00F37825">
            <w:pPr>
              <w:jc w:val="right"/>
              <w:rPr>
                <w:b/>
              </w:rPr>
            </w:pPr>
            <w:r w:rsidRPr="007B60BF">
              <w:rPr>
                <w:b/>
              </w:rPr>
              <w:t xml:space="preserve"> 379.338 </w:t>
            </w:r>
          </w:p>
        </w:tc>
      </w:tr>
      <w:tr w:rsidR="00301AA7" w:rsidRPr="007B60BF" w14:paraId="6540EF49" w14:textId="7CDE2A70" w:rsidTr="00301AA7">
        <w:tc>
          <w:tcPr>
            <w:tcW w:w="2557" w:type="pct"/>
            <w:noWrap/>
            <w:vAlign w:val="bottom"/>
            <w:hideMark/>
          </w:tcPr>
          <w:p w14:paraId="01B2E16A" w14:textId="77777777" w:rsidR="00F37825" w:rsidRPr="007B60BF" w:rsidRDefault="00F37825" w:rsidP="00F37825">
            <w:pPr>
              <w:rPr>
                <w:color w:val="000000"/>
              </w:rPr>
            </w:pPr>
            <w:r w:rsidRPr="007B60BF">
              <w:rPr>
                <w:color w:val="000000"/>
              </w:rPr>
              <w:t xml:space="preserve">   Serviços Prestados</w:t>
            </w:r>
          </w:p>
        </w:tc>
        <w:tc>
          <w:tcPr>
            <w:tcW w:w="300" w:type="pct"/>
            <w:vAlign w:val="bottom"/>
          </w:tcPr>
          <w:p w14:paraId="467E3F21" w14:textId="77777777" w:rsidR="00F37825" w:rsidRPr="007B60BF" w:rsidRDefault="00F37825" w:rsidP="00F37825">
            <w:pPr>
              <w:jc w:val="right"/>
              <w:rPr>
                <w:color w:val="000000"/>
              </w:rPr>
            </w:pPr>
          </w:p>
        </w:tc>
        <w:tc>
          <w:tcPr>
            <w:tcW w:w="451" w:type="pct"/>
          </w:tcPr>
          <w:p w14:paraId="7448A17D" w14:textId="77777777" w:rsidR="00F37825" w:rsidRPr="007B60BF" w:rsidRDefault="00F37825" w:rsidP="00F37825">
            <w:pPr>
              <w:jc w:val="right"/>
              <w:rPr>
                <w:color w:val="000000"/>
              </w:rPr>
            </w:pPr>
          </w:p>
        </w:tc>
        <w:tc>
          <w:tcPr>
            <w:tcW w:w="841" w:type="pct"/>
            <w:tcBorders>
              <w:top w:val="single" w:sz="4" w:space="0" w:color="auto"/>
            </w:tcBorders>
          </w:tcPr>
          <w:p w14:paraId="45FAD571" w14:textId="66D251A2" w:rsidR="00F37825" w:rsidRPr="007B60BF" w:rsidRDefault="00F37825" w:rsidP="00F37825">
            <w:pPr>
              <w:jc w:val="right"/>
            </w:pPr>
            <w:r w:rsidRPr="007B60BF">
              <w:t xml:space="preserve"> 382.618 </w:t>
            </w:r>
          </w:p>
        </w:tc>
        <w:tc>
          <w:tcPr>
            <w:tcW w:w="85" w:type="pct"/>
          </w:tcPr>
          <w:p w14:paraId="42DB3342" w14:textId="77777777" w:rsidR="00F37825" w:rsidRPr="007B60BF" w:rsidRDefault="00F37825" w:rsidP="00F37825">
            <w:pPr>
              <w:jc w:val="right"/>
            </w:pPr>
          </w:p>
        </w:tc>
        <w:tc>
          <w:tcPr>
            <w:tcW w:w="765" w:type="pct"/>
            <w:tcBorders>
              <w:top w:val="single" w:sz="4" w:space="0" w:color="auto"/>
              <w:left w:val="nil"/>
              <w:bottom w:val="nil"/>
              <w:right w:val="nil"/>
            </w:tcBorders>
            <w:noWrap/>
          </w:tcPr>
          <w:p w14:paraId="613C66CF" w14:textId="4DE37010" w:rsidR="00F37825" w:rsidRPr="007B60BF" w:rsidRDefault="00F37825" w:rsidP="00F37825">
            <w:pPr>
              <w:jc w:val="right"/>
            </w:pPr>
            <w:r w:rsidRPr="007B60BF">
              <w:t xml:space="preserve"> 379.338 </w:t>
            </w:r>
          </w:p>
        </w:tc>
      </w:tr>
      <w:tr w:rsidR="00301AA7" w:rsidRPr="007B60BF" w14:paraId="1A3012B0" w14:textId="795EA9FF" w:rsidTr="00301AA7">
        <w:tc>
          <w:tcPr>
            <w:tcW w:w="2557" w:type="pct"/>
            <w:noWrap/>
            <w:vAlign w:val="bottom"/>
          </w:tcPr>
          <w:p w14:paraId="0728A66E" w14:textId="77777777" w:rsidR="00F82749" w:rsidRPr="007B60BF" w:rsidRDefault="00F82749" w:rsidP="00F82749">
            <w:pPr>
              <w:rPr>
                <w:b/>
                <w:bCs/>
                <w:color w:val="000000"/>
              </w:rPr>
            </w:pPr>
          </w:p>
        </w:tc>
        <w:tc>
          <w:tcPr>
            <w:tcW w:w="300" w:type="pct"/>
            <w:vAlign w:val="bottom"/>
          </w:tcPr>
          <w:p w14:paraId="3D857472" w14:textId="77777777" w:rsidR="00F82749" w:rsidRPr="007B60BF" w:rsidRDefault="00F82749" w:rsidP="00F82749">
            <w:pPr>
              <w:jc w:val="right"/>
              <w:rPr>
                <w:b/>
                <w:bCs/>
                <w:color w:val="000000"/>
              </w:rPr>
            </w:pPr>
          </w:p>
        </w:tc>
        <w:tc>
          <w:tcPr>
            <w:tcW w:w="451" w:type="pct"/>
          </w:tcPr>
          <w:p w14:paraId="43D112E1" w14:textId="77777777" w:rsidR="00F82749" w:rsidRPr="007B60BF" w:rsidRDefault="00F82749" w:rsidP="00F82749">
            <w:pPr>
              <w:jc w:val="right"/>
              <w:rPr>
                <w:b/>
                <w:bCs/>
                <w:color w:val="000000"/>
              </w:rPr>
            </w:pPr>
          </w:p>
        </w:tc>
        <w:tc>
          <w:tcPr>
            <w:tcW w:w="841" w:type="pct"/>
          </w:tcPr>
          <w:p w14:paraId="2F537939" w14:textId="3FF019C3" w:rsidR="00F82749" w:rsidRPr="007B60BF" w:rsidRDefault="00F82749" w:rsidP="00F82749">
            <w:pPr>
              <w:jc w:val="right"/>
            </w:pPr>
          </w:p>
        </w:tc>
        <w:tc>
          <w:tcPr>
            <w:tcW w:w="85" w:type="pct"/>
          </w:tcPr>
          <w:p w14:paraId="305E568D" w14:textId="77777777" w:rsidR="00F82749" w:rsidRPr="007B60BF" w:rsidRDefault="00F82749" w:rsidP="00F82749">
            <w:pPr>
              <w:jc w:val="right"/>
            </w:pPr>
          </w:p>
        </w:tc>
        <w:tc>
          <w:tcPr>
            <w:tcW w:w="765" w:type="pct"/>
            <w:noWrap/>
          </w:tcPr>
          <w:p w14:paraId="0485C054" w14:textId="6E4A3155" w:rsidR="00F82749" w:rsidRPr="007B60BF" w:rsidRDefault="00F82749" w:rsidP="00F82749">
            <w:pPr>
              <w:jc w:val="right"/>
            </w:pPr>
          </w:p>
        </w:tc>
      </w:tr>
      <w:tr w:rsidR="00301AA7" w:rsidRPr="007B60BF" w14:paraId="1D9F6788" w14:textId="0D305F12" w:rsidTr="00301AA7">
        <w:tc>
          <w:tcPr>
            <w:tcW w:w="2557" w:type="pct"/>
            <w:noWrap/>
            <w:vAlign w:val="bottom"/>
            <w:hideMark/>
          </w:tcPr>
          <w:p w14:paraId="414997F2" w14:textId="77777777" w:rsidR="00F37825" w:rsidRPr="007B60BF" w:rsidRDefault="00F37825" w:rsidP="00F37825">
            <w:pPr>
              <w:rPr>
                <w:b/>
                <w:bCs/>
                <w:color w:val="000000"/>
              </w:rPr>
            </w:pPr>
            <w:r w:rsidRPr="007B60BF">
              <w:rPr>
                <w:b/>
                <w:bCs/>
                <w:color w:val="000000"/>
              </w:rPr>
              <w:t>Deduções Da Receita Bruta</w:t>
            </w:r>
          </w:p>
        </w:tc>
        <w:tc>
          <w:tcPr>
            <w:tcW w:w="300" w:type="pct"/>
            <w:vAlign w:val="bottom"/>
          </w:tcPr>
          <w:p w14:paraId="3F56E69F" w14:textId="77777777" w:rsidR="00F37825" w:rsidRPr="007B60BF" w:rsidRDefault="00F37825" w:rsidP="00F37825">
            <w:pPr>
              <w:jc w:val="right"/>
              <w:rPr>
                <w:b/>
                <w:bCs/>
                <w:color w:val="000000"/>
              </w:rPr>
            </w:pPr>
          </w:p>
        </w:tc>
        <w:tc>
          <w:tcPr>
            <w:tcW w:w="451" w:type="pct"/>
          </w:tcPr>
          <w:p w14:paraId="03DA3516" w14:textId="77777777" w:rsidR="00F37825" w:rsidRPr="007B60BF" w:rsidRDefault="00F37825" w:rsidP="00F37825">
            <w:pPr>
              <w:jc w:val="right"/>
              <w:rPr>
                <w:b/>
                <w:bCs/>
                <w:color w:val="000000"/>
              </w:rPr>
            </w:pPr>
          </w:p>
        </w:tc>
        <w:tc>
          <w:tcPr>
            <w:tcW w:w="841" w:type="pct"/>
            <w:tcBorders>
              <w:bottom w:val="single" w:sz="4" w:space="0" w:color="auto"/>
            </w:tcBorders>
          </w:tcPr>
          <w:p w14:paraId="4878AC2B" w14:textId="7F23960D" w:rsidR="00F37825" w:rsidRPr="007B60BF" w:rsidRDefault="0055131C" w:rsidP="00F37825">
            <w:pPr>
              <w:jc w:val="right"/>
              <w:rPr>
                <w:b/>
              </w:rPr>
            </w:pPr>
            <w:r w:rsidRPr="007B60BF">
              <w:rPr>
                <w:b/>
              </w:rPr>
              <w:t>(</w:t>
            </w:r>
            <w:r w:rsidR="00F37825" w:rsidRPr="007B60BF">
              <w:rPr>
                <w:b/>
              </w:rPr>
              <w:t>3.356</w:t>
            </w:r>
            <w:r w:rsidRPr="007B60BF">
              <w:rPr>
                <w:b/>
              </w:rPr>
              <w:t>)</w:t>
            </w:r>
            <w:r w:rsidR="00F37825" w:rsidRPr="007B60BF">
              <w:rPr>
                <w:b/>
              </w:rPr>
              <w:t xml:space="preserve"> </w:t>
            </w:r>
          </w:p>
        </w:tc>
        <w:tc>
          <w:tcPr>
            <w:tcW w:w="85" w:type="pct"/>
          </w:tcPr>
          <w:p w14:paraId="5871D339" w14:textId="77777777" w:rsidR="00F37825" w:rsidRPr="007B60BF" w:rsidRDefault="00F37825" w:rsidP="00F37825">
            <w:pPr>
              <w:jc w:val="right"/>
              <w:rPr>
                <w:b/>
              </w:rPr>
            </w:pPr>
          </w:p>
        </w:tc>
        <w:tc>
          <w:tcPr>
            <w:tcW w:w="765" w:type="pct"/>
            <w:tcBorders>
              <w:top w:val="nil"/>
              <w:left w:val="nil"/>
              <w:bottom w:val="single" w:sz="4" w:space="0" w:color="auto"/>
              <w:right w:val="nil"/>
            </w:tcBorders>
            <w:noWrap/>
          </w:tcPr>
          <w:p w14:paraId="7B3439EE" w14:textId="57CD82FD" w:rsidR="00F37825" w:rsidRPr="007B60BF" w:rsidRDefault="00F37825" w:rsidP="00F37825">
            <w:pPr>
              <w:jc w:val="right"/>
              <w:rPr>
                <w:b/>
              </w:rPr>
            </w:pPr>
            <w:r w:rsidRPr="007B60BF">
              <w:rPr>
                <w:b/>
              </w:rPr>
              <w:t xml:space="preserve">(4.505) </w:t>
            </w:r>
          </w:p>
        </w:tc>
      </w:tr>
      <w:tr w:rsidR="00301AA7" w:rsidRPr="007B60BF" w14:paraId="7CB73F3B" w14:textId="3BEDB10B" w:rsidTr="00301AA7">
        <w:tc>
          <w:tcPr>
            <w:tcW w:w="2557" w:type="pct"/>
            <w:noWrap/>
            <w:vAlign w:val="bottom"/>
            <w:hideMark/>
          </w:tcPr>
          <w:p w14:paraId="0753A0DB" w14:textId="77777777" w:rsidR="00F37825" w:rsidRPr="007B60BF" w:rsidRDefault="00F37825" w:rsidP="00F37825">
            <w:pPr>
              <w:rPr>
                <w:color w:val="000000"/>
              </w:rPr>
            </w:pPr>
            <w:r w:rsidRPr="007B60BF">
              <w:rPr>
                <w:color w:val="000000"/>
              </w:rPr>
              <w:t xml:space="preserve">   PIS sobre Faturamento</w:t>
            </w:r>
          </w:p>
        </w:tc>
        <w:tc>
          <w:tcPr>
            <w:tcW w:w="300" w:type="pct"/>
            <w:vAlign w:val="bottom"/>
          </w:tcPr>
          <w:p w14:paraId="2E4E99DF" w14:textId="77777777" w:rsidR="00F37825" w:rsidRPr="007B60BF" w:rsidRDefault="00F37825" w:rsidP="00F37825">
            <w:pPr>
              <w:jc w:val="right"/>
              <w:rPr>
                <w:color w:val="000000"/>
              </w:rPr>
            </w:pPr>
          </w:p>
        </w:tc>
        <w:tc>
          <w:tcPr>
            <w:tcW w:w="451" w:type="pct"/>
          </w:tcPr>
          <w:p w14:paraId="1871CF37" w14:textId="77777777" w:rsidR="00F37825" w:rsidRPr="007B60BF" w:rsidRDefault="00F37825" w:rsidP="00F37825">
            <w:pPr>
              <w:jc w:val="right"/>
              <w:rPr>
                <w:color w:val="000000"/>
              </w:rPr>
            </w:pPr>
          </w:p>
        </w:tc>
        <w:tc>
          <w:tcPr>
            <w:tcW w:w="841" w:type="pct"/>
            <w:tcBorders>
              <w:top w:val="single" w:sz="4" w:space="0" w:color="auto"/>
            </w:tcBorders>
          </w:tcPr>
          <w:p w14:paraId="07A5375C" w14:textId="7BD29B03" w:rsidR="00F37825" w:rsidRPr="007B60BF" w:rsidRDefault="0055131C" w:rsidP="00F37825">
            <w:pPr>
              <w:jc w:val="right"/>
            </w:pPr>
            <w:r w:rsidRPr="007B60BF">
              <w:t>(</w:t>
            </w:r>
            <w:r w:rsidR="00F37825" w:rsidRPr="007B60BF">
              <w:t>598</w:t>
            </w:r>
            <w:r w:rsidRPr="007B60BF">
              <w:t>)</w:t>
            </w:r>
            <w:r w:rsidR="00F37825" w:rsidRPr="007B60BF">
              <w:t xml:space="preserve"> </w:t>
            </w:r>
          </w:p>
        </w:tc>
        <w:tc>
          <w:tcPr>
            <w:tcW w:w="85" w:type="pct"/>
          </w:tcPr>
          <w:p w14:paraId="684980BD" w14:textId="77777777" w:rsidR="00F37825" w:rsidRPr="007B60BF" w:rsidRDefault="00F37825" w:rsidP="00F37825">
            <w:pPr>
              <w:jc w:val="right"/>
            </w:pPr>
          </w:p>
        </w:tc>
        <w:tc>
          <w:tcPr>
            <w:tcW w:w="765" w:type="pct"/>
            <w:tcBorders>
              <w:top w:val="single" w:sz="4" w:space="0" w:color="auto"/>
              <w:left w:val="nil"/>
              <w:bottom w:val="nil"/>
              <w:right w:val="nil"/>
            </w:tcBorders>
            <w:noWrap/>
          </w:tcPr>
          <w:p w14:paraId="31CF6736" w14:textId="2F992120" w:rsidR="00F37825" w:rsidRPr="007B60BF" w:rsidRDefault="00F37825" w:rsidP="00F37825">
            <w:pPr>
              <w:jc w:val="right"/>
            </w:pPr>
            <w:r w:rsidRPr="007B60BF">
              <w:t xml:space="preserve">(802) </w:t>
            </w:r>
          </w:p>
        </w:tc>
      </w:tr>
      <w:tr w:rsidR="00301AA7" w:rsidRPr="007B60BF" w14:paraId="19DF2D87" w14:textId="6046A890" w:rsidTr="00301AA7">
        <w:tc>
          <w:tcPr>
            <w:tcW w:w="2557" w:type="pct"/>
            <w:noWrap/>
            <w:vAlign w:val="bottom"/>
            <w:hideMark/>
          </w:tcPr>
          <w:p w14:paraId="1D01B89E" w14:textId="77777777" w:rsidR="00F37825" w:rsidRPr="007B60BF" w:rsidRDefault="00F37825" w:rsidP="00F37825">
            <w:pPr>
              <w:rPr>
                <w:color w:val="000000"/>
              </w:rPr>
            </w:pPr>
            <w:r w:rsidRPr="007B60BF">
              <w:rPr>
                <w:color w:val="000000"/>
              </w:rPr>
              <w:t xml:space="preserve">   COFINS sobre Faturamento</w:t>
            </w:r>
          </w:p>
        </w:tc>
        <w:tc>
          <w:tcPr>
            <w:tcW w:w="300" w:type="pct"/>
            <w:vAlign w:val="bottom"/>
          </w:tcPr>
          <w:p w14:paraId="66143460" w14:textId="77777777" w:rsidR="00F37825" w:rsidRPr="007B60BF" w:rsidRDefault="00F37825" w:rsidP="00F37825">
            <w:pPr>
              <w:jc w:val="right"/>
              <w:rPr>
                <w:color w:val="000000"/>
              </w:rPr>
            </w:pPr>
          </w:p>
        </w:tc>
        <w:tc>
          <w:tcPr>
            <w:tcW w:w="451" w:type="pct"/>
          </w:tcPr>
          <w:p w14:paraId="302A42CF" w14:textId="77777777" w:rsidR="00F37825" w:rsidRPr="007B60BF" w:rsidRDefault="00F37825" w:rsidP="00F37825">
            <w:pPr>
              <w:jc w:val="right"/>
              <w:rPr>
                <w:color w:val="000000"/>
              </w:rPr>
            </w:pPr>
          </w:p>
        </w:tc>
        <w:tc>
          <w:tcPr>
            <w:tcW w:w="841" w:type="pct"/>
          </w:tcPr>
          <w:p w14:paraId="3C174D8F" w14:textId="62EF86B7" w:rsidR="00F37825" w:rsidRPr="007B60BF" w:rsidRDefault="0055131C" w:rsidP="00F37825">
            <w:pPr>
              <w:jc w:val="right"/>
            </w:pPr>
            <w:r w:rsidRPr="007B60BF">
              <w:t>(</w:t>
            </w:r>
            <w:r w:rsidR="00F37825" w:rsidRPr="007B60BF">
              <w:t>2.758</w:t>
            </w:r>
            <w:r w:rsidRPr="007B60BF">
              <w:t>)</w:t>
            </w:r>
            <w:r w:rsidR="00F37825" w:rsidRPr="007B60BF">
              <w:t xml:space="preserve"> </w:t>
            </w:r>
          </w:p>
        </w:tc>
        <w:tc>
          <w:tcPr>
            <w:tcW w:w="85" w:type="pct"/>
          </w:tcPr>
          <w:p w14:paraId="65073B04" w14:textId="77777777" w:rsidR="00F37825" w:rsidRPr="007B60BF" w:rsidRDefault="00F37825" w:rsidP="00F37825">
            <w:pPr>
              <w:jc w:val="right"/>
            </w:pPr>
          </w:p>
        </w:tc>
        <w:tc>
          <w:tcPr>
            <w:tcW w:w="765" w:type="pct"/>
            <w:noWrap/>
          </w:tcPr>
          <w:p w14:paraId="60D9AD6E" w14:textId="1A92186D" w:rsidR="00F37825" w:rsidRPr="007B60BF" w:rsidRDefault="00F37825" w:rsidP="00F37825">
            <w:pPr>
              <w:jc w:val="right"/>
            </w:pPr>
            <w:r w:rsidRPr="007B60BF">
              <w:t xml:space="preserve">(3.703) </w:t>
            </w:r>
          </w:p>
        </w:tc>
      </w:tr>
      <w:tr w:rsidR="00301AA7" w:rsidRPr="007B60BF" w14:paraId="0B07CFAA" w14:textId="017AA025" w:rsidTr="00301AA7">
        <w:tc>
          <w:tcPr>
            <w:tcW w:w="2557" w:type="pct"/>
            <w:noWrap/>
            <w:vAlign w:val="bottom"/>
          </w:tcPr>
          <w:p w14:paraId="109F5A0D" w14:textId="77777777" w:rsidR="00F82749" w:rsidRPr="007B60BF" w:rsidRDefault="00F82749" w:rsidP="00F82749">
            <w:pPr>
              <w:rPr>
                <w:b/>
                <w:color w:val="000000"/>
              </w:rPr>
            </w:pPr>
          </w:p>
        </w:tc>
        <w:tc>
          <w:tcPr>
            <w:tcW w:w="300" w:type="pct"/>
            <w:vAlign w:val="bottom"/>
          </w:tcPr>
          <w:p w14:paraId="4C4E5055" w14:textId="77777777" w:rsidR="00F82749" w:rsidRPr="007B60BF" w:rsidRDefault="00F82749" w:rsidP="00F82749">
            <w:pPr>
              <w:jc w:val="right"/>
              <w:rPr>
                <w:b/>
                <w:bCs/>
                <w:color w:val="000000"/>
              </w:rPr>
            </w:pPr>
          </w:p>
        </w:tc>
        <w:tc>
          <w:tcPr>
            <w:tcW w:w="451" w:type="pct"/>
          </w:tcPr>
          <w:p w14:paraId="736C9BC7" w14:textId="77777777" w:rsidR="00F82749" w:rsidRPr="007B60BF" w:rsidRDefault="00F82749" w:rsidP="00F82749">
            <w:pPr>
              <w:jc w:val="right"/>
              <w:rPr>
                <w:b/>
                <w:bCs/>
                <w:color w:val="000000"/>
              </w:rPr>
            </w:pPr>
          </w:p>
        </w:tc>
        <w:tc>
          <w:tcPr>
            <w:tcW w:w="841" w:type="pct"/>
          </w:tcPr>
          <w:p w14:paraId="20E3B3E6" w14:textId="13267C24" w:rsidR="00F82749" w:rsidRPr="007B60BF" w:rsidRDefault="00F82749" w:rsidP="00F82749">
            <w:pPr>
              <w:jc w:val="right"/>
            </w:pPr>
          </w:p>
        </w:tc>
        <w:tc>
          <w:tcPr>
            <w:tcW w:w="85" w:type="pct"/>
          </w:tcPr>
          <w:p w14:paraId="5A792FEE" w14:textId="77777777" w:rsidR="00F82749" w:rsidRPr="007B60BF" w:rsidRDefault="00F82749" w:rsidP="00F82749">
            <w:pPr>
              <w:jc w:val="right"/>
            </w:pPr>
          </w:p>
        </w:tc>
        <w:tc>
          <w:tcPr>
            <w:tcW w:w="765" w:type="pct"/>
            <w:noWrap/>
          </w:tcPr>
          <w:p w14:paraId="5E5C03BA" w14:textId="61700103" w:rsidR="00F82749" w:rsidRPr="007B60BF" w:rsidRDefault="00F82749" w:rsidP="00F82749">
            <w:pPr>
              <w:jc w:val="right"/>
            </w:pPr>
          </w:p>
        </w:tc>
      </w:tr>
      <w:tr w:rsidR="00301AA7" w:rsidRPr="007B60BF" w14:paraId="5CCE57FC" w14:textId="23522E85" w:rsidTr="00301AA7">
        <w:tc>
          <w:tcPr>
            <w:tcW w:w="2557" w:type="pct"/>
            <w:noWrap/>
            <w:vAlign w:val="bottom"/>
            <w:hideMark/>
          </w:tcPr>
          <w:p w14:paraId="45B65F1C" w14:textId="77777777" w:rsidR="00F82749" w:rsidRPr="007B60BF" w:rsidRDefault="00F82749" w:rsidP="00F82749">
            <w:pPr>
              <w:rPr>
                <w:b/>
                <w:color w:val="000000"/>
              </w:rPr>
            </w:pPr>
            <w:r w:rsidRPr="007B60BF">
              <w:rPr>
                <w:b/>
                <w:color w:val="000000"/>
              </w:rPr>
              <w:t>Receita Operacional Liquida</w:t>
            </w:r>
          </w:p>
        </w:tc>
        <w:tc>
          <w:tcPr>
            <w:tcW w:w="300" w:type="pct"/>
            <w:vAlign w:val="bottom"/>
            <w:hideMark/>
          </w:tcPr>
          <w:p w14:paraId="006B916A" w14:textId="122CBC05" w:rsidR="00F82749" w:rsidRPr="007B60BF" w:rsidRDefault="007D667C" w:rsidP="00F82749">
            <w:pPr>
              <w:jc w:val="right"/>
              <w:rPr>
                <w:b/>
                <w:bCs/>
                <w:color w:val="000000"/>
              </w:rPr>
            </w:pPr>
            <w:r w:rsidRPr="007B60BF">
              <w:rPr>
                <w:b/>
                <w:bCs/>
                <w:color w:val="000000"/>
              </w:rPr>
              <w:t>17</w:t>
            </w:r>
          </w:p>
        </w:tc>
        <w:tc>
          <w:tcPr>
            <w:tcW w:w="451" w:type="pct"/>
          </w:tcPr>
          <w:p w14:paraId="39B633A0" w14:textId="77777777" w:rsidR="00F82749" w:rsidRPr="007B60BF" w:rsidRDefault="00F82749" w:rsidP="00F82749">
            <w:pPr>
              <w:jc w:val="right"/>
              <w:rPr>
                <w:b/>
                <w:bCs/>
                <w:color w:val="000000"/>
              </w:rPr>
            </w:pPr>
          </w:p>
        </w:tc>
        <w:tc>
          <w:tcPr>
            <w:tcW w:w="841" w:type="pct"/>
            <w:tcBorders>
              <w:bottom w:val="single" w:sz="4" w:space="0" w:color="auto"/>
            </w:tcBorders>
          </w:tcPr>
          <w:p w14:paraId="45312837" w14:textId="15572B8F" w:rsidR="00F82749" w:rsidRPr="007B60BF" w:rsidRDefault="00F37825" w:rsidP="00F82749">
            <w:pPr>
              <w:jc w:val="right"/>
              <w:rPr>
                <w:b/>
              </w:rPr>
            </w:pPr>
            <w:r w:rsidRPr="007B60BF">
              <w:rPr>
                <w:b/>
              </w:rPr>
              <w:t>379.262</w:t>
            </w:r>
          </w:p>
        </w:tc>
        <w:tc>
          <w:tcPr>
            <w:tcW w:w="85" w:type="pct"/>
          </w:tcPr>
          <w:p w14:paraId="09E0B028" w14:textId="77777777" w:rsidR="00F82749" w:rsidRPr="007B60BF" w:rsidRDefault="00F82749" w:rsidP="00F82749">
            <w:pPr>
              <w:jc w:val="right"/>
              <w:rPr>
                <w:b/>
              </w:rPr>
            </w:pPr>
          </w:p>
        </w:tc>
        <w:tc>
          <w:tcPr>
            <w:tcW w:w="765" w:type="pct"/>
            <w:tcBorders>
              <w:top w:val="nil"/>
              <w:left w:val="nil"/>
              <w:bottom w:val="single" w:sz="4" w:space="0" w:color="auto"/>
              <w:right w:val="nil"/>
            </w:tcBorders>
            <w:noWrap/>
          </w:tcPr>
          <w:p w14:paraId="581FF387" w14:textId="656A1B8C" w:rsidR="00F82749" w:rsidRPr="007B60BF" w:rsidRDefault="00F82749" w:rsidP="00F82749">
            <w:pPr>
              <w:jc w:val="right"/>
              <w:rPr>
                <w:b/>
              </w:rPr>
            </w:pPr>
            <w:r w:rsidRPr="007B60BF">
              <w:rPr>
                <w:b/>
              </w:rPr>
              <w:t>374.833</w:t>
            </w:r>
          </w:p>
        </w:tc>
      </w:tr>
      <w:tr w:rsidR="00301AA7" w:rsidRPr="007B60BF" w14:paraId="7EE12250" w14:textId="0EA18153" w:rsidTr="00301AA7">
        <w:tc>
          <w:tcPr>
            <w:tcW w:w="2557" w:type="pct"/>
            <w:noWrap/>
            <w:vAlign w:val="bottom"/>
          </w:tcPr>
          <w:p w14:paraId="7312457F" w14:textId="77777777" w:rsidR="00F82749" w:rsidRPr="007B60BF" w:rsidRDefault="00F82749" w:rsidP="00F82749">
            <w:pPr>
              <w:rPr>
                <w:b/>
                <w:color w:val="000000"/>
              </w:rPr>
            </w:pPr>
          </w:p>
        </w:tc>
        <w:tc>
          <w:tcPr>
            <w:tcW w:w="300" w:type="pct"/>
            <w:vAlign w:val="bottom"/>
          </w:tcPr>
          <w:p w14:paraId="1F010902" w14:textId="77777777" w:rsidR="00F82749" w:rsidRPr="007B60BF" w:rsidRDefault="00F82749" w:rsidP="00F82749">
            <w:pPr>
              <w:jc w:val="right"/>
              <w:rPr>
                <w:b/>
                <w:bCs/>
                <w:color w:val="000000"/>
              </w:rPr>
            </w:pPr>
          </w:p>
        </w:tc>
        <w:tc>
          <w:tcPr>
            <w:tcW w:w="451" w:type="pct"/>
          </w:tcPr>
          <w:p w14:paraId="05C34C8D" w14:textId="77777777" w:rsidR="00F82749" w:rsidRPr="007B60BF" w:rsidRDefault="00F82749" w:rsidP="00F82749">
            <w:pPr>
              <w:jc w:val="right"/>
              <w:rPr>
                <w:b/>
                <w:bCs/>
                <w:color w:val="000000"/>
              </w:rPr>
            </w:pPr>
          </w:p>
        </w:tc>
        <w:tc>
          <w:tcPr>
            <w:tcW w:w="841" w:type="pct"/>
            <w:tcBorders>
              <w:top w:val="single" w:sz="4" w:space="0" w:color="auto"/>
            </w:tcBorders>
          </w:tcPr>
          <w:p w14:paraId="2CD43EEC" w14:textId="3544BD63" w:rsidR="00F82749" w:rsidRPr="007B60BF" w:rsidRDefault="00F82749" w:rsidP="00F82749">
            <w:pPr>
              <w:jc w:val="right"/>
              <w:rPr>
                <w:b/>
              </w:rPr>
            </w:pPr>
          </w:p>
        </w:tc>
        <w:tc>
          <w:tcPr>
            <w:tcW w:w="85" w:type="pct"/>
          </w:tcPr>
          <w:p w14:paraId="657EB6E7" w14:textId="77777777" w:rsidR="00F82749" w:rsidRPr="007B60BF" w:rsidRDefault="00F82749" w:rsidP="00F82749">
            <w:pPr>
              <w:jc w:val="right"/>
              <w:rPr>
                <w:b/>
              </w:rPr>
            </w:pPr>
          </w:p>
        </w:tc>
        <w:tc>
          <w:tcPr>
            <w:tcW w:w="765" w:type="pct"/>
            <w:tcBorders>
              <w:top w:val="single" w:sz="4" w:space="0" w:color="auto"/>
              <w:left w:val="nil"/>
              <w:bottom w:val="nil"/>
              <w:right w:val="nil"/>
            </w:tcBorders>
            <w:noWrap/>
          </w:tcPr>
          <w:p w14:paraId="3F501923" w14:textId="0BD2B0C5" w:rsidR="00F82749" w:rsidRPr="007B60BF" w:rsidRDefault="00F82749" w:rsidP="00F82749">
            <w:pPr>
              <w:jc w:val="right"/>
              <w:rPr>
                <w:b/>
              </w:rPr>
            </w:pPr>
          </w:p>
        </w:tc>
      </w:tr>
      <w:tr w:rsidR="00301AA7" w:rsidRPr="007B60BF" w14:paraId="1595E9F9" w14:textId="081C9B88" w:rsidTr="00301AA7">
        <w:tc>
          <w:tcPr>
            <w:tcW w:w="2557" w:type="pct"/>
            <w:noWrap/>
            <w:vAlign w:val="bottom"/>
            <w:hideMark/>
          </w:tcPr>
          <w:p w14:paraId="1DEE45A9" w14:textId="77777777" w:rsidR="00F82749" w:rsidRPr="007B60BF" w:rsidRDefault="00F82749" w:rsidP="00F82749">
            <w:pPr>
              <w:rPr>
                <w:color w:val="000000"/>
              </w:rPr>
            </w:pPr>
            <w:r w:rsidRPr="007B60BF">
              <w:rPr>
                <w:color w:val="000000"/>
              </w:rPr>
              <w:t>Custos Dos Serviços</w:t>
            </w:r>
          </w:p>
        </w:tc>
        <w:tc>
          <w:tcPr>
            <w:tcW w:w="300" w:type="pct"/>
            <w:vAlign w:val="bottom"/>
            <w:hideMark/>
          </w:tcPr>
          <w:p w14:paraId="58F31BC4" w14:textId="6BBDC142" w:rsidR="00F82749" w:rsidRPr="007B60BF" w:rsidRDefault="007D667C" w:rsidP="00F82749">
            <w:pPr>
              <w:jc w:val="right"/>
              <w:rPr>
                <w:b/>
                <w:bCs/>
                <w:color w:val="000000"/>
              </w:rPr>
            </w:pPr>
            <w:r w:rsidRPr="007B60BF">
              <w:rPr>
                <w:b/>
                <w:bCs/>
                <w:color w:val="000000"/>
              </w:rPr>
              <w:t>18</w:t>
            </w:r>
          </w:p>
        </w:tc>
        <w:tc>
          <w:tcPr>
            <w:tcW w:w="451" w:type="pct"/>
          </w:tcPr>
          <w:p w14:paraId="017D10F6" w14:textId="77777777" w:rsidR="00F82749" w:rsidRPr="007B60BF" w:rsidRDefault="00F82749" w:rsidP="00F82749">
            <w:pPr>
              <w:jc w:val="right"/>
              <w:rPr>
                <w:bCs/>
                <w:color w:val="000000"/>
              </w:rPr>
            </w:pPr>
          </w:p>
        </w:tc>
        <w:tc>
          <w:tcPr>
            <w:tcW w:w="841" w:type="pct"/>
          </w:tcPr>
          <w:p w14:paraId="117F1C07" w14:textId="278BABA7" w:rsidR="00F82749" w:rsidRPr="007B60BF" w:rsidRDefault="0055131C" w:rsidP="0055131C">
            <w:pPr>
              <w:jc w:val="right"/>
            </w:pPr>
            <w:r w:rsidRPr="007B60BF">
              <w:t>(</w:t>
            </w:r>
            <w:r w:rsidR="00F37825" w:rsidRPr="007B60BF">
              <w:t>2.078.366</w:t>
            </w:r>
            <w:r w:rsidRPr="007B60BF">
              <w:t>)</w:t>
            </w:r>
          </w:p>
        </w:tc>
        <w:tc>
          <w:tcPr>
            <w:tcW w:w="85" w:type="pct"/>
          </w:tcPr>
          <w:p w14:paraId="5462E56D" w14:textId="77777777" w:rsidR="00F82749" w:rsidRPr="007B60BF" w:rsidRDefault="00F82749" w:rsidP="00F82749">
            <w:pPr>
              <w:jc w:val="right"/>
            </w:pPr>
          </w:p>
        </w:tc>
        <w:tc>
          <w:tcPr>
            <w:tcW w:w="765" w:type="pct"/>
            <w:noWrap/>
          </w:tcPr>
          <w:p w14:paraId="3197549D" w14:textId="1727DBB4" w:rsidR="00F82749" w:rsidRPr="007B60BF" w:rsidRDefault="00F82749" w:rsidP="00F82749">
            <w:pPr>
              <w:jc w:val="right"/>
            </w:pPr>
            <w:r w:rsidRPr="007B60BF">
              <w:t>(1.877.463)</w:t>
            </w:r>
          </w:p>
        </w:tc>
      </w:tr>
      <w:tr w:rsidR="00301AA7" w:rsidRPr="007B60BF" w14:paraId="6E6E214C" w14:textId="4304747A" w:rsidTr="00301AA7">
        <w:tc>
          <w:tcPr>
            <w:tcW w:w="2557" w:type="pct"/>
            <w:noWrap/>
            <w:vAlign w:val="bottom"/>
          </w:tcPr>
          <w:p w14:paraId="333DAE41" w14:textId="77777777" w:rsidR="00F82749" w:rsidRPr="007B60BF" w:rsidRDefault="00F82749" w:rsidP="00F82749">
            <w:pPr>
              <w:rPr>
                <w:b/>
                <w:color w:val="000000"/>
              </w:rPr>
            </w:pPr>
          </w:p>
        </w:tc>
        <w:tc>
          <w:tcPr>
            <w:tcW w:w="300" w:type="pct"/>
            <w:vAlign w:val="bottom"/>
          </w:tcPr>
          <w:p w14:paraId="6052C150" w14:textId="77777777" w:rsidR="00F82749" w:rsidRPr="007B60BF" w:rsidRDefault="00F82749" w:rsidP="00F82749">
            <w:pPr>
              <w:jc w:val="right"/>
              <w:rPr>
                <w:b/>
                <w:bCs/>
                <w:color w:val="000000"/>
              </w:rPr>
            </w:pPr>
          </w:p>
        </w:tc>
        <w:tc>
          <w:tcPr>
            <w:tcW w:w="451" w:type="pct"/>
          </w:tcPr>
          <w:p w14:paraId="61CF01C3" w14:textId="77777777" w:rsidR="00F82749" w:rsidRPr="007B60BF" w:rsidRDefault="00F82749" w:rsidP="00F82749">
            <w:pPr>
              <w:jc w:val="right"/>
              <w:rPr>
                <w:b/>
                <w:bCs/>
                <w:color w:val="000000"/>
              </w:rPr>
            </w:pPr>
          </w:p>
        </w:tc>
        <w:tc>
          <w:tcPr>
            <w:tcW w:w="841" w:type="pct"/>
          </w:tcPr>
          <w:p w14:paraId="6846276B" w14:textId="7DE4E808" w:rsidR="00F82749" w:rsidRPr="007B60BF" w:rsidRDefault="00F82749" w:rsidP="0055131C">
            <w:pPr>
              <w:jc w:val="right"/>
              <w:rPr>
                <w:b/>
              </w:rPr>
            </w:pPr>
          </w:p>
        </w:tc>
        <w:tc>
          <w:tcPr>
            <w:tcW w:w="85" w:type="pct"/>
          </w:tcPr>
          <w:p w14:paraId="66632DED" w14:textId="77777777" w:rsidR="00F82749" w:rsidRPr="007B60BF" w:rsidRDefault="00F82749" w:rsidP="00F82749">
            <w:pPr>
              <w:jc w:val="right"/>
              <w:rPr>
                <w:b/>
              </w:rPr>
            </w:pPr>
          </w:p>
        </w:tc>
        <w:tc>
          <w:tcPr>
            <w:tcW w:w="765" w:type="pct"/>
            <w:noWrap/>
          </w:tcPr>
          <w:p w14:paraId="6E026F20" w14:textId="710858DE" w:rsidR="00F82749" w:rsidRPr="007B60BF" w:rsidRDefault="00F82749" w:rsidP="00F82749">
            <w:pPr>
              <w:jc w:val="right"/>
              <w:rPr>
                <w:b/>
              </w:rPr>
            </w:pPr>
          </w:p>
        </w:tc>
      </w:tr>
      <w:tr w:rsidR="00301AA7" w:rsidRPr="007B60BF" w14:paraId="43954BF0" w14:textId="4857B641" w:rsidTr="00301AA7">
        <w:tc>
          <w:tcPr>
            <w:tcW w:w="2557" w:type="pct"/>
            <w:noWrap/>
            <w:vAlign w:val="bottom"/>
            <w:hideMark/>
          </w:tcPr>
          <w:p w14:paraId="1200586C" w14:textId="77777777" w:rsidR="00F82749" w:rsidRPr="007B60BF" w:rsidRDefault="00F82749" w:rsidP="00F82749">
            <w:pPr>
              <w:rPr>
                <w:b/>
                <w:color w:val="000000"/>
              </w:rPr>
            </w:pPr>
            <w:r w:rsidRPr="007B60BF">
              <w:rPr>
                <w:b/>
                <w:color w:val="000000"/>
              </w:rPr>
              <w:t>Resultado Operacional Bruto</w:t>
            </w:r>
          </w:p>
        </w:tc>
        <w:tc>
          <w:tcPr>
            <w:tcW w:w="300" w:type="pct"/>
            <w:vAlign w:val="bottom"/>
          </w:tcPr>
          <w:p w14:paraId="324CEBCC" w14:textId="77777777" w:rsidR="00F82749" w:rsidRPr="007B60BF" w:rsidRDefault="00F82749" w:rsidP="00F82749">
            <w:pPr>
              <w:jc w:val="right"/>
              <w:rPr>
                <w:b/>
                <w:bCs/>
                <w:color w:val="000000"/>
              </w:rPr>
            </w:pPr>
          </w:p>
        </w:tc>
        <w:tc>
          <w:tcPr>
            <w:tcW w:w="451" w:type="pct"/>
          </w:tcPr>
          <w:p w14:paraId="4BFEAC4D" w14:textId="77777777" w:rsidR="00F82749" w:rsidRPr="007B60BF" w:rsidRDefault="00F82749" w:rsidP="00F82749">
            <w:pPr>
              <w:jc w:val="right"/>
              <w:rPr>
                <w:b/>
                <w:bCs/>
                <w:color w:val="000000"/>
              </w:rPr>
            </w:pPr>
          </w:p>
        </w:tc>
        <w:tc>
          <w:tcPr>
            <w:tcW w:w="841" w:type="pct"/>
            <w:tcBorders>
              <w:bottom w:val="single" w:sz="4" w:space="0" w:color="auto"/>
            </w:tcBorders>
          </w:tcPr>
          <w:p w14:paraId="5DC98BC2" w14:textId="15F59F31" w:rsidR="00F82749" w:rsidRPr="007B60BF" w:rsidRDefault="0055131C" w:rsidP="0055131C">
            <w:pPr>
              <w:jc w:val="right"/>
              <w:rPr>
                <w:b/>
              </w:rPr>
            </w:pPr>
            <w:r w:rsidRPr="007B60BF">
              <w:rPr>
                <w:b/>
              </w:rPr>
              <w:t>(</w:t>
            </w:r>
            <w:r w:rsidR="00F37825" w:rsidRPr="007B60BF">
              <w:rPr>
                <w:b/>
              </w:rPr>
              <w:t>1.699.104</w:t>
            </w:r>
            <w:r w:rsidRPr="007B60BF">
              <w:rPr>
                <w:b/>
              </w:rPr>
              <w:t>)</w:t>
            </w:r>
          </w:p>
        </w:tc>
        <w:tc>
          <w:tcPr>
            <w:tcW w:w="85" w:type="pct"/>
          </w:tcPr>
          <w:p w14:paraId="18036759" w14:textId="77777777" w:rsidR="00F82749" w:rsidRPr="007B60BF" w:rsidRDefault="00F82749" w:rsidP="00F82749">
            <w:pPr>
              <w:jc w:val="right"/>
              <w:rPr>
                <w:b/>
              </w:rPr>
            </w:pPr>
          </w:p>
        </w:tc>
        <w:tc>
          <w:tcPr>
            <w:tcW w:w="765" w:type="pct"/>
            <w:tcBorders>
              <w:top w:val="nil"/>
              <w:left w:val="nil"/>
              <w:bottom w:val="single" w:sz="4" w:space="0" w:color="auto"/>
              <w:right w:val="nil"/>
            </w:tcBorders>
            <w:noWrap/>
          </w:tcPr>
          <w:p w14:paraId="2EEC8ACB" w14:textId="5C084618" w:rsidR="00F82749" w:rsidRPr="007B60BF" w:rsidRDefault="00F82749" w:rsidP="00F82749">
            <w:pPr>
              <w:jc w:val="right"/>
              <w:rPr>
                <w:b/>
              </w:rPr>
            </w:pPr>
            <w:r w:rsidRPr="007B60BF">
              <w:rPr>
                <w:b/>
              </w:rPr>
              <w:t>(1.502.630)</w:t>
            </w:r>
          </w:p>
        </w:tc>
      </w:tr>
      <w:tr w:rsidR="00301AA7" w:rsidRPr="007B60BF" w14:paraId="3E46C4E2" w14:textId="7FEC4334" w:rsidTr="00301AA7">
        <w:tc>
          <w:tcPr>
            <w:tcW w:w="2557" w:type="pct"/>
            <w:noWrap/>
            <w:vAlign w:val="bottom"/>
          </w:tcPr>
          <w:p w14:paraId="518F06E2" w14:textId="77777777" w:rsidR="00F82749" w:rsidRPr="007B60BF" w:rsidRDefault="00F82749" w:rsidP="00F82749">
            <w:pPr>
              <w:rPr>
                <w:b/>
                <w:bCs/>
                <w:color w:val="000000"/>
              </w:rPr>
            </w:pPr>
          </w:p>
        </w:tc>
        <w:tc>
          <w:tcPr>
            <w:tcW w:w="300" w:type="pct"/>
            <w:vAlign w:val="bottom"/>
          </w:tcPr>
          <w:p w14:paraId="7707FDFD" w14:textId="77777777" w:rsidR="00F82749" w:rsidRPr="007B60BF" w:rsidRDefault="00F82749" w:rsidP="00F82749">
            <w:pPr>
              <w:jc w:val="right"/>
              <w:rPr>
                <w:b/>
                <w:bCs/>
                <w:color w:val="000000"/>
              </w:rPr>
            </w:pPr>
          </w:p>
        </w:tc>
        <w:tc>
          <w:tcPr>
            <w:tcW w:w="451" w:type="pct"/>
          </w:tcPr>
          <w:p w14:paraId="08A7D6B6" w14:textId="77777777" w:rsidR="00F82749" w:rsidRPr="007B60BF" w:rsidRDefault="00F82749" w:rsidP="00F82749">
            <w:pPr>
              <w:jc w:val="right"/>
              <w:rPr>
                <w:b/>
                <w:bCs/>
                <w:color w:val="000000"/>
              </w:rPr>
            </w:pPr>
          </w:p>
        </w:tc>
        <w:tc>
          <w:tcPr>
            <w:tcW w:w="841" w:type="pct"/>
            <w:tcBorders>
              <w:top w:val="single" w:sz="4" w:space="0" w:color="auto"/>
            </w:tcBorders>
          </w:tcPr>
          <w:p w14:paraId="0899B045" w14:textId="3266F866" w:rsidR="00F82749" w:rsidRPr="007B60BF" w:rsidRDefault="00F82749" w:rsidP="0055131C">
            <w:pPr>
              <w:jc w:val="right"/>
            </w:pPr>
          </w:p>
        </w:tc>
        <w:tc>
          <w:tcPr>
            <w:tcW w:w="85" w:type="pct"/>
          </w:tcPr>
          <w:p w14:paraId="0B0C0170" w14:textId="77777777" w:rsidR="00F82749" w:rsidRPr="007B60BF" w:rsidRDefault="00F82749" w:rsidP="00F82749">
            <w:pPr>
              <w:jc w:val="right"/>
            </w:pPr>
          </w:p>
        </w:tc>
        <w:tc>
          <w:tcPr>
            <w:tcW w:w="765" w:type="pct"/>
            <w:tcBorders>
              <w:top w:val="single" w:sz="4" w:space="0" w:color="auto"/>
              <w:left w:val="nil"/>
              <w:bottom w:val="nil"/>
              <w:right w:val="nil"/>
            </w:tcBorders>
            <w:noWrap/>
          </w:tcPr>
          <w:p w14:paraId="1B5F9E40" w14:textId="55A07AF3" w:rsidR="00F82749" w:rsidRPr="007B60BF" w:rsidRDefault="00F82749" w:rsidP="00F82749">
            <w:pPr>
              <w:jc w:val="right"/>
            </w:pPr>
          </w:p>
        </w:tc>
      </w:tr>
      <w:tr w:rsidR="00301AA7" w:rsidRPr="007B60BF" w14:paraId="65EA3E94" w14:textId="040F076E" w:rsidTr="00301AA7">
        <w:tc>
          <w:tcPr>
            <w:tcW w:w="2557" w:type="pct"/>
            <w:noWrap/>
            <w:vAlign w:val="bottom"/>
            <w:hideMark/>
          </w:tcPr>
          <w:p w14:paraId="3BFBDE74" w14:textId="77777777" w:rsidR="00F37825" w:rsidRPr="007B60BF" w:rsidRDefault="00F37825" w:rsidP="00F37825">
            <w:pPr>
              <w:rPr>
                <w:b/>
                <w:bCs/>
                <w:color w:val="000000"/>
              </w:rPr>
            </w:pPr>
            <w:r w:rsidRPr="007B60BF">
              <w:rPr>
                <w:b/>
                <w:bCs/>
                <w:color w:val="000000"/>
              </w:rPr>
              <w:t>Despesas Operacionais</w:t>
            </w:r>
          </w:p>
        </w:tc>
        <w:tc>
          <w:tcPr>
            <w:tcW w:w="300" w:type="pct"/>
            <w:vAlign w:val="bottom"/>
          </w:tcPr>
          <w:p w14:paraId="4891E580" w14:textId="77777777" w:rsidR="00F37825" w:rsidRPr="007B60BF" w:rsidRDefault="00F37825" w:rsidP="00F37825">
            <w:pPr>
              <w:jc w:val="right"/>
              <w:rPr>
                <w:b/>
                <w:bCs/>
                <w:color w:val="000000"/>
              </w:rPr>
            </w:pPr>
          </w:p>
        </w:tc>
        <w:tc>
          <w:tcPr>
            <w:tcW w:w="451" w:type="pct"/>
          </w:tcPr>
          <w:p w14:paraId="201E45C8" w14:textId="77777777" w:rsidR="00F37825" w:rsidRPr="007B60BF" w:rsidRDefault="00F37825" w:rsidP="00F37825">
            <w:pPr>
              <w:jc w:val="right"/>
              <w:rPr>
                <w:b/>
                <w:bCs/>
                <w:color w:val="000000"/>
              </w:rPr>
            </w:pPr>
          </w:p>
        </w:tc>
        <w:tc>
          <w:tcPr>
            <w:tcW w:w="841" w:type="pct"/>
            <w:tcBorders>
              <w:bottom w:val="single" w:sz="4" w:space="0" w:color="auto"/>
            </w:tcBorders>
          </w:tcPr>
          <w:p w14:paraId="2037F0F4" w14:textId="613AB2D2" w:rsidR="00F37825" w:rsidRPr="007B60BF" w:rsidRDefault="0055131C" w:rsidP="0055131C">
            <w:pPr>
              <w:jc w:val="right"/>
              <w:rPr>
                <w:b/>
              </w:rPr>
            </w:pPr>
            <w:r w:rsidRPr="007B60BF">
              <w:rPr>
                <w:b/>
              </w:rPr>
              <w:t>(</w:t>
            </w:r>
            <w:r w:rsidR="00F37825" w:rsidRPr="007B60BF">
              <w:rPr>
                <w:b/>
              </w:rPr>
              <w:t>397.938</w:t>
            </w:r>
            <w:r w:rsidRPr="007B60BF">
              <w:rPr>
                <w:b/>
              </w:rPr>
              <w:t>)</w:t>
            </w:r>
            <w:r w:rsidR="00F37825" w:rsidRPr="007B60BF">
              <w:rPr>
                <w:b/>
              </w:rPr>
              <w:t xml:space="preserve"> </w:t>
            </w:r>
          </w:p>
        </w:tc>
        <w:tc>
          <w:tcPr>
            <w:tcW w:w="85" w:type="pct"/>
          </w:tcPr>
          <w:p w14:paraId="1D238AF9" w14:textId="77777777" w:rsidR="00F37825" w:rsidRPr="007B60BF" w:rsidRDefault="00F37825" w:rsidP="00F37825">
            <w:pPr>
              <w:jc w:val="right"/>
              <w:rPr>
                <w:b/>
              </w:rPr>
            </w:pPr>
          </w:p>
        </w:tc>
        <w:tc>
          <w:tcPr>
            <w:tcW w:w="765" w:type="pct"/>
            <w:tcBorders>
              <w:top w:val="nil"/>
              <w:left w:val="nil"/>
              <w:bottom w:val="single" w:sz="4" w:space="0" w:color="auto"/>
              <w:right w:val="nil"/>
            </w:tcBorders>
            <w:noWrap/>
          </w:tcPr>
          <w:p w14:paraId="16C6DBC8" w14:textId="7CD7F5B7" w:rsidR="00F37825" w:rsidRPr="007B60BF" w:rsidRDefault="00F37825" w:rsidP="00F37825">
            <w:pPr>
              <w:jc w:val="right"/>
              <w:rPr>
                <w:b/>
              </w:rPr>
            </w:pPr>
            <w:r w:rsidRPr="007B60BF">
              <w:rPr>
                <w:b/>
              </w:rPr>
              <w:t>(315.453)</w:t>
            </w:r>
          </w:p>
        </w:tc>
      </w:tr>
      <w:tr w:rsidR="00301AA7" w:rsidRPr="007B60BF" w14:paraId="40C14BC0" w14:textId="57446DE8" w:rsidTr="00301AA7">
        <w:tc>
          <w:tcPr>
            <w:tcW w:w="2557" w:type="pct"/>
            <w:noWrap/>
            <w:vAlign w:val="bottom"/>
            <w:hideMark/>
          </w:tcPr>
          <w:p w14:paraId="666F9313" w14:textId="77777777" w:rsidR="00F37825" w:rsidRPr="007B60BF" w:rsidRDefault="00F37825" w:rsidP="00F37825">
            <w:pPr>
              <w:rPr>
                <w:color w:val="000000"/>
              </w:rPr>
            </w:pPr>
            <w:r w:rsidRPr="007B60BF">
              <w:rPr>
                <w:color w:val="000000"/>
              </w:rPr>
              <w:t xml:space="preserve">   Despesas Administrativas</w:t>
            </w:r>
          </w:p>
        </w:tc>
        <w:tc>
          <w:tcPr>
            <w:tcW w:w="300" w:type="pct"/>
            <w:vAlign w:val="bottom"/>
            <w:hideMark/>
          </w:tcPr>
          <w:p w14:paraId="616A1B8A" w14:textId="08D27EEE" w:rsidR="00F37825" w:rsidRPr="007B60BF" w:rsidRDefault="007D667C" w:rsidP="00F37825">
            <w:pPr>
              <w:jc w:val="right"/>
              <w:rPr>
                <w:b/>
                <w:color w:val="000000"/>
              </w:rPr>
            </w:pPr>
            <w:r w:rsidRPr="007B60BF">
              <w:rPr>
                <w:b/>
                <w:color w:val="000000"/>
              </w:rPr>
              <w:t>18</w:t>
            </w:r>
          </w:p>
        </w:tc>
        <w:tc>
          <w:tcPr>
            <w:tcW w:w="451" w:type="pct"/>
          </w:tcPr>
          <w:p w14:paraId="3EAF5C98" w14:textId="77777777" w:rsidR="00F37825" w:rsidRPr="007B60BF" w:rsidRDefault="00F37825" w:rsidP="00F37825">
            <w:pPr>
              <w:jc w:val="right"/>
              <w:rPr>
                <w:color w:val="000000"/>
              </w:rPr>
            </w:pPr>
          </w:p>
        </w:tc>
        <w:tc>
          <w:tcPr>
            <w:tcW w:w="841" w:type="pct"/>
            <w:tcBorders>
              <w:top w:val="single" w:sz="4" w:space="0" w:color="auto"/>
            </w:tcBorders>
          </w:tcPr>
          <w:p w14:paraId="7DAB0714" w14:textId="14213446" w:rsidR="00F37825" w:rsidRPr="007B60BF" w:rsidRDefault="0055131C" w:rsidP="0055131C">
            <w:pPr>
              <w:jc w:val="right"/>
            </w:pPr>
            <w:r w:rsidRPr="007B60BF">
              <w:t>(</w:t>
            </w:r>
            <w:r w:rsidR="00F37825" w:rsidRPr="007B60BF">
              <w:t>335.992</w:t>
            </w:r>
            <w:r w:rsidRPr="007B60BF">
              <w:t>)</w:t>
            </w:r>
            <w:r w:rsidR="00F37825" w:rsidRPr="007B60BF">
              <w:t xml:space="preserve"> </w:t>
            </w:r>
          </w:p>
        </w:tc>
        <w:tc>
          <w:tcPr>
            <w:tcW w:w="85" w:type="pct"/>
          </w:tcPr>
          <w:p w14:paraId="253B7E2F" w14:textId="77777777" w:rsidR="00F37825" w:rsidRPr="007B60BF" w:rsidRDefault="00F37825" w:rsidP="00F37825">
            <w:pPr>
              <w:jc w:val="right"/>
            </w:pPr>
          </w:p>
        </w:tc>
        <w:tc>
          <w:tcPr>
            <w:tcW w:w="765" w:type="pct"/>
            <w:tcBorders>
              <w:top w:val="single" w:sz="4" w:space="0" w:color="auto"/>
              <w:left w:val="nil"/>
              <w:bottom w:val="nil"/>
              <w:right w:val="nil"/>
            </w:tcBorders>
            <w:noWrap/>
          </w:tcPr>
          <w:p w14:paraId="7543AFEF" w14:textId="3A5CD82A" w:rsidR="00F37825" w:rsidRPr="007B60BF" w:rsidRDefault="00F37825" w:rsidP="00F37825">
            <w:pPr>
              <w:jc w:val="right"/>
            </w:pPr>
            <w:r w:rsidRPr="007B60BF">
              <w:t xml:space="preserve">(313.281) </w:t>
            </w:r>
          </w:p>
        </w:tc>
      </w:tr>
      <w:tr w:rsidR="00301AA7" w:rsidRPr="007B60BF" w14:paraId="7F0E4E17" w14:textId="6F38F3F0" w:rsidTr="00301AA7">
        <w:tc>
          <w:tcPr>
            <w:tcW w:w="2557" w:type="pct"/>
            <w:noWrap/>
            <w:vAlign w:val="bottom"/>
            <w:hideMark/>
          </w:tcPr>
          <w:p w14:paraId="5283DC31" w14:textId="5E517280" w:rsidR="00F37825" w:rsidRPr="007B60BF" w:rsidRDefault="00F37825" w:rsidP="00F37825">
            <w:pPr>
              <w:rPr>
                <w:color w:val="000000"/>
              </w:rPr>
            </w:pPr>
            <w:r w:rsidRPr="007B60BF">
              <w:rPr>
                <w:color w:val="000000"/>
              </w:rPr>
              <w:t xml:space="preserve">   Provisão para Contingências</w:t>
            </w:r>
          </w:p>
        </w:tc>
        <w:tc>
          <w:tcPr>
            <w:tcW w:w="300" w:type="pct"/>
            <w:vAlign w:val="bottom"/>
            <w:hideMark/>
          </w:tcPr>
          <w:p w14:paraId="27A31CAB" w14:textId="093DCBF4" w:rsidR="00F37825" w:rsidRPr="007B60BF" w:rsidRDefault="007D667C" w:rsidP="00F37825">
            <w:pPr>
              <w:jc w:val="right"/>
              <w:rPr>
                <w:b/>
                <w:color w:val="000000"/>
              </w:rPr>
            </w:pPr>
            <w:r w:rsidRPr="007B60BF">
              <w:rPr>
                <w:b/>
                <w:color w:val="000000"/>
              </w:rPr>
              <w:t>18</w:t>
            </w:r>
          </w:p>
        </w:tc>
        <w:tc>
          <w:tcPr>
            <w:tcW w:w="451" w:type="pct"/>
          </w:tcPr>
          <w:p w14:paraId="378F8FEF" w14:textId="77777777" w:rsidR="00F37825" w:rsidRPr="007B60BF" w:rsidRDefault="00F37825" w:rsidP="00F37825">
            <w:pPr>
              <w:jc w:val="right"/>
              <w:rPr>
                <w:color w:val="000000"/>
              </w:rPr>
            </w:pPr>
          </w:p>
        </w:tc>
        <w:tc>
          <w:tcPr>
            <w:tcW w:w="841" w:type="pct"/>
          </w:tcPr>
          <w:p w14:paraId="093DE6E6" w14:textId="0804C839" w:rsidR="00F37825" w:rsidRPr="007B60BF" w:rsidRDefault="0055131C" w:rsidP="0055131C">
            <w:pPr>
              <w:jc w:val="right"/>
            </w:pPr>
            <w:r w:rsidRPr="007B60BF">
              <w:t>(</w:t>
            </w:r>
            <w:r w:rsidR="00F37825" w:rsidRPr="007B60BF">
              <w:t>61.946</w:t>
            </w:r>
            <w:r w:rsidRPr="007B60BF">
              <w:t>)</w:t>
            </w:r>
            <w:r w:rsidR="00F37825" w:rsidRPr="007B60BF">
              <w:t xml:space="preserve"> </w:t>
            </w:r>
          </w:p>
        </w:tc>
        <w:tc>
          <w:tcPr>
            <w:tcW w:w="85" w:type="pct"/>
          </w:tcPr>
          <w:p w14:paraId="26CFB8BC" w14:textId="77777777" w:rsidR="00F37825" w:rsidRPr="007B60BF" w:rsidRDefault="00F37825" w:rsidP="00F37825">
            <w:pPr>
              <w:jc w:val="right"/>
            </w:pPr>
          </w:p>
        </w:tc>
        <w:tc>
          <w:tcPr>
            <w:tcW w:w="765" w:type="pct"/>
            <w:shd w:val="clear" w:color="auto" w:fill="auto"/>
            <w:noWrap/>
          </w:tcPr>
          <w:p w14:paraId="708D7D56" w14:textId="4F4AF4F8" w:rsidR="00F37825" w:rsidRPr="007B60BF" w:rsidRDefault="00F37825" w:rsidP="00F37825">
            <w:pPr>
              <w:jc w:val="right"/>
            </w:pPr>
            <w:r w:rsidRPr="007B60BF">
              <w:t xml:space="preserve">(2.172) </w:t>
            </w:r>
          </w:p>
        </w:tc>
      </w:tr>
      <w:tr w:rsidR="00301AA7" w:rsidRPr="007B60BF" w14:paraId="60CED849" w14:textId="55202952" w:rsidTr="00301AA7">
        <w:tc>
          <w:tcPr>
            <w:tcW w:w="2557" w:type="pct"/>
            <w:noWrap/>
            <w:vAlign w:val="bottom"/>
          </w:tcPr>
          <w:p w14:paraId="62D6C050" w14:textId="77777777" w:rsidR="00F82749" w:rsidRPr="007B60BF" w:rsidRDefault="00F82749" w:rsidP="00F82749">
            <w:pPr>
              <w:rPr>
                <w:b/>
                <w:bCs/>
                <w:color w:val="000000"/>
              </w:rPr>
            </w:pPr>
          </w:p>
        </w:tc>
        <w:tc>
          <w:tcPr>
            <w:tcW w:w="300" w:type="pct"/>
            <w:vAlign w:val="bottom"/>
          </w:tcPr>
          <w:p w14:paraId="639CB5EC" w14:textId="77777777" w:rsidR="00F82749" w:rsidRPr="007B60BF" w:rsidRDefault="00F82749" w:rsidP="00F82749">
            <w:pPr>
              <w:jc w:val="right"/>
              <w:rPr>
                <w:b/>
                <w:bCs/>
                <w:color w:val="000000"/>
              </w:rPr>
            </w:pPr>
          </w:p>
        </w:tc>
        <w:tc>
          <w:tcPr>
            <w:tcW w:w="451" w:type="pct"/>
          </w:tcPr>
          <w:p w14:paraId="0DFBF80D" w14:textId="77777777" w:rsidR="00F82749" w:rsidRPr="007B60BF" w:rsidRDefault="00F82749" w:rsidP="00F82749">
            <w:pPr>
              <w:jc w:val="right"/>
              <w:rPr>
                <w:b/>
                <w:bCs/>
                <w:color w:val="000000"/>
              </w:rPr>
            </w:pPr>
          </w:p>
        </w:tc>
        <w:tc>
          <w:tcPr>
            <w:tcW w:w="841" w:type="pct"/>
          </w:tcPr>
          <w:p w14:paraId="26661498" w14:textId="70A23470" w:rsidR="00F82749" w:rsidRPr="007B60BF" w:rsidRDefault="00F82749" w:rsidP="0055131C">
            <w:pPr>
              <w:jc w:val="right"/>
            </w:pPr>
          </w:p>
        </w:tc>
        <w:tc>
          <w:tcPr>
            <w:tcW w:w="85" w:type="pct"/>
          </w:tcPr>
          <w:p w14:paraId="3530D7F2" w14:textId="77777777" w:rsidR="00F82749" w:rsidRPr="007B60BF" w:rsidRDefault="00F82749" w:rsidP="00F82749">
            <w:pPr>
              <w:jc w:val="right"/>
            </w:pPr>
          </w:p>
        </w:tc>
        <w:tc>
          <w:tcPr>
            <w:tcW w:w="765" w:type="pct"/>
            <w:noWrap/>
          </w:tcPr>
          <w:p w14:paraId="08633402" w14:textId="09EEBA19" w:rsidR="00F82749" w:rsidRPr="007B60BF" w:rsidRDefault="00F82749" w:rsidP="00F82749">
            <w:pPr>
              <w:jc w:val="right"/>
            </w:pPr>
          </w:p>
        </w:tc>
      </w:tr>
      <w:tr w:rsidR="00301AA7" w:rsidRPr="007B60BF" w14:paraId="2DE2A8AB" w14:textId="4626C6D7" w:rsidTr="00301AA7">
        <w:tc>
          <w:tcPr>
            <w:tcW w:w="2557" w:type="pct"/>
            <w:noWrap/>
            <w:vAlign w:val="bottom"/>
            <w:hideMark/>
          </w:tcPr>
          <w:p w14:paraId="7A4C651F" w14:textId="77777777" w:rsidR="00F37825" w:rsidRPr="007B60BF" w:rsidRDefault="00F37825" w:rsidP="00F37825">
            <w:pPr>
              <w:rPr>
                <w:b/>
                <w:bCs/>
                <w:color w:val="000000"/>
              </w:rPr>
            </w:pPr>
            <w:r w:rsidRPr="007B60BF">
              <w:rPr>
                <w:b/>
                <w:bCs/>
                <w:color w:val="000000"/>
              </w:rPr>
              <w:t>Outras Receitas e Despesas</w:t>
            </w:r>
          </w:p>
        </w:tc>
        <w:tc>
          <w:tcPr>
            <w:tcW w:w="300" w:type="pct"/>
            <w:vAlign w:val="bottom"/>
            <w:hideMark/>
          </w:tcPr>
          <w:p w14:paraId="5FD05916" w14:textId="749CFE94" w:rsidR="00F37825" w:rsidRPr="007B60BF" w:rsidRDefault="007D667C" w:rsidP="00F37825">
            <w:pPr>
              <w:jc w:val="right"/>
              <w:rPr>
                <w:b/>
                <w:bCs/>
                <w:color w:val="000000"/>
              </w:rPr>
            </w:pPr>
            <w:r w:rsidRPr="007B60BF">
              <w:rPr>
                <w:b/>
                <w:bCs/>
                <w:color w:val="000000"/>
              </w:rPr>
              <w:t>20</w:t>
            </w:r>
          </w:p>
        </w:tc>
        <w:tc>
          <w:tcPr>
            <w:tcW w:w="451" w:type="pct"/>
          </w:tcPr>
          <w:p w14:paraId="56F68086" w14:textId="77777777" w:rsidR="00F37825" w:rsidRPr="007B60BF" w:rsidRDefault="00F37825" w:rsidP="00F37825">
            <w:pPr>
              <w:jc w:val="right"/>
              <w:rPr>
                <w:b/>
                <w:bCs/>
                <w:color w:val="000000"/>
              </w:rPr>
            </w:pPr>
          </w:p>
        </w:tc>
        <w:tc>
          <w:tcPr>
            <w:tcW w:w="841" w:type="pct"/>
            <w:tcBorders>
              <w:bottom w:val="single" w:sz="4" w:space="0" w:color="auto"/>
            </w:tcBorders>
          </w:tcPr>
          <w:p w14:paraId="016315CA" w14:textId="68ACF2EA" w:rsidR="00F37825" w:rsidRPr="007B60BF" w:rsidRDefault="00F37825" w:rsidP="0055131C">
            <w:pPr>
              <w:jc w:val="right"/>
              <w:rPr>
                <w:b/>
              </w:rPr>
            </w:pPr>
            <w:r w:rsidRPr="007B60BF">
              <w:rPr>
                <w:b/>
              </w:rPr>
              <w:t xml:space="preserve"> 21.544 </w:t>
            </w:r>
          </w:p>
        </w:tc>
        <w:tc>
          <w:tcPr>
            <w:tcW w:w="85" w:type="pct"/>
          </w:tcPr>
          <w:p w14:paraId="51479969" w14:textId="77777777" w:rsidR="00F37825" w:rsidRPr="007B60BF" w:rsidRDefault="00F37825" w:rsidP="00F37825">
            <w:pPr>
              <w:jc w:val="right"/>
              <w:rPr>
                <w:b/>
              </w:rPr>
            </w:pPr>
          </w:p>
        </w:tc>
        <w:tc>
          <w:tcPr>
            <w:tcW w:w="765" w:type="pct"/>
            <w:tcBorders>
              <w:bottom w:val="single" w:sz="4" w:space="0" w:color="auto"/>
            </w:tcBorders>
            <w:shd w:val="clear" w:color="auto" w:fill="auto"/>
            <w:noWrap/>
          </w:tcPr>
          <w:p w14:paraId="5C3D11D9" w14:textId="0CDF6C98" w:rsidR="00F37825" w:rsidRPr="007B60BF" w:rsidRDefault="00F37825" w:rsidP="00F37825">
            <w:pPr>
              <w:jc w:val="right"/>
              <w:rPr>
                <w:b/>
              </w:rPr>
            </w:pPr>
            <w:r w:rsidRPr="007B60BF">
              <w:rPr>
                <w:b/>
              </w:rPr>
              <w:t>36.194</w:t>
            </w:r>
          </w:p>
        </w:tc>
      </w:tr>
      <w:tr w:rsidR="00301AA7" w:rsidRPr="007B60BF" w14:paraId="5166B4FE" w14:textId="53CB28DE" w:rsidTr="00301AA7">
        <w:tc>
          <w:tcPr>
            <w:tcW w:w="2557" w:type="pct"/>
            <w:noWrap/>
            <w:vAlign w:val="bottom"/>
            <w:hideMark/>
          </w:tcPr>
          <w:p w14:paraId="6B6D851B" w14:textId="77777777" w:rsidR="00F37825" w:rsidRPr="007B60BF" w:rsidRDefault="00F37825" w:rsidP="00F37825">
            <w:pPr>
              <w:rPr>
                <w:color w:val="000000"/>
              </w:rPr>
            </w:pPr>
            <w:r w:rsidRPr="007B60BF">
              <w:rPr>
                <w:color w:val="000000"/>
              </w:rPr>
              <w:t xml:space="preserve">   Receitas</w:t>
            </w:r>
          </w:p>
        </w:tc>
        <w:tc>
          <w:tcPr>
            <w:tcW w:w="300" w:type="pct"/>
            <w:vAlign w:val="bottom"/>
          </w:tcPr>
          <w:p w14:paraId="6398469B" w14:textId="77777777" w:rsidR="00F37825" w:rsidRPr="007B60BF" w:rsidRDefault="00F37825" w:rsidP="00F37825">
            <w:pPr>
              <w:jc w:val="right"/>
              <w:rPr>
                <w:b/>
                <w:color w:val="000000"/>
              </w:rPr>
            </w:pPr>
          </w:p>
        </w:tc>
        <w:tc>
          <w:tcPr>
            <w:tcW w:w="451" w:type="pct"/>
          </w:tcPr>
          <w:p w14:paraId="63D9946E" w14:textId="77777777" w:rsidR="00F37825" w:rsidRPr="007B60BF" w:rsidRDefault="00F37825" w:rsidP="00F37825">
            <w:pPr>
              <w:jc w:val="right"/>
              <w:rPr>
                <w:color w:val="000000"/>
              </w:rPr>
            </w:pPr>
          </w:p>
        </w:tc>
        <w:tc>
          <w:tcPr>
            <w:tcW w:w="841" w:type="pct"/>
            <w:tcBorders>
              <w:top w:val="single" w:sz="4" w:space="0" w:color="auto"/>
            </w:tcBorders>
          </w:tcPr>
          <w:p w14:paraId="052156BB" w14:textId="7CF2DDBC" w:rsidR="00F37825" w:rsidRPr="007B60BF" w:rsidRDefault="00F37825" w:rsidP="0055131C">
            <w:pPr>
              <w:jc w:val="right"/>
            </w:pPr>
            <w:r w:rsidRPr="007B60BF">
              <w:t xml:space="preserve"> 30.442 </w:t>
            </w:r>
          </w:p>
        </w:tc>
        <w:tc>
          <w:tcPr>
            <w:tcW w:w="85" w:type="pct"/>
          </w:tcPr>
          <w:p w14:paraId="6B0907E4" w14:textId="77777777" w:rsidR="00F37825" w:rsidRPr="007B60BF" w:rsidRDefault="00F37825" w:rsidP="00F37825">
            <w:pPr>
              <w:jc w:val="right"/>
            </w:pPr>
          </w:p>
        </w:tc>
        <w:tc>
          <w:tcPr>
            <w:tcW w:w="765" w:type="pct"/>
            <w:tcBorders>
              <w:top w:val="single" w:sz="4" w:space="0" w:color="auto"/>
            </w:tcBorders>
            <w:shd w:val="clear" w:color="auto" w:fill="auto"/>
            <w:noWrap/>
          </w:tcPr>
          <w:p w14:paraId="5DE265C2" w14:textId="5EAA6CB0" w:rsidR="00F37825" w:rsidRPr="007B60BF" w:rsidRDefault="00F37825" w:rsidP="00F37825">
            <w:pPr>
              <w:jc w:val="right"/>
            </w:pPr>
            <w:r w:rsidRPr="007B60BF">
              <w:t xml:space="preserve"> 46.275 </w:t>
            </w:r>
          </w:p>
        </w:tc>
      </w:tr>
      <w:tr w:rsidR="00301AA7" w:rsidRPr="007B60BF" w14:paraId="2376B81B" w14:textId="118D0FCD" w:rsidTr="00301AA7">
        <w:tc>
          <w:tcPr>
            <w:tcW w:w="2557" w:type="pct"/>
            <w:noWrap/>
            <w:vAlign w:val="bottom"/>
            <w:hideMark/>
          </w:tcPr>
          <w:p w14:paraId="6C3A553A" w14:textId="77777777" w:rsidR="00F37825" w:rsidRPr="007B60BF" w:rsidRDefault="00F37825" w:rsidP="00F37825">
            <w:pPr>
              <w:rPr>
                <w:color w:val="000000"/>
              </w:rPr>
            </w:pPr>
            <w:r w:rsidRPr="007B60BF">
              <w:rPr>
                <w:color w:val="000000"/>
              </w:rPr>
              <w:t xml:space="preserve">   Despesas</w:t>
            </w:r>
          </w:p>
        </w:tc>
        <w:tc>
          <w:tcPr>
            <w:tcW w:w="300" w:type="pct"/>
            <w:vAlign w:val="bottom"/>
          </w:tcPr>
          <w:p w14:paraId="14E493ED" w14:textId="77777777" w:rsidR="00F37825" w:rsidRPr="007B60BF" w:rsidRDefault="00F37825" w:rsidP="00F37825">
            <w:pPr>
              <w:jc w:val="right"/>
              <w:rPr>
                <w:color w:val="000000"/>
              </w:rPr>
            </w:pPr>
          </w:p>
        </w:tc>
        <w:tc>
          <w:tcPr>
            <w:tcW w:w="451" w:type="pct"/>
          </w:tcPr>
          <w:p w14:paraId="200B9655" w14:textId="77777777" w:rsidR="00F37825" w:rsidRPr="007B60BF" w:rsidRDefault="00F37825" w:rsidP="00F37825">
            <w:pPr>
              <w:jc w:val="right"/>
              <w:rPr>
                <w:color w:val="000000"/>
              </w:rPr>
            </w:pPr>
          </w:p>
        </w:tc>
        <w:tc>
          <w:tcPr>
            <w:tcW w:w="841" w:type="pct"/>
          </w:tcPr>
          <w:p w14:paraId="67615369" w14:textId="69BD681F" w:rsidR="00F37825" w:rsidRPr="007B60BF" w:rsidRDefault="0055131C" w:rsidP="0055131C">
            <w:pPr>
              <w:jc w:val="right"/>
            </w:pPr>
            <w:r w:rsidRPr="007B60BF">
              <w:t>(</w:t>
            </w:r>
            <w:r w:rsidR="00F37825" w:rsidRPr="007B60BF">
              <w:t>7.092</w:t>
            </w:r>
            <w:r w:rsidRPr="007B60BF">
              <w:t>)</w:t>
            </w:r>
            <w:r w:rsidR="00F37825" w:rsidRPr="007B60BF">
              <w:t xml:space="preserve"> </w:t>
            </w:r>
          </w:p>
        </w:tc>
        <w:tc>
          <w:tcPr>
            <w:tcW w:w="85" w:type="pct"/>
          </w:tcPr>
          <w:p w14:paraId="1BC9C501" w14:textId="77777777" w:rsidR="00F37825" w:rsidRPr="007B60BF" w:rsidRDefault="00F37825" w:rsidP="00F37825">
            <w:pPr>
              <w:jc w:val="right"/>
            </w:pPr>
          </w:p>
        </w:tc>
        <w:tc>
          <w:tcPr>
            <w:tcW w:w="765" w:type="pct"/>
            <w:shd w:val="clear" w:color="auto" w:fill="auto"/>
            <w:noWrap/>
          </w:tcPr>
          <w:p w14:paraId="2B3821D5" w14:textId="045FA57C" w:rsidR="00F37825" w:rsidRPr="007B60BF" w:rsidRDefault="00F37825" w:rsidP="00F37825">
            <w:pPr>
              <w:jc w:val="right"/>
            </w:pPr>
            <w:r w:rsidRPr="007B60BF">
              <w:t xml:space="preserve">(9.606) </w:t>
            </w:r>
          </w:p>
        </w:tc>
      </w:tr>
      <w:tr w:rsidR="00301AA7" w:rsidRPr="007B60BF" w14:paraId="62C57A70" w14:textId="3E63D827" w:rsidTr="00301AA7">
        <w:tc>
          <w:tcPr>
            <w:tcW w:w="2557" w:type="pct"/>
            <w:noWrap/>
            <w:vAlign w:val="bottom"/>
            <w:hideMark/>
          </w:tcPr>
          <w:p w14:paraId="1C81A17A" w14:textId="77777777" w:rsidR="00F37825" w:rsidRPr="007B60BF" w:rsidRDefault="00F37825" w:rsidP="00F37825">
            <w:pPr>
              <w:rPr>
                <w:color w:val="000000"/>
              </w:rPr>
            </w:pPr>
            <w:r w:rsidRPr="007B60BF">
              <w:rPr>
                <w:color w:val="000000"/>
              </w:rPr>
              <w:t xml:space="preserve">   Resultado com Baixa de Bens Imobilizados</w:t>
            </w:r>
          </w:p>
        </w:tc>
        <w:tc>
          <w:tcPr>
            <w:tcW w:w="300" w:type="pct"/>
            <w:vAlign w:val="bottom"/>
          </w:tcPr>
          <w:p w14:paraId="341C8B9B" w14:textId="77777777" w:rsidR="00F37825" w:rsidRPr="007B60BF" w:rsidRDefault="00F37825" w:rsidP="00F37825">
            <w:pPr>
              <w:jc w:val="right"/>
              <w:rPr>
                <w:color w:val="000000"/>
              </w:rPr>
            </w:pPr>
          </w:p>
        </w:tc>
        <w:tc>
          <w:tcPr>
            <w:tcW w:w="451" w:type="pct"/>
          </w:tcPr>
          <w:p w14:paraId="46247B52" w14:textId="77777777" w:rsidR="00F37825" w:rsidRPr="007B60BF" w:rsidRDefault="00F37825" w:rsidP="00F37825">
            <w:pPr>
              <w:jc w:val="right"/>
              <w:rPr>
                <w:color w:val="000000"/>
              </w:rPr>
            </w:pPr>
          </w:p>
        </w:tc>
        <w:tc>
          <w:tcPr>
            <w:tcW w:w="841" w:type="pct"/>
          </w:tcPr>
          <w:p w14:paraId="1B323D09" w14:textId="6995D599" w:rsidR="00F37825" w:rsidRPr="007B60BF" w:rsidRDefault="0055131C" w:rsidP="00F37825">
            <w:pPr>
              <w:jc w:val="right"/>
            </w:pPr>
            <w:r w:rsidRPr="007B60BF">
              <w:t>(</w:t>
            </w:r>
            <w:r w:rsidR="00F37825" w:rsidRPr="007B60BF">
              <w:t>1.806</w:t>
            </w:r>
            <w:r w:rsidRPr="007B60BF">
              <w:t>)</w:t>
            </w:r>
            <w:r w:rsidR="00F37825" w:rsidRPr="007B60BF">
              <w:t xml:space="preserve"> </w:t>
            </w:r>
          </w:p>
        </w:tc>
        <w:tc>
          <w:tcPr>
            <w:tcW w:w="85" w:type="pct"/>
          </w:tcPr>
          <w:p w14:paraId="715C5237" w14:textId="77777777" w:rsidR="00F37825" w:rsidRPr="007B60BF" w:rsidRDefault="00F37825" w:rsidP="00F37825">
            <w:pPr>
              <w:jc w:val="right"/>
            </w:pPr>
          </w:p>
        </w:tc>
        <w:tc>
          <w:tcPr>
            <w:tcW w:w="765" w:type="pct"/>
            <w:shd w:val="clear" w:color="auto" w:fill="auto"/>
            <w:noWrap/>
          </w:tcPr>
          <w:p w14:paraId="4BC86B34" w14:textId="437EBFAD" w:rsidR="00F37825" w:rsidRPr="007B60BF" w:rsidRDefault="00F37825" w:rsidP="00F37825">
            <w:pPr>
              <w:jc w:val="right"/>
            </w:pPr>
            <w:r w:rsidRPr="007B60BF">
              <w:t xml:space="preserve">(475) </w:t>
            </w:r>
          </w:p>
        </w:tc>
      </w:tr>
      <w:tr w:rsidR="00301AA7" w:rsidRPr="007B60BF" w14:paraId="3545AB0A" w14:textId="33E7D419" w:rsidTr="00301AA7">
        <w:tc>
          <w:tcPr>
            <w:tcW w:w="2557" w:type="pct"/>
            <w:noWrap/>
            <w:vAlign w:val="bottom"/>
          </w:tcPr>
          <w:p w14:paraId="4CF6FEA4" w14:textId="77777777" w:rsidR="00F82749" w:rsidRPr="007B60BF" w:rsidRDefault="00F82749" w:rsidP="00F82749">
            <w:pPr>
              <w:rPr>
                <w:b/>
                <w:color w:val="000000"/>
              </w:rPr>
            </w:pPr>
          </w:p>
        </w:tc>
        <w:tc>
          <w:tcPr>
            <w:tcW w:w="300" w:type="pct"/>
            <w:vAlign w:val="bottom"/>
          </w:tcPr>
          <w:p w14:paraId="3A93BF42" w14:textId="77777777" w:rsidR="00F82749" w:rsidRPr="007B60BF" w:rsidRDefault="00F82749" w:rsidP="00F82749">
            <w:pPr>
              <w:jc w:val="right"/>
              <w:rPr>
                <w:b/>
                <w:bCs/>
                <w:color w:val="000000"/>
              </w:rPr>
            </w:pPr>
          </w:p>
        </w:tc>
        <w:tc>
          <w:tcPr>
            <w:tcW w:w="451" w:type="pct"/>
          </w:tcPr>
          <w:p w14:paraId="511D0D1C" w14:textId="77777777" w:rsidR="00F82749" w:rsidRPr="007B60BF" w:rsidRDefault="00F82749" w:rsidP="00F82749">
            <w:pPr>
              <w:jc w:val="right"/>
              <w:rPr>
                <w:b/>
                <w:bCs/>
                <w:color w:val="000000"/>
              </w:rPr>
            </w:pPr>
          </w:p>
        </w:tc>
        <w:tc>
          <w:tcPr>
            <w:tcW w:w="841" w:type="pct"/>
          </w:tcPr>
          <w:p w14:paraId="6FEEF170" w14:textId="7CB8CD9F" w:rsidR="00F82749" w:rsidRPr="007B60BF" w:rsidRDefault="00F82749" w:rsidP="00F82749">
            <w:pPr>
              <w:jc w:val="right"/>
            </w:pPr>
          </w:p>
        </w:tc>
        <w:tc>
          <w:tcPr>
            <w:tcW w:w="85" w:type="pct"/>
          </w:tcPr>
          <w:p w14:paraId="3CB14D33" w14:textId="77777777" w:rsidR="00F82749" w:rsidRPr="007B60BF" w:rsidRDefault="00F82749" w:rsidP="00F82749">
            <w:pPr>
              <w:jc w:val="right"/>
            </w:pPr>
          </w:p>
        </w:tc>
        <w:tc>
          <w:tcPr>
            <w:tcW w:w="765" w:type="pct"/>
            <w:noWrap/>
          </w:tcPr>
          <w:p w14:paraId="42D9B6C6" w14:textId="7DCB00E9" w:rsidR="00F82749" w:rsidRPr="007B60BF" w:rsidRDefault="00F82749" w:rsidP="00F82749">
            <w:pPr>
              <w:jc w:val="right"/>
            </w:pPr>
          </w:p>
        </w:tc>
      </w:tr>
      <w:tr w:rsidR="00301AA7" w:rsidRPr="007B60BF" w14:paraId="58CB2081" w14:textId="25236221" w:rsidTr="00301AA7">
        <w:tc>
          <w:tcPr>
            <w:tcW w:w="2557" w:type="pct"/>
            <w:noWrap/>
            <w:vAlign w:val="bottom"/>
            <w:hideMark/>
          </w:tcPr>
          <w:p w14:paraId="4CBF61B1" w14:textId="77777777" w:rsidR="00F82749" w:rsidRPr="007B60BF" w:rsidRDefault="00F82749" w:rsidP="00F82749">
            <w:pPr>
              <w:rPr>
                <w:b/>
                <w:color w:val="000000"/>
              </w:rPr>
            </w:pPr>
            <w:r w:rsidRPr="007B60BF">
              <w:rPr>
                <w:b/>
                <w:color w:val="000000"/>
              </w:rPr>
              <w:t>Prejuízo Antes Do Resultado Financeiro</w:t>
            </w:r>
          </w:p>
        </w:tc>
        <w:tc>
          <w:tcPr>
            <w:tcW w:w="300" w:type="pct"/>
            <w:vAlign w:val="bottom"/>
          </w:tcPr>
          <w:p w14:paraId="6513B2F1" w14:textId="77777777" w:rsidR="00F82749" w:rsidRPr="007B60BF" w:rsidRDefault="00F82749" w:rsidP="00F82749">
            <w:pPr>
              <w:jc w:val="right"/>
              <w:rPr>
                <w:b/>
                <w:bCs/>
                <w:color w:val="000000"/>
              </w:rPr>
            </w:pPr>
          </w:p>
        </w:tc>
        <w:tc>
          <w:tcPr>
            <w:tcW w:w="451" w:type="pct"/>
          </w:tcPr>
          <w:p w14:paraId="3FC4BA1E" w14:textId="77777777" w:rsidR="00F82749" w:rsidRPr="007B60BF" w:rsidRDefault="00F82749" w:rsidP="00F82749">
            <w:pPr>
              <w:jc w:val="right"/>
              <w:rPr>
                <w:b/>
                <w:bCs/>
                <w:color w:val="000000"/>
              </w:rPr>
            </w:pPr>
          </w:p>
        </w:tc>
        <w:tc>
          <w:tcPr>
            <w:tcW w:w="841" w:type="pct"/>
            <w:tcBorders>
              <w:bottom w:val="single" w:sz="4" w:space="0" w:color="auto"/>
            </w:tcBorders>
          </w:tcPr>
          <w:p w14:paraId="7AB13571" w14:textId="5E463C69" w:rsidR="00F82749" w:rsidRPr="007B60BF" w:rsidRDefault="0055131C" w:rsidP="00F82749">
            <w:pPr>
              <w:jc w:val="right"/>
              <w:rPr>
                <w:b/>
              </w:rPr>
            </w:pPr>
            <w:r w:rsidRPr="007B60BF">
              <w:rPr>
                <w:b/>
              </w:rPr>
              <w:t>(</w:t>
            </w:r>
            <w:r w:rsidR="00F37825" w:rsidRPr="007B60BF">
              <w:rPr>
                <w:b/>
              </w:rPr>
              <w:t>2.075.498</w:t>
            </w:r>
            <w:r w:rsidRPr="007B60BF">
              <w:rPr>
                <w:b/>
              </w:rPr>
              <w:t>)</w:t>
            </w:r>
          </w:p>
        </w:tc>
        <w:tc>
          <w:tcPr>
            <w:tcW w:w="85" w:type="pct"/>
          </w:tcPr>
          <w:p w14:paraId="7B5C1B92" w14:textId="77777777" w:rsidR="00F82749" w:rsidRPr="007B60BF" w:rsidRDefault="00F82749" w:rsidP="00F82749">
            <w:pPr>
              <w:jc w:val="right"/>
              <w:rPr>
                <w:b/>
              </w:rPr>
            </w:pPr>
          </w:p>
        </w:tc>
        <w:tc>
          <w:tcPr>
            <w:tcW w:w="765" w:type="pct"/>
            <w:tcBorders>
              <w:bottom w:val="single" w:sz="4" w:space="0" w:color="auto"/>
            </w:tcBorders>
            <w:shd w:val="clear" w:color="auto" w:fill="auto"/>
            <w:noWrap/>
          </w:tcPr>
          <w:p w14:paraId="41B5069A" w14:textId="4C28169C" w:rsidR="00F82749" w:rsidRPr="007B60BF" w:rsidRDefault="00F82749" w:rsidP="00F82749">
            <w:pPr>
              <w:jc w:val="right"/>
              <w:rPr>
                <w:b/>
              </w:rPr>
            </w:pPr>
            <w:r w:rsidRPr="007B60BF">
              <w:rPr>
                <w:b/>
              </w:rPr>
              <w:t>(1.781.889)</w:t>
            </w:r>
          </w:p>
        </w:tc>
      </w:tr>
      <w:tr w:rsidR="00301AA7" w:rsidRPr="007B60BF" w14:paraId="7871F563" w14:textId="3C8A1BBB" w:rsidTr="00301AA7">
        <w:tc>
          <w:tcPr>
            <w:tcW w:w="2557" w:type="pct"/>
            <w:noWrap/>
            <w:vAlign w:val="bottom"/>
          </w:tcPr>
          <w:p w14:paraId="03AAD78C" w14:textId="77777777" w:rsidR="00F82749" w:rsidRPr="007B60BF" w:rsidRDefault="00F82749" w:rsidP="00F82749">
            <w:pPr>
              <w:rPr>
                <w:b/>
                <w:bCs/>
                <w:color w:val="000000"/>
              </w:rPr>
            </w:pPr>
          </w:p>
        </w:tc>
        <w:tc>
          <w:tcPr>
            <w:tcW w:w="300" w:type="pct"/>
            <w:vAlign w:val="bottom"/>
          </w:tcPr>
          <w:p w14:paraId="4C1BD1CD" w14:textId="77777777" w:rsidR="00F82749" w:rsidRPr="007B60BF" w:rsidRDefault="00F82749" w:rsidP="00F82749">
            <w:pPr>
              <w:jc w:val="right"/>
              <w:rPr>
                <w:b/>
                <w:bCs/>
                <w:color w:val="000000"/>
              </w:rPr>
            </w:pPr>
          </w:p>
        </w:tc>
        <w:tc>
          <w:tcPr>
            <w:tcW w:w="451" w:type="pct"/>
          </w:tcPr>
          <w:p w14:paraId="624C8B4C" w14:textId="77777777" w:rsidR="00F82749" w:rsidRPr="007B60BF" w:rsidRDefault="00F82749" w:rsidP="00F82749">
            <w:pPr>
              <w:jc w:val="right"/>
              <w:rPr>
                <w:b/>
                <w:bCs/>
                <w:color w:val="000000"/>
              </w:rPr>
            </w:pPr>
          </w:p>
        </w:tc>
        <w:tc>
          <w:tcPr>
            <w:tcW w:w="841" w:type="pct"/>
            <w:tcBorders>
              <w:top w:val="single" w:sz="4" w:space="0" w:color="auto"/>
            </w:tcBorders>
          </w:tcPr>
          <w:p w14:paraId="226E2309" w14:textId="66974D72" w:rsidR="00F82749" w:rsidRPr="007B60BF" w:rsidRDefault="00F82749" w:rsidP="00F82749">
            <w:pPr>
              <w:jc w:val="right"/>
            </w:pPr>
          </w:p>
        </w:tc>
        <w:tc>
          <w:tcPr>
            <w:tcW w:w="85" w:type="pct"/>
          </w:tcPr>
          <w:p w14:paraId="7642C6AA" w14:textId="77777777" w:rsidR="00F82749" w:rsidRPr="007B60BF" w:rsidRDefault="00F82749" w:rsidP="00F82749">
            <w:pPr>
              <w:jc w:val="right"/>
            </w:pPr>
          </w:p>
        </w:tc>
        <w:tc>
          <w:tcPr>
            <w:tcW w:w="765" w:type="pct"/>
            <w:tcBorders>
              <w:top w:val="single" w:sz="4" w:space="0" w:color="auto"/>
            </w:tcBorders>
            <w:shd w:val="clear" w:color="auto" w:fill="auto"/>
            <w:noWrap/>
          </w:tcPr>
          <w:p w14:paraId="674C62AA" w14:textId="179AA30F" w:rsidR="00F82749" w:rsidRPr="007B60BF" w:rsidRDefault="00F82749" w:rsidP="00F82749">
            <w:pPr>
              <w:jc w:val="right"/>
            </w:pPr>
          </w:p>
        </w:tc>
      </w:tr>
      <w:tr w:rsidR="00301AA7" w:rsidRPr="007B60BF" w14:paraId="69D79769" w14:textId="12D1E158" w:rsidTr="00301AA7">
        <w:tc>
          <w:tcPr>
            <w:tcW w:w="2557" w:type="pct"/>
            <w:noWrap/>
            <w:vAlign w:val="bottom"/>
            <w:hideMark/>
          </w:tcPr>
          <w:p w14:paraId="46DFCACE" w14:textId="77777777" w:rsidR="00F37825" w:rsidRPr="007B60BF" w:rsidRDefault="00F37825" w:rsidP="00F37825">
            <w:pPr>
              <w:rPr>
                <w:b/>
                <w:bCs/>
                <w:color w:val="000000"/>
              </w:rPr>
            </w:pPr>
            <w:r w:rsidRPr="007B60BF">
              <w:rPr>
                <w:b/>
                <w:bCs/>
                <w:color w:val="000000"/>
              </w:rPr>
              <w:t xml:space="preserve">Resultado Financeiro </w:t>
            </w:r>
          </w:p>
        </w:tc>
        <w:tc>
          <w:tcPr>
            <w:tcW w:w="300" w:type="pct"/>
            <w:vAlign w:val="bottom"/>
            <w:hideMark/>
          </w:tcPr>
          <w:p w14:paraId="127413C9" w14:textId="35B91385" w:rsidR="00F37825" w:rsidRPr="007B60BF" w:rsidRDefault="007D667C" w:rsidP="00F37825">
            <w:pPr>
              <w:jc w:val="right"/>
              <w:rPr>
                <w:b/>
                <w:bCs/>
                <w:color w:val="000000"/>
              </w:rPr>
            </w:pPr>
            <w:r w:rsidRPr="007B60BF">
              <w:rPr>
                <w:b/>
                <w:bCs/>
                <w:color w:val="000000"/>
              </w:rPr>
              <w:t>21</w:t>
            </w:r>
          </w:p>
        </w:tc>
        <w:tc>
          <w:tcPr>
            <w:tcW w:w="451" w:type="pct"/>
          </w:tcPr>
          <w:p w14:paraId="0A27BC6C" w14:textId="77777777" w:rsidR="00F37825" w:rsidRPr="007B60BF" w:rsidRDefault="00F37825" w:rsidP="00F37825">
            <w:pPr>
              <w:jc w:val="right"/>
              <w:rPr>
                <w:b/>
                <w:bCs/>
                <w:color w:val="000000"/>
              </w:rPr>
            </w:pPr>
          </w:p>
        </w:tc>
        <w:tc>
          <w:tcPr>
            <w:tcW w:w="841" w:type="pct"/>
            <w:tcBorders>
              <w:bottom w:val="single" w:sz="4" w:space="0" w:color="auto"/>
            </w:tcBorders>
          </w:tcPr>
          <w:p w14:paraId="0DFF62A7" w14:textId="2A2FC7EA" w:rsidR="00F37825" w:rsidRPr="007B60BF" w:rsidRDefault="00F37825" w:rsidP="00F37825">
            <w:pPr>
              <w:jc w:val="right"/>
              <w:rPr>
                <w:b/>
              </w:rPr>
            </w:pPr>
            <w:r w:rsidRPr="007B60BF">
              <w:rPr>
                <w:b/>
              </w:rPr>
              <w:t xml:space="preserve"> 6.709 </w:t>
            </w:r>
          </w:p>
        </w:tc>
        <w:tc>
          <w:tcPr>
            <w:tcW w:w="85" w:type="pct"/>
            <w:vAlign w:val="bottom"/>
          </w:tcPr>
          <w:p w14:paraId="19785E30" w14:textId="77777777" w:rsidR="00F37825" w:rsidRPr="007B60BF" w:rsidRDefault="00F37825" w:rsidP="00F37825">
            <w:pPr>
              <w:jc w:val="right"/>
              <w:rPr>
                <w:b/>
              </w:rPr>
            </w:pPr>
          </w:p>
        </w:tc>
        <w:tc>
          <w:tcPr>
            <w:tcW w:w="765" w:type="pct"/>
            <w:tcBorders>
              <w:bottom w:val="single" w:sz="4" w:space="0" w:color="auto"/>
            </w:tcBorders>
            <w:shd w:val="clear" w:color="auto" w:fill="auto"/>
            <w:noWrap/>
          </w:tcPr>
          <w:p w14:paraId="7753EDD2" w14:textId="25914BC8" w:rsidR="00F37825" w:rsidRPr="007B60BF" w:rsidRDefault="00F37825" w:rsidP="00F37825">
            <w:pPr>
              <w:jc w:val="right"/>
              <w:rPr>
                <w:b/>
              </w:rPr>
            </w:pPr>
            <w:r w:rsidRPr="007B60BF">
              <w:rPr>
                <w:b/>
              </w:rPr>
              <w:t>4.292</w:t>
            </w:r>
          </w:p>
        </w:tc>
      </w:tr>
      <w:tr w:rsidR="00301AA7" w:rsidRPr="007B60BF" w14:paraId="33FB8D61" w14:textId="130DAE7F" w:rsidTr="00301AA7">
        <w:tc>
          <w:tcPr>
            <w:tcW w:w="2557" w:type="pct"/>
            <w:noWrap/>
            <w:vAlign w:val="bottom"/>
            <w:hideMark/>
          </w:tcPr>
          <w:p w14:paraId="0ED87662" w14:textId="77777777" w:rsidR="00F37825" w:rsidRPr="007B60BF" w:rsidRDefault="00F37825" w:rsidP="00F37825">
            <w:pPr>
              <w:rPr>
                <w:color w:val="000000"/>
              </w:rPr>
            </w:pPr>
            <w:r w:rsidRPr="007B60BF">
              <w:rPr>
                <w:color w:val="000000"/>
              </w:rPr>
              <w:t xml:space="preserve">   Despesas Financeiras</w:t>
            </w:r>
          </w:p>
        </w:tc>
        <w:tc>
          <w:tcPr>
            <w:tcW w:w="300" w:type="pct"/>
            <w:vAlign w:val="bottom"/>
          </w:tcPr>
          <w:p w14:paraId="21423BE9" w14:textId="77777777" w:rsidR="00F37825" w:rsidRPr="007B60BF" w:rsidRDefault="00F37825" w:rsidP="00F37825">
            <w:pPr>
              <w:jc w:val="right"/>
              <w:rPr>
                <w:color w:val="000000"/>
              </w:rPr>
            </w:pPr>
          </w:p>
        </w:tc>
        <w:tc>
          <w:tcPr>
            <w:tcW w:w="451" w:type="pct"/>
          </w:tcPr>
          <w:p w14:paraId="050116DD" w14:textId="77777777" w:rsidR="00F37825" w:rsidRPr="007B60BF" w:rsidRDefault="00F37825" w:rsidP="00F37825">
            <w:pPr>
              <w:jc w:val="right"/>
              <w:rPr>
                <w:color w:val="000000"/>
              </w:rPr>
            </w:pPr>
          </w:p>
        </w:tc>
        <w:tc>
          <w:tcPr>
            <w:tcW w:w="841" w:type="pct"/>
            <w:tcBorders>
              <w:top w:val="single" w:sz="4" w:space="0" w:color="auto"/>
            </w:tcBorders>
          </w:tcPr>
          <w:p w14:paraId="64E45C46" w14:textId="6CF0D408" w:rsidR="00F37825" w:rsidRPr="007B60BF" w:rsidRDefault="0055131C" w:rsidP="00F37825">
            <w:pPr>
              <w:jc w:val="right"/>
            </w:pPr>
            <w:r w:rsidRPr="007B60BF">
              <w:t>(</w:t>
            </w:r>
            <w:r w:rsidR="00F37825" w:rsidRPr="007B60BF">
              <w:t>3.641</w:t>
            </w:r>
            <w:r w:rsidRPr="007B60BF">
              <w:t>)</w:t>
            </w:r>
            <w:r w:rsidR="00F37825" w:rsidRPr="007B60BF">
              <w:t xml:space="preserve"> </w:t>
            </w:r>
          </w:p>
        </w:tc>
        <w:tc>
          <w:tcPr>
            <w:tcW w:w="85" w:type="pct"/>
            <w:vAlign w:val="bottom"/>
          </w:tcPr>
          <w:p w14:paraId="27B4C37F" w14:textId="77777777" w:rsidR="00F37825" w:rsidRPr="007B60BF" w:rsidRDefault="00F37825" w:rsidP="00F37825">
            <w:pPr>
              <w:jc w:val="right"/>
            </w:pPr>
          </w:p>
        </w:tc>
        <w:tc>
          <w:tcPr>
            <w:tcW w:w="765" w:type="pct"/>
            <w:tcBorders>
              <w:top w:val="single" w:sz="4" w:space="0" w:color="auto"/>
            </w:tcBorders>
            <w:shd w:val="clear" w:color="auto" w:fill="auto"/>
            <w:noWrap/>
          </w:tcPr>
          <w:p w14:paraId="4121425C" w14:textId="09F46D5A" w:rsidR="00F37825" w:rsidRPr="007B60BF" w:rsidRDefault="00F37825" w:rsidP="00F37825">
            <w:pPr>
              <w:jc w:val="right"/>
            </w:pPr>
            <w:r w:rsidRPr="007B60BF">
              <w:t xml:space="preserve">(643) </w:t>
            </w:r>
          </w:p>
        </w:tc>
      </w:tr>
      <w:tr w:rsidR="00301AA7" w:rsidRPr="007B60BF" w14:paraId="13DEBFEE" w14:textId="4F839CB0" w:rsidTr="00301AA7">
        <w:tc>
          <w:tcPr>
            <w:tcW w:w="2557" w:type="pct"/>
            <w:noWrap/>
            <w:vAlign w:val="bottom"/>
            <w:hideMark/>
          </w:tcPr>
          <w:p w14:paraId="546B806E" w14:textId="77777777" w:rsidR="00F37825" w:rsidRPr="007B60BF" w:rsidRDefault="00F37825" w:rsidP="00F37825">
            <w:pPr>
              <w:rPr>
                <w:color w:val="000000"/>
              </w:rPr>
            </w:pPr>
            <w:r w:rsidRPr="007B60BF">
              <w:rPr>
                <w:color w:val="000000"/>
              </w:rPr>
              <w:t xml:space="preserve">   Receitas Financeiras</w:t>
            </w:r>
          </w:p>
        </w:tc>
        <w:tc>
          <w:tcPr>
            <w:tcW w:w="300" w:type="pct"/>
            <w:vAlign w:val="bottom"/>
          </w:tcPr>
          <w:p w14:paraId="3B2ACCA9" w14:textId="77777777" w:rsidR="00F37825" w:rsidRPr="007B60BF" w:rsidRDefault="00F37825" w:rsidP="00F37825">
            <w:pPr>
              <w:jc w:val="right"/>
              <w:rPr>
                <w:color w:val="000000"/>
              </w:rPr>
            </w:pPr>
          </w:p>
        </w:tc>
        <w:tc>
          <w:tcPr>
            <w:tcW w:w="451" w:type="pct"/>
          </w:tcPr>
          <w:p w14:paraId="73FA3AEB" w14:textId="77777777" w:rsidR="00F37825" w:rsidRPr="007B60BF" w:rsidRDefault="00F37825" w:rsidP="00F37825">
            <w:pPr>
              <w:jc w:val="right"/>
              <w:rPr>
                <w:color w:val="000000"/>
              </w:rPr>
            </w:pPr>
          </w:p>
        </w:tc>
        <w:tc>
          <w:tcPr>
            <w:tcW w:w="841" w:type="pct"/>
          </w:tcPr>
          <w:p w14:paraId="4B3A0CB9" w14:textId="76B41805" w:rsidR="00F37825" w:rsidRPr="007B60BF" w:rsidRDefault="00F37825" w:rsidP="00F37825">
            <w:pPr>
              <w:jc w:val="right"/>
            </w:pPr>
            <w:r w:rsidRPr="007B60BF">
              <w:t xml:space="preserve"> 10.350 </w:t>
            </w:r>
          </w:p>
        </w:tc>
        <w:tc>
          <w:tcPr>
            <w:tcW w:w="85" w:type="pct"/>
            <w:vAlign w:val="bottom"/>
          </w:tcPr>
          <w:p w14:paraId="0D06E48F" w14:textId="77777777" w:rsidR="00F37825" w:rsidRPr="007B60BF" w:rsidRDefault="00F37825" w:rsidP="00F37825">
            <w:pPr>
              <w:jc w:val="right"/>
            </w:pPr>
          </w:p>
        </w:tc>
        <w:tc>
          <w:tcPr>
            <w:tcW w:w="765" w:type="pct"/>
            <w:shd w:val="clear" w:color="auto" w:fill="auto"/>
            <w:noWrap/>
          </w:tcPr>
          <w:p w14:paraId="1BC5F1ED" w14:textId="6F196EA7" w:rsidR="00F37825" w:rsidRPr="007B60BF" w:rsidRDefault="00F37825" w:rsidP="00F37825">
            <w:pPr>
              <w:jc w:val="right"/>
            </w:pPr>
            <w:r w:rsidRPr="007B60BF">
              <w:t xml:space="preserve"> 4.935 </w:t>
            </w:r>
          </w:p>
        </w:tc>
      </w:tr>
      <w:tr w:rsidR="00301AA7" w:rsidRPr="007B60BF" w14:paraId="306A0A36" w14:textId="597DB55F" w:rsidTr="00301AA7">
        <w:tc>
          <w:tcPr>
            <w:tcW w:w="2557" w:type="pct"/>
            <w:noWrap/>
            <w:vAlign w:val="bottom"/>
          </w:tcPr>
          <w:p w14:paraId="6375D517" w14:textId="77777777" w:rsidR="00F82749" w:rsidRPr="007B60BF" w:rsidRDefault="00F82749" w:rsidP="00F82749">
            <w:pPr>
              <w:rPr>
                <w:b/>
                <w:bCs/>
                <w:color w:val="000000"/>
              </w:rPr>
            </w:pPr>
          </w:p>
        </w:tc>
        <w:tc>
          <w:tcPr>
            <w:tcW w:w="300" w:type="pct"/>
            <w:vAlign w:val="bottom"/>
          </w:tcPr>
          <w:p w14:paraId="3A7CC612" w14:textId="77777777" w:rsidR="00F82749" w:rsidRPr="007B60BF" w:rsidRDefault="00F82749" w:rsidP="00F82749">
            <w:pPr>
              <w:jc w:val="right"/>
              <w:rPr>
                <w:b/>
                <w:bCs/>
                <w:color w:val="000000"/>
              </w:rPr>
            </w:pPr>
          </w:p>
        </w:tc>
        <w:tc>
          <w:tcPr>
            <w:tcW w:w="451" w:type="pct"/>
          </w:tcPr>
          <w:p w14:paraId="5FC77DE6" w14:textId="77777777" w:rsidR="00F82749" w:rsidRPr="007B60BF" w:rsidRDefault="00F82749" w:rsidP="00F82749">
            <w:pPr>
              <w:jc w:val="right"/>
              <w:rPr>
                <w:b/>
                <w:bCs/>
                <w:color w:val="000000"/>
              </w:rPr>
            </w:pPr>
          </w:p>
        </w:tc>
        <w:tc>
          <w:tcPr>
            <w:tcW w:w="841" w:type="pct"/>
            <w:vAlign w:val="bottom"/>
          </w:tcPr>
          <w:p w14:paraId="7634309A" w14:textId="1201126D" w:rsidR="00F82749" w:rsidRPr="007B60BF" w:rsidRDefault="00F82749" w:rsidP="00F82749">
            <w:pPr>
              <w:jc w:val="right"/>
              <w:rPr>
                <w:b/>
              </w:rPr>
            </w:pPr>
          </w:p>
        </w:tc>
        <w:tc>
          <w:tcPr>
            <w:tcW w:w="85" w:type="pct"/>
            <w:vAlign w:val="bottom"/>
          </w:tcPr>
          <w:p w14:paraId="4B396A72" w14:textId="77777777" w:rsidR="00F82749" w:rsidRPr="007B60BF" w:rsidRDefault="00F82749" w:rsidP="00F82749">
            <w:pPr>
              <w:jc w:val="right"/>
              <w:rPr>
                <w:b/>
              </w:rPr>
            </w:pPr>
          </w:p>
        </w:tc>
        <w:tc>
          <w:tcPr>
            <w:tcW w:w="765" w:type="pct"/>
            <w:shd w:val="clear" w:color="auto" w:fill="auto"/>
            <w:noWrap/>
          </w:tcPr>
          <w:p w14:paraId="39F61400" w14:textId="5C7B0323" w:rsidR="00F82749" w:rsidRPr="007B60BF" w:rsidRDefault="00F82749" w:rsidP="00F82749">
            <w:pPr>
              <w:jc w:val="right"/>
              <w:rPr>
                <w:b/>
              </w:rPr>
            </w:pPr>
          </w:p>
        </w:tc>
      </w:tr>
      <w:tr w:rsidR="00301AA7" w:rsidRPr="007B60BF" w14:paraId="1BFF0F81" w14:textId="3D7827A5" w:rsidTr="00301AA7">
        <w:tc>
          <w:tcPr>
            <w:tcW w:w="2557" w:type="pct"/>
            <w:noWrap/>
            <w:vAlign w:val="bottom"/>
            <w:hideMark/>
          </w:tcPr>
          <w:p w14:paraId="6F1674A8" w14:textId="77777777" w:rsidR="00F82749" w:rsidRPr="007B60BF" w:rsidRDefault="00F82749" w:rsidP="00F82749">
            <w:pPr>
              <w:rPr>
                <w:b/>
                <w:bCs/>
                <w:color w:val="000000"/>
              </w:rPr>
            </w:pPr>
            <w:r w:rsidRPr="007B60BF">
              <w:rPr>
                <w:b/>
                <w:bCs/>
                <w:color w:val="000000"/>
              </w:rPr>
              <w:t>Resultado Antes Das Subvenções Governamentais</w:t>
            </w:r>
          </w:p>
        </w:tc>
        <w:tc>
          <w:tcPr>
            <w:tcW w:w="300" w:type="pct"/>
            <w:vAlign w:val="bottom"/>
          </w:tcPr>
          <w:p w14:paraId="4B865654" w14:textId="77777777" w:rsidR="00F82749" w:rsidRPr="007B60BF" w:rsidRDefault="00F82749" w:rsidP="00F82749">
            <w:pPr>
              <w:jc w:val="right"/>
              <w:rPr>
                <w:b/>
                <w:bCs/>
                <w:color w:val="000000"/>
              </w:rPr>
            </w:pPr>
          </w:p>
        </w:tc>
        <w:tc>
          <w:tcPr>
            <w:tcW w:w="451" w:type="pct"/>
          </w:tcPr>
          <w:p w14:paraId="7BAAB3BF" w14:textId="77777777" w:rsidR="00F82749" w:rsidRPr="007B60BF" w:rsidRDefault="00F82749" w:rsidP="00F82749">
            <w:pPr>
              <w:jc w:val="right"/>
              <w:rPr>
                <w:b/>
                <w:bCs/>
                <w:color w:val="000000"/>
              </w:rPr>
            </w:pPr>
          </w:p>
        </w:tc>
        <w:tc>
          <w:tcPr>
            <w:tcW w:w="841" w:type="pct"/>
            <w:vAlign w:val="bottom"/>
          </w:tcPr>
          <w:p w14:paraId="728F7C36" w14:textId="5D032D07" w:rsidR="00F82749" w:rsidRPr="007B60BF" w:rsidRDefault="0055131C" w:rsidP="00F82749">
            <w:pPr>
              <w:jc w:val="right"/>
              <w:rPr>
                <w:b/>
              </w:rPr>
            </w:pPr>
            <w:r w:rsidRPr="007B60BF">
              <w:rPr>
                <w:b/>
              </w:rPr>
              <w:t>(</w:t>
            </w:r>
            <w:r w:rsidR="00F37825" w:rsidRPr="007B60BF">
              <w:rPr>
                <w:b/>
              </w:rPr>
              <w:t>2.068.789</w:t>
            </w:r>
            <w:r w:rsidRPr="007B60BF">
              <w:rPr>
                <w:b/>
              </w:rPr>
              <w:t>)</w:t>
            </w:r>
          </w:p>
        </w:tc>
        <w:tc>
          <w:tcPr>
            <w:tcW w:w="85" w:type="pct"/>
            <w:vAlign w:val="bottom"/>
          </w:tcPr>
          <w:p w14:paraId="059D0AF2" w14:textId="77777777" w:rsidR="00F82749" w:rsidRPr="007B60BF" w:rsidRDefault="00F82749" w:rsidP="00F82749">
            <w:pPr>
              <w:jc w:val="right"/>
              <w:rPr>
                <w:b/>
              </w:rPr>
            </w:pPr>
          </w:p>
        </w:tc>
        <w:tc>
          <w:tcPr>
            <w:tcW w:w="765" w:type="pct"/>
            <w:shd w:val="clear" w:color="auto" w:fill="auto"/>
            <w:noWrap/>
          </w:tcPr>
          <w:p w14:paraId="06BD01EA" w14:textId="2FFE9513" w:rsidR="00F82749" w:rsidRPr="007B60BF" w:rsidRDefault="00F82749" w:rsidP="00F82749">
            <w:pPr>
              <w:jc w:val="right"/>
              <w:rPr>
                <w:b/>
              </w:rPr>
            </w:pPr>
            <w:r w:rsidRPr="007B60BF">
              <w:rPr>
                <w:b/>
              </w:rPr>
              <w:t>(1.777.597)</w:t>
            </w:r>
          </w:p>
        </w:tc>
      </w:tr>
      <w:tr w:rsidR="00301AA7" w:rsidRPr="007B60BF" w14:paraId="3A0B67F1" w14:textId="63524FAB" w:rsidTr="00301AA7">
        <w:tc>
          <w:tcPr>
            <w:tcW w:w="2557" w:type="pct"/>
            <w:noWrap/>
            <w:vAlign w:val="bottom"/>
          </w:tcPr>
          <w:p w14:paraId="230282C2" w14:textId="77777777" w:rsidR="00F82749" w:rsidRPr="007B60BF" w:rsidRDefault="00F82749" w:rsidP="00F82749">
            <w:pPr>
              <w:rPr>
                <w:color w:val="000000"/>
              </w:rPr>
            </w:pPr>
          </w:p>
        </w:tc>
        <w:tc>
          <w:tcPr>
            <w:tcW w:w="300" w:type="pct"/>
            <w:vAlign w:val="bottom"/>
          </w:tcPr>
          <w:p w14:paraId="325F1D7A" w14:textId="77777777" w:rsidR="00F82749" w:rsidRPr="007B60BF" w:rsidRDefault="00F82749" w:rsidP="00F82749">
            <w:pPr>
              <w:jc w:val="right"/>
              <w:rPr>
                <w:color w:val="000000"/>
              </w:rPr>
            </w:pPr>
          </w:p>
        </w:tc>
        <w:tc>
          <w:tcPr>
            <w:tcW w:w="451" w:type="pct"/>
          </w:tcPr>
          <w:p w14:paraId="05FA925D" w14:textId="77777777" w:rsidR="00F82749" w:rsidRPr="007B60BF" w:rsidRDefault="00F82749" w:rsidP="00F82749">
            <w:pPr>
              <w:jc w:val="right"/>
              <w:rPr>
                <w:color w:val="000000"/>
              </w:rPr>
            </w:pPr>
          </w:p>
        </w:tc>
        <w:tc>
          <w:tcPr>
            <w:tcW w:w="841" w:type="pct"/>
            <w:vAlign w:val="bottom"/>
          </w:tcPr>
          <w:p w14:paraId="120742EE" w14:textId="1E22A3A9" w:rsidR="00F82749" w:rsidRPr="007B60BF" w:rsidRDefault="00F82749" w:rsidP="00F82749">
            <w:pPr>
              <w:jc w:val="right"/>
            </w:pPr>
          </w:p>
        </w:tc>
        <w:tc>
          <w:tcPr>
            <w:tcW w:w="85" w:type="pct"/>
            <w:vAlign w:val="bottom"/>
          </w:tcPr>
          <w:p w14:paraId="3B9F656D" w14:textId="77777777" w:rsidR="00F82749" w:rsidRPr="007B60BF" w:rsidRDefault="00F82749" w:rsidP="00F82749">
            <w:pPr>
              <w:jc w:val="right"/>
            </w:pPr>
          </w:p>
        </w:tc>
        <w:tc>
          <w:tcPr>
            <w:tcW w:w="765" w:type="pct"/>
            <w:shd w:val="clear" w:color="auto" w:fill="auto"/>
            <w:noWrap/>
          </w:tcPr>
          <w:p w14:paraId="57CEF7F5" w14:textId="74B9ABF8" w:rsidR="00F82749" w:rsidRPr="007B60BF" w:rsidRDefault="00F82749" w:rsidP="00F82749">
            <w:pPr>
              <w:jc w:val="right"/>
            </w:pPr>
          </w:p>
        </w:tc>
      </w:tr>
      <w:tr w:rsidR="00301AA7" w:rsidRPr="007B60BF" w14:paraId="22267274" w14:textId="597A72BD" w:rsidTr="00301AA7">
        <w:tc>
          <w:tcPr>
            <w:tcW w:w="2557" w:type="pct"/>
            <w:noWrap/>
            <w:vAlign w:val="bottom"/>
            <w:hideMark/>
          </w:tcPr>
          <w:p w14:paraId="629F5EA4" w14:textId="77777777" w:rsidR="00F37825" w:rsidRPr="007B60BF" w:rsidRDefault="00F37825" w:rsidP="00F37825">
            <w:pPr>
              <w:rPr>
                <w:color w:val="000000"/>
              </w:rPr>
            </w:pPr>
            <w:r w:rsidRPr="007B60BF">
              <w:rPr>
                <w:color w:val="000000"/>
              </w:rPr>
              <w:t>Subvenções do Tesouro Nacional</w:t>
            </w:r>
          </w:p>
        </w:tc>
        <w:tc>
          <w:tcPr>
            <w:tcW w:w="300" w:type="pct"/>
            <w:vAlign w:val="bottom"/>
          </w:tcPr>
          <w:p w14:paraId="16FEAE78" w14:textId="77777777" w:rsidR="00F37825" w:rsidRPr="007B60BF" w:rsidRDefault="00F37825" w:rsidP="00F37825">
            <w:pPr>
              <w:jc w:val="right"/>
              <w:rPr>
                <w:color w:val="000000"/>
              </w:rPr>
            </w:pPr>
          </w:p>
        </w:tc>
        <w:tc>
          <w:tcPr>
            <w:tcW w:w="451" w:type="pct"/>
          </w:tcPr>
          <w:p w14:paraId="4377F2DB" w14:textId="77777777" w:rsidR="00F37825" w:rsidRPr="007B60BF" w:rsidRDefault="00F37825" w:rsidP="00F37825">
            <w:pPr>
              <w:jc w:val="right"/>
              <w:rPr>
                <w:color w:val="000000"/>
              </w:rPr>
            </w:pPr>
          </w:p>
        </w:tc>
        <w:tc>
          <w:tcPr>
            <w:tcW w:w="841" w:type="pct"/>
          </w:tcPr>
          <w:p w14:paraId="1F6F3CA2" w14:textId="13B2AA67" w:rsidR="00F37825" w:rsidRPr="007B60BF" w:rsidRDefault="00F37825" w:rsidP="00F37825">
            <w:pPr>
              <w:jc w:val="right"/>
            </w:pPr>
            <w:r w:rsidRPr="007B60BF">
              <w:t xml:space="preserve"> 2.026.526 </w:t>
            </w:r>
          </w:p>
        </w:tc>
        <w:tc>
          <w:tcPr>
            <w:tcW w:w="85" w:type="pct"/>
            <w:vAlign w:val="bottom"/>
          </w:tcPr>
          <w:p w14:paraId="0975D7DD" w14:textId="77777777" w:rsidR="00F37825" w:rsidRPr="007B60BF" w:rsidRDefault="00F37825" w:rsidP="00F37825">
            <w:pPr>
              <w:jc w:val="right"/>
            </w:pPr>
          </w:p>
        </w:tc>
        <w:tc>
          <w:tcPr>
            <w:tcW w:w="765" w:type="pct"/>
            <w:shd w:val="clear" w:color="auto" w:fill="auto"/>
            <w:noWrap/>
          </w:tcPr>
          <w:p w14:paraId="475BA71A" w14:textId="10F39FCC" w:rsidR="00F37825" w:rsidRPr="007B60BF" w:rsidRDefault="00F37825" w:rsidP="00F37825">
            <w:pPr>
              <w:jc w:val="right"/>
            </w:pPr>
            <w:r w:rsidRPr="007B60BF">
              <w:t xml:space="preserve"> 1.819.242 </w:t>
            </w:r>
          </w:p>
        </w:tc>
      </w:tr>
      <w:tr w:rsidR="00301AA7" w:rsidRPr="007B60BF" w14:paraId="57101C6C" w14:textId="6BD2D2A6" w:rsidTr="00301AA7">
        <w:tc>
          <w:tcPr>
            <w:tcW w:w="2557" w:type="pct"/>
            <w:noWrap/>
            <w:vAlign w:val="bottom"/>
            <w:hideMark/>
          </w:tcPr>
          <w:p w14:paraId="3801A18F" w14:textId="77777777" w:rsidR="00F37825" w:rsidRPr="007B60BF" w:rsidRDefault="00F37825" w:rsidP="00F37825">
            <w:pPr>
              <w:rPr>
                <w:color w:val="000000"/>
              </w:rPr>
            </w:pPr>
            <w:r w:rsidRPr="007B60BF">
              <w:rPr>
                <w:color w:val="000000"/>
              </w:rPr>
              <w:t>Repasses para Subvenções e Doações Governamentais</w:t>
            </w:r>
          </w:p>
        </w:tc>
        <w:tc>
          <w:tcPr>
            <w:tcW w:w="300" w:type="pct"/>
            <w:vAlign w:val="bottom"/>
          </w:tcPr>
          <w:p w14:paraId="319FC77D" w14:textId="77777777" w:rsidR="00F37825" w:rsidRPr="007B60BF" w:rsidRDefault="00F37825" w:rsidP="00F37825">
            <w:pPr>
              <w:jc w:val="right"/>
              <w:rPr>
                <w:color w:val="000000"/>
              </w:rPr>
            </w:pPr>
          </w:p>
        </w:tc>
        <w:tc>
          <w:tcPr>
            <w:tcW w:w="451" w:type="pct"/>
          </w:tcPr>
          <w:p w14:paraId="59B4C666" w14:textId="77777777" w:rsidR="00F37825" w:rsidRPr="007B60BF" w:rsidRDefault="00F37825" w:rsidP="00F37825">
            <w:pPr>
              <w:jc w:val="right"/>
              <w:rPr>
                <w:color w:val="000000"/>
              </w:rPr>
            </w:pPr>
          </w:p>
        </w:tc>
        <w:tc>
          <w:tcPr>
            <w:tcW w:w="841" w:type="pct"/>
          </w:tcPr>
          <w:p w14:paraId="1FC2133F" w14:textId="7DCCF067" w:rsidR="00F37825" w:rsidRPr="007B60BF" w:rsidRDefault="0055131C" w:rsidP="00F37825">
            <w:pPr>
              <w:jc w:val="right"/>
            </w:pPr>
            <w:r w:rsidRPr="007B60BF">
              <w:t>(</w:t>
            </w:r>
            <w:r w:rsidR="00F37825" w:rsidRPr="007B60BF">
              <w:t>58.684</w:t>
            </w:r>
            <w:r w:rsidRPr="007B60BF">
              <w:t>)</w:t>
            </w:r>
            <w:r w:rsidR="00F37825" w:rsidRPr="007B60BF">
              <w:t xml:space="preserve"> </w:t>
            </w:r>
          </w:p>
        </w:tc>
        <w:tc>
          <w:tcPr>
            <w:tcW w:w="85" w:type="pct"/>
            <w:vAlign w:val="bottom"/>
          </w:tcPr>
          <w:p w14:paraId="73690AAF" w14:textId="77777777" w:rsidR="00F37825" w:rsidRPr="007B60BF" w:rsidRDefault="00F37825" w:rsidP="00F37825">
            <w:pPr>
              <w:jc w:val="right"/>
            </w:pPr>
          </w:p>
        </w:tc>
        <w:tc>
          <w:tcPr>
            <w:tcW w:w="765" w:type="pct"/>
            <w:shd w:val="clear" w:color="auto" w:fill="auto"/>
            <w:noWrap/>
          </w:tcPr>
          <w:p w14:paraId="3EDA4830" w14:textId="3106A836" w:rsidR="00F37825" w:rsidRPr="007B60BF" w:rsidRDefault="00F37825" w:rsidP="00F37825">
            <w:pPr>
              <w:jc w:val="right"/>
            </w:pPr>
            <w:r w:rsidRPr="007B60BF">
              <w:t xml:space="preserve">(32.093) </w:t>
            </w:r>
          </w:p>
        </w:tc>
      </w:tr>
      <w:tr w:rsidR="00301AA7" w:rsidRPr="007B60BF" w14:paraId="12CFEFD9" w14:textId="4D6D97C8" w:rsidTr="00301AA7">
        <w:tc>
          <w:tcPr>
            <w:tcW w:w="2557" w:type="pct"/>
            <w:noWrap/>
            <w:vAlign w:val="bottom"/>
            <w:hideMark/>
          </w:tcPr>
          <w:p w14:paraId="201F43E9" w14:textId="77777777" w:rsidR="00F37825" w:rsidRPr="007B60BF" w:rsidRDefault="00F37825" w:rsidP="00F37825">
            <w:pPr>
              <w:rPr>
                <w:color w:val="000000"/>
              </w:rPr>
            </w:pPr>
            <w:r w:rsidRPr="007B60BF">
              <w:rPr>
                <w:color w:val="000000"/>
              </w:rPr>
              <w:t>Reversões e Repasses Concedidos</w:t>
            </w:r>
          </w:p>
        </w:tc>
        <w:tc>
          <w:tcPr>
            <w:tcW w:w="300" w:type="pct"/>
            <w:vAlign w:val="bottom"/>
          </w:tcPr>
          <w:p w14:paraId="6A7D11F7" w14:textId="77777777" w:rsidR="00F37825" w:rsidRPr="007B60BF" w:rsidRDefault="00F37825" w:rsidP="00F37825">
            <w:pPr>
              <w:jc w:val="right"/>
              <w:rPr>
                <w:color w:val="000000"/>
              </w:rPr>
            </w:pPr>
          </w:p>
        </w:tc>
        <w:tc>
          <w:tcPr>
            <w:tcW w:w="451" w:type="pct"/>
          </w:tcPr>
          <w:p w14:paraId="5B272624" w14:textId="77777777" w:rsidR="00F37825" w:rsidRPr="007B60BF" w:rsidRDefault="00F37825" w:rsidP="00F37825">
            <w:pPr>
              <w:jc w:val="right"/>
              <w:rPr>
                <w:color w:val="000000"/>
              </w:rPr>
            </w:pPr>
          </w:p>
        </w:tc>
        <w:tc>
          <w:tcPr>
            <w:tcW w:w="841" w:type="pct"/>
          </w:tcPr>
          <w:p w14:paraId="6B9B68F3" w14:textId="54E6E641" w:rsidR="00F37825" w:rsidRPr="007B60BF" w:rsidRDefault="00F37825" w:rsidP="00F37825">
            <w:pPr>
              <w:jc w:val="right"/>
            </w:pPr>
            <w:r w:rsidRPr="007B60BF">
              <w:t xml:space="preserve"> 10.331 </w:t>
            </w:r>
          </w:p>
        </w:tc>
        <w:tc>
          <w:tcPr>
            <w:tcW w:w="85" w:type="pct"/>
            <w:vAlign w:val="bottom"/>
          </w:tcPr>
          <w:p w14:paraId="44162A76" w14:textId="77777777" w:rsidR="00F37825" w:rsidRPr="007B60BF" w:rsidRDefault="00F37825" w:rsidP="00F37825">
            <w:pPr>
              <w:jc w:val="right"/>
            </w:pPr>
          </w:p>
        </w:tc>
        <w:tc>
          <w:tcPr>
            <w:tcW w:w="765" w:type="pct"/>
            <w:shd w:val="clear" w:color="auto" w:fill="auto"/>
            <w:noWrap/>
          </w:tcPr>
          <w:p w14:paraId="71EFAD15" w14:textId="4BB0E6F9" w:rsidR="00F37825" w:rsidRPr="007B60BF" w:rsidRDefault="00F37825" w:rsidP="00F37825">
            <w:pPr>
              <w:jc w:val="right"/>
            </w:pPr>
            <w:r w:rsidRPr="007B60BF">
              <w:t xml:space="preserve"> 10.600 </w:t>
            </w:r>
          </w:p>
        </w:tc>
      </w:tr>
      <w:tr w:rsidR="00301AA7" w:rsidRPr="007B60BF" w14:paraId="4FBAF8D6" w14:textId="798620D8" w:rsidTr="00301AA7">
        <w:tc>
          <w:tcPr>
            <w:tcW w:w="2557" w:type="pct"/>
            <w:noWrap/>
            <w:vAlign w:val="bottom"/>
          </w:tcPr>
          <w:p w14:paraId="4E311CFE" w14:textId="77777777" w:rsidR="00F82749" w:rsidRPr="007B60BF" w:rsidRDefault="00F82749" w:rsidP="00F82749">
            <w:pPr>
              <w:rPr>
                <w:b/>
                <w:bCs/>
                <w:color w:val="000000"/>
              </w:rPr>
            </w:pPr>
          </w:p>
        </w:tc>
        <w:tc>
          <w:tcPr>
            <w:tcW w:w="300" w:type="pct"/>
            <w:vAlign w:val="bottom"/>
          </w:tcPr>
          <w:p w14:paraId="4D3208DA" w14:textId="77777777" w:rsidR="00F82749" w:rsidRPr="007B60BF" w:rsidRDefault="00F82749" w:rsidP="00F82749">
            <w:pPr>
              <w:jc w:val="right"/>
              <w:rPr>
                <w:b/>
                <w:bCs/>
                <w:color w:val="000000"/>
              </w:rPr>
            </w:pPr>
          </w:p>
        </w:tc>
        <w:tc>
          <w:tcPr>
            <w:tcW w:w="451" w:type="pct"/>
          </w:tcPr>
          <w:p w14:paraId="138A5F1A" w14:textId="77777777" w:rsidR="00F82749" w:rsidRPr="007B60BF" w:rsidRDefault="00F82749" w:rsidP="00F82749">
            <w:pPr>
              <w:jc w:val="right"/>
              <w:rPr>
                <w:b/>
                <w:bCs/>
                <w:color w:val="000000"/>
              </w:rPr>
            </w:pPr>
          </w:p>
        </w:tc>
        <w:tc>
          <w:tcPr>
            <w:tcW w:w="841" w:type="pct"/>
            <w:tcBorders>
              <w:bottom w:val="single" w:sz="4" w:space="0" w:color="auto"/>
            </w:tcBorders>
            <w:vAlign w:val="bottom"/>
          </w:tcPr>
          <w:p w14:paraId="27DDBC26" w14:textId="2B049ED5" w:rsidR="00F82749" w:rsidRPr="007B60BF" w:rsidRDefault="00F82749" w:rsidP="00F82749">
            <w:pPr>
              <w:jc w:val="right"/>
            </w:pPr>
          </w:p>
        </w:tc>
        <w:tc>
          <w:tcPr>
            <w:tcW w:w="85" w:type="pct"/>
            <w:vAlign w:val="bottom"/>
          </w:tcPr>
          <w:p w14:paraId="0087CA50" w14:textId="77777777" w:rsidR="00F82749" w:rsidRPr="007B60BF" w:rsidRDefault="00F82749" w:rsidP="00F82749">
            <w:pPr>
              <w:jc w:val="right"/>
            </w:pPr>
          </w:p>
        </w:tc>
        <w:tc>
          <w:tcPr>
            <w:tcW w:w="765" w:type="pct"/>
            <w:tcBorders>
              <w:bottom w:val="single" w:sz="4" w:space="0" w:color="auto"/>
            </w:tcBorders>
            <w:shd w:val="clear" w:color="auto" w:fill="auto"/>
            <w:noWrap/>
          </w:tcPr>
          <w:p w14:paraId="180D4273" w14:textId="2167D832" w:rsidR="00F82749" w:rsidRPr="007B60BF" w:rsidRDefault="00F82749" w:rsidP="00F82749">
            <w:pPr>
              <w:jc w:val="right"/>
            </w:pPr>
          </w:p>
        </w:tc>
      </w:tr>
      <w:tr w:rsidR="00301AA7" w:rsidRPr="007B60BF" w14:paraId="3F725EBD" w14:textId="32283BB3" w:rsidTr="00301AA7">
        <w:tc>
          <w:tcPr>
            <w:tcW w:w="2557" w:type="pct"/>
            <w:noWrap/>
            <w:vAlign w:val="bottom"/>
            <w:hideMark/>
          </w:tcPr>
          <w:p w14:paraId="52E91962" w14:textId="1717C6BC" w:rsidR="00F82749" w:rsidRPr="007B60BF" w:rsidRDefault="00F82749" w:rsidP="00897A0E">
            <w:pPr>
              <w:rPr>
                <w:b/>
                <w:bCs/>
              </w:rPr>
            </w:pPr>
            <w:r w:rsidRPr="007B60BF">
              <w:rPr>
                <w:b/>
                <w:bCs/>
              </w:rPr>
              <w:t xml:space="preserve">Resultado do </w:t>
            </w:r>
            <w:r w:rsidR="00897A0E" w:rsidRPr="007B60BF">
              <w:rPr>
                <w:b/>
                <w:bCs/>
              </w:rPr>
              <w:t>Exercício</w:t>
            </w:r>
          </w:p>
        </w:tc>
        <w:tc>
          <w:tcPr>
            <w:tcW w:w="300" w:type="pct"/>
            <w:vAlign w:val="bottom"/>
          </w:tcPr>
          <w:p w14:paraId="537FB72B" w14:textId="77777777" w:rsidR="00F82749" w:rsidRPr="007B60BF" w:rsidRDefault="00F82749" w:rsidP="00F82749">
            <w:pPr>
              <w:jc w:val="right"/>
              <w:rPr>
                <w:b/>
                <w:bCs/>
              </w:rPr>
            </w:pPr>
          </w:p>
        </w:tc>
        <w:tc>
          <w:tcPr>
            <w:tcW w:w="451" w:type="pct"/>
          </w:tcPr>
          <w:p w14:paraId="65A2BC0B" w14:textId="77777777" w:rsidR="00F82749" w:rsidRPr="007B60BF" w:rsidRDefault="00F82749" w:rsidP="00F82749">
            <w:pPr>
              <w:jc w:val="right"/>
              <w:rPr>
                <w:b/>
                <w:bCs/>
              </w:rPr>
            </w:pPr>
          </w:p>
        </w:tc>
        <w:tc>
          <w:tcPr>
            <w:tcW w:w="841" w:type="pct"/>
            <w:tcBorders>
              <w:top w:val="single" w:sz="4" w:space="0" w:color="auto"/>
              <w:bottom w:val="double" w:sz="4" w:space="0" w:color="auto"/>
            </w:tcBorders>
            <w:vAlign w:val="bottom"/>
          </w:tcPr>
          <w:p w14:paraId="7AD70DE2" w14:textId="36811103" w:rsidR="00F82749" w:rsidRPr="007B60BF" w:rsidRDefault="0055131C" w:rsidP="00F82749">
            <w:pPr>
              <w:jc w:val="right"/>
              <w:rPr>
                <w:b/>
              </w:rPr>
            </w:pPr>
            <w:r w:rsidRPr="007B60BF">
              <w:rPr>
                <w:b/>
              </w:rPr>
              <w:t>(</w:t>
            </w:r>
            <w:r w:rsidR="00F37825" w:rsidRPr="007B60BF">
              <w:rPr>
                <w:b/>
              </w:rPr>
              <w:t>90.616</w:t>
            </w:r>
            <w:r w:rsidRPr="007B60BF">
              <w:rPr>
                <w:b/>
              </w:rPr>
              <w:t>)</w:t>
            </w:r>
          </w:p>
        </w:tc>
        <w:tc>
          <w:tcPr>
            <w:tcW w:w="85" w:type="pct"/>
            <w:vAlign w:val="bottom"/>
          </w:tcPr>
          <w:p w14:paraId="273CA159" w14:textId="77777777" w:rsidR="00F82749" w:rsidRPr="007B60BF" w:rsidRDefault="00F82749" w:rsidP="00F82749">
            <w:pPr>
              <w:jc w:val="right"/>
              <w:rPr>
                <w:b/>
              </w:rPr>
            </w:pPr>
          </w:p>
        </w:tc>
        <w:tc>
          <w:tcPr>
            <w:tcW w:w="765" w:type="pct"/>
            <w:tcBorders>
              <w:top w:val="single" w:sz="4" w:space="0" w:color="auto"/>
              <w:left w:val="nil"/>
              <w:bottom w:val="double" w:sz="4" w:space="0" w:color="auto"/>
              <w:right w:val="nil"/>
            </w:tcBorders>
            <w:shd w:val="clear" w:color="auto" w:fill="auto"/>
            <w:noWrap/>
          </w:tcPr>
          <w:p w14:paraId="4B05FAC6" w14:textId="0ED5DD94" w:rsidR="00F82749" w:rsidRPr="007B60BF" w:rsidRDefault="00F82749" w:rsidP="00F82749">
            <w:pPr>
              <w:jc w:val="right"/>
              <w:rPr>
                <w:b/>
              </w:rPr>
            </w:pPr>
            <w:r w:rsidRPr="007B60BF">
              <w:rPr>
                <w:b/>
              </w:rPr>
              <w:t>20.152</w:t>
            </w:r>
          </w:p>
        </w:tc>
      </w:tr>
    </w:tbl>
    <w:p w14:paraId="21A94637" w14:textId="31F5DC07" w:rsidR="00131833" w:rsidRPr="007B60BF" w:rsidRDefault="00131833" w:rsidP="00131833"/>
    <w:p w14:paraId="4006B995" w14:textId="77777777" w:rsidR="00131833" w:rsidRPr="007B60BF" w:rsidRDefault="00131833" w:rsidP="00131833"/>
    <w:p w14:paraId="75F75F61" w14:textId="2786A04C" w:rsidR="00131833" w:rsidRPr="007B60BF" w:rsidRDefault="006D099A" w:rsidP="006D099A">
      <w:pPr>
        <w:pStyle w:val="Ttulo1"/>
        <w:ind w:left="-567"/>
        <w:jc w:val="left"/>
      </w:pPr>
      <w:bookmarkStart w:id="13" w:name="_Toc223007845"/>
      <w:r w:rsidRPr="007B60BF">
        <w:t xml:space="preserve">Demonstrações do Resultado </w:t>
      </w:r>
      <w:r w:rsidR="00131833" w:rsidRPr="007B60BF">
        <w:t>Abrangente</w:t>
      </w:r>
      <w:bookmarkEnd w:id="13"/>
    </w:p>
    <w:p w14:paraId="1ADFC8FE" w14:textId="51911E95" w:rsidR="00AC5E1C" w:rsidRPr="007B60BF" w:rsidRDefault="00AC5E1C" w:rsidP="00AC5E1C">
      <w:pPr>
        <w:ind w:left="-567"/>
      </w:pPr>
    </w:p>
    <w:tbl>
      <w:tblPr>
        <w:tblW w:w="5235" w:type="pct"/>
        <w:tblInd w:w="-567" w:type="dxa"/>
        <w:tblLayout w:type="fixed"/>
        <w:tblCellMar>
          <w:left w:w="70" w:type="dxa"/>
          <w:right w:w="70" w:type="dxa"/>
        </w:tblCellMar>
        <w:tblLook w:val="04A0" w:firstRow="1" w:lastRow="0" w:firstColumn="1" w:lastColumn="0" w:noHBand="0" w:noVBand="1"/>
      </w:tblPr>
      <w:tblGrid>
        <w:gridCol w:w="4685"/>
        <w:gridCol w:w="702"/>
        <w:gridCol w:w="852"/>
        <w:gridCol w:w="1561"/>
        <w:gridCol w:w="161"/>
        <w:gridCol w:w="1537"/>
      </w:tblGrid>
      <w:tr w:rsidR="00163354" w:rsidRPr="007B60BF" w14:paraId="354971EC" w14:textId="77777777" w:rsidTr="00163354">
        <w:tc>
          <w:tcPr>
            <w:tcW w:w="2466" w:type="pct"/>
            <w:noWrap/>
            <w:vAlign w:val="bottom"/>
            <w:hideMark/>
          </w:tcPr>
          <w:p w14:paraId="4F37DFE4" w14:textId="54965450" w:rsidR="00F82749" w:rsidRPr="007B60BF" w:rsidRDefault="00F82749" w:rsidP="00F82749">
            <w:pPr>
              <w:rPr>
                <w:b/>
                <w:bCs/>
                <w:color w:val="000000"/>
              </w:rPr>
            </w:pPr>
          </w:p>
        </w:tc>
        <w:tc>
          <w:tcPr>
            <w:tcW w:w="369" w:type="pct"/>
          </w:tcPr>
          <w:p w14:paraId="300AEE5F" w14:textId="77777777" w:rsidR="00F82749" w:rsidRPr="007B60BF" w:rsidRDefault="00F82749" w:rsidP="00F82749">
            <w:pPr>
              <w:jc w:val="right"/>
              <w:rPr>
                <w:b/>
              </w:rPr>
            </w:pPr>
          </w:p>
        </w:tc>
        <w:tc>
          <w:tcPr>
            <w:tcW w:w="448" w:type="pct"/>
          </w:tcPr>
          <w:p w14:paraId="0D98D1B3" w14:textId="77777777" w:rsidR="00F82749" w:rsidRPr="007B60BF" w:rsidRDefault="00F82749" w:rsidP="00F82749">
            <w:pPr>
              <w:jc w:val="right"/>
              <w:rPr>
                <w:b/>
              </w:rPr>
            </w:pPr>
          </w:p>
        </w:tc>
        <w:tc>
          <w:tcPr>
            <w:tcW w:w="822" w:type="pct"/>
            <w:tcBorders>
              <w:bottom w:val="single" w:sz="4" w:space="0" w:color="auto"/>
            </w:tcBorders>
          </w:tcPr>
          <w:p w14:paraId="596F4AAB" w14:textId="68F63CF9" w:rsidR="00F82749" w:rsidRPr="007B60BF" w:rsidRDefault="00F82749" w:rsidP="00F82749">
            <w:pPr>
              <w:jc w:val="right"/>
              <w:rPr>
                <w:b/>
              </w:rPr>
            </w:pPr>
            <w:r w:rsidRPr="007B60BF">
              <w:rPr>
                <w:b/>
              </w:rPr>
              <w:t>31/12/2025</w:t>
            </w:r>
          </w:p>
        </w:tc>
        <w:tc>
          <w:tcPr>
            <w:tcW w:w="85" w:type="pct"/>
          </w:tcPr>
          <w:p w14:paraId="6FB02A96" w14:textId="16D73740" w:rsidR="00F82749" w:rsidRPr="007B60BF" w:rsidRDefault="00F82749" w:rsidP="00F82749">
            <w:pPr>
              <w:jc w:val="right"/>
              <w:rPr>
                <w:b/>
              </w:rPr>
            </w:pPr>
          </w:p>
        </w:tc>
        <w:tc>
          <w:tcPr>
            <w:tcW w:w="809" w:type="pct"/>
            <w:tcBorders>
              <w:bottom w:val="single" w:sz="4" w:space="0" w:color="auto"/>
            </w:tcBorders>
            <w:noWrap/>
          </w:tcPr>
          <w:p w14:paraId="7D64C207" w14:textId="688A4F20" w:rsidR="00F82749" w:rsidRPr="007B60BF" w:rsidRDefault="00F82749" w:rsidP="00F82749">
            <w:pPr>
              <w:jc w:val="right"/>
              <w:rPr>
                <w:b/>
              </w:rPr>
            </w:pPr>
            <w:r w:rsidRPr="007B60BF">
              <w:rPr>
                <w:b/>
              </w:rPr>
              <w:t>31/12/2024</w:t>
            </w:r>
          </w:p>
        </w:tc>
      </w:tr>
      <w:tr w:rsidR="00163354" w:rsidRPr="007B60BF" w14:paraId="59AC3C8D" w14:textId="77777777" w:rsidTr="00163354">
        <w:tc>
          <w:tcPr>
            <w:tcW w:w="2466" w:type="pct"/>
            <w:noWrap/>
            <w:vAlign w:val="bottom"/>
          </w:tcPr>
          <w:p w14:paraId="41C9F0CC" w14:textId="77777777" w:rsidR="009173BF" w:rsidRPr="007B60BF" w:rsidRDefault="009173BF" w:rsidP="00B94EE8">
            <w:pPr>
              <w:rPr>
                <w:b/>
              </w:rPr>
            </w:pPr>
          </w:p>
        </w:tc>
        <w:tc>
          <w:tcPr>
            <w:tcW w:w="369" w:type="pct"/>
          </w:tcPr>
          <w:p w14:paraId="53AE7F51" w14:textId="77777777" w:rsidR="009173BF" w:rsidRPr="007B60BF" w:rsidRDefault="009173BF" w:rsidP="00B94EE8">
            <w:pPr>
              <w:jc w:val="right"/>
              <w:rPr>
                <w:color w:val="000000"/>
              </w:rPr>
            </w:pPr>
          </w:p>
        </w:tc>
        <w:tc>
          <w:tcPr>
            <w:tcW w:w="448" w:type="pct"/>
          </w:tcPr>
          <w:p w14:paraId="4421D39D" w14:textId="77777777" w:rsidR="009173BF" w:rsidRPr="007B60BF" w:rsidRDefault="009173BF" w:rsidP="00B94EE8">
            <w:pPr>
              <w:jc w:val="right"/>
              <w:rPr>
                <w:color w:val="000000"/>
              </w:rPr>
            </w:pPr>
          </w:p>
        </w:tc>
        <w:tc>
          <w:tcPr>
            <w:tcW w:w="822" w:type="pct"/>
            <w:tcBorders>
              <w:top w:val="single" w:sz="4" w:space="0" w:color="auto"/>
            </w:tcBorders>
            <w:vAlign w:val="bottom"/>
          </w:tcPr>
          <w:p w14:paraId="4A99EAB2" w14:textId="4D4E22FB" w:rsidR="009173BF" w:rsidRPr="007B60BF" w:rsidRDefault="009173BF" w:rsidP="00B94EE8">
            <w:pPr>
              <w:jc w:val="right"/>
            </w:pPr>
          </w:p>
        </w:tc>
        <w:tc>
          <w:tcPr>
            <w:tcW w:w="85" w:type="pct"/>
          </w:tcPr>
          <w:p w14:paraId="4F85A0EA" w14:textId="1D9079B6" w:rsidR="009173BF" w:rsidRPr="007B60BF" w:rsidRDefault="009173BF" w:rsidP="00B94EE8">
            <w:pPr>
              <w:jc w:val="right"/>
            </w:pPr>
          </w:p>
        </w:tc>
        <w:tc>
          <w:tcPr>
            <w:tcW w:w="809" w:type="pct"/>
            <w:tcBorders>
              <w:top w:val="single" w:sz="4" w:space="0" w:color="auto"/>
            </w:tcBorders>
            <w:noWrap/>
          </w:tcPr>
          <w:p w14:paraId="698D8BEA" w14:textId="545EAFA8" w:rsidR="009173BF" w:rsidRPr="007B60BF" w:rsidRDefault="009173BF" w:rsidP="00B94EE8">
            <w:pPr>
              <w:jc w:val="right"/>
            </w:pPr>
          </w:p>
        </w:tc>
      </w:tr>
      <w:tr w:rsidR="00163354" w:rsidRPr="007B60BF" w14:paraId="3A000DEB" w14:textId="77777777" w:rsidTr="00163354">
        <w:trPr>
          <w:trHeight w:val="217"/>
        </w:trPr>
        <w:tc>
          <w:tcPr>
            <w:tcW w:w="2466" w:type="pct"/>
            <w:shd w:val="clear" w:color="auto" w:fill="auto"/>
            <w:noWrap/>
            <w:vAlign w:val="bottom"/>
          </w:tcPr>
          <w:p w14:paraId="5DA43B6E" w14:textId="3F31B0DF" w:rsidR="005A673F" w:rsidRPr="007B60BF" w:rsidRDefault="005A673F" w:rsidP="005A673F">
            <w:pPr>
              <w:rPr>
                <w:b/>
                <w:color w:val="000000"/>
              </w:rPr>
            </w:pPr>
            <w:r w:rsidRPr="007B60BF">
              <w:rPr>
                <w:b/>
                <w:bCs/>
              </w:rPr>
              <w:t xml:space="preserve">Resultado do </w:t>
            </w:r>
            <w:r w:rsidR="00897A0E" w:rsidRPr="007B60BF">
              <w:rPr>
                <w:b/>
                <w:bCs/>
              </w:rPr>
              <w:t>Exercício</w:t>
            </w:r>
          </w:p>
        </w:tc>
        <w:tc>
          <w:tcPr>
            <w:tcW w:w="369" w:type="pct"/>
          </w:tcPr>
          <w:p w14:paraId="73BC8882" w14:textId="77777777" w:rsidR="005A673F" w:rsidRPr="007B60BF" w:rsidRDefault="005A673F" w:rsidP="005A673F">
            <w:pPr>
              <w:jc w:val="right"/>
              <w:rPr>
                <w:b/>
              </w:rPr>
            </w:pPr>
          </w:p>
        </w:tc>
        <w:tc>
          <w:tcPr>
            <w:tcW w:w="448" w:type="pct"/>
          </w:tcPr>
          <w:p w14:paraId="42318B97" w14:textId="77777777" w:rsidR="005A673F" w:rsidRPr="007B60BF" w:rsidRDefault="005A673F" w:rsidP="005A673F">
            <w:pPr>
              <w:jc w:val="right"/>
              <w:rPr>
                <w:b/>
              </w:rPr>
            </w:pPr>
          </w:p>
        </w:tc>
        <w:tc>
          <w:tcPr>
            <w:tcW w:w="822" w:type="pct"/>
            <w:tcBorders>
              <w:bottom w:val="single" w:sz="4" w:space="0" w:color="auto"/>
            </w:tcBorders>
            <w:vAlign w:val="bottom"/>
          </w:tcPr>
          <w:p w14:paraId="22F197E8" w14:textId="43B5B357" w:rsidR="005A673F" w:rsidRPr="007B60BF" w:rsidRDefault="00CD3DBC" w:rsidP="005A673F">
            <w:pPr>
              <w:jc w:val="right"/>
              <w:rPr>
                <w:b/>
              </w:rPr>
            </w:pPr>
            <w:r w:rsidRPr="007B60BF">
              <w:rPr>
                <w:b/>
              </w:rPr>
              <w:t>(90.616)</w:t>
            </w:r>
          </w:p>
        </w:tc>
        <w:tc>
          <w:tcPr>
            <w:tcW w:w="85" w:type="pct"/>
            <w:vAlign w:val="bottom"/>
          </w:tcPr>
          <w:p w14:paraId="0E8FE1B0" w14:textId="0DCD959E" w:rsidR="005A673F" w:rsidRPr="007B60BF" w:rsidRDefault="005A673F" w:rsidP="005A673F">
            <w:pPr>
              <w:jc w:val="right"/>
              <w:rPr>
                <w:b/>
              </w:rPr>
            </w:pPr>
          </w:p>
        </w:tc>
        <w:tc>
          <w:tcPr>
            <w:tcW w:w="809" w:type="pct"/>
            <w:tcBorders>
              <w:bottom w:val="single" w:sz="4" w:space="0" w:color="auto"/>
            </w:tcBorders>
            <w:shd w:val="clear" w:color="auto" w:fill="auto"/>
            <w:noWrap/>
          </w:tcPr>
          <w:p w14:paraId="2640D832" w14:textId="7F72E0D9" w:rsidR="005A673F" w:rsidRPr="007B60BF" w:rsidRDefault="005A673F" w:rsidP="005A673F">
            <w:pPr>
              <w:jc w:val="right"/>
              <w:rPr>
                <w:b/>
              </w:rPr>
            </w:pPr>
            <w:r w:rsidRPr="007B60BF">
              <w:rPr>
                <w:b/>
              </w:rPr>
              <w:t>20.152</w:t>
            </w:r>
          </w:p>
        </w:tc>
      </w:tr>
      <w:tr w:rsidR="00163354" w:rsidRPr="007B60BF" w14:paraId="79CF4607" w14:textId="77777777" w:rsidTr="00163354">
        <w:tc>
          <w:tcPr>
            <w:tcW w:w="2466" w:type="pct"/>
            <w:noWrap/>
            <w:vAlign w:val="bottom"/>
          </w:tcPr>
          <w:p w14:paraId="5364FC82" w14:textId="77777777" w:rsidR="005A673F" w:rsidRPr="007B60BF" w:rsidRDefault="005A673F" w:rsidP="005A673F">
            <w:pPr>
              <w:rPr>
                <w:b/>
                <w:bCs/>
                <w:color w:val="000000"/>
              </w:rPr>
            </w:pPr>
            <w:r w:rsidRPr="007B60BF">
              <w:t xml:space="preserve">   Realização da Avaliação Patrimonial</w:t>
            </w:r>
          </w:p>
        </w:tc>
        <w:tc>
          <w:tcPr>
            <w:tcW w:w="369" w:type="pct"/>
          </w:tcPr>
          <w:p w14:paraId="4CC0A58E" w14:textId="6F17ECB2" w:rsidR="005A673F" w:rsidRPr="007B60BF" w:rsidRDefault="007D667C" w:rsidP="005A673F">
            <w:pPr>
              <w:jc w:val="right"/>
              <w:rPr>
                <w:b/>
                <w:bCs/>
                <w:color w:val="000000"/>
              </w:rPr>
            </w:pPr>
            <w:r w:rsidRPr="007B60BF">
              <w:rPr>
                <w:b/>
                <w:bCs/>
                <w:color w:val="000000"/>
              </w:rPr>
              <w:t>16</w:t>
            </w:r>
          </w:p>
        </w:tc>
        <w:tc>
          <w:tcPr>
            <w:tcW w:w="448" w:type="pct"/>
          </w:tcPr>
          <w:p w14:paraId="7C5E56D3" w14:textId="77777777" w:rsidR="005A673F" w:rsidRPr="007B60BF" w:rsidRDefault="005A673F" w:rsidP="005A673F">
            <w:pPr>
              <w:jc w:val="right"/>
              <w:rPr>
                <w:bCs/>
                <w:color w:val="000000"/>
              </w:rPr>
            </w:pPr>
          </w:p>
        </w:tc>
        <w:tc>
          <w:tcPr>
            <w:tcW w:w="822" w:type="pct"/>
            <w:tcBorders>
              <w:top w:val="single" w:sz="4" w:space="0" w:color="auto"/>
            </w:tcBorders>
          </w:tcPr>
          <w:p w14:paraId="7D53819A" w14:textId="7CB37659" w:rsidR="005A673F" w:rsidRPr="007B60BF" w:rsidRDefault="00261F78" w:rsidP="005A673F">
            <w:pPr>
              <w:jc w:val="right"/>
            </w:pPr>
            <w:r w:rsidRPr="007B60BF">
              <w:t>780</w:t>
            </w:r>
          </w:p>
        </w:tc>
        <w:tc>
          <w:tcPr>
            <w:tcW w:w="85" w:type="pct"/>
          </w:tcPr>
          <w:p w14:paraId="4FBEBB71" w14:textId="295D5A07" w:rsidR="005A673F" w:rsidRPr="007B60BF" w:rsidRDefault="005A673F" w:rsidP="005A673F">
            <w:pPr>
              <w:jc w:val="right"/>
            </w:pPr>
          </w:p>
        </w:tc>
        <w:tc>
          <w:tcPr>
            <w:tcW w:w="809" w:type="pct"/>
            <w:tcBorders>
              <w:top w:val="single" w:sz="4" w:space="0" w:color="auto"/>
              <w:left w:val="nil"/>
              <w:right w:val="nil"/>
            </w:tcBorders>
            <w:noWrap/>
          </w:tcPr>
          <w:p w14:paraId="03C89C0D" w14:textId="3C51E2BE" w:rsidR="005A673F" w:rsidRPr="007B60BF" w:rsidRDefault="005A673F" w:rsidP="005A673F">
            <w:pPr>
              <w:jc w:val="right"/>
            </w:pPr>
            <w:r w:rsidRPr="007B60BF">
              <w:t>789</w:t>
            </w:r>
          </w:p>
        </w:tc>
      </w:tr>
      <w:tr w:rsidR="00163354" w:rsidRPr="007B60BF" w14:paraId="14EFF52B" w14:textId="77777777" w:rsidTr="00163354">
        <w:tc>
          <w:tcPr>
            <w:tcW w:w="2466" w:type="pct"/>
            <w:noWrap/>
            <w:vAlign w:val="bottom"/>
          </w:tcPr>
          <w:p w14:paraId="5290D289" w14:textId="2B7BD9EB" w:rsidR="005A673F" w:rsidRPr="007B60BF" w:rsidRDefault="005A673F" w:rsidP="005A673F">
            <w:pPr>
              <w:rPr>
                <w:b/>
                <w:bCs/>
                <w:color w:val="000000"/>
              </w:rPr>
            </w:pPr>
            <w:r w:rsidRPr="007B60BF">
              <w:t xml:space="preserve">   Reversão de Menos Valia</w:t>
            </w:r>
          </w:p>
        </w:tc>
        <w:tc>
          <w:tcPr>
            <w:tcW w:w="369" w:type="pct"/>
          </w:tcPr>
          <w:p w14:paraId="22197324" w14:textId="77777777" w:rsidR="005A673F" w:rsidRPr="007B60BF" w:rsidRDefault="005A673F" w:rsidP="005A673F">
            <w:pPr>
              <w:jc w:val="right"/>
              <w:rPr>
                <w:bCs/>
                <w:color w:val="000000"/>
              </w:rPr>
            </w:pPr>
          </w:p>
        </w:tc>
        <w:tc>
          <w:tcPr>
            <w:tcW w:w="448" w:type="pct"/>
          </w:tcPr>
          <w:p w14:paraId="0EC2CDAF" w14:textId="77777777" w:rsidR="005A673F" w:rsidRPr="007B60BF" w:rsidRDefault="005A673F" w:rsidP="005A673F">
            <w:pPr>
              <w:jc w:val="right"/>
              <w:rPr>
                <w:bCs/>
                <w:color w:val="000000"/>
              </w:rPr>
            </w:pPr>
          </w:p>
        </w:tc>
        <w:tc>
          <w:tcPr>
            <w:tcW w:w="822" w:type="pct"/>
            <w:tcBorders>
              <w:bottom w:val="single" w:sz="4" w:space="0" w:color="auto"/>
            </w:tcBorders>
          </w:tcPr>
          <w:p w14:paraId="1B77CD36" w14:textId="3EB2B366" w:rsidR="005A673F" w:rsidRPr="007B60BF" w:rsidRDefault="00CD3DBC" w:rsidP="005A673F">
            <w:pPr>
              <w:jc w:val="right"/>
            </w:pPr>
            <w:r w:rsidRPr="007B60BF">
              <w:t>-</w:t>
            </w:r>
          </w:p>
        </w:tc>
        <w:tc>
          <w:tcPr>
            <w:tcW w:w="85" w:type="pct"/>
          </w:tcPr>
          <w:p w14:paraId="535DCD8B" w14:textId="079FE098" w:rsidR="005A673F" w:rsidRPr="007B60BF" w:rsidRDefault="005A673F" w:rsidP="005A673F">
            <w:pPr>
              <w:jc w:val="right"/>
            </w:pPr>
          </w:p>
        </w:tc>
        <w:tc>
          <w:tcPr>
            <w:tcW w:w="809" w:type="pct"/>
            <w:tcBorders>
              <w:left w:val="nil"/>
              <w:bottom w:val="single" w:sz="4" w:space="0" w:color="auto"/>
              <w:right w:val="nil"/>
            </w:tcBorders>
            <w:noWrap/>
          </w:tcPr>
          <w:p w14:paraId="5B4039AA" w14:textId="081CBBFF" w:rsidR="005A673F" w:rsidRPr="007B60BF" w:rsidRDefault="005A673F" w:rsidP="005A673F">
            <w:pPr>
              <w:jc w:val="right"/>
            </w:pPr>
            <w:r w:rsidRPr="007B60BF">
              <w:t>27</w:t>
            </w:r>
          </w:p>
        </w:tc>
      </w:tr>
      <w:tr w:rsidR="00163354" w:rsidRPr="007B60BF" w14:paraId="0A64978A" w14:textId="77777777" w:rsidTr="00163354">
        <w:tc>
          <w:tcPr>
            <w:tcW w:w="2466" w:type="pct"/>
            <w:noWrap/>
            <w:vAlign w:val="bottom"/>
            <w:hideMark/>
          </w:tcPr>
          <w:p w14:paraId="549D2DD0" w14:textId="7C1860E6" w:rsidR="005A673F" w:rsidRPr="007B60BF" w:rsidRDefault="005A673F" w:rsidP="00897A0E">
            <w:pPr>
              <w:rPr>
                <w:b/>
                <w:bCs/>
              </w:rPr>
            </w:pPr>
            <w:r w:rsidRPr="007B60BF">
              <w:rPr>
                <w:b/>
                <w:bCs/>
              </w:rPr>
              <w:t xml:space="preserve">Resultado Abrangente do </w:t>
            </w:r>
            <w:r w:rsidR="00897A0E" w:rsidRPr="007B60BF">
              <w:rPr>
                <w:b/>
                <w:bCs/>
              </w:rPr>
              <w:t>Exercício</w:t>
            </w:r>
          </w:p>
        </w:tc>
        <w:tc>
          <w:tcPr>
            <w:tcW w:w="369" w:type="pct"/>
          </w:tcPr>
          <w:p w14:paraId="7CEABEF8" w14:textId="77777777" w:rsidR="005A673F" w:rsidRPr="007B60BF" w:rsidRDefault="005A673F" w:rsidP="005A673F">
            <w:pPr>
              <w:jc w:val="right"/>
              <w:rPr>
                <w:b/>
              </w:rPr>
            </w:pPr>
          </w:p>
        </w:tc>
        <w:tc>
          <w:tcPr>
            <w:tcW w:w="448" w:type="pct"/>
          </w:tcPr>
          <w:p w14:paraId="1B002EA6" w14:textId="77777777" w:rsidR="005A673F" w:rsidRPr="007B60BF" w:rsidRDefault="005A673F" w:rsidP="005A673F">
            <w:pPr>
              <w:jc w:val="right"/>
              <w:rPr>
                <w:b/>
              </w:rPr>
            </w:pPr>
          </w:p>
        </w:tc>
        <w:tc>
          <w:tcPr>
            <w:tcW w:w="822" w:type="pct"/>
            <w:tcBorders>
              <w:top w:val="single" w:sz="4" w:space="0" w:color="auto"/>
              <w:bottom w:val="double" w:sz="4" w:space="0" w:color="auto"/>
            </w:tcBorders>
          </w:tcPr>
          <w:p w14:paraId="7EB0384F" w14:textId="432A3CA8" w:rsidR="005A673F" w:rsidRPr="007B60BF" w:rsidRDefault="00261F78" w:rsidP="005A673F">
            <w:pPr>
              <w:jc w:val="right"/>
              <w:rPr>
                <w:b/>
              </w:rPr>
            </w:pPr>
            <w:r w:rsidRPr="007B60BF">
              <w:rPr>
                <w:b/>
              </w:rPr>
              <w:t>(89.836)</w:t>
            </w:r>
          </w:p>
        </w:tc>
        <w:tc>
          <w:tcPr>
            <w:tcW w:w="85" w:type="pct"/>
          </w:tcPr>
          <w:p w14:paraId="1C8812AB" w14:textId="5E08479D" w:rsidR="005A673F" w:rsidRPr="007B60BF" w:rsidRDefault="005A673F" w:rsidP="005A673F">
            <w:pPr>
              <w:jc w:val="right"/>
              <w:rPr>
                <w:b/>
              </w:rPr>
            </w:pPr>
          </w:p>
        </w:tc>
        <w:tc>
          <w:tcPr>
            <w:tcW w:w="809" w:type="pct"/>
            <w:tcBorders>
              <w:top w:val="single" w:sz="4" w:space="0" w:color="auto"/>
              <w:left w:val="nil"/>
              <w:bottom w:val="double" w:sz="4" w:space="0" w:color="auto"/>
              <w:right w:val="nil"/>
            </w:tcBorders>
            <w:noWrap/>
          </w:tcPr>
          <w:p w14:paraId="414B1F1D" w14:textId="26B02AC6" w:rsidR="005A673F" w:rsidRPr="007B60BF" w:rsidRDefault="005A673F" w:rsidP="005A673F">
            <w:pPr>
              <w:jc w:val="right"/>
              <w:rPr>
                <w:b/>
              </w:rPr>
            </w:pPr>
            <w:r w:rsidRPr="007B60BF">
              <w:rPr>
                <w:b/>
              </w:rPr>
              <w:t>20.968</w:t>
            </w:r>
          </w:p>
        </w:tc>
      </w:tr>
    </w:tbl>
    <w:p w14:paraId="48C24796" w14:textId="04BD036A" w:rsidR="00131833" w:rsidRPr="007B60BF" w:rsidRDefault="00131833" w:rsidP="00D454E8"/>
    <w:p w14:paraId="6041197D" w14:textId="5202F243" w:rsidR="00131833" w:rsidRPr="007B60BF" w:rsidRDefault="00131833" w:rsidP="00AC5E1C">
      <w:pPr>
        <w:ind w:left="-567"/>
      </w:pPr>
      <w:r w:rsidRPr="007B60BF">
        <w:t>As notas explicativas são parte integrante das demonstrações contábeis.</w:t>
      </w:r>
    </w:p>
    <w:p w14:paraId="6E3399CF" w14:textId="6AA78B4E" w:rsidR="00B905C4" w:rsidRPr="007B60BF" w:rsidRDefault="00B905C4">
      <w:pPr>
        <w:rPr>
          <w:b/>
          <w:bCs/>
        </w:rPr>
      </w:pPr>
    </w:p>
    <w:p w14:paraId="38980ECC" w14:textId="77777777" w:rsidR="00DE61D0" w:rsidRPr="007B60BF" w:rsidRDefault="00DE61D0">
      <w:pPr>
        <w:rPr>
          <w:b/>
          <w:bCs/>
        </w:rPr>
        <w:sectPr w:rsidR="00DE61D0" w:rsidRPr="007B60BF" w:rsidSect="00941D4C">
          <w:headerReference w:type="default" r:id="rId12"/>
          <w:headerReference w:type="first" r:id="rId13"/>
          <w:pgSz w:w="11907" w:h="16839" w:code="9"/>
          <w:pgMar w:top="1418" w:right="1134" w:bottom="1134" w:left="1701" w:header="720" w:footer="720" w:gutter="0"/>
          <w:cols w:space="720"/>
          <w:docGrid w:linePitch="272"/>
        </w:sectPr>
      </w:pPr>
    </w:p>
    <w:p w14:paraId="5204D593" w14:textId="11262BF4" w:rsidR="00C80B8A" w:rsidRPr="007B60BF" w:rsidRDefault="006D099A" w:rsidP="0072145E">
      <w:pPr>
        <w:pStyle w:val="Ttulo1"/>
        <w:jc w:val="left"/>
      </w:pPr>
      <w:bookmarkStart w:id="14" w:name="_Toc223007846"/>
      <w:r w:rsidRPr="007B60BF">
        <w:lastRenderedPageBreak/>
        <w:t>Demonstrações</w:t>
      </w:r>
      <w:r w:rsidR="00C80B8A" w:rsidRPr="007B60BF">
        <w:t xml:space="preserve"> das Mutações do Patrimônio Líquido</w:t>
      </w:r>
      <w:bookmarkEnd w:id="14"/>
    </w:p>
    <w:p w14:paraId="1E8256ED" w14:textId="77777777" w:rsidR="004D09C8" w:rsidRPr="007B60BF" w:rsidRDefault="004D09C8" w:rsidP="00C80B8A">
      <w:pPr>
        <w:rPr>
          <w:b/>
          <w:bCs/>
        </w:rPr>
      </w:pPr>
    </w:p>
    <w:p w14:paraId="094D7281" w14:textId="77777777" w:rsidR="00C80B8A" w:rsidRPr="007B60BF" w:rsidRDefault="00C80B8A" w:rsidP="00C80B8A">
      <w:pPr>
        <w:rPr>
          <w:b/>
          <w:bCs/>
        </w:rPr>
      </w:pPr>
    </w:p>
    <w:tbl>
      <w:tblPr>
        <w:tblW w:w="4392" w:type="pct"/>
        <w:jc w:val="center"/>
        <w:tblCellMar>
          <w:left w:w="70" w:type="dxa"/>
          <w:right w:w="70" w:type="dxa"/>
        </w:tblCellMar>
        <w:tblLook w:val="04A0" w:firstRow="1" w:lastRow="0" w:firstColumn="1" w:lastColumn="0" w:noHBand="0" w:noVBand="1"/>
      </w:tblPr>
      <w:tblGrid>
        <w:gridCol w:w="3827"/>
        <w:gridCol w:w="782"/>
        <w:gridCol w:w="163"/>
        <w:gridCol w:w="1278"/>
        <w:gridCol w:w="196"/>
        <w:gridCol w:w="1825"/>
        <w:gridCol w:w="196"/>
        <w:gridCol w:w="1707"/>
        <w:gridCol w:w="196"/>
        <w:gridCol w:w="1220"/>
        <w:gridCol w:w="191"/>
        <w:gridCol w:w="969"/>
      </w:tblGrid>
      <w:tr w:rsidR="009747C2" w:rsidRPr="007B60BF" w14:paraId="35E626D8" w14:textId="77777777" w:rsidTr="007C1314">
        <w:trPr>
          <w:jc w:val="center"/>
        </w:trPr>
        <w:tc>
          <w:tcPr>
            <w:tcW w:w="1525" w:type="pct"/>
            <w:tcBorders>
              <w:top w:val="nil"/>
              <w:left w:val="nil"/>
              <w:bottom w:val="nil"/>
              <w:right w:val="nil"/>
            </w:tcBorders>
            <w:shd w:val="clear" w:color="000000" w:fill="FFFFFF"/>
            <w:vAlign w:val="center"/>
            <w:hideMark/>
          </w:tcPr>
          <w:p w14:paraId="7B2E7F60" w14:textId="77777777" w:rsidR="009747C2" w:rsidRPr="007B60BF" w:rsidRDefault="009747C2" w:rsidP="001E0DCB">
            <w:pPr>
              <w:jc w:val="both"/>
              <w:rPr>
                <w:b/>
                <w:bCs/>
              </w:rPr>
            </w:pPr>
            <w:r w:rsidRPr="007B60BF">
              <w:rPr>
                <w:b/>
                <w:bCs/>
              </w:rPr>
              <w:t> </w:t>
            </w:r>
          </w:p>
        </w:tc>
        <w:tc>
          <w:tcPr>
            <w:tcW w:w="312" w:type="pct"/>
            <w:tcBorders>
              <w:top w:val="nil"/>
              <w:left w:val="nil"/>
              <w:bottom w:val="single" w:sz="4" w:space="0" w:color="auto"/>
              <w:right w:val="nil"/>
            </w:tcBorders>
            <w:shd w:val="clear" w:color="000000" w:fill="FFFFFF"/>
            <w:vAlign w:val="center"/>
          </w:tcPr>
          <w:p w14:paraId="5A8692F1" w14:textId="5EA1D316" w:rsidR="009747C2" w:rsidRPr="007B60BF" w:rsidRDefault="009747C2" w:rsidP="009747C2">
            <w:pPr>
              <w:jc w:val="center"/>
              <w:rPr>
                <w:b/>
                <w:bCs/>
              </w:rPr>
            </w:pPr>
            <w:r w:rsidRPr="007B60BF">
              <w:rPr>
                <w:b/>
                <w:bCs/>
              </w:rPr>
              <w:t>Nota</w:t>
            </w:r>
          </w:p>
        </w:tc>
        <w:tc>
          <w:tcPr>
            <w:tcW w:w="65" w:type="pct"/>
            <w:tcBorders>
              <w:top w:val="nil"/>
              <w:left w:val="nil"/>
              <w:right w:val="nil"/>
            </w:tcBorders>
            <w:shd w:val="clear" w:color="000000" w:fill="FFFFFF"/>
            <w:vAlign w:val="center"/>
          </w:tcPr>
          <w:p w14:paraId="392BBD5F" w14:textId="123A1D66" w:rsidR="009747C2" w:rsidRPr="007B60BF" w:rsidRDefault="009747C2" w:rsidP="009747C2">
            <w:pPr>
              <w:jc w:val="center"/>
              <w:rPr>
                <w:b/>
                <w:bCs/>
              </w:rPr>
            </w:pPr>
          </w:p>
        </w:tc>
        <w:tc>
          <w:tcPr>
            <w:tcW w:w="509" w:type="pct"/>
            <w:tcBorders>
              <w:top w:val="nil"/>
              <w:left w:val="nil"/>
              <w:bottom w:val="single" w:sz="8" w:space="0" w:color="auto"/>
              <w:right w:val="nil"/>
            </w:tcBorders>
            <w:shd w:val="clear" w:color="000000" w:fill="FFFFFF"/>
            <w:vAlign w:val="center"/>
            <w:hideMark/>
          </w:tcPr>
          <w:p w14:paraId="41D96EC6" w14:textId="66648413" w:rsidR="009747C2" w:rsidRPr="007B60BF" w:rsidRDefault="009747C2" w:rsidP="009747C2">
            <w:pPr>
              <w:jc w:val="center"/>
              <w:rPr>
                <w:b/>
                <w:bCs/>
              </w:rPr>
            </w:pPr>
            <w:r w:rsidRPr="007B60BF">
              <w:rPr>
                <w:b/>
                <w:bCs/>
              </w:rPr>
              <w:t>Capital Realizado</w:t>
            </w:r>
          </w:p>
        </w:tc>
        <w:tc>
          <w:tcPr>
            <w:tcW w:w="78" w:type="pct"/>
            <w:tcBorders>
              <w:top w:val="nil"/>
              <w:left w:val="nil"/>
              <w:bottom w:val="nil"/>
              <w:right w:val="nil"/>
            </w:tcBorders>
            <w:shd w:val="clear" w:color="000000" w:fill="FFFFFF"/>
            <w:vAlign w:val="center"/>
            <w:hideMark/>
          </w:tcPr>
          <w:p w14:paraId="4D7B8728" w14:textId="7EA2796B" w:rsidR="009747C2" w:rsidRPr="007B60BF" w:rsidRDefault="009747C2" w:rsidP="009747C2">
            <w:pPr>
              <w:jc w:val="center"/>
            </w:pPr>
          </w:p>
        </w:tc>
        <w:tc>
          <w:tcPr>
            <w:tcW w:w="727" w:type="pct"/>
            <w:tcBorders>
              <w:top w:val="nil"/>
              <w:left w:val="nil"/>
              <w:bottom w:val="single" w:sz="8" w:space="0" w:color="auto"/>
              <w:right w:val="nil"/>
            </w:tcBorders>
            <w:shd w:val="clear" w:color="000000" w:fill="FFFFFF"/>
            <w:vAlign w:val="center"/>
            <w:hideMark/>
          </w:tcPr>
          <w:p w14:paraId="16FCF295" w14:textId="77777777" w:rsidR="009747C2" w:rsidRPr="007B60BF" w:rsidRDefault="009747C2" w:rsidP="009747C2">
            <w:pPr>
              <w:jc w:val="center"/>
              <w:rPr>
                <w:b/>
                <w:bCs/>
              </w:rPr>
            </w:pPr>
            <w:r w:rsidRPr="007B60BF">
              <w:rPr>
                <w:b/>
                <w:bCs/>
              </w:rPr>
              <w:t>Remessa de Subvenção p/ Investimento</w:t>
            </w:r>
          </w:p>
        </w:tc>
        <w:tc>
          <w:tcPr>
            <w:tcW w:w="78" w:type="pct"/>
            <w:tcBorders>
              <w:top w:val="nil"/>
              <w:left w:val="nil"/>
              <w:bottom w:val="nil"/>
              <w:right w:val="nil"/>
            </w:tcBorders>
            <w:shd w:val="clear" w:color="000000" w:fill="FFFFFF"/>
            <w:vAlign w:val="center"/>
            <w:hideMark/>
          </w:tcPr>
          <w:p w14:paraId="00F30AEF" w14:textId="3A190C89" w:rsidR="009747C2" w:rsidRPr="007B60BF" w:rsidRDefault="009747C2" w:rsidP="009747C2">
            <w:pPr>
              <w:jc w:val="center"/>
            </w:pPr>
          </w:p>
        </w:tc>
        <w:tc>
          <w:tcPr>
            <w:tcW w:w="680" w:type="pct"/>
            <w:tcBorders>
              <w:top w:val="nil"/>
              <w:left w:val="nil"/>
              <w:bottom w:val="single" w:sz="8" w:space="0" w:color="auto"/>
              <w:right w:val="nil"/>
            </w:tcBorders>
            <w:shd w:val="clear" w:color="000000" w:fill="FFFFFF"/>
            <w:vAlign w:val="center"/>
            <w:hideMark/>
          </w:tcPr>
          <w:p w14:paraId="06F72D46" w14:textId="77777777" w:rsidR="009747C2" w:rsidRPr="007B60BF" w:rsidRDefault="009747C2" w:rsidP="009747C2">
            <w:pPr>
              <w:jc w:val="center"/>
              <w:rPr>
                <w:b/>
                <w:bCs/>
              </w:rPr>
            </w:pPr>
            <w:r w:rsidRPr="007B60BF">
              <w:rPr>
                <w:b/>
                <w:bCs/>
              </w:rPr>
              <w:t>Ajustes da Avaliação Patrimonial</w:t>
            </w:r>
          </w:p>
        </w:tc>
        <w:tc>
          <w:tcPr>
            <w:tcW w:w="78" w:type="pct"/>
            <w:tcBorders>
              <w:top w:val="nil"/>
              <w:left w:val="nil"/>
              <w:bottom w:val="nil"/>
              <w:right w:val="nil"/>
            </w:tcBorders>
            <w:shd w:val="clear" w:color="000000" w:fill="FFFFFF"/>
            <w:vAlign w:val="center"/>
            <w:hideMark/>
          </w:tcPr>
          <w:p w14:paraId="53907D9E" w14:textId="6E02B79D" w:rsidR="009747C2" w:rsidRPr="007B60BF" w:rsidRDefault="009747C2" w:rsidP="009747C2">
            <w:pPr>
              <w:jc w:val="center"/>
            </w:pPr>
          </w:p>
        </w:tc>
        <w:tc>
          <w:tcPr>
            <w:tcW w:w="486" w:type="pct"/>
            <w:tcBorders>
              <w:top w:val="nil"/>
              <w:left w:val="nil"/>
              <w:bottom w:val="single" w:sz="8" w:space="0" w:color="auto"/>
              <w:right w:val="nil"/>
            </w:tcBorders>
            <w:shd w:val="clear" w:color="000000" w:fill="FFFFFF"/>
            <w:vAlign w:val="center"/>
            <w:hideMark/>
          </w:tcPr>
          <w:p w14:paraId="692FFBA9" w14:textId="77777777" w:rsidR="009747C2" w:rsidRPr="007B60BF" w:rsidRDefault="009747C2" w:rsidP="009747C2">
            <w:pPr>
              <w:jc w:val="center"/>
              <w:rPr>
                <w:b/>
                <w:bCs/>
              </w:rPr>
            </w:pPr>
            <w:r w:rsidRPr="007B60BF">
              <w:rPr>
                <w:b/>
                <w:bCs/>
              </w:rPr>
              <w:t>Prejuízos Acumulados</w:t>
            </w:r>
          </w:p>
        </w:tc>
        <w:tc>
          <w:tcPr>
            <w:tcW w:w="76" w:type="pct"/>
            <w:tcBorders>
              <w:top w:val="nil"/>
              <w:left w:val="nil"/>
              <w:bottom w:val="nil"/>
            </w:tcBorders>
            <w:shd w:val="clear" w:color="000000" w:fill="FFFFFF"/>
            <w:vAlign w:val="center"/>
          </w:tcPr>
          <w:p w14:paraId="70D68212" w14:textId="794AE5B0" w:rsidR="009747C2" w:rsidRPr="007B60BF" w:rsidRDefault="009747C2" w:rsidP="009747C2">
            <w:pPr>
              <w:jc w:val="center"/>
            </w:pPr>
          </w:p>
        </w:tc>
        <w:tc>
          <w:tcPr>
            <w:tcW w:w="386" w:type="pct"/>
            <w:tcBorders>
              <w:top w:val="nil"/>
              <w:left w:val="nil"/>
              <w:bottom w:val="single" w:sz="8" w:space="0" w:color="auto"/>
              <w:right w:val="nil"/>
            </w:tcBorders>
            <w:shd w:val="clear" w:color="000000" w:fill="FFFFFF"/>
            <w:vAlign w:val="center"/>
            <w:hideMark/>
          </w:tcPr>
          <w:p w14:paraId="7048DA28" w14:textId="77777777" w:rsidR="009747C2" w:rsidRPr="007B60BF" w:rsidRDefault="009747C2" w:rsidP="009747C2">
            <w:pPr>
              <w:jc w:val="center"/>
              <w:rPr>
                <w:b/>
                <w:bCs/>
              </w:rPr>
            </w:pPr>
            <w:r w:rsidRPr="007B60BF">
              <w:rPr>
                <w:b/>
                <w:bCs/>
              </w:rPr>
              <w:t>Total</w:t>
            </w:r>
          </w:p>
        </w:tc>
      </w:tr>
      <w:tr w:rsidR="007C1314" w:rsidRPr="007B60BF" w14:paraId="2F496209" w14:textId="77777777" w:rsidTr="007C1314">
        <w:trPr>
          <w:jc w:val="center"/>
        </w:trPr>
        <w:tc>
          <w:tcPr>
            <w:tcW w:w="1525" w:type="pct"/>
            <w:tcBorders>
              <w:top w:val="nil"/>
              <w:left w:val="nil"/>
              <w:bottom w:val="nil"/>
              <w:right w:val="nil"/>
            </w:tcBorders>
            <w:shd w:val="clear" w:color="000000" w:fill="FFFFFF"/>
            <w:hideMark/>
          </w:tcPr>
          <w:p w14:paraId="243EE533" w14:textId="2268F009" w:rsidR="007C1314" w:rsidRPr="007B60BF" w:rsidRDefault="007C1314" w:rsidP="008A1542">
            <w:pPr>
              <w:rPr>
                <w:b/>
                <w:bCs/>
              </w:rPr>
            </w:pPr>
            <w:r w:rsidRPr="007B60BF">
              <w:rPr>
                <w:b/>
              </w:rPr>
              <w:t>Saldo em 31 de dezembro de 202</w:t>
            </w:r>
            <w:r w:rsidR="008A1542" w:rsidRPr="007B60BF">
              <w:rPr>
                <w:b/>
              </w:rPr>
              <w:t>3</w:t>
            </w:r>
          </w:p>
        </w:tc>
        <w:tc>
          <w:tcPr>
            <w:tcW w:w="312" w:type="pct"/>
            <w:tcBorders>
              <w:top w:val="single" w:sz="4" w:space="0" w:color="auto"/>
              <w:left w:val="nil"/>
              <w:right w:val="nil"/>
            </w:tcBorders>
            <w:shd w:val="clear" w:color="000000" w:fill="FFFFFF"/>
          </w:tcPr>
          <w:p w14:paraId="1DBCD716" w14:textId="77777777" w:rsidR="007C1314" w:rsidRPr="007B60BF" w:rsidRDefault="007C1314" w:rsidP="007C1314">
            <w:pPr>
              <w:jc w:val="right"/>
              <w:rPr>
                <w:b/>
              </w:rPr>
            </w:pPr>
          </w:p>
        </w:tc>
        <w:tc>
          <w:tcPr>
            <w:tcW w:w="65" w:type="pct"/>
            <w:tcBorders>
              <w:left w:val="nil"/>
              <w:right w:val="nil"/>
            </w:tcBorders>
            <w:shd w:val="clear" w:color="000000" w:fill="FFFFFF"/>
          </w:tcPr>
          <w:p w14:paraId="2807A909" w14:textId="77C00CED" w:rsidR="007C1314" w:rsidRPr="007B60BF" w:rsidRDefault="007C1314" w:rsidP="007C1314">
            <w:pPr>
              <w:jc w:val="right"/>
              <w:rPr>
                <w:b/>
              </w:rPr>
            </w:pPr>
          </w:p>
        </w:tc>
        <w:tc>
          <w:tcPr>
            <w:tcW w:w="509" w:type="pct"/>
            <w:tcBorders>
              <w:top w:val="single" w:sz="4" w:space="0" w:color="auto"/>
              <w:left w:val="nil"/>
              <w:bottom w:val="single" w:sz="4" w:space="0" w:color="auto"/>
              <w:right w:val="nil"/>
            </w:tcBorders>
            <w:shd w:val="clear" w:color="000000" w:fill="FFFFFF"/>
            <w:hideMark/>
          </w:tcPr>
          <w:p w14:paraId="1BEBA196" w14:textId="5711418D" w:rsidR="007C1314" w:rsidRPr="007B60BF" w:rsidRDefault="007C1314" w:rsidP="007C1314">
            <w:pPr>
              <w:jc w:val="right"/>
              <w:rPr>
                <w:b/>
              </w:rPr>
            </w:pPr>
            <w:r w:rsidRPr="007B60BF">
              <w:rPr>
                <w:b/>
              </w:rPr>
              <w:t>1.247.924</w:t>
            </w:r>
          </w:p>
        </w:tc>
        <w:tc>
          <w:tcPr>
            <w:tcW w:w="78" w:type="pct"/>
            <w:tcBorders>
              <w:left w:val="nil"/>
              <w:bottom w:val="nil"/>
              <w:right w:val="nil"/>
            </w:tcBorders>
            <w:shd w:val="clear" w:color="000000" w:fill="FFFFFF"/>
            <w:hideMark/>
          </w:tcPr>
          <w:p w14:paraId="39A2A99F" w14:textId="77777777" w:rsidR="007C1314" w:rsidRPr="007B60BF" w:rsidRDefault="007C1314" w:rsidP="007C1314">
            <w:pPr>
              <w:jc w:val="right"/>
              <w:rPr>
                <w:b/>
              </w:rPr>
            </w:pPr>
          </w:p>
        </w:tc>
        <w:tc>
          <w:tcPr>
            <w:tcW w:w="727" w:type="pct"/>
            <w:tcBorders>
              <w:top w:val="single" w:sz="4" w:space="0" w:color="auto"/>
              <w:left w:val="nil"/>
              <w:bottom w:val="single" w:sz="4" w:space="0" w:color="auto"/>
              <w:right w:val="nil"/>
            </w:tcBorders>
            <w:shd w:val="clear" w:color="000000" w:fill="FFFFFF"/>
            <w:hideMark/>
          </w:tcPr>
          <w:p w14:paraId="30520018" w14:textId="1C4357B1" w:rsidR="007C1314" w:rsidRPr="007B60BF" w:rsidRDefault="007C1314" w:rsidP="007C1314">
            <w:pPr>
              <w:jc w:val="right"/>
              <w:rPr>
                <w:b/>
              </w:rPr>
            </w:pPr>
            <w:r w:rsidRPr="007B60BF">
              <w:rPr>
                <w:b/>
              </w:rPr>
              <w:t>36.867</w:t>
            </w:r>
          </w:p>
        </w:tc>
        <w:tc>
          <w:tcPr>
            <w:tcW w:w="78" w:type="pct"/>
            <w:tcBorders>
              <w:left w:val="nil"/>
              <w:bottom w:val="nil"/>
              <w:right w:val="nil"/>
            </w:tcBorders>
            <w:shd w:val="clear" w:color="000000" w:fill="FFFFFF"/>
            <w:hideMark/>
          </w:tcPr>
          <w:p w14:paraId="54DA6F8F" w14:textId="77777777" w:rsidR="007C1314" w:rsidRPr="007B60BF" w:rsidRDefault="007C1314" w:rsidP="007C1314">
            <w:pPr>
              <w:jc w:val="right"/>
              <w:rPr>
                <w:b/>
              </w:rPr>
            </w:pPr>
          </w:p>
        </w:tc>
        <w:tc>
          <w:tcPr>
            <w:tcW w:w="680" w:type="pct"/>
            <w:tcBorders>
              <w:top w:val="single" w:sz="4" w:space="0" w:color="auto"/>
              <w:left w:val="nil"/>
              <w:bottom w:val="single" w:sz="4" w:space="0" w:color="auto"/>
              <w:right w:val="nil"/>
            </w:tcBorders>
            <w:shd w:val="clear" w:color="000000" w:fill="FFFFFF"/>
            <w:hideMark/>
          </w:tcPr>
          <w:p w14:paraId="5AF6AECB" w14:textId="1D425939" w:rsidR="007C1314" w:rsidRPr="007B60BF" w:rsidRDefault="007C1314" w:rsidP="007C1314">
            <w:pPr>
              <w:jc w:val="right"/>
              <w:rPr>
                <w:b/>
              </w:rPr>
            </w:pPr>
            <w:r w:rsidRPr="007B60BF">
              <w:rPr>
                <w:b/>
              </w:rPr>
              <w:t>(19.297)</w:t>
            </w:r>
          </w:p>
        </w:tc>
        <w:tc>
          <w:tcPr>
            <w:tcW w:w="78" w:type="pct"/>
            <w:tcBorders>
              <w:left w:val="nil"/>
              <w:bottom w:val="nil"/>
              <w:right w:val="nil"/>
            </w:tcBorders>
            <w:shd w:val="clear" w:color="000000" w:fill="FFFFFF"/>
            <w:hideMark/>
          </w:tcPr>
          <w:p w14:paraId="449C8686" w14:textId="77777777" w:rsidR="007C1314" w:rsidRPr="007B60BF" w:rsidRDefault="007C1314" w:rsidP="007C1314">
            <w:pPr>
              <w:jc w:val="right"/>
              <w:rPr>
                <w:b/>
              </w:rPr>
            </w:pPr>
          </w:p>
        </w:tc>
        <w:tc>
          <w:tcPr>
            <w:tcW w:w="486" w:type="pct"/>
            <w:tcBorders>
              <w:top w:val="single" w:sz="4" w:space="0" w:color="auto"/>
              <w:left w:val="nil"/>
              <w:bottom w:val="single" w:sz="4" w:space="0" w:color="auto"/>
              <w:right w:val="nil"/>
            </w:tcBorders>
            <w:shd w:val="clear" w:color="000000" w:fill="FFFFFF"/>
            <w:hideMark/>
          </w:tcPr>
          <w:p w14:paraId="43E1A848" w14:textId="79109299" w:rsidR="007C1314" w:rsidRPr="007B60BF" w:rsidRDefault="007C1314" w:rsidP="007C1314">
            <w:pPr>
              <w:jc w:val="right"/>
              <w:rPr>
                <w:b/>
              </w:rPr>
            </w:pPr>
            <w:r w:rsidRPr="007B60BF">
              <w:rPr>
                <w:b/>
              </w:rPr>
              <w:t>(1.283.884)</w:t>
            </w:r>
          </w:p>
        </w:tc>
        <w:tc>
          <w:tcPr>
            <w:tcW w:w="76" w:type="pct"/>
            <w:tcBorders>
              <w:left w:val="nil"/>
              <w:bottom w:val="nil"/>
              <w:right w:val="nil"/>
            </w:tcBorders>
            <w:shd w:val="clear" w:color="000000" w:fill="FFFFFF"/>
          </w:tcPr>
          <w:p w14:paraId="4301B7AF" w14:textId="77777777" w:rsidR="007C1314" w:rsidRPr="007B60BF" w:rsidRDefault="007C1314" w:rsidP="007C1314">
            <w:pPr>
              <w:jc w:val="right"/>
              <w:rPr>
                <w:b/>
              </w:rPr>
            </w:pPr>
          </w:p>
        </w:tc>
        <w:tc>
          <w:tcPr>
            <w:tcW w:w="386" w:type="pct"/>
            <w:tcBorders>
              <w:top w:val="single" w:sz="4" w:space="0" w:color="auto"/>
              <w:left w:val="nil"/>
              <w:bottom w:val="single" w:sz="4" w:space="0" w:color="auto"/>
              <w:right w:val="nil"/>
            </w:tcBorders>
            <w:shd w:val="clear" w:color="000000" w:fill="FFFFFF"/>
            <w:hideMark/>
          </w:tcPr>
          <w:p w14:paraId="33F09323" w14:textId="0529E0A6" w:rsidR="007C1314" w:rsidRPr="007B60BF" w:rsidRDefault="007C1314" w:rsidP="007C1314">
            <w:pPr>
              <w:jc w:val="right"/>
              <w:rPr>
                <w:b/>
              </w:rPr>
            </w:pPr>
            <w:r w:rsidRPr="007B60BF">
              <w:rPr>
                <w:b/>
              </w:rPr>
              <w:t>(18.390)</w:t>
            </w:r>
          </w:p>
        </w:tc>
      </w:tr>
      <w:tr w:rsidR="000B171B" w:rsidRPr="007B60BF" w14:paraId="1711802C" w14:textId="77777777" w:rsidTr="007C1314">
        <w:trPr>
          <w:jc w:val="center"/>
        </w:trPr>
        <w:tc>
          <w:tcPr>
            <w:tcW w:w="1525" w:type="pct"/>
            <w:tcBorders>
              <w:top w:val="nil"/>
              <w:left w:val="nil"/>
              <w:bottom w:val="nil"/>
              <w:right w:val="nil"/>
            </w:tcBorders>
            <w:shd w:val="clear" w:color="000000" w:fill="FFFFFF"/>
            <w:vAlign w:val="center"/>
            <w:hideMark/>
          </w:tcPr>
          <w:p w14:paraId="5F063FFE" w14:textId="237F75DB" w:rsidR="000B171B" w:rsidRPr="007B60BF" w:rsidRDefault="000B171B" w:rsidP="000B171B">
            <w:pPr>
              <w:rPr>
                <w:bCs/>
              </w:rPr>
            </w:pPr>
            <w:r w:rsidRPr="007B60BF">
              <w:rPr>
                <w:bCs/>
              </w:rPr>
              <w:t xml:space="preserve">  Realização da Avaliação Patrimonial</w:t>
            </w:r>
          </w:p>
        </w:tc>
        <w:tc>
          <w:tcPr>
            <w:tcW w:w="312" w:type="pct"/>
            <w:tcBorders>
              <w:left w:val="nil"/>
              <w:right w:val="nil"/>
            </w:tcBorders>
            <w:shd w:val="clear" w:color="000000" w:fill="FFFFFF"/>
          </w:tcPr>
          <w:p w14:paraId="7F57A1C7" w14:textId="284F95D2" w:rsidR="000B171B" w:rsidRPr="007B60BF" w:rsidRDefault="000B171B" w:rsidP="00E25ABC">
            <w:pPr>
              <w:jc w:val="right"/>
            </w:pPr>
            <w:r w:rsidRPr="007B60BF">
              <w:t>1</w:t>
            </w:r>
            <w:r w:rsidR="00E25ABC" w:rsidRPr="007B60BF">
              <w:t>6</w:t>
            </w:r>
            <w:r w:rsidRPr="007B60BF">
              <w:t xml:space="preserve"> (</w:t>
            </w:r>
            <w:r w:rsidR="00E25ABC" w:rsidRPr="007B60BF">
              <w:t>b</w:t>
            </w:r>
            <w:r w:rsidRPr="007B60BF">
              <w:t>)</w:t>
            </w:r>
          </w:p>
        </w:tc>
        <w:tc>
          <w:tcPr>
            <w:tcW w:w="65" w:type="pct"/>
            <w:tcBorders>
              <w:left w:val="nil"/>
              <w:right w:val="nil"/>
            </w:tcBorders>
            <w:shd w:val="clear" w:color="000000" w:fill="FFFFFF"/>
          </w:tcPr>
          <w:p w14:paraId="358BF341" w14:textId="70942B8D" w:rsidR="000B171B" w:rsidRPr="007B60BF" w:rsidRDefault="000B171B" w:rsidP="000B171B">
            <w:pPr>
              <w:jc w:val="right"/>
            </w:pPr>
          </w:p>
        </w:tc>
        <w:tc>
          <w:tcPr>
            <w:tcW w:w="509" w:type="pct"/>
            <w:tcBorders>
              <w:left w:val="nil"/>
              <w:right w:val="nil"/>
            </w:tcBorders>
            <w:shd w:val="clear" w:color="000000" w:fill="FFFFFF"/>
            <w:hideMark/>
          </w:tcPr>
          <w:p w14:paraId="0DD1E17F" w14:textId="16D22019" w:rsidR="000B171B" w:rsidRPr="007B60BF" w:rsidRDefault="000B171B" w:rsidP="000B171B">
            <w:pPr>
              <w:jc w:val="right"/>
            </w:pPr>
            <w:r w:rsidRPr="007B60BF">
              <w:t>-</w:t>
            </w:r>
          </w:p>
        </w:tc>
        <w:tc>
          <w:tcPr>
            <w:tcW w:w="78" w:type="pct"/>
            <w:tcBorders>
              <w:left w:val="nil"/>
              <w:right w:val="nil"/>
            </w:tcBorders>
            <w:shd w:val="clear" w:color="000000" w:fill="FFFFFF"/>
            <w:hideMark/>
          </w:tcPr>
          <w:p w14:paraId="47C48008" w14:textId="77777777" w:rsidR="000B171B" w:rsidRPr="007B60BF" w:rsidRDefault="000B171B" w:rsidP="000B171B">
            <w:pPr>
              <w:jc w:val="right"/>
            </w:pPr>
          </w:p>
        </w:tc>
        <w:tc>
          <w:tcPr>
            <w:tcW w:w="727" w:type="pct"/>
            <w:tcBorders>
              <w:left w:val="nil"/>
              <w:right w:val="nil"/>
            </w:tcBorders>
            <w:shd w:val="clear" w:color="000000" w:fill="FFFFFF"/>
            <w:hideMark/>
          </w:tcPr>
          <w:p w14:paraId="587083E7" w14:textId="4CCE1331" w:rsidR="000B171B" w:rsidRPr="007B60BF" w:rsidRDefault="000B171B" w:rsidP="000B171B">
            <w:pPr>
              <w:jc w:val="right"/>
            </w:pPr>
            <w:r w:rsidRPr="007B60BF">
              <w:t>-</w:t>
            </w:r>
          </w:p>
        </w:tc>
        <w:tc>
          <w:tcPr>
            <w:tcW w:w="78" w:type="pct"/>
            <w:tcBorders>
              <w:left w:val="nil"/>
              <w:right w:val="nil"/>
            </w:tcBorders>
            <w:shd w:val="clear" w:color="000000" w:fill="FFFFFF"/>
            <w:hideMark/>
          </w:tcPr>
          <w:p w14:paraId="6F811C51" w14:textId="77777777" w:rsidR="000B171B" w:rsidRPr="007B60BF" w:rsidRDefault="000B171B" w:rsidP="000B171B">
            <w:pPr>
              <w:jc w:val="right"/>
            </w:pPr>
          </w:p>
        </w:tc>
        <w:tc>
          <w:tcPr>
            <w:tcW w:w="680" w:type="pct"/>
            <w:tcBorders>
              <w:left w:val="nil"/>
              <w:right w:val="nil"/>
            </w:tcBorders>
            <w:shd w:val="clear" w:color="000000" w:fill="FFFFFF"/>
            <w:hideMark/>
          </w:tcPr>
          <w:p w14:paraId="472842BE" w14:textId="0F392164" w:rsidR="000B171B" w:rsidRPr="007B60BF" w:rsidRDefault="000B171B" w:rsidP="000B171B">
            <w:pPr>
              <w:jc w:val="right"/>
            </w:pPr>
            <w:r w:rsidRPr="007B60BF">
              <w:t>(816)</w:t>
            </w:r>
          </w:p>
        </w:tc>
        <w:tc>
          <w:tcPr>
            <w:tcW w:w="78" w:type="pct"/>
            <w:tcBorders>
              <w:left w:val="nil"/>
              <w:right w:val="nil"/>
            </w:tcBorders>
            <w:shd w:val="clear" w:color="000000" w:fill="FFFFFF"/>
            <w:hideMark/>
          </w:tcPr>
          <w:p w14:paraId="6E953B7A" w14:textId="77777777" w:rsidR="000B171B" w:rsidRPr="007B60BF" w:rsidRDefault="000B171B" w:rsidP="000B171B">
            <w:pPr>
              <w:jc w:val="right"/>
            </w:pPr>
          </w:p>
        </w:tc>
        <w:tc>
          <w:tcPr>
            <w:tcW w:w="486" w:type="pct"/>
            <w:tcBorders>
              <w:left w:val="nil"/>
              <w:right w:val="nil"/>
            </w:tcBorders>
            <w:shd w:val="clear" w:color="000000" w:fill="FFFFFF"/>
            <w:hideMark/>
          </w:tcPr>
          <w:p w14:paraId="6E17A9F5" w14:textId="52DED050" w:rsidR="000B171B" w:rsidRPr="007B60BF" w:rsidRDefault="000B171B" w:rsidP="000B171B">
            <w:pPr>
              <w:jc w:val="right"/>
            </w:pPr>
            <w:r w:rsidRPr="007B60BF">
              <w:t>816</w:t>
            </w:r>
          </w:p>
        </w:tc>
        <w:tc>
          <w:tcPr>
            <w:tcW w:w="76" w:type="pct"/>
            <w:tcBorders>
              <w:left w:val="nil"/>
              <w:right w:val="nil"/>
            </w:tcBorders>
            <w:shd w:val="clear" w:color="000000" w:fill="FFFFFF"/>
          </w:tcPr>
          <w:p w14:paraId="1CE018E9" w14:textId="77777777" w:rsidR="000B171B" w:rsidRPr="007B60BF" w:rsidRDefault="000B171B" w:rsidP="000B171B">
            <w:pPr>
              <w:jc w:val="right"/>
            </w:pPr>
          </w:p>
        </w:tc>
        <w:tc>
          <w:tcPr>
            <w:tcW w:w="386" w:type="pct"/>
            <w:tcBorders>
              <w:left w:val="nil"/>
              <w:right w:val="nil"/>
            </w:tcBorders>
            <w:shd w:val="clear" w:color="000000" w:fill="FFFFFF"/>
            <w:hideMark/>
          </w:tcPr>
          <w:p w14:paraId="5C2874B1" w14:textId="66C1D7D3" w:rsidR="000B171B" w:rsidRPr="007B60BF" w:rsidRDefault="000B171B" w:rsidP="000B171B">
            <w:pPr>
              <w:jc w:val="right"/>
            </w:pPr>
            <w:r w:rsidRPr="007B60BF">
              <w:t>-</w:t>
            </w:r>
          </w:p>
        </w:tc>
      </w:tr>
      <w:tr w:rsidR="000B171B" w:rsidRPr="007B60BF" w14:paraId="03376E69" w14:textId="77777777" w:rsidTr="007C1314">
        <w:trPr>
          <w:jc w:val="center"/>
        </w:trPr>
        <w:tc>
          <w:tcPr>
            <w:tcW w:w="1525" w:type="pct"/>
            <w:tcBorders>
              <w:top w:val="nil"/>
              <w:left w:val="nil"/>
              <w:right w:val="nil"/>
            </w:tcBorders>
            <w:shd w:val="clear" w:color="000000" w:fill="FFFFFF"/>
            <w:vAlign w:val="center"/>
          </w:tcPr>
          <w:p w14:paraId="5F5A6207" w14:textId="4BC28509" w:rsidR="000B171B" w:rsidRPr="007B60BF" w:rsidRDefault="000B171B" w:rsidP="000B171B">
            <w:pPr>
              <w:rPr>
                <w:bCs/>
              </w:rPr>
            </w:pPr>
            <w:r w:rsidRPr="007B60BF">
              <w:t xml:space="preserve">  Aumento de Capital</w:t>
            </w:r>
          </w:p>
        </w:tc>
        <w:tc>
          <w:tcPr>
            <w:tcW w:w="312" w:type="pct"/>
            <w:tcBorders>
              <w:left w:val="nil"/>
              <w:right w:val="nil"/>
            </w:tcBorders>
            <w:shd w:val="clear" w:color="000000" w:fill="FFFFFF"/>
          </w:tcPr>
          <w:p w14:paraId="1EA4ADFE" w14:textId="4F423C80" w:rsidR="000B171B" w:rsidRPr="007B60BF" w:rsidRDefault="000B171B" w:rsidP="000B171B">
            <w:pPr>
              <w:jc w:val="center"/>
            </w:pPr>
          </w:p>
        </w:tc>
        <w:tc>
          <w:tcPr>
            <w:tcW w:w="65" w:type="pct"/>
            <w:tcBorders>
              <w:left w:val="nil"/>
              <w:right w:val="nil"/>
            </w:tcBorders>
            <w:shd w:val="clear" w:color="000000" w:fill="FFFFFF"/>
          </w:tcPr>
          <w:p w14:paraId="73C15F72" w14:textId="5FE63C50" w:rsidR="000B171B" w:rsidRPr="007B60BF" w:rsidRDefault="000B171B" w:rsidP="000B171B">
            <w:pPr>
              <w:jc w:val="right"/>
            </w:pPr>
          </w:p>
        </w:tc>
        <w:tc>
          <w:tcPr>
            <w:tcW w:w="509" w:type="pct"/>
            <w:tcBorders>
              <w:left w:val="nil"/>
              <w:right w:val="nil"/>
            </w:tcBorders>
            <w:shd w:val="clear" w:color="000000" w:fill="FFFFFF"/>
          </w:tcPr>
          <w:p w14:paraId="296F9DFB" w14:textId="4A963152" w:rsidR="000B171B" w:rsidRPr="007B60BF" w:rsidRDefault="000B171B" w:rsidP="000B171B">
            <w:pPr>
              <w:jc w:val="right"/>
            </w:pPr>
            <w:r w:rsidRPr="007B60BF">
              <w:t>36.867</w:t>
            </w:r>
          </w:p>
        </w:tc>
        <w:tc>
          <w:tcPr>
            <w:tcW w:w="78" w:type="pct"/>
            <w:tcBorders>
              <w:left w:val="nil"/>
              <w:right w:val="nil"/>
            </w:tcBorders>
            <w:shd w:val="clear" w:color="000000" w:fill="FFFFFF"/>
          </w:tcPr>
          <w:p w14:paraId="3A0C6E31" w14:textId="77777777" w:rsidR="000B171B" w:rsidRPr="007B60BF" w:rsidRDefault="000B171B" w:rsidP="000B171B">
            <w:pPr>
              <w:jc w:val="right"/>
            </w:pPr>
          </w:p>
        </w:tc>
        <w:tc>
          <w:tcPr>
            <w:tcW w:w="727" w:type="pct"/>
            <w:tcBorders>
              <w:left w:val="nil"/>
              <w:right w:val="nil"/>
            </w:tcBorders>
            <w:shd w:val="clear" w:color="000000" w:fill="FFFFFF"/>
          </w:tcPr>
          <w:p w14:paraId="09EC16A2" w14:textId="2E952D8B" w:rsidR="000B171B" w:rsidRPr="007B60BF" w:rsidRDefault="000B171B" w:rsidP="000B171B">
            <w:pPr>
              <w:jc w:val="right"/>
            </w:pPr>
            <w:r w:rsidRPr="007B60BF">
              <w:t>(36.867)</w:t>
            </w:r>
          </w:p>
        </w:tc>
        <w:tc>
          <w:tcPr>
            <w:tcW w:w="78" w:type="pct"/>
            <w:tcBorders>
              <w:left w:val="nil"/>
              <w:right w:val="nil"/>
            </w:tcBorders>
            <w:shd w:val="clear" w:color="000000" w:fill="FFFFFF"/>
          </w:tcPr>
          <w:p w14:paraId="412D0D9B" w14:textId="77777777" w:rsidR="000B171B" w:rsidRPr="007B60BF" w:rsidRDefault="000B171B" w:rsidP="000B171B">
            <w:pPr>
              <w:jc w:val="right"/>
            </w:pPr>
          </w:p>
        </w:tc>
        <w:tc>
          <w:tcPr>
            <w:tcW w:w="680" w:type="pct"/>
            <w:tcBorders>
              <w:left w:val="nil"/>
              <w:right w:val="nil"/>
            </w:tcBorders>
            <w:shd w:val="clear" w:color="000000" w:fill="FFFFFF"/>
          </w:tcPr>
          <w:p w14:paraId="786FDB75" w14:textId="3B52E4A5" w:rsidR="000B171B" w:rsidRPr="007B60BF" w:rsidRDefault="000B171B" w:rsidP="000B171B">
            <w:pPr>
              <w:jc w:val="right"/>
            </w:pPr>
            <w:r w:rsidRPr="007B60BF">
              <w:t>-</w:t>
            </w:r>
          </w:p>
        </w:tc>
        <w:tc>
          <w:tcPr>
            <w:tcW w:w="78" w:type="pct"/>
            <w:tcBorders>
              <w:left w:val="nil"/>
              <w:right w:val="nil"/>
            </w:tcBorders>
            <w:shd w:val="clear" w:color="000000" w:fill="FFFFFF"/>
          </w:tcPr>
          <w:p w14:paraId="764303C6" w14:textId="77777777" w:rsidR="000B171B" w:rsidRPr="007B60BF" w:rsidRDefault="000B171B" w:rsidP="000B171B">
            <w:pPr>
              <w:jc w:val="right"/>
            </w:pPr>
          </w:p>
        </w:tc>
        <w:tc>
          <w:tcPr>
            <w:tcW w:w="486" w:type="pct"/>
            <w:tcBorders>
              <w:left w:val="nil"/>
              <w:right w:val="nil"/>
            </w:tcBorders>
            <w:shd w:val="clear" w:color="000000" w:fill="FFFFFF"/>
          </w:tcPr>
          <w:p w14:paraId="03F4AEE8" w14:textId="6B2696B1" w:rsidR="000B171B" w:rsidRPr="007B60BF" w:rsidRDefault="000B171B" w:rsidP="000B171B">
            <w:pPr>
              <w:jc w:val="right"/>
            </w:pPr>
            <w:r w:rsidRPr="007B60BF">
              <w:t>-</w:t>
            </w:r>
          </w:p>
        </w:tc>
        <w:tc>
          <w:tcPr>
            <w:tcW w:w="76" w:type="pct"/>
            <w:tcBorders>
              <w:left w:val="nil"/>
              <w:right w:val="nil"/>
            </w:tcBorders>
            <w:shd w:val="clear" w:color="000000" w:fill="FFFFFF"/>
          </w:tcPr>
          <w:p w14:paraId="5CE6A404" w14:textId="77777777" w:rsidR="000B171B" w:rsidRPr="007B60BF" w:rsidRDefault="000B171B" w:rsidP="000B171B">
            <w:pPr>
              <w:jc w:val="right"/>
            </w:pPr>
          </w:p>
        </w:tc>
        <w:tc>
          <w:tcPr>
            <w:tcW w:w="386" w:type="pct"/>
            <w:tcBorders>
              <w:left w:val="nil"/>
              <w:right w:val="nil"/>
            </w:tcBorders>
            <w:shd w:val="clear" w:color="000000" w:fill="FFFFFF"/>
          </w:tcPr>
          <w:p w14:paraId="172F0DF7" w14:textId="5CB4AE44" w:rsidR="000B171B" w:rsidRPr="007B60BF" w:rsidRDefault="000B171B" w:rsidP="000B171B">
            <w:pPr>
              <w:jc w:val="right"/>
            </w:pPr>
            <w:r w:rsidRPr="007B60BF">
              <w:t>-</w:t>
            </w:r>
          </w:p>
        </w:tc>
      </w:tr>
      <w:tr w:rsidR="000B171B" w:rsidRPr="007B60BF" w14:paraId="357288EF" w14:textId="77777777" w:rsidTr="007C1314">
        <w:trPr>
          <w:jc w:val="center"/>
        </w:trPr>
        <w:tc>
          <w:tcPr>
            <w:tcW w:w="1525" w:type="pct"/>
            <w:tcBorders>
              <w:top w:val="nil"/>
              <w:left w:val="nil"/>
              <w:right w:val="nil"/>
            </w:tcBorders>
            <w:shd w:val="clear" w:color="000000" w:fill="FFFFFF"/>
            <w:vAlign w:val="center"/>
            <w:hideMark/>
          </w:tcPr>
          <w:p w14:paraId="156ED19B" w14:textId="49CAAE56" w:rsidR="000B171B" w:rsidRPr="007B60BF" w:rsidRDefault="000B171B" w:rsidP="000B171B">
            <w:pPr>
              <w:rPr>
                <w:bCs/>
              </w:rPr>
            </w:pPr>
            <w:r w:rsidRPr="007B60BF">
              <w:rPr>
                <w:bCs/>
              </w:rPr>
              <w:t xml:space="preserve">  Adiantamento para Futuro Aumento Capital</w:t>
            </w:r>
          </w:p>
        </w:tc>
        <w:tc>
          <w:tcPr>
            <w:tcW w:w="312" w:type="pct"/>
            <w:tcBorders>
              <w:left w:val="nil"/>
              <w:right w:val="nil"/>
            </w:tcBorders>
            <w:shd w:val="clear" w:color="000000" w:fill="FFFFFF"/>
          </w:tcPr>
          <w:p w14:paraId="3F6B3710" w14:textId="77777777" w:rsidR="000B171B" w:rsidRPr="007B60BF" w:rsidRDefault="000B171B" w:rsidP="000B171B">
            <w:pPr>
              <w:jc w:val="right"/>
            </w:pPr>
          </w:p>
        </w:tc>
        <w:tc>
          <w:tcPr>
            <w:tcW w:w="65" w:type="pct"/>
            <w:tcBorders>
              <w:left w:val="nil"/>
              <w:right w:val="nil"/>
            </w:tcBorders>
            <w:shd w:val="clear" w:color="000000" w:fill="FFFFFF"/>
          </w:tcPr>
          <w:p w14:paraId="6ED40902" w14:textId="2EB3B673" w:rsidR="000B171B" w:rsidRPr="007B60BF" w:rsidRDefault="000B171B" w:rsidP="000B171B">
            <w:pPr>
              <w:jc w:val="right"/>
            </w:pPr>
          </w:p>
        </w:tc>
        <w:tc>
          <w:tcPr>
            <w:tcW w:w="509" w:type="pct"/>
            <w:tcBorders>
              <w:left w:val="nil"/>
              <w:right w:val="nil"/>
            </w:tcBorders>
            <w:shd w:val="clear" w:color="000000" w:fill="FFFFFF"/>
            <w:hideMark/>
          </w:tcPr>
          <w:p w14:paraId="576BF4EF" w14:textId="612BE530" w:rsidR="000B171B" w:rsidRPr="007B60BF" w:rsidRDefault="000B171B" w:rsidP="000B171B">
            <w:pPr>
              <w:jc w:val="right"/>
            </w:pPr>
            <w:r w:rsidRPr="007B60BF">
              <w:t>-</w:t>
            </w:r>
          </w:p>
        </w:tc>
        <w:tc>
          <w:tcPr>
            <w:tcW w:w="78" w:type="pct"/>
            <w:tcBorders>
              <w:left w:val="nil"/>
              <w:right w:val="nil"/>
            </w:tcBorders>
            <w:shd w:val="clear" w:color="000000" w:fill="FFFFFF"/>
            <w:hideMark/>
          </w:tcPr>
          <w:p w14:paraId="63A0558E" w14:textId="77777777" w:rsidR="000B171B" w:rsidRPr="007B60BF" w:rsidRDefault="000B171B" w:rsidP="000B171B">
            <w:pPr>
              <w:jc w:val="right"/>
            </w:pPr>
          </w:p>
        </w:tc>
        <w:tc>
          <w:tcPr>
            <w:tcW w:w="727" w:type="pct"/>
            <w:tcBorders>
              <w:left w:val="nil"/>
              <w:right w:val="nil"/>
            </w:tcBorders>
            <w:shd w:val="clear" w:color="000000" w:fill="FFFFFF"/>
            <w:hideMark/>
          </w:tcPr>
          <w:p w14:paraId="18FF1589" w14:textId="7CF5FA04" w:rsidR="000B171B" w:rsidRPr="007B60BF" w:rsidRDefault="000B171B" w:rsidP="000B171B">
            <w:pPr>
              <w:jc w:val="right"/>
            </w:pPr>
            <w:r w:rsidRPr="007B60BF">
              <w:t>8.813</w:t>
            </w:r>
          </w:p>
        </w:tc>
        <w:tc>
          <w:tcPr>
            <w:tcW w:w="78" w:type="pct"/>
            <w:tcBorders>
              <w:left w:val="nil"/>
              <w:right w:val="nil"/>
            </w:tcBorders>
            <w:shd w:val="clear" w:color="000000" w:fill="FFFFFF"/>
            <w:hideMark/>
          </w:tcPr>
          <w:p w14:paraId="0CE9E04B" w14:textId="77777777" w:rsidR="000B171B" w:rsidRPr="007B60BF" w:rsidRDefault="000B171B" w:rsidP="000B171B">
            <w:pPr>
              <w:jc w:val="right"/>
            </w:pPr>
          </w:p>
        </w:tc>
        <w:tc>
          <w:tcPr>
            <w:tcW w:w="680" w:type="pct"/>
            <w:tcBorders>
              <w:left w:val="nil"/>
              <w:right w:val="nil"/>
            </w:tcBorders>
            <w:shd w:val="clear" w:color="000000" w:fill="FFFFFF"/>
            <w:hideMark/>
          </w:tcPr>
          <w:p w14:paraId="034E6794" w14:textId="31CD4EC7" w:rsidR="000B171B" w:rsidRPr="007B60BF" w:rsidRDefault="000B171B" w:rsidP="000B171B">
            <w:pPr>
              <w:jc w:val="right"/>
            </w:pPr>
            <w:r w:rsidRPr="007B60BF">
              <w:t>-</w:t>
            </w:r>
          </w:p>
        </w:tc>
        <w:tc>
          <w:tcPr>
            <w:tcW w:w="78" w:type="pct"/>
            <w:tcBorders>
              <w:left w:val="nil"/>
              <w:right w:val="nil"/>
            </w:tcBorders>
            <w:shd w:val="clear" w:color="000000" w:fill="FFFFFF"/>
            <w:hideMark/>
          </w:tcPr>
          <w:p w14:paraId="71E8536F" w14:textId="77777777" w:rsidR="000B171B" w:rsidRPr="007B60BF" w:rsidRDefault="000B171B" w:rsidP="000B171B">
            <w:pPr>
              <w:jc w:val="right"/>
            </w:pPr>
          </w:p>
        </w:tc>
        <w:tc>
          <w:tcPr>
            <w:tcW w:w="486" w:type="pct"/>
            <w:tcBorders>
              <w:left w:val="nil"/>
              <w:right w:val="nil"/>
            </w:tcBorders>
            <w:shd w:val="clear" w:color="000000" w:fill="FFFFFF"/>
            <w:hideMark/>
          </w:tcPr>
          <w:p w14:paraId="78D5ABC7" w14:textId="2C36574B" w:rsidR="000B171B" w:rsidRPr="007B60BF" w:rsidRDefault="000B171B" w:rsidP="000B171B">
            <w:pPr>
              <w:jc w:val="right"/>
            </w:pPr>
            <w:r w:rsidRPr="007B60BF">
              <w:t>-</w:t>
            </w:r>
          </w:p>
        </w:tc>
        <w:tc>
          <w:tcPr>
            <w:tcW w:w="76" w:type="pct"/>
            <w:tcBorders>
              <w:left w:val="nil"/>
              <w:right w:val="nil"/>
            </w:tcBorders>
            <w:shd w:val="clear" w:color="000000" w:fill="FFFFFF"/>
          </w:tcPr>
          <w:p w14:paraId="382BFC23" w14:textId="77777777" w:rsidR="000B171B" w:rsidRPr="007B60BF" w:rsidRDefault="000B171B" w:rsidP="000B171B">
            <w:pPr>
              <w:jc w:val="right"/>
            </w:pPr>
          </w:p>
        </w:tc>
        <w:tc>
          <w:tcPr>
            <w:tcW w:w="386" w:type="pct"/>
            <w:tcBorders>
              <w:left w:val="nil"/>
              <w:right w:val="nil"/>
            </w:tcBorders>
            <w:shd w:val="clear" w:color="000000" w:fill="FFFFFF"/>
            <w:hideMark/>
          </w:tcPr>
          <w:p w14:paraId="0A749486" w14:textId="4417280D" w:rsidR="000B171B" w:rsidRPr="007B60BF" w:rsidRDefault="000B171B" w:rsidP="000B171B">
            <w:pPr>
              <w:jc w:val="right"/>
            </w:pPr>
            <w:r w:rsidRPr="007B60BF">
              <w:t>8.813</w:t>
            </w:r>
          </w:p>
        </w:tc>
      </w:tr>
      <w:tr w:rsidR="000B171B" w:rsidRPr="007B60BF" w14:paraId="4CD8DE95" w14:textId="77777777" w:rsidTr="007C1314">
        <w:trPr>
          <w:jc w:val="center"/>
        </w:trPr>
        <w:tc>
          <w:tcPr>
            <w:tcW w:w="1525" w:type="pct"/>
            <w:tcBorders>
              <w:left w:val="nil"/>
              <w:bottom w:val="nil"/>
              <w:right w:val="nil"/>
            </w:tcBorders>
            <w:shd w:val="clear" w:color="000000" w:fill="FFFFFF"/>
            <w:vAlign w:val="center"/>
            <w:hideMark/>
          </w:tcPr>
          <w:p w14:paraId="05FC11C5" w14:textId="43FB3034" w:rsidR="000B171B" w:rsidRPr="007B60BF" w:rsidRDefault="000B171B" w:rsidP="002D3429">
            <w:pPr>
              <w:rPr>
                <w:bCs/>
              </w:rPr>
            </w:pPr>
            <w:r w:rsidRPr="007B60BF">
              <w:rPr>
                <w:bCs/>
              </w:rPr>
              <w:t xml:space="preserve">  </w:t>
            </w:r>
            <w:r w:rsidRPr="007B60BF">
              <w:t xml:space="preserve">Resultado do </w:t>
            </w:r>
            <w:r w:rsidR="002D3429" w:rsidRPr="007B60BF">
              <w:t>Exercício</w:t>
            </w:r>
          </w:p>
        </w:tc>
        <w:tc>
          <w:tcPr>
            <w:tcW w:w="312" w:type="pct"/>
            <w:tcBorders>
              <w:left w:val="nil"/>
              <w:right w:val="nil"/>
            </w:tcBorders>
            <w:shd w:val="clear" w:color="000000" w:fill="FFFFFF"/>
          </w:tcPr>
          <w:p w14:paraId="2FA4C0E6" w14:textId="77777777" w:rsidR="000B171B" w:rsidRPr="007B60BF" w:rsidRDefault="000B171B" w:rsidP="000B171B">
            <w:pPr>
              <w:jc w:val="right"/>
            </w:pPr>
          </w:p>
        </w:tc>
        <w:tc>
          <w:tcPr>
            <w:tcW w:w="65" w:type="pct"/>
            <w:tcBorders>
              <w:left w:val="nil"/>
              <w:right w:val="nil"/>
            </w:tcBorders>
            <w:shd w:val="clear" w:color="000000" w:fill="FFFFFF"/>
          </w:tcPr>
          <w:p w14:paraId="2CC0DC8E" w14:textId="0F2C4020" w:rsidR="000B171B" w:rsidRPr="007B60BF" w:rsidRDefault="000B171B" w:rsidP="000B171B">
            <w:pPr>
              <w:jc w:val="right"/>
            </w:pPr>
          </w:p>
        </w:tc>
        <w:tc>
          <w:tcPr>
            <w:tcW w:w="509" w:type="pct"/>
            <w:tcBorders>
              <w:left w:val="nil"/>
              <w:bottom w:val="single" w:sz="4" w:space="0" w:color="auto"/>
              <w:right w:val="nil"/>
            </w:tcBorders>
            <w:shd w:val="clear" w:color="000000" w:fill="FFFFFF"/>
            <w:hideMark/>
          </w:tcPr>
          <w:p w14:paraId="324256FC" w14:textId="0A49F56D" w:rsidR="000B171B" w:rsidRPr="007B60BF" w:rsidRDefault="000B171B" w:rsidP="000B171B">
            <w:pPr>
              <w:jc w:val="right"/>
            </w:pPr>
            <w:r w:rsidRPr="007B60BF">
              <w:t>-</w:t>
            </w:r>
          </w:p>
        </w:tc>
        <w:tc>
          <w:tcPr>
            <w:tcW w:w="78" w:type="pct"/>
            <w:tcBorders>
              <w:left w:val="nil"/>
              <w:right w:val="nil"/>
            </w:tcBorders>
            <w:shd w:val="clear" w:color="000000" w:fill="FFFFFF"/>
            <w:hideMark/>
          </w:tcPr>
          <w:p w14:paraId="360FBFAA" w14:textId="77777777" w:rsidR="000B171B" w:rsidRPr="007B60BF" w:rsidRDefault="000B171B" w:rsidP="000B171B">
            <w:pPr>
              <w:jc w:val="right"/>
            </w:pPr>
          </w:p>
        </w:tc>
        <w:tc>
          <w:tcPr>
            <w:tcW w:w="727" w:type="pct"/>
            <w:tcBorders>
              <w:left w:val="nil"/>
              <w:bottom w:val="single" w:sz="4" w:space="0" w:color="auto"/>
              <w:right w:val="nil"/>
            </w:tcBorders>
            <w:shd w:val="clear" w:color="000000" w:fill="FFFFFF"/>
            <w:hideMark/>
          </w:tcPr>
          <w:p w14:paraId="1538A67D" w14:textId="3C5D32A7" w:rsidR="000B171B" w:rsidRPr="007B60BF" w:rsidRDefault="000B171B" w:rsidP="000B171B">
            <w:pPr>
              <w:jc w:val="right"/>
            </w:pPr>
            <w:r w:rsidRPr="007B60BF">
              <w:t>-</w:t>
            </w:r>
          </w:p>
        </w:tc>
        <w:tc>
          <w:tcPr>
            <w:tcW w:w="78" w:type="pct"/>
            <w:tcBorders>
              <w:left w:val="nil"/>
              <w:right w:val="nil"/>
            </w:tcBorders>
            <w:shd w:val="clear" w:color="000000" w:fill="FFFFFF"/>
            <w:hideMark/>
          </w:tcPr>
          <w:p w14:paraId="3957D90F" w14:textId="77777777" w:rsidR="000B171B" w:rsidRPr="007B60BF" w:rsidRDefault="000B171B" w:rsidP="000B171B">
            <w:pPr>
              <w:jc w:val="right"/>
            </w:pPr>
          </w:p>
        </w:tc>
        <w:tc>
          <w:tcPr>
            <w:tcW w:w="680" w:type="pct"/>
            <w:tcBorders>
              <w:left w:val="nil"/>
              <w:bottom w:val="single" w:sz="4" w:space="0" w:color="auto"/>
              <w:right w:val="nil"/>
            </w:tcBorders>
            <w:shd w:val="clear" w:color="000000" w:fill="FFFFFF"/>
            <w:hideMark/>
          </w:tcPr>
          <w:p w14:paraId="7A2EF182" w14:textId="186F8C72" w:rsidR="000B171B" w:rsidRPr="007B60BF" w:rsidRDefault="000B171B" w:rsidP="000B171B">
            <w:pPr>
              <w:jc w:val="right"/>
            </w:pPr>
            <w:r w:rsidRPr="007B60BF">
              <w:t>-</w:t>
            </w:r>
          </w:p>
        </w:tc>
        <w:tc>
          <w:tcPr>
            <w:tcW w:w="78" w:type="pct"/>
            <w:tcBorders>
              <w:left w:val="nil"/>
              <w:right w:val="nil"/>
            </w:tcBorders>
            <w:shd w:val="clear" w:color="000000" w:fill="FFFFFF"/>
            <w:hideMark/>
          </w:tcPr>
          <w:p w14:paraId="75F3F8FE" w14:textId="77777777" w:rsidR="000B171B" w:rsidRPr="007B60BF" w:rsidRDefault="000B171B" w:rsidP="000B171B">
            <w:pPr>
              <w:jc w:val="right"/>
            </w:pPr>
          </w:p>
        </w:tc>
        <w:tc>
          <w:tcPr>
            <w:tcW w:w="486" w:type="pct"/>
            <w:tcBorders>
              <w:left w:val="nil"/>
              <w:bottom w:val="single" w:sz="4" w:space="0" w:color="auto"/>
              <w:right w:val="nil"/>
            </w:tcBorders>
            <w:shd w:val="clear" w:color="000000" w:fill="FFFFFF"/>
            <w:hideMark/>
          </w:tcPr>
          <w:p w14:paraId="2BA4105A" w14:textId="5E53F3FE" w:rsidR="000B171B" w:rsidRPr="007B60BF" w:rsidRDefault="000B171B" w:rsidP="000B171B">
            <w:pPr>
              <w:jc w:val="right"/>
            </w:pPr>
            <w:r w:rsidRPr="007B60BF">
              <w:t>20.152</w:t>
            </w:r>
          </w:p>
        </w:tc>
        <w:tc>
          <w:tcPr>
            <w:tcW w:w="76" w:type="pct"/>
            <w:tcBorders>
              <w:left w:val="nil"/>
              <w:right w:val="nil"/>
            </w:tcBorders>
            <w:shd w:val="clear" w:color="000000" w:fill="FFFFFF"/>
          </w:tcPr>
          <w:p w14:paraId="50140BB6" w14:textId="77777777" w:rsidR="000B171B" w:rsidRPr="007B60BF" w:rsidRDefault="000B171B" w:rsidP="000B171B">
            <w:pPr>
              <w:jc w:val="right"/>
            </w:pPr>
          </w:p>
        </w:tc>
        <w:tc>
          <w:tcPr>
            <w:tcW w:w="386" w:type="pct"/>
            <w:tcBorders>
              <w:left w:val="nil"/>
              <w:bottom w:val="single" w:sz="4" w:space="0" w:color="auto"/>
              <w:right w:val="nil"/>
            </w:tcBorders>
            <w:shd w:val="clear" w:color="000000" w:fill="FFFFFF"/>
            <w:hideMark/>
          </w:tcPr>
          <w:p w14:paraId="2C1215BE" w14:textId="61F91E94" w:rsidR="000B171B" w:rsidRPr="007B60BF" w:rsidRDefault="000B171B" w:rsidP="000B171B">
            <w:pPr>
              <w:jc w:val="right"/>
            </w:pPr>
            <w:r w:rsidRPr="007B60BF">
              <w:t>20.152</w:t>
            </w:r>
          </w:p>
        </w:tc>
      </w:tr>
      <w:tr w:rsidR="008C1903" w:rsidRPr="007B60BF" w14:paraId="15521052" w14:textId="77777777" w:rsidTr="007C1314">
        <w:trPr>
          <w:jc w:val="center"/>
        </w:trPr>
        <w:tc>
          <w:tcPr>
            <w:tcW w:w="1525" w:type="pct"/>
            <w:tcBorders>
              <w:top w:val="nil"/>
              <w:left w:val="nil"/>
              <w:bottom w:val="nil"/>
              <w:right w:val="nil"/>
            </w:tcBorders>
            <w:shd w:val="clear" w:color="000000" w:fill="FFFFFF"/>
            <w:vAlign w:val="center"/>
          </w:tcPr>
          <w:p w14:paraId="7142525E" w14:textId="785A814D" w:rsidR="000B171B" w:rsidRPr="007B60BF" w:rsidRDefault="000B171B" w:rsidP="000B171B">
            <w:pPr>
              <w:rPr>
                <w:b/>
                <w:bCs/>
              </w:rPr>
            </w:pPr>
            <w:r w:rsidRPr="007B60BF">
              <w:rPr>
                <w:b/>
                <w:bCs/>
              </w:rPr>
              <w:t xml:space="preserve">Saldo em </w:t>
            </w:r>
            <w:r w:rsidRPr="007B60BF">
              <w:rPr>
                <w:b/>
              </w:rPr>
              <w:t>31 de dezembro de 2024</w:t>
            </w:r>
          </w:p>
        </w:tc>
        <w:tc>
          <w:tcPr>
            <w:tcW w:w="312" w:type="pct"/>
            <w:tcBorders>
              <w:left w:val="nil"/>
              <w:right w:val="nil"/>
            </w:tcBorders>
            <w:shd w:val="clear" w:color="000000" w:fill="FFFFFF"/>
          </w:tcPr>
          <w:p w14:paraId="185ED56A" w14:textId="77777777" w:rsidR="000B171B" w:rsidRPr="007B60BF" w:rsidRDefault="000B171B" w:rsidP="000B171B">
            <w:pPr>
              <w:jc w:val="right"/>
              <w:rPr>
                <w:b/>
              </w:rPr>
            </w:pPr>
          </w:p>
        </w:tc>
        <w:tc>
          <w:tcPr>
            <w:tcW w:w="65" w:type="pct"/>
            <w:tcBorders>
              <w:left w:val="nil"/>
              <w:right w:val="nil"/>
            </w:tcBorders>
            <w:shd w:val="clear" w:color="000000" w:fill="FFFFFF"/>
          </w:tcPr>
          <w:p w14:paraId="092E0154" w14:textId="77777777" w:rsidR="000B171B" w:rsidRPr="007B60BF" w:rsidRDefault="000B171B" w:rsidP="000B171B">
            <w:pPr>
              <w:jc w:val="right"/>
              <w:rPr>
                <w:b/>
              </w:rPr>
            </w:pPr>
          </w:p>
        </w:tc>
        <w:tc>
          <w:tcPr>
            <w:tcW w:w="509" w:type="pct"/>
            <w:tcBorders>
              <w:top w:val="single" w:sz="4" w:space="0" w:color="auto"/>
              <w:left w:val="nil"/>
              <w:bottom w:val="single" w:sz="4" w:space="0" w:color="auto"/>
              <w:right w:val="nil"/>
            </w:tcBorders>
            <w:shd w:val="clear" w:color="000000" w:fill="FFFFFF"/>
          </w:tcPr>
          <w:p w14:paraId="44F5A15F" w14:textId="6449FD9B" w:rsidR="000B171B" w:rsidRPr="007B60BF" w:rsidRDefault="000B171B" w:rsidP="000B171B">
            <w:pPr>
              <w:jc w:val="right"/>
              <w:rPr>
                <w:b/>
              </w:rPr>
            </w:pPr>
            <w:r w:rsidRPr="007B60BF">
              <w:rPr>
                <w:b/>
              </w:rPr>
              <w:t>1.284.791</w:t>
            </w:r>
          </w:p>
        </w:tc>
        <w:tc>
          <w:tcPr>
            <w:tcW w:w="78" w:type="pct"/>
            <w:tcBorders>
              <w:left w:val="nil"/>
              <w:bottom w:val="nil"/>
              <w:right w:val="nil"/>
            </w:tcBorders>
            <w:shd w:val="clear" w:color="000000" w:fill="FFFFFF"/>
          </w:tcPr>
          <w:p w14:paraId="1E3C99A6" w14:textId="77777777" w:rsidR="000B171B" w:rsidRPr="007B60BF" w:rsidRDefault="000B171B" w:rsidP="000B171B">
            <w:pPr>
              <w:jc w:val="right"/>
              <w:rPr>
                <w:b/>
              </w:rPr>
            </w:pPr>
          </w:p>
        </w:tc>
        <w:tc>
          <w:tcPr>
            <w:tcW w:w="727" w:type="pct"/>
            <w:tcBorders>
              <w:top w:val="single" w:sz="4" w:space="0" w:color="auto"/>
              <w:left w:val="nil"/>
              <w:bottom w:val="single" w:sz="4" w:space="0" w:color="auto"/>
              <w:right w:val="nil"/>
            </w:tcBorders>
            <w:shd w:val="clear" w:color="000000" w:fill="FFFFFF"/>
          </w:tcPr>
          <w:p w14:paraId="15DF2A82" w14:textId="77FFD32F" w:rsidR="000B171B" w:rsidRPr="007B60BF" w:rsidRDefault="000B171B" w:rsidP="000B171B">
            <w:pPr>
              <w:jc w:val="right"/>
              <w:rPr>
                <w:b/>
              </w:rPr>
            </w:pPr>
            <w:r w:rsidRPr="007B60BF">
              <w:rPr>
                <w:b/>
              </w:rPr>
              <w:t>8.813</w:t>
            </w:r>
          </w:p>
        </w:tc>
        <w:tc>
          <w:tcPr>
            <w:tcW w:w="78" w:type="pct"/>
            <w:tcBorders>
              <w:left w:val="nil"/>
              <w:bottom w:val="nil"/>
              <w:right w:val="nil"/>
            </w:tcBorders>
            <w:shd w:val="clear" w:color="000000" w:fill="FFFFFF"/>
          </w:tcPr>
          <w:p w14:paraId="2D6E6F5B" w14:textId="77777777" w:rsidR="000B171B" w:rsidRPr="007B60BF" w:rsidRDefault="000B171B" w:rsidP="000B171B">
            <w:pPr>
              <w:jc w:val="right"/>
              <w:rPr>
                <w:b/>
              </w:rPr>
            </w:pPr>
          </w:p>
        </w:tc>
        <w:tc>
          <w:tcPr>
            <w:tcW w:w="680" w:type="pct"/>
            <w:tcBorders>
              <w:top w:val="single" w:sz="4" w:space="0" w:color="auto"/>
              <w:left w:val="nil"/>
              <w:bottom w:val="single" w:sz="4" w:space="0" w:color="auto"/>
              <w:right w:val="nil"/>
            </w:tcBorders>
            <w:shd w:val="clear" w:color="000000" w:fill="FFFFFF"/>
          </w:tcPr>
          <w:p w14:paraId="00B2BD65" w14:textId="6B32A72A" w:rsidR="000B171B" w:rsidRPr="007B60BF" w:rsidRDefault="000B171B" w:rsidP="000B171B">
            <w:pPr>
              <w:jc w:val="right"/>
              <w:rPr>
                <w:b/>
              </w:rPr>
            </w:pPr>
            <w:r w:rsidRPr="007B60BF">
              <w:rPr>
                <w:b/>
              </w:rPr>
              <w:t>(20.113)</w:t>
            </w:r>
          </w:p>
        </w:tc>
        <w:tc>
          <w:tcPr>
            <w:tcW w:w="78" w:type="pct"/>
            <w:tcBorders>
              <w:left w:val="nil"/>
              <w:bottom w:val="nil"/>
              <w:right w:val="nil"/>
            </w:tcBorders>
            <w:shd w:val="clear" w:color="000000" w:fill="FFFFFF"/>
          </w:tcPr>
          <w:p w14:paraId="64187C2B" w14:textId="77777777" w:rsidR="000B171B" w:rsidRPr="007B60BF" w:rsidRDefault="000B171B" w:rsidP="000B171B">
            <w:pPr>
              <w:jc w:val="right"/>
              <w:rPr>
                <w:b/>
              </w:rPr>
            </w:pPr>
          </w:p>
        </w:tc>
        <w:tc>
          <w:tcPr>
            <w:tcW w:w="486" w:type="pct"/>
            <w:tcBorders>
              <w:top w:val="single" w:sz="4" w:space="0" w:color="auto"/>
              <w:left w:val="nil"/>
              <w:bottom w:val="single" w:sz="4" w:space="0" w:color="auto"/>
              <w:right w:val="nil"/>
            </w:tcBorders>
            <w:shd w:val="clear" w:color="000000" w:fill="FFFFFF"/>
          </w:tcPr>
          <w:p w14:paraId="1A606B78" w14:textId="772200E2" w:rsidR="000B171B" w:rsidRPr="007B60BF" w:rsidRDefault="000B171B" w:rsidP="000B171B">
            <w:pPr>
              <w:jc w:val="right"/>
              <w:rPr>
                <w:b/>
              </w:rPr>
            </w:pPr>
            <w:r w:rsidRPr="007B60BF">
              <w:rPr>
                <w:b/>
              </w:rPr>
              <w:t>(1.262.916)</w:t>
            </w:r>
          </w:p>
        </w:tc>
        <w:tc>
          <w:tcPr>
            <w:tcW w:w="76" w:type="pct"/>
            <w:tcBorders>
              <w:left w:val="nil"/>
              <w:bottom w:val="nil"/>
              <w:right w:val="nil"/>
            </w:tcBorders>
            <w:shd w:val="clear" w:color="000000" w:fill="FFFFFF"/>
          </w:tcPr>
          <w:p w14:paraId="0007A47A" w14:textId="77777777" w:rsidR="000B171B" w:rsidRPr="007B60BF" w:rsidRDefault="000B171B" w:rsidP="000B171B">
            <w:pPr>
              <w:jc w:val="right"/>
              <w:rPr>
                <w:b/>
              </w:rPr>
            </w:pPr>
          </w:p>
        </w:tc>
        <w:tc>
          <w:tcPr>
            <w:tcW w:w="386" w:type="pct"/>
            <w:tcBorders>
              <w:top w:val="single" w:sz="4" w:space="0" w:color="auto"/>
              <w:left w:val="nil"/>
              <w:bottom w:val="single" w:sz="4" w:space="0" w:color="auto"/>
              <w:right w:val="nil"/>
            </w:tcBorders>
            <w:shd w:val="clear" w:color="000000" w:fill="FFFFFF"/>
          </w:tcPr>
          <w:p w14:paraId="403D938B" w14:textId="14CABC64" w:rsidR="000B171B" w:rsidRPr="007B60BF" w:rsidRDefault="000B171B" w:rsidP="000B171B">
            <w:pPr>
              <w:jc w:val="right"/>
              <w:rPr>
                <w:b/>
              </w:rPr>
            </w:pPr>
            <w:r w:rsidRPr="007B60BF">
              <w:rPr>
                <w:b/>
              </w:rPr>
              <w:t>10.575</w:t>
            </w:r>
          </w:p>
        </w:tc>
      </w:tr>
      <w:tr w:rsidR="008C1903" w:rsidRPr="007B60BF" w14:paraId="7A42979D" w14:textId="77777777" w:rsidTr="007C1314">
        <w:trPr>
          <w:jc w:val="center"/>
        </w:trPr>
        <w:tc>
          <w:tcPr>
            <w:tcW w:w="1525" w:type="pct"/>
            <w:tcBorders>
              <w:top w:val="nil"/>
              <w:left w:val="nil"/>
              <w:bottom w:val="nil"/>
              <w:right w:val="nil"/>
            </w:tcBorders>
            <w:shd w:val="clear" w:color="000000" w:fill="FFFFFF"/>
            <w:vAlign w:val="center"/>
            <w:hideMark/>
          </w:tcPr>
          <w:p w14:paraId="4E88D396" w14:textId="77777777" w:rsidR="00090545" w:rsidRPr="007B60BF" w:rsidRDefault="00090545" w:rsidP="00090545">
            <w:pPr>
              <w:rPr>
                <w:bCs/>
              </w:rPr>
            </w:pPr>
            <w:r w:rsidRPr="007B60BF">
              <w:rPr>
                <w:bCs/>
              </w:rPr>
              <w:t xml:space="preserve">  Realização da Avaliação Patrimonial</w:t>
            </w:r>
          </w:p>
        </w:tc>
        <w:tc>
          <w:tcPr>
            <w:tcW w:w="312" w:type="pct"/>
            <w:tcBorders>
              <w:left w:val="nil"/>
              <w:right w:val="nil"/>
            </w:tcBorders>
            <w:shd w:val="clear" w:color="000000" w:fill="FFFFFF"/>
          </w:tcPr>
          <w:p w14:paraId="4E0BF9C8" w14:textId="7662C7A2" w:rsidR="00090545" w:rsidRPr="007B60BF" w:rsidRDefault="00E25ABC" w:rsidP="00E25ABC">
            <w:pPr>
              <w:jc w:val="right"/>
            </w:pPr>
            <w:r w:rsidRPr="007B60BF">
              <w:t>16</w:t>
            </w:r>
            <w:r w:rsidR="00A703E3" w:rsidRPr="007B60BF">
              <w:t xml:space="preserve"> (</w:t>
            </w:r>
            <w:r w:rsidRPr="007B60BF">
              <w:t>b</w:t>
            </w:r>
            <w:r w:rsidR="00A703E3" w:rsidRPr="007B60BF">
              <w:t>)</w:t>
            </w:r>
          </w:p>
        </w:tc>
        <w:tc>
          <w:tcPr>
            <w:tcW w:w="65" w:type="pct"/>
            <w:tcBorders>
              <w:left w:val="nil"/>
              <w:right w:val="nil"/>
            </w:tcBorders>
            <w:shd w:val="clear" w:color="000000" w:fill="FFFFFF"/>
          </w:tcPr>
          <w:p w14:paraId="15B373E4" w14:textId="0346CBFA" w:rsidR="00090545" w:rsidRPr="007B60BF" w:rsidRDefault="00090545" w:rsidP="00090545">
            <w:pPr>
              <w:jc w:val="right"/>
            </w:pPr>
          </w:p>
        </w:tc>
        <w:tc>
          <w:tcPr>
            <w:tcW w:w="509" w:type="pct"/>
            <w:tcBorders>
              <w:left w:val="nil"/>
              <w:right w:val="nil"/>
            </w:tcBorders>
            <w:shd w:val="clear" w:color="000000" w:fill="FFFFFF"/>
          </w:tcPr>
          <w:p w14:paraId="722A0BD0" w14:textId="7A69B379" w:rsidR="00090545" w:rsidRPr="007B60BF" w:rsidRDefault="00090545" w:rsidP="00090545">
            <w:pPr>
              <w:jc w:val="right"/>
            </w:pPr>
            <w:r w:rsidRPr="007B60BF">
              <w:t>-</w:t>
            </w:r>
          </w:p>
        </w:tc>
        <w:tc>
          <w:tcPr>
            <w:tcW w:w="78" w:type="pct"/>
            <w:tcBorders>
              <w:left w:val="nil"/>
              <w:right w:val="nil"/>
            </w:tcBorders>
            <w:shd w:val="clear" w:color="000000" w:fill="FFFFFF"/>
          </w:tcPr>
          <w:p w14:paraId="52142119" w14:textId="77777777" w:rsidR="00090545" w:rsidRPr="007B60BF" w:rsidRDefault="00090545" w:rsidP="00090545">
            <w:pPr>
              <w:jc w:val="right"/>
            </w:pPr>
          </w:p>
        </w:tc>
        <w:tc>
          <w:tcPr>
            <w:tcW w:w="727" w:type="pct"/>
            <w:tcBorders>
              <w:left w:val="nil"/>
              <w:right w:val="nil"/>
            </w:tcBorders>
            <w:shd w:val="clear" w:color="000000" w:fill="FFFFFF"/>
          </w:tcPr>
          <w:p w14:paraId="6946A3B5" w14:textId="44172F74" w:rsidR="00090545" w:rsidRPr="007B60BF" w:rsidRDefault="00090545" w:rsidP="00090545">
            <w:pPr>
              <w:jc w:val="right"/>
            </w:pPr>
            <w:r w:rsidRPr="007B60BF">
              <w:t>-</w:t>
            </w:r>
          </w:p>
        </w:tc>
        <w:tc>
          <w:tcPr>
            <w:tcW w:w="78" w:type="pct"/>
            <w:tcBorders>
              <w:left w:val="nil"/>
              <w:right w:val="nil"/>
            </w:tcBorders>
            <w:shd w:val="clear" w:color="000000" w:fill="FFFFFF"/>
          </w:tcPr>
          <w:p w14:paraId="5603389C" w14:textId="77777777" w:rsidR="00090545" w:rsidRPr="007B60BF" w:rsidRDefault="00090545" w:rsidP="00090545">
            <w:pPr>
              <w:jc w:val="right"/>
            </w:pPr>
          </w:p>
        </w:tc>
        <w:tc>
          <w:tcPr>
            <w:tcW w:w="680" w:type="pct"/>
            <w:tcBorders>
              <w:left w:val="nil"/>
              <w:right w:val="nil"/>
            </w:tcBorders>
            <w:shd w:val="clear" w:color="auto" w:fill="auto"/>
          </w:tcPr>
          <w:p w14:paraId="549F9B0D" w14:textId="104E1677" w:rsidR="00090545" w:rsidRPr="007B60BF" w:rsidRDefault="00AA4FBC" w:rsidP="00FF0BB4">
            <w:pPr>
              <w:jc w:val="right"/>
            </w:pPr>
            <w:r w:rsidRPr="007B60BF">
              <w:t>(780)</w:t>
            </w:r>
          </w:p>
        </w:tc>
        <w:tc>
          <w:tcPr>
            <w:tcW w:w="78" w:type="pct"/>
            <w:tcBorders>
              <w:left w:val="nil"/>
              <w:right w:val="nil"/>
            </w:tcBorders>
            <w:shd w:val="clear" w:color="auto" w:fill="auto"/>
          </w:tcPr>
          <w:p w14:paraId="0A0C2E86" w14:textId="77777777" w:rsidR="00090545" w:rsidRPr="007B60BF" w:rsidRDefault="00090545" w:rsidP="00090545">
            <w:pPr>
              <w:jc w:val="right"/>
            </w:pPr>
          </w:p>
        </w:tc>
        <w:tc>
          <w:tcPr>
            <w:tcW w:w="486" w:type="pct"/>
            <w:tcBorders>
              <w:left w:val="nil"/>
              <w:right w:val="nil"/>
            </w:tcBorders>
            <w:shd w:val="clear" w:color="auto" w:fill="auto"/>
          </w:tcPr>
          <w:p w14:paraId="10617445" w14:textId="31B3DC2C" w:rsidR="00090545" w:rsidRPr="007B60BF" w:rsidRDefault="00AA4FBC" w:rsidP="00090545">
            <w:pPr>
              <w:jc w:val="right"/>
            </w:pPr>
            <w:r w:rsidRPr="007B60BF">
              <w:t>780</w:t>
            </w:r>
          </w:p>
        </w:tc>
        <w:tc>
          <w:tcPr>
            <w:tcW w:w="76" w:type="pct"/>
            <w:tcBorders>
              <w:left w:val="nil"/>
              <w:right w:val="nil"/>
            </w:tcBorders>
            <w:shd w:val="clear" w:color="000000" w:fill="FFFFFF"/>
          </w:tcPr>
          <w:p w14:paraId="05B62747" w14:textId="77777777" w:rsidR="00090545" w:rsidRPr="007B60BF" w:rsidRDefault="00090545" w:rsidP="00090545">
            <w:pPr>
              <w:jc w:val="right"/>
            </w:pPr>
          </w:p>
        </w:tc>
        <w:tc>
          <w:tcPr>
            <w:tcW w:w="386" w:type="pct"/>
            <w:tcBorders>
              <w:left w:val="nil"/>
              <w:right w:val="nil"/>
            </w:tcBorders>
            <w:shd w:val="clear" w:color="000000" w:fill="FFFFFF"/>
          </w:tcPr>
          <w:p w14:paraId="380D88B7" w14:textId="1F211D59" w:rsidR="00090545" w:rsidRPr="007B60BF" w:rsidRDefault="008C1903" w:rsidP="00090545">
            <w:pPr>
              <w:jc w:val="right"/>
            </w:pPr>
            <w:r w:rsidRPr="007B60BF">
              <w:t>-</w:t>
            </w:r>
          </w:p>
        </w:tc>
      </w:tr>
      <w:tr w:rsidR="008C1903" w:rsidRPr="007B60BF" w14:paraId="33510811" w14:textId="77777777" w:rsidTr="007C1314">
        <w:trPr>
          <w:jc w:val="center"/>
        </w:trPr>
        <w:tc>
          <w:tcPr>
            <w:tcW w:w="1525" w:type="pct"/>
            <w:tcBorders>
              <w:top w:val="nil"/>
              <w:left w:val="nil"/>
              <w:right w:val="nil"/>
            </w:tcBorders>
            <w:shd w:val="clear" w:color="000000" w:fill="FFFFFF"/>
            <w:vAlign w:val="center"/>
          </w:tcPr>
          <w:p w14:paraId="65ED24F0" w14:textId="08D627CF" w:rsidR="008C1903" w:rsidRPr="007B60BF" w:rsidRDefault="008C1903" w:rsidP="008C1903">
            <w:pPr>
              <w:rPr>
                <w:bCs/>
              </w:rPr>
            </w:pPr>
            <w:r w:rsidRPr="007B60BF">
              <w:t xml:space="preserve">  Aumento de Capital</w:t>
            </w:r>
          </w:p>
        </w:tc>
        <w:tc>
          <w:tcPr>
            <w:tcW w:w="312" w:type="pct"/>
            <w:tcBorders>
              <w:left w:val="nil"/>
              <w:right w:val="nil"/>
            </w:tcBorders>
            <w:shd w:val="clear" w:color="000000" w:fill="FFFFFF"/>
          </w:tcPr>
          <w:p w14:paraId="38A2EC7F" w14:textId="1913B2A7" w:rsidR="008C1903" w:rsidRPr="007B60BF" w:rsidRDefault="008C1903" w:rsidP="008C1903">
            <w:pPr>
              <w:rPr>
                <w:b/>
              </w:rPr>
            </w:pPr>
          </w:p>
        </w:tc>
        <w:tc>
          <w:tcPr>
            <w:tcW w:w="65" w:type="pct"/>
            <w:tcBorders>
              <w:left w:val="nil"/>
              <w:right w:val="nil"/>
            </w:tcBorders>
            <w:shd w:val="clear" w:color="000000" w:fill="FFFFFF"/>
          </w:tcPr>
          <w:p w14:paraId="470CC2E6" w14:textId="3C7A3DD5" w:rsidR="008C1903" w:rsidRPr="007B60BF" w:rsidRDefault="008C1903" w:rsidP="008C1903">
            <w:pPr>
              <w:jc w:val="right"/>
            </w:pPr>
          </w:p>
        </w:tc>
        <w:tc>
          <w:tcPr>
            <w:tcW w:w="509" w:type="pct"/>
            <w:tcBorders>
              <w:left w:val="nil"/>
              <w:right w:val="nil"/>
            </w:tcBorders>
            <w:shd w:val="clear" w:color="000000" w:fill="FFFFFF"/>
          </w:tcPr>
          <w:p w14:paraId="55AEFD27" w14:textId="2866B240" w:rsidR="008C1903" w:rsidRPr="007B60BF" w:rsidRDefault="008C1903" w:rsidP="008C1903">
            <w:pPr>
              <w:jc w:val="right"/>
            </w:pPr>
            <w:r w:rsidRPr="007B60BF">
              <w:t xml:space="preserve"> 8.677 </w:t>
            </w:r>
          </w:p>
        </w:tc>
        <w:tc>
          <w:tcPr>
            <w:tcW w:w="78" w:type="pct"/>
            <w:tcBorders>
              <w:left w:val="nil"/>
              <w:right w:val="nil"/>
            </w:tcBorders>
            <w:shd w:val="clear" w:color="000000" w:fill="FFFFFF"/>
          </w:tcPr>
          <w:p w14:paraId="3532A593" w14:textId="77777777" w:rsidR="008C1903" w:rsidRPr="007B60BF" w:rsidRDefault="008C1903" w:rsidP="008C1903">
            <w:pPr>
              <w:jc w:val="right"/>
            </w:pPr>
          </w:p>
        </w:tc>
        <w:tc>
          <w:tcPr>
            <w:tcW w:w="727" w:type="pct"/>
            <w:tcBorders>
              <w:left w:val="nil"/>
              <w:right w:val="nil"/>
            </w:tcBorders>
            <w:shd w:val="clear" w:color="000000" w:fill="FFFFFF"/>
          </w:tcPr>
          <w:p w14:paraId="7306BB29" w14:textId="345E2E98" w:rsidR="008C1903" w:rsidRPr="007B60BF" w:rsidRDefault="00290778" w:rsidP="008C1903">
            <w:pPr>
              <w:jc w:val="right"/>
            </w:pPr>
            <w:r w:rsidRPr="007B60BF">
              <w:t>(</w:t>
            </w:r>
            <w:r w:rsidR="008C1903" w:rsidRPr="007B60BF">
              <w:t>8.677</w:t>
            </w:r>
            <w:r w:rsidRPr="007B60BF">
              <w:t>)</w:t>
            </w:r>
            <w:r w:rsidR="008C1903" w:rsidRPr="007B60BF">
              <w:t xml:space="preserve"> </w:t>
            </w:r>
          </w:p>
        </w:tc>
        <w:tc>
          <w:tcPr>
            <w:tcW w:w="78" w:type="pct"/>
            <w:tcBorders>
              <w:left w:val="nil"/>
              <w:right w:val="nil"/>
            </w:tcBorders>
            <w:shd w:val="clear" w:color="000000" w:fill="FFFFFF"/>
          </w:tcPr>
          <w:p w14:paraId="64470E07" w14:textId="77777777" w:rsidR="008C1903" w:rsidRPr="007B60BF" w:rsidRDefault="008C1903" w:rsidP="008C1903">
            <w:pPr>
              <w:jc w:val="right"/>
            </w:pPr>
          </w:p>
        </w:tc>
        <w:tc>
          <w:tcPr>
            <w:tcW w:w="680" w:type="pct"/>
            <w:tcBorders>
              <w:left w:val="nil"/>
              <w:right w:val="nil"/>
            </w:tcBorders>
            <w:shd w:val="clear" w:color="000000" w:fill="FFFFFF"/>
          </w:tcPr>
          <w:p w14:paraId="14F1FF62" w14:textId="6CD6B5CA" w:rsidR="008C1903" w:rsidRPr="007B60BF" w:rsidRDefault="008C1903" w:rsidP="008C1903">
            <w:pPr>
              <w:jc w:val="right"/>
            </w:pPr>
            <w:r w:rsidRPr="007B60BF">
              <w:t>-</w:t>
            </w:r>
          </w:p>
        </w:tc>
        <w:tc>
          <w:tcPr>
            <w:tcW w:w="78" w:type="pct"/>
            <w:tcBorders>
              <w:left w:val="nil"/>
              <w:right w:val="nil"/>
            </w:tcBorders>
            <w:shd w:val="clear" w:color="000000" w:fill="FFFFFF"/>
          </w:tcPr>
          <w:p w14:paraId="22DF081A" w14:textId="77777777" w:rsidR="008C1903" w:rsidRPr="007B60BF" w:rsidRDefault="008C1903" w:rsidP="008C1903">
            <w:pPr>
              <w:jc w:val="right"/>
            </w:pPr>
          </w:p>
        </w:tc>
        <w:tc>
          <w:tcPr>
            <w:tcW w:w="486" w:type="pct"/>
            <w:tcBorders>
              <w:left w:val="nil"/>
              <w:right w:val="nil"/>
            </w:tcBorders>
            <w:shd w:val="clear" w:color="000000" w:fill="FFFFFF"/>
          </w:tcPr>
          <w:p w14:paraId="61469B72" w14:textId="74E6DC47" w:rsidR="008C1903" w:rsidRPr="007B60BF" w:rsidRDefault="008C1903" w:rsidP="008C1903">
            <w:pPr>
              <w:jc w:val="right"/>
            </w:pPr>
            <w:r w:rsidRPr="007B60BF">
              <w:t>-</w:t>
            </w:r>
          </w:p>
        </w:tc>
        <w:tc>
          <w:tcPr>
            <w:tcW w:w="76" w:type="pct"/>
            <w:tcBorders>
              <w:left w:val="nil"/>
              <w:right w:val="nil"/>
            </w:tcBorders>
            <w:shd w:val="clear" w:color="000000" w:fill="FFFFFF"/>
          </w:tcPr>
          <w:p w14:paraId="6CC6419F" w14:textId="77777777" w:rsidR="008C1903" w:rsidRPr="007B60BF" w:rsidRDefault="008C1903" w:rsidP="008C1903">
            <w:pPr>
              <w:jc w:val="right"/>
            </w:pPr>
          </w:p>
        </w:tc>
        <w:tc>
          <w:tcPr>
            <w:tcW w:w="386" w:type="pct"/>
            <w:tcBorders>
              <w:left w:val="nil"/>
              <w:right w:val="nil"/>
            </w:tcBorders>
            <w:shd w:val="clear" w:color="000000" w:fill="FFFFFF"/>
          </w:tcPr>
          <w:p w14:paraId="0CD06F78" w14:textId="17351525" w:rsidR="008C1903" w:rsidRPr="007B60BF" w:rsidRDefault="008C1903" w:rsidP="008C1903">
            <w:pPr>
              <w:jc w:val="right"/>
            </w:pPr>
            <w:r w:rsidRPr="007B60BF">
              <w:t xml:space="preserve"> -   </w:t>
            </w:r>
          </w:p>
        </w:tc>
      </w:tr>
      <w:tr w:rsidR="008C1903" w:rsidRPr="007B60BF" w14:paraId="5144CB9B" w14:textId="77777777" w:rsidTr="007C1314">
        <w:trPr>
          <w:jc w:val="center"/>
        </w:trPr>
        <w:tc>
          <w:tcPr>
            <w:tcW w:w="1525" w:type="pct"/>
            <w:tcBorders>
              <w:top w:val="nil"/>
              <w:left w:val="nil"/>
              <w:right w:val="nil"/>
            </w:tcBorders>
            <w:shd w:val="clear" w:color="000000" w:fill="FFFFFF"/>
            <w:vAlign w:val="center"/>
            <w:hideMark/>
          </w:tcPr>
          <w:p w14:paraId="67BF58A5" w14:textId="77777777" w:rsidR="008C1903" w:rsidRPr="007B60BF" w:rsidRDefault="008C1903" w:rsidP="008C1903">
            <w:pPr>
              <w:rPr>
                <w:bCs/>
              </w:rPr>
            </w:pPr>
            <w:r w:rsidRPr="007B60BF">
              <w:rPr>
                <w:bCs/>
              </w:rPr>
              <w:t xml:space="preserve">  Adiantamento para Futuro Aumento Capital</w:t>
            </w:r>
          </w:p>
        </w:tc>
        <w:tc>
          <w:tcPr>
            <w:tcW w:w="312" w:type="pct"/>
            <w:tcBorders>
              <w:left w:val="nil"/>
              <w:right w:val="nil"/>
            </w:tcBorders>
            <w:shd w:val="clear" w:color="000000" w:fill="FFFFFF"/>
          </w:tcPr>
          <w:p w14:paraId="03156B5D" w14:textId="77777777" w:rsidR="008C1903" w:rsidRPr="007B60BF" w:rsidRDefault="008C1903" w:rsidP="008C1903">
            <w:pPr>
              <w:jc w:val="right"/>
            </w:pPr>
          </w:p>
        </w:tc>
        <w:tc>
          <w:tcPr>
            <w:tcW w:w="65" w:type="pct"/>
            <w:tcBorders>
              <w:left w:val="nil"/>
              <w:right w:val="nil"/>
            </w:tcBorders>
            <w:shd w:val="clear" w:color="000000" w:fill="FFFFFF"/>
          </w:tcPr>
          <w:p w14:paraId="73B8F18D" w14:textId="5D578EFD" w:rsidR="008C1903" w:rsidRPr="007B60BF" w:rsidRDefault="008C1903" w:rsidP="008C1903">
            <w:pPr>
              <w:jc w:val="right"/>
            </w:pPr>
          </w:p>
        </w:tc>
        <w:tc>
          <w:tcPr>
            <w:tcW w:w="509" w:type="pct"/>
            <w:tcBorders>
              <w:left w:val="nil"/>
              <w:right w:val="nil"/>
            </w:tcBorders>
            <w:shd w:val="clear" w:color="000000" w:fill="FFFFFF"/>
          </w:tcPr>
          <w:p w14:paraId="32B8A076" w14:textId="3B38A046" w:rsidR="008C1903" w:rsidRPr="007B60BF" w:rsidRDefault="008C1903" w:rsidP="008C1903">
            <w:pPr>
              <w:jc w:val="right"/>
            </w:pPr>
            <w:r w:rsidRPr="007B60BF">
              <w:t xml:space="preserve"> -   </w:t>
            </w:r>
          </w:p>
        </w:tc>
        <w:tc>
          <w:tcPr>
            <w:tcW w:w="78" w:type="pct"/>
            <w:tcBorders>
              <w:left w:val="nil"/>
              <w:right w:val="nil"/>
            </w:tcBorders>
            <w:shd w:val="clear" w:color="000000" w:fill="FFFFFF"/>
          </w:tcPr>
          <w:p w14:paraId="6FF0A5A2" w14:textId="77777777" w:rsidR="008C1903" w:rsidRPr="007B60BF" w:rsidRDefault="008C1903" w:rsidP="008C1903">
            <w:pPr>
              <w:jc w:val="right"/>
            </w:pPr>
          </w:p>
        </w:tc>
        <w:tc>
          <w:tcPr>
            <w:tcW w:w="727" w:type="pct"/>
            <w:tcBorders>
              <w:left w:val="nil"/>
              <w:right w:val="nil"/>
            </w:tcBorders>
            <w:shd w:val="clear" w:color="000000" w:fill="FFFFFF"/>
          </w:tcPr>
          <w:p w14:paraId="7E0F1EBA" w14:textId="06697F71" w:rsidR="008C1903" w:rsidRPr="007B60BF" w:rsidRDefault="008C1903" w:rsidP="008C1903">
            <w:pPr>
              <w:jc w:val="right"/>
            </w:pPr>
            <w:r w:rsidRPr="007B60BF">
              <w:t xml:space="preserve"> 24.180 </w:t>
            </w:r>
          </w:p>
        </w:tc>
        <w:tc>
          <w:tcPr>
            <w:tcW w:w="78" w:type="pct"/>
            <w:tcBorders>
              <w:left w:val="nil"/>
              <w:right w:val="nil"/>
            </w:tcBorders>
            <w:shd w:val="clear" w:color="000000" w:fill="FFFFFF"/>
          </w:tcPr>
          <w:p w14:paraId="251AAE8C" w14:textId="77777777" w:rsidR="008C1903" w:rsidRPr="007B60BF" w:rsidRDefault="008C1903" w:rsidP="008C1903">
            <w:pPr>
              <w:jc w:val="right"/>
            </w:pPr>
          </w:p>
        </w:tc>
        <w:tc>
          <w:tcPr>
            <w:tcW w:w="680" w:type="pct"/>
            <w:tcBorders>
              <w:left w:val="nil"/>
              <w:right w:val="nil"/>
            </w:tcBorders>
            <w:shd w:val="clear" w:color="000000" w:fill="FFFFFF"/>
          </w:tcPr>
          <w:p w14:paraId="0BA6F6C5" w14:textId="54285B71" w:rsidR="008C1903" w:rsidRPr="007B60BF" w:rsidRDefault="008C1903" w:rsidP="008C1903">
            <w:pPr>
              <w:jc w:val="right"/>
            </w:pPr>
            <w:r w:rsidRPr="007B60BF">
              <w:t>-</w:t>
            </w:r>
          </w:p>
        </w:tc>
        <w:tc>
          <w:tcPr>
            <w:tcW w:w="78" w:type="pct"/>
            <w:tcBorders>
              <w:left w:val="nil"/>
              <w:right w:val="nil"/>
            </w:tcBorders>
            <w:shd w:val="clear" w:color="000000" w:fill="FFFFFF"/>
          </w:tcPr>
          <w:p w14:paraId="1F55A91A" w14:textId="77777777" w:rsidR="008C1903" w:rsidRPr="007B60BF" w:rsidRDefault="008C1903" w:rsidP="008C1903">
            <w:pPr>
              <w:jc w:val="right"/>
            </w:pPr>
          </w:p>
        </w:tc>
        <w:tc>
          <w:tcPr>
            <w:tcW w:w="486" w:type="pct"/>
            <w:tcBorders>
              <w:left w:val="nil"/>
              <w:right w:val="nil"/>
            </w:tcBorders>
            <w:shd w:val="clear" w:color="000000" w:fill="FFFFFF"/>
          </w:tcPr>
          <w:p w14:paraId="34451380" w14:textId="44A766C9" w:rsidR="008C1903" w:rsidRPr="007B60BF" w:rsidRDefault="008C1903" w:rsidP="008C1903">
            <w:pPr>
              <w:jc w:val="right"/>
            </w:pPr>
            <w:r w:rsidRPr="007B60BF">
              <w:t>-</w:t>
            </w:r>
          </w:p>
        </w:tc>
        <w:tc>
          <w:tcPr>
            <w:tcW w:w="76" w:type="pct"/>
            <w:tcBorders>
              <w:left w:val="nil"/>
              <w:right w:val="nil"/>
            </w:tcBorders>
            <w:shd w:val="clear" w:color="000000" w:fill="FFFFFF"/>
          </w:tcPr>
          <w:p w14:paraId="5909F329" w14:textId="77777777" w:rsidR="008C1903" w:rsidRPr="007B60BF" w:rsidRDefault="008C1903" w:rsidP="008C1903">
            <w:pPr>
              <w:jc w:val="right"/>
            </w:pPr>
          </w:p>
        </w:tc>
        <w:tc>
          <w:tcPr>
            <w:tcW w:w="386" w:type="pct"/>
            <w:tcBorders>
              <w:left w:val="nil"/>
              <w:right w:val="nil"/>
            </w:tcBorders>
            <w:shd w:val="clear" w:color="000000" w:fill="FFFFFF"/>
          </w:tcPr>
          <w:p w14:paraId="6DC247AE" w14:textId="184AB5A5" w:rsidR="008C1903" w:rsidRPr="007B60BF" w:rsidRDefault="008C1903" w:rsidP="008C1903">
            <w:pPr>
              <w:jc w:val="right"/>
            </w:pPr>
            <w:r w:rsidRPr="007B60BF">
              <w:t xml:space="preserve"> 24.180 </w:t>
            </w:r>
          </w:p>
        </w:tc>
      </w:tr>
      <w:tr w:rsidR="008C1903" w:rsidRPr="007B60BF" w14:paraId="61839BE8" w14:textId="77777777" w:rsidTr="007C1314">
        <w:trPr>
          <w:jc w:val="center"/>
        </w:trPr>
        <w:tc>
          <w:tcPr>
            <w:tcW w:w="1525" w:type="pct"/>
            <w:tcBorders>
              <w:left w:val="nil"/>
              <w:bottom w:val="nil"/>
              <w:right w:val="nil"/>
            </w:tcBorders>
            <w:shd w:val="clear" w:color="000000" w:fill="FFFFFF"/>
            <w:vAlign w:val="center"/>
            <w:hideMark/>
          </w:tcPr>
          <w:p w14:paraId="5743DAA4" w14:textId="6A7E3555" w:rsidR="008C1903" w:rsidRPr="007B60BF" w:rsidRDefault="008C1903" w:rsidP="002D3429">
            <w:pPr>
              <w:rPr>
                <w:bCs/>
              </w:rPr>
            </w:pPr>
            <w:r w:rsidRPr="007B60BF">
              <w:rPr>
                <w:bCs/>
              </w:rPr>
              <w:t xml:space="preserve">  </w:t>
            </w:r>
            <w:r w:rsidRPr="007B60BF">
              <w:t xml:space="preserve">Resultado do </w:t>
            </w:r>
            <w:r w:rsidR="002D3429" w:rsidRPr="007B60BF">
              <w:t>Exercício</w:t>
            </w:r>
          </w:p>
        </w:tc>
        <w:tc>
          <w:tcPr>
            <w:tcW w:w="312" w:type="pct"/>
            <w:tcBorders>
              <w:left w:val="nil"/>
              <w:right w:val="nil"/>
            </w:tcBorders>
            <w:shd w:val="clear" w:color="000000" w:fill="FFFFFF"/>
          </w:tcPr>
          <w:p w14:paraId="75BDF8EE" w14:textId="77777777" w:rsidR="008C1903" w:rsidRPr="007B60BF" w:rsidRDefault="008C1903" w:rsidP="008C1903">
            <w:pPr>
              <w:jc w:val="right"/>
            </w:pPr>
          </w:p>
        </w:tc>
        <w:tc>
          <w:tcPr>
            <w:tcW w:w="65" w:type="pct"/>
            <w:tcBorders>
              <w:left w:val="nil"/>
              <w:right w:val="nil"/>
            </w:tcBorders>
            <w:shd w:val="clear" w:color="000000" w:fill="FFFFFF"/>
          </w:tcPr>
          <w:p w14:paraId="39947F7D" w14:textId="67C46E07" w:rsidR="008C1903" w:rsidRPr="007B60BF" w:rsidRDefault="008C1903" w:rsidP="008C1903">
            <w:pPr>
              <w:jc w:val="right"/>
            </w:pPr>
          </w:p>
        </w:tc>
        <w:tc>
          <w:tcPr>
            <w:tcW w:w="509" w:type="pct"/>
            <w:tcBorders>
              <w:left w:val="nil"/>
              <w:bottom w:val="single" w:sz="4" w:space="0" w:color="auto"/>
              <w:right w:val="nil"/>
            </w:tcBorders>
            <w:shd w:val="clear" w:color="000000" w:fill="FFFFFF"/>
          </w:tcPr>
          <w:p w14:paraId="61279D8B" w14:textId="4CC79E0D" w:rsidR="008C1903" w:rsidRPr="007B60BF" w:rsidRDefault="008C1903" w:rsidP="008C1903">
            <w:pPr>
              <w:jc w:val="right"/>
            </w:pPr>
            <w:r w:rsidRPr="007B60BF">
              <w:t xml:space="preserve"> -   </w:t>
            </w:r>
          </w:p>
        </w:tc>
        <w:tc>
          <w:tcPr>
            <w:tcW w:w="78" w:type="pct"/>
            <w:tcBorders>
              <w:left w:val="nil"/>
              <w:right w:val="nil"/>
            </w:tcBorders>
            <w:shd w:val="clear" w:color="000000" w:fill="FFFFFF"/>
          </w:tcPr>
          <w:p w14:paraId="47D3C0C7" w14:textId="77777777" w:rsidR="008C1903" w:rsidRPr="007B60BF" w:rsidRDefault="008C1903" w:rsidP="008C1903">
            <w:pPr>
              <w:jc w:val="right"/>
            </w:pPr>
          </w:p>
        </w:tc>
        <w:tc>
          <w:tcPr>
            <w:tcW w:w="727" w:type="pct"/>
            <w:tcBorders>
              <w:left w:val="nil"/>
              <w:bottom w:val="single" w:sz="4" w:space="0" w:color="auto"/>
              <w:right w:val="nil"/>
            </w:tcBorders>
            <w:shd w:val="clear" w:color="000000" w:fill="FFFFFF"/>
          </w:tcPr>
          <w:p w14:paraId="21975F9F" w14:textId="292F292B" w:rsidR="008C1903" w:rsidRPr="007B60BF" w:rsidRDefault="008C1903" w:rsidP="008C1903">
            <w:pPr>
              <w:jc w:val="right"/>
            </w:pPr>
            <w:r w:rsidRPr="007B60BF">
              <w:t>-</w:t>
            </w:r>
          </w:p>
        </w:tc>
        <w:tc>
          <w:tcPr>
            <w:tcW w:w="78" w:type="pct"/>
            <w:tcBorders>
              <w:left w:val="nil"/>
              <w:right w:val="nil"/>
            </w:tcBorders>
            <w:shd w:val="clear" w:color="000000" w:fill="FFFFFF"/>
          </w:tcPr>
          <w:p w14:paraId="473C1B9F" w14:textId="77777777" w:rsidR="008C1903" w:rsidRPr="007B60BF" w:rsidRDefault="008C1903" w:rsidP="008C1903">
            <w:pPr>
              <w:jc w:val="right"/>
            </w:pPr>
          </w:p>
        </w:tc>
        <w:tc>
          <w:tcPr>
            <w:tcW w:w="680" w:type="pct"/>
            <w:tcBorders>
              <w:left w:val="nil"/>
              <w:bottom w:val="single" w:sz="4" w:space="0" w:color="auto"/>
              <w:right w:val="nil"/>
            </w:tcBorders>
            <w:shd w:val="clear" w:color="000000" w:fill="FFFFFF"/>
          </w:tcPr>
          <w:p w14:paraId="67FC79D4" w14:textId="1BFCEF9A" w:rsidR="008C1903" w:rsidRPr="007B60BF" w:rsidRDefault="008C1903" w:rsidP="008C1903">
            <w:pPr>
              <w:jc w:val="right"/>
            </w:pPr>
            <w:r w:rsidRPr="007B60BF">
              <w:t>-</w:t>
            </w:r>
          </w:p>
        </w:tc>
        <w:tc>
          <w:tcPr>
            <w:tcW w:w="78" w:type="pct"/>
            <w:tcBorders>
              <w:left w:val="nil"/>
              <w:right w:val="nil"/>
            </w:tcBorders>
            <w:shd w:val="clear" w:color="000000" w:fill="FFFFFF"/>
          </w:tcPr>
          <w:p w14:paraId="5BDA9667" w14:textId="77777777" w:rsidR="008C1903" w:rsidRPr="007B60BF" w:rsidRDefault="008C1903" w:rsidP="008C1903">
            <w:pPr>
              <w:jc w:val="right"/>
            </w:pPr>
          </w:p>
        </w:tc>
        <w:tc>
          <w:tcPr>
            <w:tcW w:w="486" w:type="pct"/>
            <w:tcBorders>
              <w:left w:val="nil"/>
              <w:bottom w:val="single" w:sz="4" w:space="0" w:color="auto"/>
              <w:right w:val="nil"/>
            </w:tcBorders>
            <w:shd w:val="clear" w:color="000000" w:fill="FFFFFF"/>
          </w:tcPr>
          <w:p w14:paraId="6BC8C5D5" w14:textId="296A715F" w:rsidR="008C1903" w:rsidRPr="007B60BF" w:rsidRDefault="00290778" w:rsidP="008C1903">
            <w:pPr>
              <w:jc w:val="right"/>
            </w:pPr>
            <w:r w:rsidRPr="007B60BF">
              <w:t>(</w:t>
            </w:r>
            <w:r w:rsidR="008C1903" w:rsidRPr="007B60BF">
              <w:t>90.616</w:t>
            </w:r>
            <w:r w:rsidRPr="007B60BF">
              <w:t>)</w:t>
            </w:r>
            <w:r w:rsidR="008C1903" w:rsidRPr="007B60BF">
              <w:t xml:space="preserve"> </w:t>
            </w:r>
          </w:p>
        </w:tc>
        <w:tc>
          <w:tcPr>
            <w:tcW w:w="76" w:type="pct"/>
            <w:tcBorders>
              <w:left w:val="nil"/>
              <w:right w:val="nil"/>
            </w:tcBorders>
            <w:shd w:val="clear" w:color="000000" w:fill="FFFFFF"/>
          </w:tcPr>
          <w:p w14:paraId="105A631C" w14:textId="77777777" w:rsidR="008C1903" w:rsidRPr="007B60BF" w:rsidRDefault="008C1903" w:rsidP="008C1903">
            <w:pPr>
              <w:jc w:val="right"/>
            </w:pPr>
          </w:p>
        </w:tc>
        <w:tc>
          <w:tcPr>
            <w:tcW w:w="386" w:type="pct"/>
            <w:tcBorders>
              <w:left w:val="nil"/>
              <w:bottom w:val="single" w:sz="4" w:space="0" w:color="auto"/>
              <w:right w:val="nil"/>
            </w:tcBorders>
            <w:shd w:val="clear" w:color="000000" w:fill="FFFFFF"/>
          </w:tcPr>
          <w:p w14:paraId="7698DDD8" w14:textId="4906D410" w:rsidR="008C1903" w:rsidRPr="007B60BF" w:rsidRDefault="00290778" w:rsidP="008C1903">
            <w:pPr>
              <w:jc w:val="right"/>
            </w:pPr>
            <w:r w:rsidRPr="007B60BF">
              <w:t>(</w:t>
            </w:r>
            <w:r w:rsidR="008C1903" w:rsidRPr="007B60BF">
              <w:t>90.616</w:t>
            </w:r>
            <w:r w:rsidRPr="007B60BF">
              <w:t>)</w:t>
            </w:r>
            <w:r w:rsidR="008C1903" w:rsidRPr="007B60BF">
              <w:t xml:space="preserve"> </w:t>
            </w:r>
          </w:p>
        </w:tc>
      </w:tr>
      <w:tr w:rsidR="008C1903" w:rsidRPr="007B60BF" w14:paraId="65A55355" w14:textId="77777777" w:rsidTr="007C1314">
        <w:trPr>
          <w:jc w:val="center"/>
        </w:trPr>
        <w:tc>
          <w:tcPr>
            <w:tcW w:w="1525" w:type="pct"/>
            <w:tcBorders>
              <w:top w:val="nil"/>
              <w:left w:val="nil"/>
              <w:bottom w:val="nil"/>
              <w:right w:val="nil"/>
            </w:tcBorders>
            <w:shd w:val="clear" w:color="000000" w:fill="FFFFFF"/>
            <w:vAlign w:val="center"/>
            <w:hideMark/>
          </w:tcPr>
          <w:p w14:paraId="1100F79D" w14:textId="3BBD90D7" w:rsidR="008C1903" w:rsidRPr="007B60BF" w:rsidRDefault="008C1903" w:rsidP="008C1903">
            <w:pPr>
              <w:rPr>
                <w:b/>
                <w:bCs/>
              </w:rPr>
            </w:pPr>
            <w:r w:rsidRPr="007B60BF">
              <w:rPr>
                <w:b/>
                <w:bCs/>
              </w:rPr>
              <w:t xml:space="preserve">Saldo em </w:t>
            </w:r>
            <w:r w:rsidRPr="007B60BF">
              <w:rPr>
                <w:b/>
              </w:rPr>
              <w:t>31 de dezembro de 2025</w:t>
            </w:r>
          </w:p>
        </w:tc>
        <w:tc>
          <w:tcPr>
            <w:tcW w:w="312" w:type="pct"/>
            <w:tcBorders>
              <w:left w:val="nil"/>
              <w:right w:val="nil"/>
            </w:tcBorders>
            <w:shd w:val="clear" w:color="000000" w:fill="FFFFFF"/>
          </w:tcPr>
          <w:p w14:paraId="6CF7009B" w14:textId="77777777" w:rsidR="008C1903" w:rsidRPr="007B60BF" w:rsidRDefault="008C1903" w:rsidP="008C1903">
            <w:pPr>
              <w:jc w:val="right"/>
              <w:rPr>
                <w:b/>
              </w:rPr>
            </w:pPr>
          </w:p>
        </w:tc>
        <w:tc>
          <w:tcPr>
            <w:tcW w:w="65" w:type="pct"/>
            <w:tcBorders>
              <w:left w:val="nil"/>
              <w:right w:val="nil"/>
            </w:tcBorders>
            <w:shd w:val="clear" w:color="000000" w:fill="FFFFFF"/>
          </w:tcPr>
          <w:p w14:paraId="3B538017" w14:textId="1403B302" w:rsidR="008C1903" w:rsidRPr="007B60BF" w:rsidRDefault="008C1903" w:rsidP="008C1903">
            <w:pPr>
              <w:jc w:val="right"/>
              <w:rPr>
                <w:b/>
              </w:rPr>
            </w:pPr>
          </w:p>
        </w:tc>
        <w:tc>
          <w:tcPr>
            <w:tcW w:w="509" w:type="pct"/>
            <w:tcBorders>
              <w:top w:val="single" w:sz="4" w:space="0" w:color="auto"/>
              <w:left w:val="nil"/>
              <w:bottom w:val="single" w:sz="4" w:space="0" w:color="auto"/>
              <w:right w:val="nil"/>
            </w:tcBorders>
            <w:shd w:val="clear" w:color="000000" w:fill="FFFFFF"/>
          </w:tcPr>
          <w:p w14:paraId="6D27FDD3" w14:textId="1191E1B0" w:rsidR="008C1903" w:rsidRPr="007B60BF" w:rsidRDefault="008C1903" w:rsidP="008C1903">
            <w:pPr>
              <w:jc w:val="right"/>
              <w:rPr>
                <w:b/>
              </w:rPr>
            </w:pPr>
            <w:r w:rsidRPr="007B60BF">
              <w:rPr>
                <w:b/>
              </w:rPr>
              <w:t xml:space="preserve"> 1.293.468 </w:t>
            </w:r>
          </w:p>
        </w:tc>
        <w:tc>
          <w:tcPr>
            <w:tcW w:w="78" w:type="pct"/>
            <w:tcBorders>
              <w:left w:val="nil"/>
              <w:bottom w:val="nil"/>
              <w:right w:val="nil"/>
            </w:tcBorders>
            <w:shd w:val="clear" w:color="000000" w:fill="FFFFFF"/>
          </w:tcPr>
          <w:p w14:paraId="324185E8" w14:textId="77777777" w:rsidR="008C1903" w:rsidRPr="007B60BF" w:rsidRDefault="008C1903" w:rsidP="008C1903">
            <w:pPr>
              <w:jc w:val="right"/>
              <w:rPr>
                <w:b/>
              </w:rPr>
            </w:pPr>
          </w:p>
        </w:tc>
        <w:tc>
          <w:tcPr>
            <w:tcW w:w="727" w:type="pct"/>
            <w:tcBorders>
              <w:top w:val="single" w:sz="4" w:space="0" w:color="auto"/>
              <w:left w:val="nil"/>
              <w:bottom w:val="single" w:sz="4" w:space="0" w:color="auto"/>
              <w:right w:val="nil"/>
            </w:tcBorders>
            <w:shd w:val="clear" w:color="000000" w:fill="FFFFFF"/>
          </w:tcPr>
          <w:p w14:paraId="16BAF1AC" w14:textId="248BD6C9" w:rsidR="008C1903" w:rsidRPr="007B60BF" w:rsidRDefault="008C1903" w:rsidP="008C1903">
            <w:pPr>
              <w:jc w:val="right"/>
              <w:rPr>
                <w:b/>
              </w:rPr>
            </w:pPr>
            <w:r w:rsidRPr="007B60BF">
              <w:rPr>
                <w:b/>
              </w:rPr>
              <w:t xml:space="preserve"> 24.316 </w:t>
            </w:r>
          </w:p>
        </w:tc>
        <w:tc>
          <w:tcPr>
            <w:tcW w:w="78" w:type="pct"/>
            <w:tcBorders>
              <w:left w:val="nil"/>
              <w:bottom w:val="nil"/>
              <w:right w:val="nil"/>
            </w:tcBorders>
            <w:shd w:val="clear" w:color="000000" w:fill="FFFFFF"/>
          </w:tcPr>
          <w:p w14:paraId="1CD6058A" w14:textId="79862012" w:rsidR="008C1903" w:rsidRPr="007B60BF" w:rsidRDefault="008C1903" w:rsidP="008C1903">
            <w:pPr>
              <w:rPr>
                <w:b/>
              </w:rPr>
            </w:pPr>
            <w:r w:rsidRPr="007B60BF">
              <w:rPr>
                <w:b/>
              </w:rPr>
              <w:t xml:space="preserve">  </w:t>
            </w:r>
          </w:p>
        </w:tc>
        <w:tc>
          <w:tcPr>
            <w:tcW w:w="680" w:type="pct"/>
            <w:tcBorders>
              <w:top w:val="single" w:sz="4" w:space="0" w:color="auto"/>
              <w:left w:val="nil"/>
              <w:bottom w:val="single" w:sz="4" w:space="0" w:color="auto"/>
              <w:right w:val="nil"/>
            </w:tcBorders>
            <w:shd w:val="clear" w:color="000000" w:fill="FFFFFF"/>
          </w:tcPr>
          <w:p w14:paraId="599F3F7F" w14:textId="063F6016" w:rsidR="008C1903" w:rsidRPr="007B60BF" w:rsidRDefault="00290778" w:rsidP="008C1903">
            <w:pPr>
              <w:jc w:val="right"/>
              <w:rPr>
                <w:b/>
              </w:rPr>
            </w:pPr>
            <w:r w:rsidRPr="007B60BF">
              <w:rPr>
                <w:b/>
              </w:rPr>
              <w:t>(</w:t>
            </w:r>
            <w:r w:rsidR="008C1903" w:rsidRPr="007B60BF">
              <w:rPr>
                <w:b/>
              </w:rPr>
              <w:t>20.893</w:t>
            </w:r>
            <w:r w:rsidRPr="007B60BF">
              <w:rPr>
                <w:b/>
              </w:rPr>
              <w:t>)</w:t>
            </w:r>
            <w:r w:rsidR="008C1903" w:rsidRPr="007B60BF">
              <w:rPr>
                <w:b/>
              </w:rPr>
              <w:t xml:space="preserve"> </w:t>
            </w:r>
          </w:p>
        </w:tc>
        <w:tc>
          <w:tcPr>
            <w:tcW w:w="78" w:type="pct"/>
            <w:tcBorders>
              <w:left w:val="nil"/>
              <w:bottom w:val="nil"/>
              <w:right w:val="nil"/>
            </w:tcBorders>
            <w:shd w:val="clear" w:color="000000" w:fill="FFFFFF"/>
          </w:tcPr>
          <w:p w14:paraId="4D53C619" w14:textId="2B02C028" w:rsidR="008C1903" w:rsidRPr="007B60BF" w:rsidRDefault="008C1903" w:rsidP="008C1903">
            <w:pPr>
              <w:jc w:val="right"/>
              <w:rPr>
                <w:b/>
              </w:rPr>
            </w:pPr>
            <w:r w:rsidRPr="007B60BF">
              <w:rPr>
                <w:b/>
              </w:rPr>
              <w:t xml:space="preserve">   </w:t>
            </w:r>
          </w:p>
        </w:tc>
        <w:tc>
          <w:tcPr>
            <w:tcW w:w="486" w:type="pct"/>
            <w:tcBorders>
              <w:top w:val="single" w:sz="4" w:space="0" w:color="auto"/>
              <w:left w:val="nil"/>
              <w:bottom w:val="single" w:sz="4" w:space="0" w:color="auto"/>
              <w:right w:val="nil"/>
            </w:tcBorders>
            <w:shd w:val="clear" w:color="000000" w:fill="FFFFFF"/>
          </w:tcPr>
          <w:p w14:paraId="21E39A8E" w14:textId="7A3F2CB7" w:rsidR="008C1903" w:rsidRPr="007B60BF" w:rsidRDefault="00290778" w:rsidP="008C1903">
            <w:pPr>
              <w:jc w:val="right"/>
              <w:rPr>
                <w:b/>
              </w:rPr>
            </w:pPr>
            <w:r w:rsidRPr="007B60BF">
              <w:rPr>
                <w:b/>
              </w:rPr>
              <w:t>(</w:t>
            </w:r>
            <w:r w:rsidR="008C1903" w:rsidRPr="007B60BF">
              <w:rPr>
                <w:b/>
              </w:rPr>
              <w:t>1.352.752</w:t>
            </w:r>
            <w:r w:rsidRPr="007B60BF">
              <w:rPr>
                <w:b/>
              </w:rPr>
              <w:t>)</w:t>
            </w:r>
            <w:r w:rsidR="008C1903" w:rsidRPr="007B60BF">
              <w:rPr>
                <w:b/>
              </w:rPr>
              <w:t xml:space="preserve"> </w:t>
            </w:r>
          </w:p>
        </w:tc>
        <w:tc>
          <w:tcPr>
            <w:tcW w:w="76" w:type="pct"/>
            <w:tcBorders>
              <w:left w:val="nil"/>
              <w:bottom w:val="nil"/>
              <w:right w:val="nil"/>
            </w:tcBorders>
            <w:shd w:val="clear" w:color="000000" w:fill="FFFFFF"/>
          </w:tcPr>
          <w:p w14:paraId="33ACFB86" w14:textId="006282C2" w:rsidR="008C1903" w:rsidRPr="007B60BF" w:rsidRDefault="008C1903" w:rsidP="008C1903">
            <w:pPr>
              <w:rPr>
                <w:b/>
              </w:rPr>
            </w:pPr>
            <w:r w:rsidRPr="007B60BF">
              <w:rPr>
                <w:b/>
              </w:rPr>
              <w:t xml:space="preserve">   </w:t>
            </w:r>
          </w:p>
        </w:tc>
        <w:tc>
          <w:tcPr>
            <w:tcW w:w="386" w:type="pct"/>
            <w:tcBorders>
              <w:top w:val="single" w:sz="4" w:space="0" w:color="auto"/>
              <w:left w:val="nil"/>
              <w:bottom w:val="single" w:sz="4" w:space="0" w:color="auto"/>
              <w:right w:val="nil"/>
            </w:tcBorders>
            <w:shd w:val="clear" w:color="auto" w:fill="auto"/>
          </w:tcPr>
          <w:p w14:paraId="0E3A1787" w14:textId="61F980A7" w:rsidR="008C1903" w:rsidRPr="007B60BF" w:rsidRDefault="00290778" w:rsidP="008C1903">
            <w:pPr>
              <w:jc w:val="right"/>
              <w:rPr>
                <w:b/>
              </w:rPr>
            </w:pPr>
            <w:r w:rsidRPr="007B60BF">
              <w:rPr>
                <w:b/>
              </w:rPr>
              <w:t>(</w:t>
            </w:r>
            <w:r w:rsidR="008C1903" w:rsidRPr="007B60BF">
              <w:rPr>
                <w:b/>
              </w:rPr>
              <w:t>55.861</w:t>
            </w:r>
            <w:r w:rsidRPr="007B60BF">
              <w:rPr>
                <w:b/>
              </w:rPr>
              <w:t>)</w:t>
            </w:r>
            <w:r w:rsidR="008C1903" w:rsidRPr="007B60BF">
              <w:rPr>
                <w:b/>
              </w:rPr>
              <w:t xml:space="preserve"> </w:t>
            </w:r>
          </w:p>
        </w:tc>
      </w:tr>
    </w:tbl>
    <w:p w14:paraId="30DEEC1F" w14:textId="2BEE2A06" w:rsidR="001B35C4" w:rsidRPr="007B60BF" w:rsidRDefault="001B35C4" w:rsidP="003D7188"/>
    <w:p w14:paraId="104F5594" w14:textId="1DF913DC" w:rsidR="00090545" w:rsidRPr="007B60BF" w:rsidRDefault="00090545" w:rsidP="003D7188"/>
    <w:p w14:paraId="7315369A" w14:textId="5836C359" w:rsidR="003D7188" w:rsidRPr="007B60BF" w:rsidRDefault="003D7188" w:rsidP="003D7188">
      <w:r w:rsidRPr="007B60BF">
        <w:t>As notas explicativas são parte integrante das demonstrações contábeis.</w:t>
      </w:r>
    </w:p>
    <w:p w14:paraId="47F1012D" w14:textId="55D5F3A3" w:rsidR="00DE7BCE" w:rsidRPr="007B60BF" w:rsidRDefault="00DE7BCE" w:rsidP="003D7188"/>
    <w:p w14:paraId="20075500" w14:textId="77777777" w:rsidR="00555E0B" w:rsidRPr="007B60BF" w:rsidRDefault="00555E0B" w:rsidP="00B84E13">
      <w:pPr>
        <w:rPr>
          <w:b/>
          <w:bCs/>
          <w:color w:val="FF0000"/>
        </w:rPr>
        <w:sectPr w:rsidR="00555E0B" w:rsidRPr="007B60BF" w:rsidSect="00941D4C">
          <w:pgSz w:w="16839" w:h="11907" w:orient="landscape" w:code="9"/>
          <w:pgMar w:top="1701" w:right="1418" w:bottom="1134" w:left="1134" w:header="720" w:footer="720" w:gutter="0"/>
          <w:cols w:space="720"/>
          <w:docGrid w:linePitch="272"/>
        </w:sectPr>
      </w:pPr>
    </w:p>
    <w:tbl>
      <w:tblPr>
        <w:tblW w:w="4831" w:type="pct"/>
        <w:tblLayout w:type="fixed"/>
        <w:tblCellMar>
          <w:left w:w="70" w:type="dxa"/>
          <w:right w:w="70" w:type="dxa"/>
        </w:tblCellMar>
        <w:tblLook w:val="04A0" w:firstRow="1" w:lastRow="0" w:firstColumn="1" w:lastColumn="0" w:noHBand="0" w:noVBand="1"/>
      </w:tblPr>
      <w:tblGrid>
        <w:gridCol w:w="5528"/>
        <w:gridCol w:w="1494"/>
        <w:gridCol w:w="174"/>
        <w:gridCol w:w="1569"/>
      </w:tblGrid>
      <w:tr w:rsidR="00BD299C" w:rsidRPr="007B60BF" w14:paraId="71E13D81" w14:textId="77777777" w:rsidTr="00AE5F34">
        <w:tc>
          <w:tcPr>
            <w:tcW w:w="3153" w:type="pct"/>
            <w:tcBorders>
              <w:left w:val="nil"/>
              <w:right w:val="nil"/>
            </w:tcBorders>
            <w:shd w:val="clear" w:color="auto" w:fill="auto"/>
            <w:noWrap/>
            <w:vAlign w:val="center"/>
          </w:tcPr>
          <w:p w14:paraId="56BD7ADC" w14:textId="4478369C" w:rsidR="00BD299C" w:rsidRPr="007B60BF" w:rsidRDefault="006D099A" w:rsidP="00464239">
            <w:pPr>
              <w:pStyle w:val="Ttulo1"/>
              <w:jc w:val="left"/>
            </w:pPr>
            <w:bookmarkStart w:id="15" w:name="_Toc223007847"/>
            <w:r w:rsidRPr="007B60BF">
              <w:lastRenderedPageBreak/>
              <w:t>Demonstrações</w:t>
            </w:r>
            <w:r w:rsidR="00BD299C" w:rsidRPr="007B60BF">
              <w:t xml:space="preserve"> do</w:t>
            </w:r>
            <w:r w:rsidR="0020776D" w:rsidRPr="007B60BF">
              <w:t>s</w:t>
            </w:r>
            <w:r w:rsidR="00BD299C" w:rsidRPr="007B60BF">
              <w:t xml:space="preserve"> Fluxo</w:t>
            </w:r>
            <w:r w:rsidR="0020776D" w:rsidRPr="007B60BF">
              <w:t>s</w:t>
            </w:r>
            <w:r w:rsidR="00BD299C" w:rsidRPr="007B60BF">
              <w:t xml:space="preserve"> de Caixa</w:t>
            </w:r>
            <w:bookmarkEnd w:id="15"/>
          </w:p>
        </w:tc>
        <w:tc>
          <w:tcPr>
            <w:tcW w:w="852" w:type="pct"/>
            <w:tcBorders>
              <w:left w:val="nil"/>
              <w:right w:val="nil"/>
            </w:tcBorders>
            <w:shd w:val="clear" w:color="auto" w:fill="auto"/>
            <w:noWrap/>
            <w:vAlign w:val="bottom"/>
          </w:tcPr>
          <w:p w14:paraId="3E1F2662" w14:textId="77777777" w:rsidR="00BD299C" w:rsidRPr="007B60BF" w:rsidRDefault="00BD299C" w:rsidP="0072145E">
            <w:pPr>
              <w:pStyle w:val="Ttulo1"/>
              <w:jc w:val="left"/>
            </w:pPr>
          </w:p>
        </w:tc>
        <w:tc>
          <w:tcPr>
            <w:tcW w:w="99" w:type="pct"/>
            <w:tcBorders>
              <w:left w:val="nil"/>
              <w:right w:val="nil"/>
            </w:tcBorders>
            <w:shd w:val="clear" w:color="auto" w:fill="auto"/>
            <w:noWrap/>
            <w:vAlign w:val="bottom"/>
          </w:tcPr>
          <w:p w14:paraId="4C105CFC" w14:textId="77777777" w:rsidR="00BD299C" w:rsidRPr="007B60BF" w:rsidRDefault="00BD299C" w:rsidP="0072145E">
            <w:pPr>
              <w:pStyle w:val="Ttulo1"/>
              <w:jc w:val="left"/>
            </w:pPr>
          </w:p>
        </w:tc>
        <w:tc>
          <w:tcPr>
            <w:tcW w:w="895" w:type="pct"/>
            <w:tcBorders>
              <w:left w:val="nil"/>
              <w:right w:val="nil"/>
            </w:tcBorders>
            <w:shd w:val="clear" w:color="auto" w:fill="auto"/>
            <w:noWrap/>
            <w:vAlign w:val="bottom"/>
          </w:tcPr>
          <w:p w14:paraId="2ACC1227" w14:textId="77777777" w:rsidR="00BD299C" w:rsidRPr="007B60BF" w:rsidRDefault="00BD299C" w:rsidP="0072145E">
            <w:pPr>
              <w:pStyle w:val="Ttulo1"/>
              <w:jc w:val="left"/>
            </w:pPr>
          </w:p>
        </w:tc>
      </w:tr>
      <w:tr w:rsidR="006D71AC" w:rsidRPr="007B60BF" w14:paraId="37A59ECC" w14:textId="77777777" w:rsidTr="008A7263">
        <w:tc>
          <w:tcPr>
            <w:tcW w:w="3153" w:type="pct"/>
            <w:tcBorders>
              <w:left w:val="nil"/>
              <w:right w:val="nil"/>
            </w:tcBorders>
            <w:shd w:val="clear" w:color="auto" w:fill="auto"/>
            <w:noWrap/>
            <w:vAlign w:val="center"/>
          </w:tcPr>
          <w:p w14:paraId="33D653D9" w14:textId="77777777" w:rsidR="006D71AC" w:rsidRPr="007B60BF" w:rsidRDefault="006D71AC" w:rsidP="006D71AC">
            <w:pPr>
              <w:rPr>
                <w:b/>
                <w:bCs/>
              </w:rPr>
            </w:pPr>
          </w:p>
        </w:tc>
        <w:tc>
          <w:tcPr>
            <w:tcW w:w="852" w:type="pct"/>
            <w:tcBorders>
              <w:left w:val="nil"/>
              <w:bottom w:val="single" w:sz="4" w:space="0" w:color="auto"/>
              <w:right w:val="nil"/>
            </w:tcBorders>
            <w:shd w:val="clear" w:color="auto" w:fill="auto"/>
            <w:noWrap/>
            <w:vAlign w:val="bottom"/>
          </w:tcPr>
          <w:p w14:paraId="405B7676" w14:textId="17E24495" w:rsidR="006D71AC" w:rsidRPr="007B60BF" w:rsidRDefault="006D71AC" w:rsidP="006D71AC">
            <w:pPr>
              <w:jc w:val="right"/>
              <w:rPr>
                <w:b/>
                <w:bCs/>
              </w:rPr>
            </w:pPr>
            <w:r w:rsidRPr="007B60BF">
              <w:rPr>
                <w:b/>
                <w:bCs/>
              </w:rPr>
              <w:t>31/12/2025</w:t>
            </w:r>
          </w:p>
        </w:tc>
        <w:tc>
          <w:tcPr>
            <w:tcW w:w="99" w:type="pct"/>
            <w:tcBorders>
              <w:left w:val="nil"/>
              <w:right w:val="nil"/>
            </w:tcBorders>
            <w:shd w:val="clear" w:color="auto" w:fill="auto"/>
            <w:noWrap/>
            <w:vAlign w:val="bottom"/>
          </w:tcPr>
          <w:p w14:paraId="0FDC636A" w14:textId="77777777" w:rsidR="006D71AC" w:rsidRPr="007B60BF" w:rsidRDefault="006D71AC" w:rsidP="006D71AC">
            <w:pPr>
              <w:jc w:val="right"/>
            </w:pPr>
          </w:p>
        </w:tc>
        <w:tc>
          <w:tcPr>
            <w:tcW w:w="895" w:type="pct"/>
            <w:tcBorders>
              <w:left w:val="nil"/>
              <w:bottom w:val="single" w:sz="4" w:space="0" w:color="auto"/>
              <w:right w:val="nil"/>
            </w:tcBorders>
            <w:shd w:val="clear" w:color="auto" w:fill="auto"/>
            <w:noWrap/>
          </w:tcPr>
          <w:p w14:paraId="14DE851E" w14:textId="432241C8" w:rsidR="006D71AC" w:rsidRPr="007B60BF" w:rsidRDefault="006D71AC" w:rsidP="006D71AC">
            <w:pPr>
              <w:jc w:val="right"/>
              <w:rPr>
                <w:b/>
              </w:rPr>
            </w:pPr>
            <w:r w:rsidRPr="007B60BF">
              <w:rPr>
                <w:b/>
              </w:rPr>
              <w:t>31/12/2024</w:t>
            </w:r>
          </w:p>
        </w:tc>
      </w:tr>
      <w:tr w:rsidR="006D71AC" w:rsidRPr="007B60BF" w14:paraId="2B56265A" w14:textId="77777777" w:rsidTr="008A7263">
        <w:tc>
          <w:tcPr>
            <w:tcW w:w="3153" w:type="pct"/>
            <w:tcBorders>
              <w:left w:val="nil"/>
              <w:right w:val="nil"/>
            </w:tcBorders>
            <w:shd w:val="clear" w:color="auto" w:fill="auto"/>
            <w:noWrap/>
            <w:vAlign w:val="center"/>
          </w:tcPr>
          <w:p w14:paraId="35058BB8" w14:textId="77777777" w:rsidR="006D71AC" w:rsidRPr="007B60BF" w:rsidRDefault="006D71AC" w:rsidP="006D71AC">
            <w:pPr>
              <w:rPr>
                <w:b/>
                <w:bCs/>
                <w:sz w:val="10"/>
                <w:szCs w:val="10"/>
              </w:rPr>
            </w:pPr>
          </w:p>
        </w:tc>
        <w:tc>
          <w:tcPr>
            <w:tcW w:w="852" w:type="pct"/>
            <w:tcBorders>
              <w:top w:val="single" w:sz="4" w:space="0" w:color="auto"/>
              <w:left w:val="nil"/>
              <w:right w:val="nil"/>
            </w:tcBorders>
            <w:shd w:val="clear" w:color="auto" w:fill="auto"/>
            <w:noWrap/>
            <w:vAlign w:val="bottom"/>
          </w:tcPr>
          <w:p w14:paraId="30CDF4AD" w14:textId="77777777" w:rsidR="006D71AC" w:rsidRPr="007B60BF" w:rsidRDefault="006D71AC" w:rsidP="006D71AC">
            <w:pPr>
              <w:jc w:val="right"/>
              <w:rPr>
                <w:b/>
                <w:bCs/>
                <w:sz w:val="10"/>
                <w:szCs w:val="10"/>
              </w:rPr>
            </w:pPr>
          </w:p>
        </w:tc>
        <w:tc>
          <w:tcPr>
            <w:tcW w:w="99" w:type="pct"/>
            <w:tcBorders>
              <w:left w:val="nil"/>
              <w:right w:val="nil"/>
            </w:tcBorders>
            <w:shd w:val="clear" w:color="auto" w:fill="auto"/>
            <w:noWrap/>
            <w:vAlign w:val="bottom"/>
          </w:tcPr>
          <w:p w14:paraId="68305ABA" w14:textId="77777777" w:rsidR="006D71AC" w:rsidRPr="007B60BF" w:rsidRDefault="006D71AC" w:rsidP="006D71AC">
            <w:pPr>
              <w:jc w:val="right"/>
              <w:rPr>
                <w:sz w:val="10"/>
                <w:szCs w:val="10"/>
              </w:rPr>
            </w:pPr>
          </w:p>
        </w:tc>
        <w:tc>
          <w:tcPr>
            <w:tcW w:w="895" w:type="pct"/>
            <w:tcBorders>
              <w:top w:val="single" w:sz="4" w:space="0" w:color="auto"/>
              <w:left w:val="nil"/>
              <w:right w:val="nil"/>
            </w:tcBorders>
            <w:shd w:val="clear" w:color="auto" w:fill="auto"/>
            <w:noWrap/>
          </w:tcPr>
          <w:p w14:paraId="22156F28" w14:textId="77777777" w:rsidR="006D71AC" w:rsidRPr="007B60BF" w:rsidRDefault="006D71AC" w:rsidP="006D71AC">
            <w:pPr>
              <w:jc w:val="right"/>
              <w:rPr>
                <w:b/>
                <w:sz w:val="10"/>
                <w:szCs w:val="10"/>
              </w:rPr>
            </w:pPr>
          </w:p>
        </w:tc>
      </w:tr>
      <w:tr w:rsidR="006D71AC" w:rsidRPr="007B60BF" w14:paraId="03F45BC6" w14:textId="77777777" w:rsidTr="008A7263">
        <w:tc>
          <w:tcPr>
            <w:tcW w:w="3153" w:type="pct"/>
            <w:tcBorders>
              <w:left w:val="nil"/>
              <w:right w:val="nil"/>
            </w:tcBorders>
            <w:shd w:val="clear" w:color="auto" w:fill="auto"/>
            <w:noWrap/>
            <w:vAlign w:val="center"/>
          </w:tcPr>
          <w:p w14:paraId="2AB08437" w14:textId="2DEE8AFA" w:rsidR="006D71AC" w:rsidRPr="007B60BF" w:rsidRDefault="006D71AC" w:rsidP="006D71AC">
            <w:pPr>
              <w:rPr>
                <w:b/>
                <w:bCs/>
              </w:rPr>
            </w:pPr>
            <w:r w:rsidRPr="007B60BF">
              <w:rPr>
                <w:b/>
                <w:bCs/>
              </w:rPr>
              <w:t>Fluxo de Caixa das Atividades Operacionais</w:t>
            </w:r>
          </w:p>
        </w:tc>
        <w:tc>
          <w:tcPr>
            <w:tcW w:w="852" w:type="pct"/>
            <w:tcBorders>
              <w:left w:val="nil"/>
              <w:right w:val="nil"/>
            </w:tcBorders>
            <w:shd w:val="clear" w:color="auto" w:fill="auto"/>
            <w:noWrap/>
            <w:vAlign w:val="bottom"/>
          </w:tcPr>
          <w:p w14:paraId="50CD0DB1" w14:textId="7B4B1D9F" w:rsidR="006D71AC" w:rsidRPr="007B60BF" w:rsidRDefault="006D71AC" w:rsidP="006D71AC">
            <w:pPr>
              <w:jc w:val="right"/>
              <w:rPr>
                <w:b/>
                <w:bCs/>
              </w:rPr>
            </w:pPr>
          </w:p>
        </w:tc>
        <w:tc>
          <w:tcPr>
            <w:tcW w:w="99" w:type="pct"/>
            <w:tcBorders>
              <w:left w:val="nil"/>
              <w:right w:val="nil"/>
            </w:tcBorders>
            <w:shd w:val="clear" w:color="auto" w:fill="auto"/>
            <w:noWrap/>
            <w:vAlign w:val="bottom"/>
          </w:tcPr>
          <w:p w14:paraId="659325BA" w14:textId="77777777" w:rsidR="006D71AC" w:rsidRPr="007B60BF" w:rsidRDefault="006D71AC" w:rsidP="006D71AC">
            <w:pPr>
              <w:jc w:val="right"/>
            </w:pPr>
          </w:p>
        </w:tc>
        <w:tc>
          <w:tcPr>
            <w:tcW w:w="895" w:type="pct"/>
            <w:tcBorders>
              <w:left w:val="nil"/>
              <w:right w:val="nil"/>
            </w:tcBorders>
            <w:shd w:val="clear" w:color="auto" w:fill="auto"/>
            <w:noWrap/>
          </w:tcPr>
          <w:p w14:paraId="591B3606" w14:textId="4A5007E1" w:rsidR="006D71AC" w:rsidRPr="007B60BF" w:rsidRDefault="006D71AC" w:rsidP="006D71AC">
            <w:pPr>
              <w:jc w:val="right"/>
              <w:rPr>
                <w:b/>
              </w:rPr>
            </w:pPr>
          </w:p>
        </w:tc>
      </w:tr>
      <w:tr w:rsidR="006D71AC" w:rsidRPr="007B60BF" w14:paraId="2C0CD471" w14:textId="77777777" w:rsidTr="004A3831">
        <w:tc>
          <w:tcPr>
            <w:tcW w:w="3153" w:type="pct"/>
            <w:tcBorders>
              <w:left w:val="nil"/>
              <w:right w:val="nil"/>
            </w:tcBorders>
            <w:shd w:val="clear" w:color="auto" w:fill="auto"/>
            <w:noWrap/>
            <w:vAlign w:val="center"/>
          </w:tcPr>
          <w:p w14:paraId="50717B5E" w14:textId="77777777" w:rsidR="006D71AC" w:rsidRPr="007B60BF" w:rsidRDefault="006D71AC" w:rsidP="006D71AC">
            <w:pPr>
              <w:rPr>
                <w:b/>
                <w:bCs/>
                <w:sz w:val="10"/>
                <w:szCs w:val="10"/>
              </w:rPr>
            </w:pPr>
          </w:p>
        </w:tc>
        <w:tc>
          <w:tcPr>
            <w:tcW w:w="852" w:type="pct"/>
            <w:tcBorders>
              <w:left w:val="nil"/>
              <w:right w:val="nil"/>
            </w:tcBorders>
            <w:shd w:val="clear" w:color="auto" w:fill="auto"/>
            <w:noWrap/>
            <w:vAlign w:val="bottom"/>
          </w:tcPr>
          <w:p w14:paraId="2C96A715" w14:textId="77777777" w:rsidR="006D71AC" w:rsidRPr="007B60BF" w:rsidRDefault="006D71AC" w:rsidP="006D71AC">
            <w:pPr>
              <w:rPr>
                <w:sz w:val="10"/>
                <w:szCs w:val="10"/>
              </w:rPr>
            </w:pPr>
          </w:p>
        </w:tc>
        <w:tc>
          <w:tcPr>
            <w:tcW w:w="99" w:type="pct"/>
            <w:tcBorders>
              <w:left w:val="nil"/>
              <w:right w:val="nil"/>
            </w:tcBorders>
            <w:shd w:val="clear" w:color="auto" w:fill="auto"/>
            <w:noWrap/>
            <w:vAlign w:val="bottom"/>
          </w:tcPr>
          <w:p w14:paraId="2A94939E" w14:textId="77777777" w:rsidR="006D71AC" w:rsidRPr="007B60BF" w:rsidRDefault="006D71AC" w:rsidP="006D71AC">
            <w:pPr>
              <w:rPr>
                <w:sz w:val="10"/>
                <w:szCs w:val="10"/>
              </w:rPr>
            </w:pPr>
          </w:p>
        </w:tc>
        <w:tc>
          <w:tcPr>
            <w:tcW w:w="895" w:type="pct"/>
            <w:tcBorders>
              <w:left w:val="nil"/>
              <w:right w:val="nil"/>
            </w:tcBorders>
            <w:shd w:val="clear" w:color="auto" w:fill="auto"/>
            <w:noWrap/>
          </w:tcPr>
          <w:p w14:paraId="20EFD6B6" w14:textId="77777777" w:rsidR="006D71AC" w:rsidRPr="007B60BF" w:rsidRDefault="006D71AC" w:rsidP="006D71AC">
            <w:pPr>
              <w:jc w:val="right"/>
              <w:rPr>
                <w:b/>
                <w:sz w:val="10"/>
                <w:szCs w:val="10"/>
              </w:rPr>
            </w:pPr>
          </w:p>
        </w:tc>
      </w:tr>
      <w:tr w:rsidR="006D71AC" w:rsidRPr="007B60BF" w14:paraId="4282A400" w14:textId="77777777" w:rsidTr="00364F94">
        <w:tc>
          <w:tcPr>
            <w:tcW w:w="3153" w:type="pct"/>
            <w:tcBorders>
              <w:top w:val="nil"/>
              <w:left w:val="nil"/>
              <w:bottom w:val="nil"/>
              <w:right w:val="nil"/>
            </w:tcBorders>
            <w:shd w:val="clear" w:color="auto" w:fill="auto"/>
            <w:noWrap/>
            <w:vAlign w:val="center"/>
            <w:hideMark/>
          </w:tcPr>
          <w:p w14:paraId="033EC21B" w14:textId="5F969E35" w:rsidR="006D71AC" w:rsidRPr="007B60BF" w:rsidRDefault="00897A0E" w:rsidP="006D71AC">
            <w:pPr>
              <w:ind w:firstLine="209"/>
              <w:rPr>
                <w:b/>
                <w:bCs/>
              </w:rPr>
            </w:pPr>
            <w:r w:rsidRPr="007B60BF">
              <w:rPr>
                <w:b/>
                <w:bCs/>
              </w:rPr>
              <w:t>Resultado do Exercício</w:t>
            </w:r>
          </w:p>
        </w:tc>
        <w:tc>
          <w:tcPr>
            <w:tcW w:w="852" w:type="pct"/>
            <w:tcBorders>
              <w:top w:val="nil"/>
              <w:left w:val="nil"/>
              <w:bottom w:val="single" w:sz="8" w:space="0" w:color="auto"/>
              <w:right w:val="nil"/>
            </w:tcBorders>
            <w:shd w:val="clear" w:color="auto" w:fill="auto"/>
            <w:noWrap/>
          </w:tcPr>
          <w:p w14:paraId="19A92B20" w14:textId="034C573A" w:rsidR="006D71AC" w:rsidRPr="007B60BF" w:rsidRDefault="00834492" w:rsidP="006D71AC">
            <w:pPr>
              <w:jc w:val="right"/>
              <w:rPr>
                <w:b/>
                <w:bCs/>
              </w:rPr>
            </w:pPr>
            <w:r w:rsidRPr="007B60BF">
              <w:rPr>
                <w:b/>
              </w:rPr>
              <w:t>(90.616)</w:t>
            </w:r>
          </w:p>
        </w:tc>
        <w:tc>
          <w:tcPr>
            <w:tcW w:w="99" w:type="pct"/>
            <w:tcBorders>
              <w:top w:val="nil"/>
              <w:left w:val="nil"/>
              <w:bottom w:val="nil"/>
              <w:right w:val="nil"/>
            </w:tcBorders>
            <w:shd w:val="clear" w:color="auto" w:fill="auto"/>
            <w:noWrap/>
            <w:vAlign w:val="center"/>
          </w:tcPr>
          <w:p w14:paraId="09E82FA4" w14:textId="77777777" w:rsidR="006D71AC" w:rsidRPr="007B60BF" w:rsidRDefault="006D71AC" w:rsidP="006D71AC">
            <w:pPr>
              <w:jc w:val="right"/>
              <w:rPr>
                <w:b/>
                <w:bCs/>
              </w:rPr>
            </w:pPr>
          </w:p>
        </w:tc>
        <w:tc>
          <w:tcPr>
            <w:tcW w:w="895" w:type="pct"/>
            <w:tcBorders>
              <w:top w:val="nil"/>
              <w:left w:val="nil"/>
              <w:bottom w:val="single" w:sz="8" w:space="0" w:color="auto"/>
              <w:right w:val="nil"/>
            </w:tcBorders>
            <w:shd w:val="clear" w:color="auto" w:fill="auto"/>
            <w:noWrap/>
          </w:tcPr>
          <w:p w14:paraId="2B7855DC" w14:textId="516647B5" w:rsidR="006D71AC" w:rsidRPr="007B60BF" w:rsidRDefault="006D71AC" w:rsidP="006D71AC">
            <w:pPr>
              <w:jc w:val="right"/>
              <w:rPr>
                <w:b/>
                <w:bCs/>
              </w:rPr>
            </w:pPr>
            <w:r w:rsidRPr="007B60BF">
              <w:rPr>
                <w:b/>
              </w:rPr>
              <w:t>20.152</w:t>
            </w:r>
          </w:p>
        </w:tc>
      </w:tr>
      <w:tr w:rsidR="006D71AC" w:rsidRPr="007B60BF" w14:paraId="387B2AF7" w14:textId="77777777" w:rsidTr="00364F94">
        <w:trPr>
          <w:trHeight w:val="54"/>
        </w:trPr>
        <w:tc>
          <w:tcPr>
            <w:tcW w:w="3153" w:type="pct"/>
            <w:tcBorders>
              <w:top w:val="nil"/>
              <w:left w:val="nil"/>
              <w:right w:val="nil"/>
            </w:tcBorders>
            <w:shd w:val="clear" w:color="auto" w:fill="auto"/>
            <w:noWrap/>
            <w:vAlign w:val="center"/>
          </w:tcPr>
          <w:p w14:paraId="28DA6DFE" w14:textId="77777777" w:rsidR="006D71AC" w:rsidRPr="007B60BF" w:rsidRDefault="006D71AC" w:rsidP="006D71AC">
            <w:pPr>
              <w:rPr>
                <w:b/>
                <w:bCs/>
                <w:sz w:val="10"/>
                <w:szCs w:val="10"/>
              </w:rPr>
            </w:pPr>
          </w:p>
        </w:tc>
        <w:tc>
          <w:tcPr>
            <w:tcW w:w="852" w:type="pct"/>
            <w:tcBorders>
              <w:top w:val="nil"/>
              <w:left w:val="nil"/>
              <w:right w:val="nil"/>
            </w:tcBorders>
            <w:shd w:val="clear" w:color="auto" w:fill="auto"/>
            <w:noWrap/>
            <w:vAlign w:val="center"/>
          </w:tcPr>
          <w:p w14:paraId="5EBA6284" w14:textId="77777777" w:rsidR="006D71AC" w:rsidRPr="007B60BF" w:rsidRDefault="006D71AC" w:rsidP="006D71AC">
            <w:pPr>
              <w:jc w:val="right"/>
              <w:rPr>
                <w:b/>
                <w:sz w:val="10"/>
                <w:szCs w:val="10"/>
              </w:rPr>
            </w:pPr>
          </w:p>
        </w:tc>
        <w:tc>
          <w:tcPr>
            <w:tcW w:w="99" w:type="pct"/>
            <w:tcBorders>
              <w:top w:val="nil"/>
              <w:left w:val="nil"/>
              <w:right w:val="nil"/>
            </w:tcBorders>
            <w:shd w:val="clear" w:color="auto" w:fill="auto"/>
            <w:noWrap/>
            <w:vAlign w:val="center"/>
          </w:tcPr>
          <w:p w14:paraId="2F625977" w14:textId="77777777" w:rsidR="006D71AC" w:rsidRPr="007B60BF" w:rsidRDefault="006D71AC" w:rsidP="006D71AC">
            <w:pPr>
              <w:jc w:val="right"/>
              <w:rPr>
                <w:b/>
                <w:sz w:val="10"/>
                <w:szCs w:val="10"/>
              </w:rPr>
            </w:pPr>
          </w:p>
        </w:tc>
        <w:tc>
          <w:tcPr>
            <w:tcW w:w="895" w:type="pct"/>
            <w:tcBorders>
              <w:top w:val="nil"/>
              <w:left w:val="nil"/>
              <w:right w:val="nil"/>
            </w:tcBorders>
            <w:shd w:val="clear" w:color="auto" w:fill="auto"/>
            <w:noWrap/>
          </w:tcPr>
          <w:p w14:paraId="6B0EF934" w14:textId="77777777" w:rsidR="006D71AC" w:rsidRPr="007B60BF" w:rsidRDefault="006D71AC" w:rsidP="006D71AC">
            <w:pPr>
              <w:jc w:val="right"/>
              <w:rPr>
                <w:b/>
                <w:sz w:val="10"/>
                <w:szCs w:val="10"/>
              </w:rPr>
            </w:pPr>
          </w:p>
        </w:tc>
      </w:tr>
      <w:tr w:rsidR="009B186A" w:rsidRPr="007B60BF" w14:paraId="18D5EEED" w14:textId="77777777" w:rsidTr="00AE5F34">
        <w:tc>
          <w:tcPr>
            <w:tcW w:w="3153" w:type="pct"/>
            <w:tcBorders>
              <w:top w:val="nil"/>
              <w:left w:val="nil"/>
              <w:bottom w:val="nil"/>
              <w:right w:val="nil"/>
            </w:tcBorders>
            <w:shd w:val="clear" w:color="auto" w:fill="auto"/>
            <w:noWrap/>
            <w:vAlign w:val="center"/>
            <w:hideMark/>
          </w:tcPr>
          <w:p w14:paraId="682C0EEF" w14:textId="69CB5D0D" w:rsidR="009B186A" w:rsidRPr="007B60BF" w:rsidRDefault="009B186A" w:rsidP="009B186A">
            <w:pPr>
              <w:ind w:firstLineChars="104" w:firstLine="208"/>
              <w:rPr>
                <w:b/>
                <w:bCs/>
              </w:rPr>
            </w:pPr>
            <w:r w:rsidRPr="007B60BF">
              <w:rPr>
                <w:b/>
              </w:rPr>
              <w:t>Ajustes para Reconciliar o Resultado</w:t>
            </w:r>
          </w:p>
        </w:tc>
        <w:tc>
          <w:tcPr>
            <w:tcW w:w="852" w:type="pct"/>
            <w:tcBorders>
              <w:top w:val="nil"/>
              <w:left w:val="nil"/>
              <w:right w:val="nil"/>
            </w:tcBorders>
            <w:shd w:val="clear" w:color="auto" w:fill="auto"/>
            <w:noWrap/>
          </w:tcPr>
          <w:p w14:paraId="7D45D26B" w14:textId="717BA069" w:rsidR="009B186A" w:rsidRPr="007B60BF" w:rsidRDefault="009B186A" w:rsidP="009B186A">
            <w:pPr>
              <w:jc w:val="right"/>
              <w:rPr>
                <w:b/>
              </w:rPr>
            </w:pPr>
            <w:r w:rsidRPr="007B60BF">
              <w:rPr>
                <w:b/>
              </w:rPr>
              <w:t xml:space="preserve"> 31.108 </w:t>
            </w:r>
          </w:p>
        </w:tc>
        <w:tc>
          <w:tcPr>
            <w:tcW w:w="99" w:type="pct"/>
            <w:tcBorders>
              <w:top w:val="nil"/>
              <w:left w:val="nil"/>
              <w:right w:val="nil"/>
            </w:tcBorders>
            <w:shd w:val="clear" w:color="auto" w:fill="auto"/>
            <w:noWrap/>
            <w:vAlign w:val="bottom"/>
          </w:tcPr>
          <w:p w14:paraId="7AA64CC7" w14:textId="77777777" w:rsidR="009B186A" w:rsidRPr="007B60BF" w:rsidRDefault="009B186A" w:rsidP="009B186A">
            <w:pPr>
              <w:rPr>
                <w:b/>
              </w:rPr>
            </w:pPr>
          </w:p>
        </w:tc>
        <w:tc>
          <w:tcPr>
            <w:tcW w:w="895" w:type="pct"/>
            <w:tcBorders>
              <w:top w:val="nil"/>
              <w:left w:val="nil"/>
              <w:right w:val="nil"/>
            </w:tcBorders>
            <w:shd w:val="clear" w:color="auto" w:fill="auto"/>
            <w:noWrap/>
          </w:tcPr>
          <w:p w14:paraId="58DC5C83" w14:textId="4E4076E8" w:rsidR="009B186A" w:rsidRPr="007B60BF" w:rsidRDefault="009B186A" w:rsidP="009B186A">
            <w:pPr>
              <w:jc w:val="right"/>
              <w:rPr>
                <w:b/>
                <w:bCs/>
              </w:rPr>
            </w:pPr>
            <w:r w:rsidRPr="007B60BF">
              <w:rPr>
                <w:b/>
              </w:rPr>
              <w:t xml:space="preserve"> 27.020 </w:t>
            </w:r>
          </w:p>
        </w:tc>
      </w:tr>
      <w:tr w:rsidR="009B186A" w:rsidRPr="007B60BF" w14:paraId="66EF93D1" w14:textId="77777777" w:rsidTr="00AE5F34">
        <w:tc>
          <w:tcPr>
            <w:tcW w:w="3153" w:type="pct"/>
            <w:tcBorders>
              <w:top w:val="nil"/>
              <w:left w:val="nil"/>
              <w:bottom w:val="nil"/>
              <w:right w:val="nil"/>
            </w:tcBorders>
            <w:shd w:val="clear" w:color="auto" w:fill="auto"/>
            <w:noWrap/>
            <w:vAlign w:val="center"/>
            <w:hideMark/>
          </w:tcPr>
          <w:p w14:paraId="5D01116F" w14:textId="77777777" w:rsidR="009B186A" w:rsidRPr="007B60BF" w:rsidRDefault="009B186A" w:rsidP="009B186A">
            <w:pPr>
              <w:ind w:firstLineChars="200" w:firstLine="400"/>
            </w:pPr>
            <w:r w:rsidRPr="007B60BF">
              <w:t>Ajustes de Depreciação/Amortizações</w:t>
            </w:r>
          </w:p>
        </w:tc>
        <w:tc>
          <w:tcPr>
            <w:tcW w:w="852" w:type="pct"/>
            <w:tcBorders>
              <w:top w:val="nil"/>
              <w:left w:val="nil"/>
              <w:bottom w:val="nil"/>
              <w:right w:val="nil"/>
            </w:tcBorders>
            <w:shd w:val="clear" w:color="auto" w:fill="auto"/>
            <w:noWrap/>
          </w:tcPr>
          <w:p w14:paraId="0D06BEBF" w14:textId="74BD7571" w:rsidR="009B186A" w:rsidRPr="007B60BF" w:rsidRDefault="009B186A" w:rsidP="009B186A">
            <w:pPr>
              <w:jc w:val="right"/>
            </w:pPr>
            <w:r w:rsidRPr="007B60BF">
              <w:t xml:space="preserve"> 30.392 </w:t>
            </w:r>
          </w:p>
        </w:tc>
        <w:tc>
          <w:tcPr>
            <w:tcW w:w="99" w:type="pct"/>
            <w:tcBorders>
              <w:top w:val="nil"/>
              <w:left w:val="nil"/>
              <w:bottom w:val="nil"/>
              <w:right w:val="nil"/>
            </w:tcBorders>
            <w:shd w:val="clear" w:color="auto" w:fill="auto"/>
            <w:noWrap/>
            <w:vAlign w:val="center"/>
          </w:tcPr>
          <w:p w14:paraId="56D05CAF"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1280815D" w14:textId="1CFA150B" w:rsidR="009B186A" w:rsidRPr="007B60BF" w:rsidRDefault="009B186A" w:rsidP="009B186A">
            <w:pPr>
              <w:jc w:val="right"/>
            </w:pPr>
            <w:r w:rsidRPr="007B60BF">
              <w:t xml:space="preserve"> 31.403 </w:t>
            </w:r>
          </w:p>
        </w:tc>
      </w:tr>
      <w:tr w:rsidR="009B186A" w:rsidRPr="007B60BF" w14:paraId="0C131D9E" w14:textId="77777777" w:rsidTr="00AE5F34">
        <w:tc>
          <w:tcPr>
            <w:tcW w:w="3153" w:type="pct"/>
            <w:tcBorders>
              <w:top w:val="nil"/>
              <w:left w:val="nil"/>
              <w:bottom w:val="nil"/>
              <w:right w:val="nil"/>
            </w:tcBorders>
            <w:shd w:val="clear" w:color="auto" w:fill="auto"/>
            <w:noWrap/>
            <w:vAlign w:val="center"/>
            <w:hideMark/>
          </w:tcPr>
          <w:p w14:paraId="10069A43" w14:textId="77777777" w:rsidR="009B186A" w:rsidRPr="007B60BF" w:rsidRDefault="009B186A" w:rsidP="009B186A">
            <w:pPr>
              <w:ind w:firstLineChars="200" w:firstLine="400"/>
            </w:pPr>
            <w:r w:rsidRPr="007B60BF">
              <w:t>Juros e Correção Monetária sobre Depósito Recursal</w:t>
            </w:r>
          </w:p>
        </w:tc>
        <w:tc>
          <w:tcPr>
            <w:tcW w:w="852" w:type="pct"/>
            <w:tcBorders>
              <w:top w:val="nil"/>
              <w:left w:val="nil"/>
              <w:bottom w:val="nil"/>
              <w:right w:val="nil"/>
            </w:tcBorders>
            <w:shd w:val="clear" w:color="auto" w:fill="auto"/>
            <w:noWrap/>
          </w:tcPr>
          <w:p w14:paraId="6858ADF1" w14:textId="38E8A6EB" w:rsidR="009B186A" w:rsidRPr="007B60BF" w:rsidRDefault="009B186A" w:rsidP="009B186A">
            <w:pPr>
              <w:jc w:val="right"/>
            </w:pPr>
            <w:r w:rsidRPr="007B60BF">
              <w:t xml:space="preserve"> (87)</w:t>
            </w:r>
          </w:p>
        </w:tc>
        <w:tc>
          <w:tcPr>
            <w:tcW w:w="99" w:type="pct"/>
            <w:tcBorders>
              <w:top w:val="nil"/>
              <w:left w:val="nil"/>
              <w:bottom w:val="nil"/>
              <w:right w:val="nil"/>
            </w:tcBorders>
            <w:shd w:val="clear" w:color="auto" w:fill="auto"/>
            <w:noWrap/>
            <w:vAlign w:val="center"/>
          </w:tcPr>
          <w:p w14:paraId="2D15D9D5"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3A528DB5" w14:textId="1D8F03D2" w:rsidR="009B186A" w:rsidRPr="007B60BF" w:rsidRDefault="009B186A" w:rsidP="009B186A">
            <w:pPr>
              <w:jc w:val="right"/>
            </w:pPr>
            <w:r w:rsidRPr="007B60BF">
              <w:t xml:space="preserve">(87) </w:t>
            </w:r>
          </w:p>
        </w:tc>
      </w:tr>
      <w:tr w:rsidR="009B186A" w:rsidRPr="007B60BF" w14:paraId="6FC03DEB" w14:textId="77777777" w:rsidTr="00AE5F34">
        <w:tc>
          <w:tcPr>
            <w:tcW w:w="3153" w:type="pct"/>
            <w:tcBorders>
              <w:top w:val="nil"/>
              <w:left w:val="nil"/>
              <w:bottom w:val="nil"/>
              <w:right w:val="nil"/>
            </w:tcBorders>
            <w:shd w:val="clear" w:color="auto" w:fill="auto"/>
            <w:noWrap/>
            <w:vAlign w:val="center"/>
            <w:hideMark/>
          </w:tcPr>
          <w:p w14:paraId="5463E71A" w14:textId="77777777" w:rsidR="009B186A" w:rsidRPr="007B60BF" w:rsidRDefault="009B186A" w:rsidP="009B186A">
            <w:pPr>
              <w:ind w:firstLineChars="200" w:firstLine="400"/>
            </w:pPr>
            <w:r w:rsidRPr="007B60BF">
              <w:t>Variação Cambial Passiva (Importação)</w:t>
            </w:r>
          </w:p>
        </w:tc>
        <w:tc>
          <w:tcPr>
            <w:tcW w:w="852" w:type="pct"/>
            <w:tcBorders>
              <w:top w:val="nil"/>
              <w:left w:val="nil"/>
              <w:bottom w:val="nil"/>
              <w:right w:val="nil"/>
            </w:tcBorders>
            <w:shd w:val="clear" w:color="auto" w:fill="auto"/>
            <w:noWrap/>
          </w:tcPr>
          <w:p w14:paraId="17A5ACD6" w14:textId="6569B8E8" w:rsidR="009B186A" w:rsidRPr="007B60BF" w:rsidRDefault="009B186A" w:rsidP="009B186A">
            <w:pPr>
              <w:jc w:val="right"/>
            </w:pPr>
            <w:r w:rsidRPr="007B60BF">
              <w:t xml:space="preserve"> 3.369 </w:t>
            </w:r>
          </w:p>
        </w:tc>
        <w:tc>
          <w:tcPr>
            <w:tcW w:w="99" w:type="pct"/>
            <w:tcBorders>
              <w:top w:val="nil"/>
              <w:left w:val="nil"/>
              <w:bottom w:val="nil"/>
              <w:right w:val="nil"/>
            </w:tcBorders>
            <w:shd w:val="clear" w:color="auto" w:fill="auto"/>
            <w:noWrap/>
            <w:vAlign w:val="center"/>
          </w:tcPr>
          <w:p w14:paraId="49E43FCB"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54703579" w14:textId="12E10ACE" w:rsidR="009B186A" w:rsidRPr="007B60BF" w:rsidRDefault="009B186A" w:rsidP="009B186A">
            <w:pPr>
              <w:jc w:val="right"/>
            </w:pPr>
            <w:r w:rsidRPr="007B60BF">
              <w:t xml:space="preserve"> 418 </w:t>
            </w:r>
          </w:p>
        </w:tc>
      </w:tr>
      <w:tr w:rsidR="009B186A" w:rsidRPr="007B60BF" w14:paraId="5EEC49A9" w14:textId="77777777" w:rsidTr="00AE5F34">
        <w:tc>
          <w:tcPr>
            <w:tcW w:w="3153" w:type="pct"/>
            <w:tcBorders>
              <w:top w:val="nil"/>
              <w:left w:val="nil"/>
              <w:bottom w:val="nil"/>
              <w:right w:val="nil"/>
            </w:tcBorders>
            <w:shd w:val="clear" w:color="auto" w:fill="auto"/>
            <w:noWrap/>
            <w:vAlign w:val="center"/>
            <w:hideMark/>
          </w:tcPr>
          <w:p w14:paraId="3D144DD8" w14:textId="77777777" w:rsidR="009B186A" w:rsidRPr="007B60BF" w:rsidRDefault="009B186A" w:rsidP="009B186A">
            <w:pPr>
              <w:ind w:firstLineChars="200" w:firstLine="400"/>
            </w:pPr>
            <w:r w:rsidRPr="007B60BF">
              <w:t>Variação Cambial Ativa (Importação)</w:t>
            </w:r>
          </w:p>
        </w:tc>
        <w:tc>
          <w:tcPr>
            <w:tcW w:w="852" w:type="pct"/>
            <w:tcBorders>
              <w:top w:val="nil"/>
              <w:left w:val="nil"/>
              <w:bottom w:val="nil"/>
              <w:right w:val="nil"/>
            </w:tcBorders>
            <w:shd w:val="clear" w:color="auto" w:fill="auto"/>
            <w:noWrap/>
          </w:tcPr>
          <w:p w14:paraId="4EFB197B" w14:textId="01F331B4" w:rsidR="009B186A" w:rsidRPr="007B60BF" w:rsidRDefault="009B186A" w:rsidP="009B186A">
            <w:pPr>
              <w:jc w:val="right"/>
            </w:pPr>
            <w:r w:rsidRPr="007B60BF">
              <w:t xml:space="preserve"> (1.678)</w:t>
            </w:r>
          </w:p>
        </w:tc>
        <w:tc>
          <w:tcPr>
            <w:tcW w:w="99" w:type="pct"/>
            <w:tcBorders>
              <w:top w:val="nil"/>
              <w:left w:val="nil"/>
              <w:bottom w:val="nil"/>
              <w:right w:val="nil"/>
            </w:tcBorders>
            <w:shd w:val="clear" w:color="auto" w:fill="auto"/>
            <w:noWrap/>
            <w:vAlign w:val="center"/>
          </w:tcPr>
          <w:p w14:paraId="120D5E80"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25EF0DAC" w14:textId="60AB5BB6" w:rsidR="009B186A" w:rsidRPr="007B60BF" w:rsidRDefault="009B186A" w:rsidP="009B186A">
            <w:pPr>
              <w:jc w:val="right"/>
            </w:pPr>
            <w:r w:rsidRPr="007B60BF">
              <w:t xml:space="preserve">(819) </w:t>
            </w:r>
          </w:p>
        </w:tc>
      </w:tr>
      <w:tr w:rsidR="009B186A" w:rsidRPr="007B60BF" w14:paraId="7DB0FB65" w14:textId="77777777" w:rsidTr="00AE5F34">
        <w:tc>
          <w:tcPr>
            <w:tcW w:w="3153" w:type="pct"/>
            <w:tcBorders>
              <w:top w:val="nil"/>
              <w:left w:val="nil"/>
              <w:bottom w:val="nil"/>
              <w:right w:val="nil"/>
            </w:tcBorders>
            <w:shd w:val="clear" w:color="auto" w:fill="auto"/>
            <w:noWrap/>
            <w:vAlign w:val="center"/>
            <w:hideMark/>
          </w:tcPr>
          <w:p w14:paraId="29D2D1DB" w14:textId="45C1DCA7" w:rsidR="009B186A" w:rsidRPr="007B60BF" w:rsidRDefault="009B186A" w:rsidP="009B186A">
            <w:pPr>
              <w:ind w:firstLineChars="200" w:firstLine="400"/>
            </w:pPr>
            <w:r w:rsidRPr="007B60BF">
              <w:t>Baixa de Bens Imobilizados</w:t>
            </w:r>
          </w:p>
        </w:tc>
        <w:tc>
          <w:tcPr>
            <w:tcW w:w="852" w:type="pct"/>
            <w:tcBorders>
              <w:top w:val="nil"/>
              <w:left w:val="nil"/>
              <w:bottom w:val="nil"/>
              <w:right w:val="nil"/>
            </w:tcBorders>
            <w:shd w:val="clear" w:color="auto" w:fill="auto"/>
            <w:noWrap/>
          </w:tcPr>
          <w:p w14:paraId="17C982E5" w14:textId="7FFB9746" w:rsidR="009B186A" w:rsidRPr="007B60BF" w:rsidRDefault="009B186A" w:rsidP="009B186A">
            <w:pPr>
              <w:jc w:val="right"/>
            </w:pPr>
            <w:r w:rsidRPr="007B60BF">
              <w:t xml:space="preserve"> 10.368 </w:t>
            </w:r>
          </w:p>
        </w:tc>
        <w:tc>
          <w:tcPr>
            <w:tcW w:w="99" w:type="pct"/>
            <w:tcBorders>
              <w:top w:val="nil"/>
              <w:left w:val="nil"/>
              <w:bottom w:val="nil"/>
              <w:right w:val="nil"/>
            </w:tcBorders>
            <w:shd w:val="clear" w:color="auto" w:fill="auto"/>
            <w:noWrap/>
            <w:vAlign w:val="center"/>
          </w:tcPr>
          <w:p w14:paraId="28AF57D8"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69C9CC56" w14:textId="40148541" w:rsidR="009B186A" w:rsidRPr="007B60BF" w:rsidRDefault="009B186A" w:rsidP="009B186A">
            <w:pPr>
              <w:jc w:val="right"/>
            </w:pPr>
            <w:r w:rsidRPr="007B60BF">
              <w:t xml:space="preserve"> 6.210 </w:t>
            </w:r>
          </w:p>
        </w:tc>
      </w:tr>
      <w:tr w:rsidR="009B186A" w:rsidRPr="007B60BF" w14:paraId="01BA0C9A" w14:textId="77777777" w:rsidTr="00AE5F34">
        <w:tc>
          <w:tcPr>
            <w:tcW w:w="3153" w:type="pct"/>
            <w:tcBorders>
              <w:top w:val="nil"/>
              <w:left w:val="nil"/>
              <w:bottom w:val="nil"/>
              <w:right w:val="nil"/>
            </w:tcBorders>
            <w:shd w:val="clear" w:color="auto" w:fill="auto"/>
            <w:noWrap/>
            <w:vAlign w:val="center"/>
            <w:hideMark/>
          </w:tcPr>
          <w:p w14:paraId="09A95113" w14:textId="77777777" w:rsidR="009B186A" w:rsidRPr="007B60BF" w:rsidRDefault="009B186A" w:rsidP="009B186A">
            <w:pPr>
              <w:ind w:firstLineChars="200" w:firstLine="400"/>
            </w:pPr>
            <w:r w:rsidRPr="007B60BF">
              <w:t>Produção de Bens em Estoque</w:t>
            </w:r>
          </w:p>
        </w:tc>
        <w:tc>
          <w:tcPr>
            <w:tcW w:w="852" w:type="pct"/>
            <w:tcBorders>
              <w:top w:val="nil"/>
              <w:left w:val="nil"/>
              <w:bottom w:val="nil"/>
              <w:right w:val="nil"/>
            </w:tcBorders>
            <w:shd w:val="clear" w:color="auto" w:fill="auto"/>
            <w:noWrap/>
          </w:tcPr>
          <w:p w14:paraId="3F97F149" w14:textId="52E414BC" w:rsidR="009B186A" w:rsidRPr="007B60BF" w:rsidRDefault="009B186A" w:rsidP="009B186A">
            <w:pPr>
              <w:jc w:val="right"/>
            </w:pPr>
            <w:r w:rsidRPr="007B60BF">
              <w:t xml:space="preserve"> (2.996)</w:t>
            </w:r>
          </w:p>
        </w:tc>
        <w:tc>
          <w:tcPr>
            <w:tcW w:w="99" w:type="pct"/>
            <w:tcBorders>
              <w:top w:val="nil"/>
              <w:left w:val="nil"/>
              <w:bottom w:val="nil"/>
              <w:right w:val="nil"/>
            </w:tcBorders>
            <w:shd w:val="clear" w:color="auto" w:fill="auto"/>
            <w:noWrap/>
            <w:vAlign w:val="center"/>
          </w:tcPr>
          <w:p w14:paraId="43105DE1"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65EE4AD7" w14:textId="7FB9A869" w:rsidR="009B186A" w:rsidRPr="007B60BF" w:rsidRDefault="009B186A" w:rsidP="009B186A">
            <w:pPr>
              <w:jc w:val="right"/>
            </w:pPr>
            <w:r w:rsidRPr="007B60BF">
              <w:t xml:space="preserve">(4.106) </w:t>
            </w:r>
          </w:p>
        </w:tc>
      </w:tr>
      <w:tr w:rsidR="009B186A" w:rsidRPr="007B60BF" w14:paraId="10017CB3" w14:textId="77777777" w:rsidTr="00AE5F34">
        <w:tc>
          <w:tcPr>
            <w:tcW w:w="3153" w:type="pct"/>
            <w:tcBorders>
              <w:top w:val="nil"/>
              <w:left w:val="nil"/>
              <w:bottom w:val="nil"/>
              <w:right w:val="nil"/>
            </w:tcBorders>
            <w:shd w:val="clear" w:color="auto" w:fill="auto"/>
            <w:noWrap/>
            <w:vAlign w:val="center"/>
            <w:hideMark/>
          </w:tcPr>
          <w:p w14:paraId="59821209" w14:textId="77777777" w:rsidR="009B186A" w:rsidRPr="007B60BF" w:rsidRDefault="009B186A" w:rsidP="009B186A">
            <w:pPr>
              <w:ind w:firstLineChars="200" w:firstLine="400"/>
            </w:pPr>
            <w:r w:rsidRPr="007B60BF">
              <w:t>Reversão/Provisão p/Devedores Duvidosos</w:t>
            </w:r>
          </w:p>
        </w:tc>
        <w:tc>
          <w:tcPr>
            <w:tcW w:w="852" w:type="pct"/>
            <w:tcBorders>
              <w:top w:val="nil"/>
              <w:left w:val="nil"/>
              <w:bottom w:val="nil"/>
              <w:right w:val="nil"/>
            </w:tcBorders>
            <w:shd w:val="clear" w:color="auto" w:fill="auto"/>
            <w:noWrap/>
          </w:tcPr>
          <w:p w14:paraId="6DFAD5E9" w14:textId="7735CA09" w:rsidR="009B186A" w:rsidRPr="007B60BF" w:rsidRDefault="009B186A" w:rsidP="009B186A">
            <w:pPr>
              <w:jc w:val="right"/>
            </w:pPr>
            <w:r w:rsidRPr="007B60BF">
              <w:t xml:space="preserve"> (328)</w:t>
            </w:r>
          </w:p>
        </w:tc>
        <w:tc>
          <w:tcPr>
            <w:tcW w:w="99" w:type="pct"/>
            <w:tcBorders>
              <w:top w:val="nil"/>
              <w:left w:val="nil"/>
              <w:bottom w:val="nil"/>
              <w:right w:val="nil"/>
            </w:tcBorders>
            <w:shd w:val="clear" w:color="auto" w:fill="auto"/>
            <w:noWrap/>
            <w:vAlign w:val="center"/>
          </w:tcPr>
          <w:p w14:paraId="4AED390A"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09B215F8" w14:textId="6987645A" w:rsidR="009B186A" w:rsidRPr="007B60BF" w:rsidRDefault="009B186A" w:rsidP="009B186A">
            <w:pPr>
              <w:jc w:val="right"/>
            </w:pPr>
            <w:r w:rsidRPr="007B60BF">
              <w:t xml:space="preserve">(219) </w:t>
            </w:r>
          </w:p>
        </w:tc>
      </w:tr>
      <w:tr w:rsidR="009B186A" w:rsidRPr="007B60BF" w14:paraId="4EF0D182" w14:textId="77777777" w:rsidTr="00AE5F34">
        <w:tc>
          <w:tcPr>
            <w:tcW w:w="3153" w:type="pct"/>
            <w:tcBorders>
              <w:top w:val="nil"/>
              <w:left w:val="nil"/>
              <w:bottom w:val="nil"/>
              <w:right w:val="nil"/>
            </w:tcBorders>
            <w:shd w:val="clear" w:color="auto" w:fill="auto"/>
            <w:noWrap/>
            <w:vAlign w:val="center"/>
            <w:hideMark/>
          </w:tcPr>
          <w:p w14:paraId="24199BF2" w14:textId="77777777" w:rsidR="009B186A" w:rsidRPr="007B60BF" w:rsidRDefault="009B186A" w:rsidP="009B186A">
            <w:pPr>
              <w:ind w:firstLineChars="200" w:firstLine="400"/>
            </w:pPr>
            <w:r w:rsidRPr="007B60BF">
              <w:t>Doações de Bens Móveis</w:t>
            </w:r>
          </w:p>
        </w:tc>
        <w:tc>
          <w:tcPr>
            <w:tcW w:w="852" w:type="pct"/>
            <w:tcBorders>
              <w:top w:val="nil"/>
              <w:left w:val="nil"/>
              <w:bottom w:val="nil"/>
              <w:right w:val="nil"/>
            </w:tcBorders>
            <w:shd w:val="clear" w:color="auto" w:fill="auto"/>
            <w:noWrap/>
          </w:tcPr>
          <w:p w14:paraId="0580603E" w14:textId="12E0C5A0" w:rsidR="009B186A" w:rsidRPr="007B60BF" w:rsidRDefault="009B186A" w:rsidP="009B186A">
            <w:pPr>
              <w:jc w:val="right"/>
            </w:pPr>
            <w:r w:rsidRPr="007B60BF">
              <w:t xml:space="preserve"> (7.292)</w:t>
            </w:r>
          </w:p>
        </w:tc>
        <w:tc>
          <w:tcPr>
            <w:tcW w:w="99" w:type="pct"/>
            <w:tcBorders>
              <w:top w:val="nil"/>
              <w:left w:val="nil"/>
              <w:bottom w:val="nil"/>
              <w:right w:val="nil"/>
            </w:tcBorders>
            <w:shd w:val="clear" w:color="auto" w:fill="auto"/>
            <w:noWrap/>
            <w:vAlign w:val="center"/>
          </w:tcPr>
          <w:p w14:paraId="28F8EF62"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710459AA" w14:textId="4E99F640" w:rsidR="009B186A" w:rsidRPr="007B60BF" w:rsidRDefault="009B186A" w:rsidP="009B186A">
            <w:pPr>
              <w:jc w:val="right"/>
            </w:pPr>
            <w:r w:rsidRPr="007B60BF">
              <w:t xml:space="preserve">(2.241) </w:t>
            </w:r>
          </w:p>
        </w:tc>
      </w:tr>
      <w:tr w:rsidR="009B186A" w:rsidRPr="007B60BF" w14:paraId="0FB4D0E2" w14:textId="77777777" w:rsidTr="00AE5F34">
        <w:tc>
          <w:tcPr>
            <w:tcW w:w="3153" w:type="pct"/>
            <w:tcBorders>
              <w:top w:val="nil"/>
              <w:left w:val="nil"/>
              <w:bottom w:val="nil"/>
              <w:right w:val="nil"/>
            </w:tcBorders>
            <w:shd w:val="clear" w:color="auto" w:fill="auto"/>
            <w:noWrap/>
            <w:vAlign w:val="center"/>
            <w:hideMark/>
          </w:tcPr>
          <w:p w14:paraId="07A240B8" w14:textId="77777777" w:rsidR="009B186A" w:rsidRPr="007B60BF" w:rsidRDefault="009B186A" w:rsidP="009B186A">
            <w:pPr>
              <w:ind w:firstLineChars="200" w:firstLine="400"/>
            </w:pPr>
            <w:r w:rsidRPr="007B60BF">
              <w:t>Doações de Mercadorias</w:t>
            </w:r>
          </w:p>
        </w:tc>
        <w:tc>
          <w:tcPr>
            <w:tcW w:w="852" w:type="pct"/>
            <w:tcBorders>
              <w:top w:val="nil"/>
              <w:left w:val="nil"/>
              <w:bottom w:val="nil"/>
              <w:right w:val="nil"/>
            </w:tcBorders>
            <w:shd w:val="clear" w:color="auto" w:fill="auto"/>
            <w:noWrap/>
          </w:tcPr>
          <w:p w14:paraId="76999A2C" w14:textId="2910401C" w:rsidR="009B186A" w:rsidRPr="007B60BF" w:rsidRDefault="009B186A" w:rsidP="009B186A">
            <w:pPr>
              <w:jc w:val="right"/>
            </w:pPr>
            <w:r w:rsidRPr="007B60BF">
              <w:t xml:space="preserve"> (640)</w:t>
            </w:r>
          </w:p>
        </w:tc>
        <w:tc>
          <w:tcPr>
            <w:tcW w:w="99" w:type="pct"/>
            <w:tcBorders>
              <w:top w:val="nil"/>
              <w:left w:val="nil"/>
              <w:bottom w:val="nil"/>
              <w:right w:val="nil"/>
            </w:tcBorders>
            <w:shd w:val="clear" w:color="auto" w:fill="auto"/>
            <w:noWrap/>
            <w:vAlign w:val="center"/>
          </w:tcPr>
          <w:p w14:paraId="7DBC8730" w14:textId="77777777" w:rsidR="009B186A" w:rsidRPr="007B60BF" w:rsidRDefault="009B186A" w:rsidP="009B186A">
            <w:pPr>
              <w:jc w:val="right"/>
            </w:pPr>
          </w:p>
        </w:tc>
        <w:tc>
          <w:tcPr>
            <w:tcW w:w="895" w:type="pct"/>
            <w:tcBorders>
              <w:top w:val="nil"/>
              <w:left w:val="nil"/>
              <w:bottom w:val="nil"/>
              <w:right w:val="nil"/>
            </w:tcBorders>
            <w:shd w:val="clear" w:color="auto" w:fill="auto"/>
            <w:noWrap/>
          </w:tcPr>
          <w:p w14:paraId="449B2A5B" w14:textId="357734C2" w:rsidR="009B186A" w:rsidRPr="007B60BF" w:rsidRDefault="009B186A" w:rsidP="009B186A">
            <w:pPr>
              <w:jc w:val="right"/>
            </w:pPr>
            <w:r w:rsidRPr="007B60BF">
              <w:t xml:space="preserve">(3.539) </w:t>
            </w:r>
          </w:p>
        </w:tc>
      </w:tr>
      <w:tr w:rsidR="009B186A" w:rsidRPr="007B60BF" w14:paraId="2A14517B" w14:textId="77777777" w:rsidTr="00FF0BB4">
        <w:tc>
          <w:tcPr>
            <w:tcW w:w="3153" w:type="pct"/>
            <w:tcBorders>
              <w:top w:val="nil"/>
              <w:left w:val="nil"/>
              <w:bottom w:val="nil"/>
              <w:right w:val="nil"/>
            </w:tcBorders>
            <w:shd w:val="clear" w:color="auto" w:fill="auto"/>
            <w:noWrap/>
            <w:vAlign w:val="center"/>
          </w:tcPr>
          <w:p w14:paraId="26BE3031" w14:textId="77777777" w:rsidR="009B186A" w:rsidRPr="007B60BF" w:rsidRDefault="009B186A" w:rsidP="009B186A">
            <w:pPr>
              <w:rPr>
                <w:b/>
                <w:bCs/>
                <w:sz w:val="10"/>
                <w:szCs w:val="10"/>
              </w:rPr>
            </w:pPr>
          </w:p>
        </w:tc>
        <w:tc>
          <w:tcPr>
            <w:tcW w:w="852" w:type="pct"/>
            <w:tcBorders>
              <w:top w:val="nil"/>
              <w:left w:val="nil"/>
              <w:right w:val="nil"/>
            </w:tcBorders>
            <w:shd w:val="clear" w:color="auto" w:fill="auto"/>
            <w:noWrap/>
          </w:tcPr>
          <w:p w14:paraId="694B8337" w14:textId="19BB7A02" w:rsidR="009B186A" w:rsidRPr="007B60BF" w:rsidRDefault="009B186A" w:rsidP="009B186A">
            <w:pPr>
              <w:jc w:val="right"/>
              <w:rPr>
                <w:b/>
                <w:bCs/>
                <w:sz w:val="10"/>
                <w:szCs w:val="10"/>
              </w:rPr>
            </w:pPr>
          </w:p>
        </w:tc>
        <w:tc>
          <w:tcPr>
            <w:tcW w:w="99" w:type="pct"/>
            <w:tcBorders>
              <w:top w:val="nil"/>
              <w:left w:val="nil"/>
              <w:right w:val="nil"/>
            </w:tcBorders>
            <w:shd w:val="clear" w:color="auto" w:fill="auto"/>
            <w:noWrap/>
            <w:vAlign w:val="bottom"/>
          </w:tcPr>
          <w:p w14:paraId="10F5D6C2" w14:textId="77777777" w:rsidR="009B186A" w:rsidRPr="007B60BF" w:rsidRDefault="009B186A" w:rsidP="009B186A">
            <w:pPr>
              <w:rPr>
                <w:sz w:val="10"/>
                <w:szCs w:val="10"/>
              </w:rPr>
            </w:pPr>
          </w:p>
        </w:tc>
        <w:tc>
          <w:tcPr>
            <w:tcW w:w="895" w:type="pct"/>
            <w:tcBorders>
              <w:top w:val="nil"/>
              <w:left w:val="nil"/>
              <w:right w:val="nil"/>
            </w:tcBorders>
            <w:shd w:val="clear" w:color="auto" w:fill="auto"/>
            <w:noWrap/>
          </w:tcPr>
          <w:p w14:paraId="423C9B08" w14:textId="1437B50F" w:rsidR="009B186A" w:rsidRPr="007B60BF" w:rsidRDefault="009B186A" w:rsidP="009B186A">
            <w:pPr>
              <w:jc w:val="right"/>
              <w:rPr>
                <w:sz w:val="10"/>
                <w:szCs w:val="10"/>
              </w:rPr>
            </w:pPr>
          </w:p>
        </w:tc>
      </w:tr>
      <w:tr w:rsidR="009B186A" w:rsidRPr="007B60BF" w14:paraId="61AD5AA5" w14:textId="77777777" w:rsidTr="00AE5F34">
        <w:tc>
          <w:tcPr>
            <w:tcW w:w="3153" w:type="pct"/>
            <w:tcBorders>
              <w:top w:val="nil"/>
              <w:left w:val="nil"/>
              <w:bottom w:val="nil"/>
              <w:right w:val="nil"/>
            </w:tcBorders>
            <w:shd w:val="clear" w:color="auto" w:fill="auto"/>
            <w:noWrap/>
            <w:vAlign w:val="center"/>
            <w:hideMark/>
          </w:tcPr>
          <w:p w14:paraId="6886B1C6" w14:textId="7F8545BD" w:rsidR="009B186A" w:rsidRPr="007B60BF" w:rsidRDefault="009B186A" w:rsidP="009B186A">
            <w:pPr>
              <w:ind w:firstLine="209"/>
              <w:rPr>
                <w:b/>
                <w:bCs/>
                <w:color w:val="00B0F0"/>
              </w:rPr>
            </w:pPr>
            <w:r w:rsidRPr="007B60BF">
              <w:rPr>
                <w:b/>
                <w:bCs/>
              </w:rPr>
              <w:t>Variação de Ativos e Passivos</w:t>
            </w:r>
          </w:p>
        </w:tc>
        <w:tc>
          <w:tcPr>
            <w:tcW w:w="852" w:type="pct"/>
            <w:tcBorders>
              <w:top w:val="nil"/>
              <w:left w:val="nil"/>
              <w:right w:val="nil"/>
            </w:tcBorders>
            <w:shd w:val="clear" w:color="auto" w:fill="auto"/>
            <w:noWrap/>
          </w:tcPr>
          <w:p w14:paraId="125EEDD2" w14:textId="71BEA6A7" w:rsidR="009B186A" w:rsidRPr="007B60BF" w:rsidRDefault="009B186A" w:rsidP="009B186A">
            <w:pPr>
              <w:jc w:val="right"/>
              <w:rPr>
                <w:b/>
              </w:rPr>
            </w:pPr>
            <w:r w:rsidRPr="007B60BF">
              <w:rPr>
                <w:b/>
              </w:rPr>
              <w:t xml:space="preserve"> 97.278 </w:t>
            </w:r>
          </w:p>
        </w:tc>
        <w:tc>
          <w:tcPr>
            <w:tcW w:w="99" w:type="pct"/>
            <w:tcBorders>
              <w:top w:val="nil"/>
              <w:left w:val="nil"/>
              <w:right w:val="nil"/>
            </w:tcBorders>
            <w:shd w:val="clear" w:color="auto" w:fill="auto"/>
            <w:noWrap/>
            <w:vAlign w:val="bottom"/>
          </w:tcPr>
          <w:p w14:paraId="5ED6528D" w14:textId="77777777" w:rsidR="009B186A" w:rsidRPr="007B60BF" w:rsidRDefault="009B186A" w:rsidP="009B186A">
            <w:pPr>
              <w:rPr>
                <w:b/>
              </w:rPr>
            </w:pPr>
          </w:p>
        </w:tc>
        <w:tc>
          <w:tcPr>
            <w:tcW w:w="895" w:type="pct"/>
            <w:tcBorders>
              <w:top w:val="nil"/>
              <w:left w:val="nil"/>
              <w:right w:val="nil"/>
            </w:tcBorders>
            <w:shd w:val="clear" w:color="auto" w:fill="auto"/>
            <w:noWrap/>
          </w:tcPr>
          <w:p w14:paraId="5F29CD14" w14:textId="779744C8" w:rsidR="009B186A" w:rsidRPr="007B60BF" w:rsidRDefault="009B186A" w:rsidP="009B186A">
            <w:pPr>
              <w:jc w:val="right"/>
              <w:rPr>
                <w:b/>
                <w:bCs/>
              </w:rPr>
            </w:pPr>
            <w:r w:rsidRPr="007B60BF">
              <w:rPr>
                <w:b/>
              </w:rPr>
              <w:t xml:space="preserve"> 38.572</w:t>
            </w:r>
          </w:p>
        </w:tc>
      </w:tr>
      <w:tr w:rsidR="009B186A" w:rsidRPr="007B60BF" w14:paraId="7A009755" w14:textId="77777777" w:rsidTr="00AE5F34">
        <w:tc>
          <w:tcPr>
            <w:tcW w:w="3153" w:type="pct"/>
            <w:tcBorders>
              <w:top w:val="nil"/>
              <w:left w:val="nil"/>
              <w:bottom w:val="nil"/>
              <w:right w:val="nil"/>
            </w:tcBorders>
            <w:shd w:val="clear" w:color="auto" w:fill="auto"/>
            <w:noWrap/>
            <w:vAlign w:val="center"/>
            <w:hideMark/>
          </w:tcPr>
          <w:p w14:paraId="527B58BD" w14:textId="77777777" w:rsidR="009B186A" w:rsidRPr="007B60BF" w:rsidRDefault="009B186A" w:rsidP="009B186A">
            <w:pPr>
              <w:ind w:firstLineChars="200" w:firstLine="400"/>
            </w:pPr>
            <w:r w:rsidRPr="007B60BF">
              <w:t>Créditos Fornecimento Serviços (CP e LP)</w:t>
            </w:r>
          </w:p>
        </w:tc>
        <w:tc>
          <w:tcPr>
            <w:tcW w:w="852" w:type="pct"/>
            <w:tcBorders>
              <w:left w:val="nil"/>
              <w:bottom w:val="nil"/>
              <w:right w:val="nil"/>
            </w:tcBorders>
            <w:shd w:val="clear" w:color="auto" w:fill="auto"/>
            <w:noWrap/>
          </w:tcPr>
          <w:p w14:paraId="61081A9B" w14:textId="030D2433" w:rsidR="009B186A" w:rsidRPr="007B60BF" w:rsidRDefault="009B186A" w:rsidP="009B186A">
            <w:pPr>
              <w:jc w:val="right"/>
            </w:pPr>
            <w:r w:rsidRPr="007B60BF">
              <w:t xml:space="preserve"> (18.421)</w:t>
            </w:r>
          </w:p>
        </w:tc>
        <w:tc>
          <w:tcPr>
            <w:tcW w:w="99" w:type="pct"/>
            <w:tcBorders>
              <w:left w:val="nil"/>
              <w:bottom w:val="nil"/>
              <w:right w:val="nil"/>
            </w:tcBorders>
            <w:shd w:val="clear" w:color="auto" w:fill="auto"/>
            <w:noWrap/>
          </w:tcPr>
          <w:p w14:paraId="0EF1A53F" w14:textId="183E950E" w:rsidR="009B186A" w:rsidRPr="007B60BF" w:rsidRDefault="009B186A" w:rsidP="009B186A"/>
        </w:tc>
        <w:tc>
          <w:tcPr>
            <w:tcW w:w="895" w:type="pct"/>
            <w:tcBorders>
              <w:left w:val="nil"/>
              <w:bottom w:val="nil"/>
              <w:right w:val="nil"/>
            </w:tcBorders>
            <w:shd w:val="clear" w:color="auto" w:fill="auto"/>
            <w:noWrap/>
          </w:tcPr>
          <w:p w14:paraId="675D1BCE" w14:textId="2595D382" w:rsidR="009B186A" w:rsidRPr="007B60BF" w:rsidRDefault="009B186A" w:rsidP="009B186A">
            <w:pPr>
              <w:jc w:val="right"/>
            </w:pPr>
            <w:r w:rsidRPr="007B60BF">
              <w:t xml:space="preserve">(986) </w:t>
            </w:r>
          </w:p>
        </w:tc>
      </w:tr>
      <w:tr w:rsidR="009B186A" w:rsidRPr="007B60BF" w14:paraId="5D5A7107" w14:textId="77777777" w:rsidTr="00AE5F34">
        <w:tc>
          <w:tcPr>
            <w:tcW w:w="3153" w:type="pct"/>
            <w:tcBorders>
              <w:top w:val="nil"/>
              <w:left w:val="nil"/>
              <w:bottom w:val="nil"/>
              <w:right w:val="nil"/>
            </w:tcBorders>
            <w:shd w:val="clear" w:color="auto" w:fill="FFFFFF" w:themeFill="background1"/>
            <w:noWrap/>
            <w:vAlign w:val="center"/>
            <w:hideMark/>
          </w:tcPr>
          <w:p w14:paraId="62CFBD82" w14:textId="77777777" w:rsidR="009B186A" w:rsidRPr="007B60BF" w:rsidRDefault="009B186A" w:rsidP="009B186A">
            <w:pPr>
              <w:ind w:firstLineChars="200" w:firstLine="400"/>
            </w:pPr>
            <w:r w:rsidRPr="007B60BF">
              <w:t>Adiantamentos a Pessoal</w:t>
            </w:r>
          </w:p>
        </w:tc>
        <w:tc>
          <w:tcPr>
            <w:tcW w:w="852" w:type="pct"/>
            <w:tcBorders>
              <w:top w:val="nil"/>
              <w:left w:val="nil"/>
              <w:bottom w:val="nil"/>
              <w:right w:val="nil"/>
            </w:tcBorders>
            <w:shd w:val="clear" w:color="auto" w:fill="auto"/>
            <w:noWrap/>
          </w:tcPr>
          <w:p w14:paraId="56A600B0" w14:textId="691EAE4A" w:rsidR="009B186A" w:rsidRPr="007B60BF" w:rsidRDefault="009B186A" w:rsidP="009B186A">
            <w:pPr>
              <w:jc w:val="right"/>
            </w:pPr>
            <w:r w:rsidRPr="007B60BF">
              <w:t xml:space="preserve"> (5.092)</w:t>
            </w:r>
          </w:p>
        </w:tc>
        <w:tc>
          <w:tcPr>
            <w:tcW w:w="99" w:type="pct"/>
            <w:tcBorders>
              <w:top w:val="nil"/>
              <w:left w:val="nil"/>
              <w:bottom w:val="nil"/>
              <w:right w:val="nil"/>
            </w:tcBorders>
            <w:shd w:val="clear" w:color="auto" w:fill="auto"/>
            <w:noWrap/>
          </w:tcPr>
          <w:p w14:paraId="39753F52" w14:textId="58C928C7" w:rsidR="009B186A" w:rsidRPr="007B60BF" w:rsidRDefault="009B186A" w:rsidP="009B186A"/>
        </w:tc>
        <w:tc>
          <w:tcPr>
            <w:tcW w:w="895" w:type="pct"/>
            <w:tcBorders>
              <w:top w:val="nil"/>
              <w:left w:val="nil"/>
              <w:bottom w:val="nil"/>
              <w:right w:val="nil"/>
            </w:tcBorders>
            <w:shd w:val="clear" w:color="auto" w:fill="auto"/>
            <w:noWrap/>
          </w:tcPr>
          <w:p w14:paraId="620B0F65" w14:textId="49CB4F6B" w:rsidR="009B186A" w:rsidRPr="007B60BF" w:rsidRDefault="009B186A" w:rsidP="009B186A">
            <w:pPr>
              <w:jc w:val="right"/>
            </w:pPr>
            <w:r w:rsidRPr="007B60BF">
              <w:t xml:space="preserve"> 9 </w:t>
            </w:r>
          </w:p>
        </w:tc>
      </w:tr>
      <w:tr w:rsidR="009B186A" w:rsidRPr="007B60BF" w14:paraId="20B0B9EF" w14:textId="77777777" w:rsidTr="00AE5F34">
        <w:tc>
          <w:tcPr>
            <w:tcW w:w="3153" w:type="pct"/>
            <w:tcBorders>
              <w:top w:val="nil"/>
              <w:left w:val="nil"/>
              <w:bottom w:val="nil"/>
              <w:right w:val="nil"/>
            </w:tcBorders>
            <w:shd w:val="clear" w:color="auto" w:fill="FFFFFF" w:themeFill="background1"/>
            <w:noWrap/>
            <w:vAlign w:val="center"/>
            <w:hideMark/>
          </w:tcPr>
          <w:p w14:paraId="71AF037D" w14:textId="5DF756AD" w:rsidR="009B186A" w:rsidRPr="007B60BF" w:rsidRDefault="009B186A" w:rsidP="009B186A">
            <w:pPr>
              <w:ind w:firstLineChars="200" w:firstLine="400"/>
            </w:pPr>
            <w:r w:rsidRPr="007B60BF">
              <w:t>Outras Contas a Receber (CP e LP)</w:t>
            </w:r>
          </w:p>
        </w:tc>
        <w:tc>
          <w:tcPr>
            <w:tcW w:w="852" w:type="pct"/>
            <w:tcBorders>
              <w:top w:val="nil"/>
              <w:left w:val="nil"/>
              <w:bottom w:val="nil"/>
              <w:right w:val="nil"/>
            </w:tcBorders>
            <w:shd w:val="clear" w:color="auto" w:fill="auto"/>
            <w:noWrap/>
          </w:tcPr>
          <w:p w14:paraId="6225CC77" w14:textId="20767595" w:rsidR="009B186A" w:rsidRPr="007B60BF" w:rsidRDefault="0068485C" w:rsidP="009B186A">
            <w:pPr>
              <w:jc w:val="right"/>
            </w:pPr>
            <w:r w:rsidRPr="007B60BF">
              <w:t>2.738</w:t>
            </w:r>
          </w:p>
        </w:tc>
        <w:tc>
          <w:tcPr>
            <w:tcW w:w="99" w:type="pct"/>
            <w:tcBorders>
              <w:top w:val="nil"/>
              <w:left w:val="nil"/>
              <w:bottom w:val="nil"/>
              <w:right w:val="nil"/>
            </w:tcBorders>
            <w:shd w:val="clear" w:color="auto" w:fill="auto"/>
            <w:noWrap/>
          </w:tcPr>
          <w:p w14:paraId="5F21ED63" w14:textId="0E621DBE" w:rsidR="009B186A" w:rsidRPr="007B60BF" w:rsidRDefault="009B186A" w:rsidP="009B186A"/>
        </w:tc>
        <w:tc>
          <w:tcPr>
            <w:tcW w:w="895" w:type="pct"/>
            <w:tcBorders>
              <w:top w:val="nil"/>
              <w:left w:val="nil"/>
              <w:bottom w:val="nil"/>
              <w:right w:val="nil"/>
            </w:tcBorders>
            <w:shd w:val="clear" w:color="auto" w:fill="auto"/>
            <w:noWrap/>
          </w:tcPr>
          <w:p w14:paraId="339CC7FB" w14:textId="36E192EA" w:rsidR="009B186A" w:rsidRPr="007B60BF" w:rsidRDefault="009B186A" w:rsidP="009B186A">
            <w:pPr>
              <w:jc w:val="right"/>
            </w:pPr>
            <w:r w:rsidRPr="007B60BF">
              <w:t xml:space="preserve">(2.912) </w:t>
            </w:r>
          </w:p>
        </w:tc>
      </w:tr>
      <w:tr w:rsidR="009B186A" w:rsidRPr="007B60BF" w14:paraId="4A6BC2AA" w14:textId="77777777" w:rsidTr="00AE5F34">
        <w:tc>
          <w:tcPr>
            <w:tcW w:w="3153" w:type="pct"/>
            <w:tcBorders>
              <w:top w:val="nil"/>
              <w:left w:val="nil"/>
              <w:bottom w:val="nil"/>
              <w:right w:val="nil"/>
            </w:tcBorders>
            <w:shd w:val="clear" w:color="auto" w:fill="FFFFFF" w:themeFill="background1"/>
            <w:noWrap/>
            <w:vAlign w:val="center"/>
            <w:hideMark/>
          </w:tcPr>
          <w:p w14:paraId="36D9BFD2" w14:textId="77777777" w:rsidR="009B186A" w:rsidRPr="007B60BF" w:rsidRDefault="009B186A" w:rsidP="009B186A">
            <w:pPr>
              <w:ind w:firstLineChars="200" w:firstLine="400"/>
            </w:pPr>
            <w:r w:rsidRPr="007B60BF">
              <w:t>Depósitos Judiciais/Devedores p/Convênios</w:t>
            </w:r>
          </w:p>
        </w:tc>
        <w:tc>
          <w:tcPr>
            <w:tcW w:w="852" w:type="pct"/>
            <w:tcBorders>
              <w:top w:val="nil"/>
              <w:left w:val="nil"/>
              <w:bottom w:val="nil"/>
              <w:right w:val="nil"/>
            </w:tcBorders>
            <w:shd w:val="clear" w:color="auto" w:fill="auto"/>
            <w:noWrap/>
          </w:tcPr>
          <w:p w14:paraId="5AA0A564" w14:textId="2A75CE2D" w:rsidR="009B186A" w:rsidRPr="007B60BF" w:rsidRDefault="009B186A" w:rsidP="009B186A">
            <w:pPr>
              <w:jc w:val="right"/>
            </w:pPr>
            <w:r w:rsidRPr="007B60BF">
              <w:t xml:space="preserve"> (123)</w:t>
            </w:r>
          </w:p>
        </w:tc>
        <w:tc>
          <w:tcPr>
            <w:tcW w:w="99" w:type="pct"/>
            <w:tcBorders>
              <w:top w:val="nil"/>
              <w:left w:val="nil"/>
              <w:bottom w:val="nil"/>
              <w:right w:val="nil"/>
            </w:tcBorders>
            <w:shd w:val="clear" w:color="auto" w:fill="auto"/>
            <w:noWrap/>
          </w:tcPr>
          <w:p w14:paraId="5FF5DFD1" w14:textId="1260E22F" w:rsidR="009B186A" w:rsidRPr="007B60BF" w:rsidRDefault="009B186A" w:rsidP="009B186A"/>
        </w:tc>
        <w:tc>
          <w:tcPr>
            <w:tcW w:w="895" w:type="pct"/>
            <w:tcBorders>
              <w:top w:val="nil"/>
              <w:left w:val="nil"/>
              <w:bottom w:val="nil"/>
              <w:right w:val="nil"/>
            </w:tcBorders>
            <w:shd w:val="clear" w:color="auto" w:fill="auto"/>
            <w:noWrap/>
          </w:tcPr>
          <w:p w14:paraId="769843BE" w14:textId="246B0F33" w:rsidR="009B186A" w:rsidRPr="007B60BF" w:rsidRDefault="009B186A" w:rsidP="009B186A">
            <w:pPr>
              <w:jc w:val="right"/>
            </w:pPr>
            <w:r w:rsidRPr="007B60BF">
              <w:t xml:space="preserve">(19) </w:t>
            </w:r>
          </w:p>
        </w:tc>
      </w:tr>
      <w:tr w:rsidR="009B186A" w:rsidRPr="007B60BF" w14:paraId="0E76B360" w14:textId="77777777" w:rsidTr="00AE5F34">
        <w:tc>
          <w:tcPr>
            <w:tcW w:w="3153" w:type="pct"/>
            <w:tcBorders>
              <w:top w:val="nil"/>
              <w:left w:val="nil"/>
              <w:bottom w:val="nil"/>
              <w:right w:val="nil"/>
            </w:tcBorders>
            <w:shd w:val="clear" w:color="auto" w:fill="FFFFFF" w:themeFill="background1"/>
            <w:noWrap/>
            <w:vAlign w:val="center"/>
            <w:hideMark/>
          </w:tcPr>
          <w:p w14:paraId="2317CA4D" w14:textId="77777777" w:rsidR="009B186A" w:rsidRPr="007B60BF" w:rsidRDefault="009B186A" w:rsidP="009B186A">
            <w:pPr>
              <w:ind w:firstLineChars="200" w:firstLine="400"/>
            </w:pPr>
            <w:r w:rsidRPr="007B60BF">
              <w:t>Importações em Andamento (Estoque)</w:t>
            </w:r>
          </w:p>
        </w:tc>
        <w:tc>
          <w:tcPr>
            <w:tcW w:w="852" w:type="pct"/>
            <w:tcBorders>
              <w:top w:val="nil"/>
              <w:left w:val="nil"/>
              <w:bottom w:val="nil"/>
              <w:right w:val="nil"/>
            </w:tcBorders>
            <w:shd w:val="clear" w:color="auto" w:fill="auto"/>
            <w:noWrap/>
          </w:tcPr>
          <w:p w14:paraId="62B8BDF1" w14:textId="5621351E" w:rsidR="009B186A" w:rsidRPr="007B60BF" w:rsidRDefault="009B186A" w:rsidP="009B186A">
            <w:pPr>
              <w:jc w:val="right"/>
            </w:pPr>
            <w:r w:rsidRPr="007B60BF">
              <w:t xml:space="preserve"> 1.900 </w:t>
            </w:r>
          </w:p>
        </w:tc>
        <w:tc>
          <w:tcPr>
            <w:tcW w:w="99" w:type="pct"/>
            <w:tcBorders>
              <w:top w:val="nil"/>
              <w:left w:val="nil"/>
              <w:bottom w:val="nil"/>
              <w:right w:val="nil"/>
            </w:tcBorders>
            <w:shd w:val="clear" w:color="auto" w:fill="auto"/>
            <w:noWrap/>
          </w:tcPr>
          <w:p w14:paraId="645BBBD0" w14:textId="116F2C81" w:rsidR="009B186A" w:rsidRPr="007B60BF" w:rsidRDefault="009B186A" w:rsidP="009B186A"/>
        </w:tc>
        <w:tc>
          <w:tcPr>
            <w:tcW w:w="895" w:type="pct"/>
            <w:tcBorders>
              <w:top w:val="nil"/>
              <w:left w:val="nil"/>
              <w:bottom w:val="nil"/>
              <w:right w:val="nil"/>
            </w:tcBorders>
            <w:shd w:val="clear" w:color="auto" w:fill="auto"/>
            <w:noWrap/>
          </w:tcPr>
          <w:p w14:paraId="2E40FEAB" w14:textId="4AA56B65" w:rsidR="009B186A" w:rsidRPr="007B60BF" w:rsidRDefault="009B186A" w:rsidP="009B186A">
            <w:pPr>
              <w:jc w:val="right"/>
            </w:pPr>
            <w:r w:rsidRPr="007B60BF">
              <w:t xml:space="preserve">(2.246) </w:t>
            </w:r>
          </w:p>
        </w:tc>
      </w:tr>
      <w:tr w:rsidR="009B186A" w:rsidRPr="007B60BF" w14:paraId="50A2D55B" w14:textId="77777777" w:rsidTr="00AE5F34">
        <w:tc>
          <w:tcPr>
            <w:tcW w:w="3153" w:type="pct"/>
            <w:tcBorders>
              <w:top w:val="nil"/>
              <w:left w:val="nil"/>
              <w:bottom w:val="nil"/>
              <w:right w:val="nil"/>
            </w:tcBorders>
            <w:shd w:val="clear" w:color="auto" w:fill="FFFFFF" w:themeFill="background1"/>
            <w:noWrap/>
            <w:vAlign w:val="center"/>
            <w:hideMark/>
          </w:tcPr>
          <w:p w14:paraId="7ACC27C3" w14:textId="77777777" w:rsidR="009B186A" w:rsidRPr="007B60BF" w:rsidRDefault="009B186A" w:rsidP="009B186A">
            <w:pPr>
              <w:ind w:firstLineChars="200" w:firstLine="400"/>
            </w:pPr>
            <w:r w:rsidRPr="007B60BF">
              <w:t>Estoques</w:t>
            </w:r>
          </w:p>
        </w:tc>
        <w:tc>
          <w:tcPr>
            <w:tcW w:w="852" w:type="pct"/>
            <w:tcBorders>
              <w:top w:val="nil"/>
              <w:left w:val="nil"/>
              <w:bottom w:val="nil"/>
              <w:right w:val="nil"/>
            </w:tcBorders>
            <w:shd w:val="clear" w:color="auto" w:fill="auto"/>
            <w:noWrap/>
          </w:tcPr>
          <w:p w14:paraId="051E6565" w14:textId="31C28475" w:rsidR="009B186A" w:rsidRPr="007B60BF" w:rsidRDefault="009B186A" w:rsidP="009B186A">
            <w:pPr>
              <w:jc w:val="right"/>
            </w:pPr>
            <w:r w:rsidRPr="007B60BF">
              <w:t xml:space="preserve"> 1.482 </w:t>
            </w:r>
          </w:p>
        </w:tc>
        <w:tc>
          <w:tcPr>
            <w:tcW w:w="99" w:type="pct"/>
            <w:tcBorders>
              <w:top w:val="nil"/>
              <w:left w:val="nil"/>
              <w:bottom w:val="nil"/>
              <w:right w:val="nil"/>
            </w:tcBorders>
            <w:shd w:val="clear" w:color="auto" w:fill="auto"/>
            <w:noWrap/>
          </w:tcPr>
          <w:p w14:paraId="7A248969" w14:textId="6E97A4B4" w:rsidR="009B186A" w:rsidRPr="007B60BF" w:rsidRDefault="009B186A" w:rsidP="009B186A"/>
        </w:tc>
        <w:tc>
          <w:tcPr>
            <w:tcW w:w="895" w:type="pct"/>
            <w:tcBorders>
              <w:top w:val="nil"/>
              <w:left w:val="nil"/>
              <w:bottom w:val="nil"/>
              <w:right w:val="nil"/>
            </w:tcBorders>
            <w:shd w:val="clear" w:color="auto" w:fill="auto"/>
            <w:noWrap/>
          </w:tcPr>
          <w:p w14:paraId="66B88A69" w14:textId="2E6B2CDF" w:rsidR="009B186A" w:rsidRPr="007B60BF" w:rsidRDefault="009B186A" w:rsidP="009B186A">
            <w:pPr>
              <w:jc w:val="right"/>
            </w:pPr>
            <w:r w:rsidRPr="007B60BF">
              <w:t xml:space="preserve"> 7.585 </w:t>
            </w:r>
          </w:p>
        </w:tc>
      </w:tr>
      <w:tr w:rsidR="009B186A" w:rsidRPr="007B60BF" w14:paraId="68FBCCA0" w14:textId="77777777" w:rsidTr="00AE5F34">
        <w:tc>
          <w:tcPr>
            <w:tcW w:w="3153" w:type="pct"/>
            <w:tcBorders>
              <w:top w:val="nil"/>
              <w:left w:val="nil"/>
              <w:bottom w:val="nil"/>
              <w:right w:val="nil"/>
            </w:tcBorders>
            <w:shd w:val="clear" w:color="auto" w:fill="FFFFFF" w:themeFill="background1"/>
            <w:noWrap/>
            <w:vAlign w:val="center"/>
            <w:hideMark/>
          </w:tcPr>
          <w:p w14:paraId="11DFDD87" w14:textId="77777777" w:rsidR="009B186A" w:rsidRPr="007B60BF" w:rsidRDefault="009B186A" w:rsidP="009B186A">
            <w:pPr>
              <w:ind w:firstLineChars="200" w:firstLine="400"/>
            </w:pPr>
            <w:r w:rsidRPr="007B60BF">
              <w:t>Despesas Pagas Antecipadamente</w:t>
            </w:r>
          </w:p>
        </w:tc>
        <w:tc>
          <w:tcPr>
            <w:tcW w:w="852" w:type="pct"/>
            <w:tcBorders>
              <w:top w:val="nil"/>
              <w:left w:val="nil"/>
              <w:bottom w:val="nil"/>
              <w:right w:val="nil"/>
            </w:tcBorders>
            <w:shd w:val="clear" w:color="auto" w:fill="auto"/>
            <w:noWrap/>
          </w:tcPr>
          <w:p w14:paraId="544232DF" w14:textId="1C6AF2DB" w:rsidR="009B186A" w:rsidRPr="007B60BF" w:rsidRDefault="009B186A" w:rsidP="009B186A">
            <w:pPr>
              <w:jc w:val="right"/>
            </w:pPr>
            <w:r w:rsidRPr="007B60BF">
              <w:t xml:space="preserve"> (45)</w:t>
            </w:r>
          </w:p>
        </w:tc>
        <w:tc>
          <w:tcPr>
            <w:tcW w:w="99" w:type="pct"/>
            <w:tcBorders>
              <w:top w:val="nil"/>
              <w:left w:val="nil"/>
              <w:bottom w:val="nil"/>
              <w:right w:val="nil"/>
            </w:tcBorders>
            <w:shd w:val="clear" w:color="auto" w:fill="auto"/>
            <w:noWrap/>
          </w:tcPr>
          <w:p w14:paraId="0AA68303" w14:textId="5C84C96F" w:rsidR="009B186A" w:rsidRPr="007B60BF" w:rsidRDefault="009B186A" w:rsidP="009B186A"/>
        </w:tc>
        <w:tc>
          <w:tcPr>
            <w:tcW w:w="895" w:type="pct"/>
            <w:tcBorders>
              <w:top w:val="nil"/>
              <w:left w:val="nil"/>
              <w:bottom w:val="nil"/>
              <w:right w:val="nil"/>
            </w:tcBorders>
            <w:shd w:val="clear" w:color="auto" w:fill="auto"/>
            <w:noWrap/>
          </w:tcPr>
          <w:p w14:paraId="30FCB014" w14:textId="3B182683" w:rsidR="009B186A" w:rsidRPr="007B60BF" w:rsidRDefault="009B186A" w:rsidP="009B186A">
            <w:pPr>
              <w:jc w:val="right"/>
            </w:pPr>
            <w:r w:rsidRPr="007B60BF">
              <w:t xml:space="preserve">(342) </w:t>
            </w:r>
          </w:p>
        </w:tc>
      </w:tr>
      <w:tr w:rsidR="009B186A" w:rsidRPr="007B60BF" w14:paraId="4C481F79" w14:textId="77777777" w:rsidTr="00AE5F34">
        <w:tc>
          <w:tcPr>
            <w:tcW w:w="3153" w:type="pct"/>
            <w:tcBorders>
              <w:top w:val="nil"/>
              <w:left w:val="nil"/>
              <w:bottom w:val="nil"/>
              <w:right w:val="nil"/>
            </w:tcBorders>
            <w:shd w:val="clear" w:color="auto" w:fill="FFFFFF" w:themeFill="background1"/>
            <w:noWrap/>
            <w:vAlign w:val="center"/>
            <w:hideMark/>
          </w:tcPr>
          <w:p w14:paraId="1EE5FC68" w14:textId="77777777" w:rsidR="009B186A" w:rsidRPr="007B60BF" w:rsidRDefault="009B186A" w:rsidP="009B186A">
            <w:pPr>
              <w:ind w:firstLineChars="200" w:firstLine="400"/>
            </w:pPr>
            <w:r w:rsidRPr="007B60BF">
              <w:t>Fornecedores</w:t>
            </w:r>
          </w:p>
        </w:tc>
        <w:tc>
          <w:tcPr>
            <w:tcW w:w="852" w:type="pct"/>
            <w:tcBorders>
              <w:top w:val="nil"/>
              <w:left w:val="nil"/>
              <w:bottom w:val="nil"/>
              <w:right w:val="nil"/>
            </w:tcBorders>
            <w:shd w:val="clear" w:color="auto" w:fill="auto"/>
            <w:noWrap/>
          </w:tcPr>
          <w:p w14:paraId="7810D2EE" w14:textId="11FF9B07" w:rsidR="009B186A" w:rsidRPr="007B60BF" w:rsidRDefault="009B186A" w:rsidP="009B186A">
            <w:pPr>
              <w:jc w:val="right"/>
            </w:pPr>
            <w:r w:rsidRPr="007B60BF">
              <w:t xml:space="preserve"> 6.958 </w:t>
            </w:r>
          </w:p>
        </w:tc>
        <w:tc>
          <w:tcPr>
            <w:tcW w:w="99" w:type="pct"/>
            <w:tcBorders>
              <w:top w:val="nil"/>
              <w:left w:val="nil"/>
              <w:bottom w:val="nil"/>
              <w:right w:val="nil"/>
            </w:tcBorders>
            <w:shd w:val="clear" w:color="auto" w:fill="auto"/>
            <w:noWrap/>
          </w:tcPr>
          <w:p w14:paraId="3878FAA9" w14:textId="11C82E47" w:rsidR="009B186A" w:rsidRPr="007B60BF" w:rsidRDefault="009B186A" w:rsidP="009B186A"/>
        </w:tc>
        <w:tc>
          <w:tcPr>
            <w:tcW w:w="895" w:type="pct"/>
            <w:tcBorders>
              <w:top w:val="nil"/>
              <w:left w:val="nil"/>
              <w:bottom w:val="nil"/>
              <w:right w:val="nil"/>
            </w:tcBorders>
            <w:shd w:val="clear" w:color="auto" w:fill="auto"/>
            <w:noWrap/>
          </w:tcPr>
          <w:p w14:paraId="1434E529" w14:textId="59C2EE91" w:rsidR="009B186A" w:rsidRPr="007B60BF" w:rsidRDefault="009B186A" w:rsidP="009B186A">
            <w:pPr>
              <w:jc w:val="right"/>
            </w:pPr>
            <w:r w:rsidRPr="007B60BF">
              <w:t xml:space="preserve"> 4.787 </w:t>
            </w:r>
          </w:p>
        </w:tc>
      </w:tr>
      <w:tr w:rsidR="009B186A" w:rsidRPr="007B60BF" w14:paraId="4E577F5A" w14:textId="77777777" w:rsidTr="00AE5F34">
        <w:tc>
          <w:tcPr>
            <w:tcW w:w="3153" w:type="pct"/>
            <w:tcBorders>
              <w:top w:val="nil"/>
              <w:left w:val="nil"/>
              <w:bottom w:val="nil"/>
              <w:right w:val="nil"/>
            </w:tcBorders>
            <w:shd w:val="clear" w:color="auto" w:fill="FFFFFF" w:themeFill="background1"/>
            <w:noWrap/>
            <w:vAlign w:val="center"/>
            <w:hideMark/>
          </w:tcPr>
          <w:p w14:paraId="05EC4D09" w14:textId="77777777" w:rsidR="009B186A" w:rsidRPr="007B60BF" w:rsidRDefault="009B186A" w:rsidP="009B186A">
            <w:pPr>
              <w:ind w:firstLineChars="200" w:firstLine="400"/>
            </w:pPr>
            <w:r w:rsidRPr="007B60BF">
              <w:t>Outras Obrigações a Pagar</w:t>
            </w:r>
          </w:p>
        </w:tc>
        <w:tc>
          <w:tcPr>
            <w:tcW w:w="852" w:type="pct"/>
            <w:tcBorders>
              <w:top w:val="nil"/>
              <w:left w:val="nil"/>
              <w:bottom w:val="nil"/>
              <w:right w:val="nil"/>
            </w:tcBorders>
            <w:shd w:val="clear" w:color="auto" w:fill="auto"/>
            <w:noWrap/>
          </w:tcPr>
          <w:p w14:paraId="55541135" w14:textId="3CF00734" w:rsidR="009B186A" w:rsidRPr="007B60BF" w:rsidRDefault="009B186A" w:rsidP="0068485C">
            <w:pPr>
              <w:jc w:val="right"/>
            </w:pPr>
            <w:r w:rsidRPr="007B60BF">
              <w:t xml:space="preserve"> </w:t>
            </w:r>
            <w:r w:rsidR="0068485C" w:rsidRPr="007B60BF">
              <w:t>(</w:t>
            </w:r>
            <w:r w:rsidRPr="007B60BF">
              <w:t>995</w:t>
            </w:r>
            <w:r w:rsidR="0068485C" w:rsidRPr="007B60BF">
              <w:t>)</w:t>
            </w:r>
            <w:r w:rsidRPr="007B60BF">
              <w:t xml:space="preserve"> </w:t>
            </w:r>
          </w:p>
        </w:tc>
        <w:tc>
          <w:tcPr>
            <w:tcW w:w="99" w:type="pct"/>
            <w:tcBorders>
              <w:top w:val="nil"/>
              <w:left w:val="nil"/>
              <w:bottom w:val="nil"/>
              <w:right w:val="nil"/>
            </w:tcBorders>
            <w:shd w:val="clear" w:color="auto" w:fill="auto"/>
            <w:noWrap/>
          </w:tcPr>
          <w:p w14:paraId="15250E46" w14:textId="6F1C20EB" w:rsidR="009B186A" w:rsidRPr="007B60BF" w:rsidRDefault="009B186A" w:rsidP="009B186A"/>
        </w:tc>
        <w:tc>
          <w:tcPr>
            <w:tcW w:w="895" w:type="pct"/>
            <w:tcBorders>
              <w:top w:val="nil"/>
              <w:left w:val="nil"/>
              <w:bottom w:val="nil"/>
              <w:right w:val="nil"/>
            </w:tcBorders>
            <w:shd w:val="clear" w:color="auto" w:fill="auto"/>
            <w:noWrap/>
          </w:tcPr>
          <w:p w14:paraId="49A15C1C" w14:textId="0F84EEF4" w:rsidR="009B186A" w:rsidRPr="007B60BF" w:rsidRDefault="009B186A" w:rsidP="009B186A">
            <w:pPr>
              <w:jc w:val="right"/>
            </w:pPr>
            <w:r w:rsidRPr="007B60BF">
              <w:t xml:space="preserve"> 3.236 </w:t>
            </w:r>
          </w:p>
        </w:tc>
      </w:tr>
      <w:tr w:rsidR="009B186A" w:rsidRPr="007B60BF" w14:paraId="2CA7E09D" w14:textId="77777777" w:rsidTr="00AE5F34">
        <w:tc>
          <w:tcPr>
            <w:tcW w:w="3153" w:type="pct"/>
            <w:tcBorders>
              <w:top w:val="nil"/>
              <w:left w:val="nil"/>
              <w:bottom w:val="nil"/>
              <w:right w:val="nil"/>
            </w:tcBorders>
            <w:shd w:val="clear" w:color="auto" w:fill="FFFFFF" w:themeFill="background1"/>
            <w:noWrap/>
            <w:vAlign w:val="center"/>
            <w:hideMark/>
          </w:tcPr>
          <w:p w14:paraId="0DBD9017" w14:textId="77777777" w:rsidR="009B186A" w:rsidRPr="007B60BF" w:rsidRDefault="009B186A" w:rsidP="009B186A">
            <w:pPr>
              <w:ind w:firstLineChars="200" w:firstLine="400"/>
            </w:pPr>
            <w:r w:rsidRPr="007B60BF">
              <w:t>Obrigações com Pessoal</w:t>
            </w:r>
          </w:p>
        </w:tc>
        <w:tc>
          <w:tcPr>
            <w:tcW w:w="852" w:type="pct"/>
            <w:tcBorders>
              <w:top w:val="nil"/>
              <w:left w:val="nil"/>
              <w:bottom w:val="nil"/>
              <w:right w:val="nil"/>
            </w:tcBorders>
            <w:shd w:val="clear" w:color="auto" w:fill="auto"/>
            <w:noWrap/>
          </w:tcPr>
          <w:p w14:paraId="3C4D8784" w14:textId="6A3CED26" w:rsidR="009B186A" w:rsidRPr="007B60BF" w:rsidRDefault="009B186A" w:rsidP="009B186A">
            <w:pPr>
              <w:jc w:val="right"/>
            </w:pPr>
            <w:r w:rsidRPr="007B60BF">
              <w:t xml:space="preserve"> 11.047 </w:t>
            </w:r>
          </w:p>
        </w:tc>
        <w:tc>
          <w:tcPr>
            <w:tcW w:w="99" w:type="pct"/>
            <w:tcBorders>
              <w:top w:val="nil"/>
              <w:left w:val="nil"/>
              <w:bottom w:val="nil"/>
              <w:right w:val="nil"/>
            </w:tcBorders>
            <w:shd w:val="clear" w:color="auto" w:fill="auto"/>
            <w:noWrap/>
          </w:tcPr>
          <w:p w14:paraId="05549F89" w14:textId="45676262" w:rsidR="009B186A" w:rsidRPr="007B60BF" w:rsidRDefault="009B186A" w:rsidP="009B186A"/>
        </w:tc>
        <w:tc>
          <w:tcPr>
            <w:tcW w:w="895" w:type="pct"/>
            <w:tcBorders>
              <w:top w:val="nil"/>
              <w:left w:val="nil"/>
              <w:bottom w:val="nil"/>
              <w:right w:val="nil"/>
            </w:tcBorders>
            <w:shd w:val="clear" w:color="auto" w:fill="auto"/>
            <w:noWrap/>
          </w:tcPr>
          <w:p w14:paraId="1A78F050" w14:textId="33CA440D" w:rsidR="009B186A" w:rsidRPr="007B60BF" w:rsidRDefault="009B186A" w:rsidP="009B186A">
            <w:pPr>
              <w:jc w:val="right"/>
            </w:pPr>
            <w:r w:rsidRPr="007B60BF">
              <w:t xml:space="preserve"> 6.300 </w:t>
            </w:r>
          </w:p>
        </w:tc>
      </w:tr>
      <w:tr w:rsidR="009B186A" w:rsidRPr="007B60BF" w14:paraId="6DE14F89" w14:textId="77777777" w:rsidTr="00AE5F34">
        <w:tc>
          <w:tcPr>
            <w:tcW w:w="3153" w:type="pct"/>
            <w:tcBorders>
              <w:top w:val="nil"/>
              <w:left w:val="nil"/>
              <w:bottom w:val="nil"/>
              <w:right w:val="nil"/>
            </w:tcBorders>
            <w:shd w:val="clear" w:color="auto" w:fill="FFFFFF" w:themeFill="background1"/>
            <w:noWrap/>
            <w:vAlign w:val="center"/>
            <w:hideMark/>
          </w:tcPr>
          <w:p w14:paraId="3F60BFAD" w14:textId="77777777" w:rsidR="009B186A" w:rsidRPr="007B60BF" w:rsidRDefault="009B186A" w:rsidP="009B186A">
            <w:pPr>
              <w:ind w:firstLineChars="200" w:firstLine="400"/>
            </w:pPr>
            <w:r w:rsidRPr="007B60BF">
              <w:t>Obrigações Sociais a Pagar</w:t>
            </w:r>
          </w:p>
        </w:tc>
        <w:tc>
          <w:tcPr>
            <w:tcW w:w="852" w:type="pct"/>
            <w:tcBorders>
              <w:top w:val="nil"/>
              <w:left w:val="nil"/>
              <w:bottom w:val="nil"/>
              <w:right w:val="nil"/>
            </w:tcBorders>
            <w:shd w:val="clear" w:color="auto" w:fill="auto"/>
            <w:noWrap/>
          </w:tcPr>
          <w:p w14:paraId="7DA6251D" w14:textId="6C7DBB24" w:rsidR="009B186A" w:rsidRPr="007B60BF" w:rsidRDefault="009B186A" w:rsidP="009B186A">
            <w:pPr>
              <w:jc w:val="right"/>
            </w:pPr>
            <w:r w:rsidRPr="007B60BF">
              <w:t xml:space="preserve"> 4.377 </w:t>
            </w:r>
          </w:p>
        </w:tc>
        <w:tc>
          <w:tcPr>
            <w:tcW w:w="99" w:type="pct"/>
            <w:tcBorders>
              <w:top w:val="nil"/>
              <w:left w:val="nil"/>
              <w:bottom w:val="nil"/>
              <w:right w:val="nil"/>
            </w:tcBorders>
            <w:shd w:val="clear" w:color="auto" w:fill="auto"/>
            <w:noWrap/>
          </w:tcPr>
          <w:p w14:paraId="69EABE7F" w14:textId="544CCDA6" w:rsidR="009B186A" w:rsidRPr="007B60BF" w:rsidRDefault="009B186A" w:rsidP="009B186A"/>
        </w:tc>
        <w:tc>
          <w:tcPr>
            <w:tcW w:w="895" w:type="pct"/>
            <w:tcBorders>
              <w:top w:val="nil"/>
              <w:left w:val="nil"/>
              <w:bottom w:val="nil"/>
              <w:right w:val="nil"/>
            </w:tcBorders>
            <w:shd w:val="clear" w:color="auto" w:fill="auto"/>
            <w:noWrap/>
          </w:tcPr>
          <w:p w14:paraId="6D9AFCCE" w14:textId="59BCFDC7" w:rsidR="009B186A" w:rsidRPr="007B60BF" w:rsidRDefault="009B186A" w:rsidP="009B186A">
            <w:pPr>
              <w:jc w:val="right"/>
            </w:pPr>
            <w:r w:rsidRPr="007B60BF">
              <w:t xml:space="preserve"> 16.031 </w:t>
            </w:r>
          </w:p>
        </w:tc>
      </w:tr>
      <w:tr w:rsidR="009B186A" w:rsidRPr="007B60BF" w14:paraId="136F1491" w14:textId="77777777" w:rsidTr="00AE5F34">
        <w:tc>
          <w:tcPr>
            <w:tcW w:w="3153" w:type="pct"/>
            <w:tcBorders>
              <w:top w:val="nil"/>
              <w:left w:val="nil"/>
              <w:bottom w:val="nil"/>
              <w:right w:val="nil"/>
            </w:tcBorders>
            <w:shd w:val="clear" w:color="auto" w:fill="FFFFFF" w:themeFill="background1"/>
            <w:noWrap/>
            <w:vAlign w:val="center"/>
            <w:hideMark/>
          </w:tcPr>
          <w:p w14:paraId="77B53FC4" w14:textId="77777777" w:rsidR="009B186A" w:rsidRPr="007B60BF" w:rsidRDefault="009B186A" w:rsidP="009B186A">
            <w:pPr>
              <w:ind w:firstLineChars="200" w:firstLine="400"/>
            </w:pPr>
            <w:r w:rsidRPr="007B60BF">
              <w:t>Obrigações Tributárias a Pagar</w:t>
            </w:r>
          </w:p>
        </w:tc>
        <w:tc>
          <w:tcPr>
            <w:tcW w:w="852" w:type="pct"/>
            <w:tcBorders>
              <w:top w:val="nil"/>
              <w:left w:val="nil"/>
              <w:bottom w:val="nil"/>
              <w:right w:val="nil"/>
            </w:tcBorders>
            <w:shd w:val="clear" w:color="auto" w:fill="auto"/>
            <w:noWrap/>
          </w:tcPr>
          <w:p w14:paraId="7F5C2BEC" w14:textId="30CAB414" w:rsidR="009B186A" w:rsidRPr="007B60BF" w:rsidRDefault="009B186A" w:rsidP="009B186A">
            <w:pPr>
              <w:jc w:val="right"/>
            </w:pPr>
            <w:r w:rsidRPr="007B60BF">
              <w:t xml:space="preserve"> 4.838 </w:t>
            </w:r>
          </w:p>
        </w:tc>
        <w:tc>
          <w:tcPr>
            <w:tcW w:w="99" w:type="pct"/>
            <w:tcBorders>
              <w:top w:val="nil"/>
              <w:left w:val="nil"/>
              <w:bottom w:val="nil"/>
              <w:right w:val="nil"/>
            </w:tcBorders>
            <w:shd w:val="clear" w:color="auto" w:fill="auto"/>
            <w:noWrap/>
          </w:tcPr>
          <w:p w14:paraId="0E0E0854" w14:textId="31B4AB18" w:rsidR="009B186A" w:rsidRPr="007B60BF" w:rsidRDefault="009B186A" w:rsidP="009B186A"/>
        </w:tc>
        <w:tc>
          <w:tcPr>
            <w:tcW w:w="895" w:type="pct"/>
            <w:tcBorders>
              <w:top w:val="nil"/>
              <w:left w:val="nil"/>
              <w:bottom w:val="nil"/>
              <w:right w:val="nil"/>
            </w:tcBorders>
            <w:shd w:val="clear" w:color="auto" w:fill="auto"/>
            <w:noWrap/>
          </w:tcPr>
          <w:p w14:paraId="4B624147" w14:textId="12A158D9" w:rsidR="009B186A" w:rsidRPr="007B60BF" w:rsidRDefault="009B186A" w:rsidP="009B186A">
            <w:pPr>
              <w:jc w:val="right"/>
            </w:pPr>
            <w:r w:rsidRPr="007B60BF">
              <w:t xml:space="preserve"> 8.118 </w:t>
            </w:r>
          </w:p>
        </w:tc>
      </w:tr>
      <w:tr w:rsidR="009B186A" w:rsidRPr="007B60BF" w14:paraId="5A9225D5" w14:textId="77777777" w:rsidTr="00AE5F34">
        <w:tc>
          <w:tcPr>
            <w:tcW w:w="3153" w:type="pct"/>
            <w:tcBorders>
              <w:top w:val="nil"/>
              <w:left w:val="nil"/>
              <w:bottom w:val="nil"/>
              <w:right w:val="nil"/>
            </w:tcBorders>
            <w:shd w:val="clear" w:color="auto" w:fill="FFFFFF" w:themeFill="background1"/>
            <w:noWrap/>
            <w:vAlign w:val="center"/>
          </w:tcPr>
          <w:p w14:paraId="459519C6" w14:textId="6404F680" w:rsidR="009B186A" w:rsidRPr="007B60BF" w:rsidRDefault="009B186A" w:rsidP="009B186A">
            <w:pPr>
              <w:ind w:firstLineChars="200" w:firstLine="400"/>
            </w:pPr>
            <w:r w:rsidRPr="007B60BF">
              <w:t>Adiantamentos de Clientes</w:t>
            </w:r>
          </w:p>
        </w:tc>
        <w:tc>
          <w:tcPr>
            <w:tcW w:w="852" w:type="pct"/>
            <w:tcBorders>
              <w:top w:val="nil"/>
              <w:left w:val="nil"/>
              <w:bottom w:val="nil"/>
              <w:right w:val="nil"/>
            </w:tcBorders>
            <w:shd w:val="clear" w:color="auto" w:fill="auto"/>
            <w:noWrap/>
          </w:tcPr>
          <w:p w14:paraId="040A8855" w14:textId="0BA9AB45" w:rsidR="009B186A" w:rsidRPr="007B60BF" w:rsidRDefault="009B186A" w:rsidP="009B186A">
            <w:pPr>
              <w:jc w:val="right"/>
            </w:pPr>
            <w:r w:rsidRPr="007B60BF">
              <w:t xml:space="preserve"> (410)</w:t>
            </w:r>
          </w:p>
        </w:tc>
        <w:tc>
          <w:tcPr>
            <w:tcW w:w="99" w:type="pct"/>
            <w:tcBorders>
              <w:top w:val="nil"/>
              <w:left w:val="nil"/>
              <w:bottom w:val="nil"/>
              <w:right w:val="nil"/>
            </w:tcBorders>
            <w:shd w:val="clear" w:color="auto" w:fill="auto"/>
            <w:noWrap/>
          </w:tcPr>
          <w:p w14:paraId="231CCD0B" w14:textId="77777777" w:rsidR="009B186A" w:rsidRPr="007B60BF" w:rsidRDefault="009B186A" w:rsidP="009B186A"/>
        </w:tc>
        <w:tc>
          <w:tcPr>
            <w:tcW w:w="895" w:type="pct"/>
            <w:tcBorders>
              <w:top w:val="nil"/>
              <w:left w:val="nil"/>
              <w:bottom w:val="nil"/>
              <w:right w:val="nil"/>
            </w:tcBorders>
            <w:shd w:val="clear" w:color="auto" w:fill="auto"/>
            <w:noWrap/>
          </w:tcPr>
          <w:p w14:paraId="22F2E043" w14:textId="194243F1" w:rsidR="009B186A" w:rsidRPr="007B60BF" w:rsidRDefault="009B186A" w:rsidP="009B186A">
            <w:pPr>
              <w:jc w:val="right"/>
            </w:pPr>
            <w:r w:rsidRPr="007B60BF">
              <w:t xml:space="preserve"> 335 </w:t>
            </w:r>
          </w:p>
        </w:tc>
      </w:tr>
      <w:tr w:rsidR="009B186A" w:rsidRPr="007B60BF" w14:paraId="4687698F" w14:textId="77777777" w:rsidTr="00AE5F34">
        <w:tc>
          <w:tcPr>
            <w:tcW w:w="3153" w:type="pct"/>
            <w:tcBorders>
              <w:top w:val="nil"/>
              <w:left w:val="nil"/>
              <w:bottom w:val="nil"/>
              <w:right w:val="nil"/>
            </w:tcBorders>
            <w:shd w:val="clear" w:color="auto" w:fill="FFFFFF" w:themeFill="background1"/>
            <w:noWrap/>
            <w:vAlign w:val="center"/>
          </w:tcPr>
          <w:p w14:paraId="2774B500" w14:textId="0D068937" w:rsidR="009B186A" w:rsidRPr="007B60BF" w:rsidRDefault="009B186A" w:rsidP="009B186A">
            <w:pPr>
              <w:ind w:firstLineChars="200" w:firstLine="400"/>
            </w:pPr>
            <w:r w:rsidRPr="007B60BF">
              <w:t>Provisão para Férias</w:t>
            </w:r>
          </w:p>
        </w:tc>
        <w:tc>
          <w:tcPr>
            <w:tcW w:w="852" w:type="pct"/>
            <w:tcBorders>
              <w:top w:val="nil"/>
              <w:left w:val="nil"/>
              <w:bottom w:val="nil"/>
              <w:right w:val="nil"/>
            </w:tcBorders>
            <w:shd w:val="clear" w:color="auto" w:fill="auto"/>
            <w:noWrap/>
          </w:tcPr>
          <w:p w14:paraId="43508EED" w14:textId="5E3ECD7F" w:rsidR="009B186A" w:rsidRPr="007B60BF" w:rsidRDefault="009B186A" w:rsidP="009B186A">
            <w:pPr>
              <w:jc w:val="right"/>
            </w:pPr>
            <w:r w:rsidRPr="007B60BF">
              <w:t xml:space="preserve"> 13.628 </w:t>
            </w:r>
          </w:p>
        </w:tc>
        <w:tc>
          <w:tcPr>
            <w:tcW w:w="99" w:type="pct"/>
            <w:tcBorders>
              <w:top w:val="nil"/>
              <w:left w:val="nil"/>
              <w:bottom w:val="nil"/>
              <w:right w:val="nil"/>
            </w:tcBorders>
            <w:shd w:val="clear" w:color="auto" w:fill="auto"/>
            <w:noWrap/>
          </w:tcPr>
          <w:p w14:paraId="0487F058" w14:textId="77777777" w:rsidR="009B186A" w:rsidRPr="007B60BF" w:rsidRDefault="009B186A" w:rsidP="009B186A"/>
        </w:tc>
        <w:tc>
          <w:tcPr>
            <w:tcW w:w="895" w:type="pct"/>
            <w:tcBorders>
              <w:top w:val="nil"/>
              <w:left w:val="nil"/>
              <w:bottom w:val="nil"/>
              <w:right w:val="nil"/>
            </w:tcBorders>
            <w:shd w:val="clear" w:color="auto" w:fill="auto"/>
            <w:noWrap/>
          </w:tcPr>
          <w:p w14:paraId="6E1C1611" w14:textId="7864652D" w:rsidR="009B186A" w:rsidRPr="007B60BF" w:rsidRDefault="009B186A" w:rsidP="009B186A">
            <w:pPr>
              <w:jc w:val="right"/>
            </w:pPr>
            <w:r w:rsidRPr="007B60BF">
              <w:t xml:space="preserve"> 16.122 </w:t>
            </w:r>
          </w:p>
        </w:tc>
      </w:tr>
      <w:tr w:rsidR="009B186A" w:rsidRPr="007B60BF" w14:paraId="329E0E1C" w14:textId="77777777" w:rsidTr="00AE5F34">
        <w:tc>
          <w:tcPr>
            <w:tcW w:w="3153" w:type="pct"/>
            <w:tcBorders>
              <w:top w:val="nil"/>
              <w:left w:val="nil"/>
              <w:bottom w:val="nil"/>
              <w:right w:val="nil"/>
            </w:tcBorders>
            <w:shd w:val="clear" w:color="auto" w:fill="FFFFFF" w:themeFill="background1"/>
            <w:noWrap/>
          </w:tcPr>
          <w:p w14:paraId="583CEF6B" w14:textId="64816098" w:rsidR="009B186A" w:rsidRPr="007B60BF" w:rsidRDefault="009B186A" w:rsidP="009B186A">
            <w:pPr>
              <w:ind w:firstLineChars="200" w:firstLine="400"/>
            </w:pPr>
            <w:r w:rsidRPr="007B60BF">
              <w:t>Provisão para Previdência Privada</w:t>
            </w:r>
          </w:p>
        </w:tc>
        <w:tc>
          <w:tcPr>
            <w:tcW w:w="852" w:type="pct"/>
            <w:tcBorders>
              <w:top w:val="nil"/>
              <w:left w:val="nil"/>
              <w:bottom w:val="nil"/>
              <w:right w:val="nil"/>
            </w:tcBorders>
            <w:shd w:val="clear" w:color="auto" w:fill="auto"/>
            <w:noWrap/>
          </w:tcPr>
          <w:p w14:paraId="34B9CF90" w14:textId="0061FFAB" w:rsidR="009B186A" w:rsidRPr="007B60BF" w:rsidRDefault="009B186A" w:rsidP="009B186A">
            <w:pPr>
              <w:jc w:val="right"/>
            </w:pPr>
            <w:r w:rsidRPr="007B60BF">
              <w:t xml:space="preserve"> - </w:t>
            </w:r>
          </w:p>
        </w:tc>
        <w:tc>
          <w:tcPr>
            <w:tcW w:w="99" w:type="pct"/>
            <w:tcBorders>
              <w:top w:val="nil"/>
              <w:left w:val="nil"/>
              <w:bottom w:val="nil"/>
              <w:right w:val="nil"/>
            </w:tcBorders>
            <w:shd w:val="clear" w:color="auto" w:fill="auto"/>
            <w:noWrap/>
          </w:tcPr>
          <w:p w14:paraId="575C8C2C" w14:textId="77777777" w:rsidR="009B186A" w:rsidRPr="007B60BF" w:rsidRDefault="009B186A" w:rsidP="009B186A"/>
        </w:tc>
        <w:tc>
          <w:tcPr>
            <w:tcW w:w="895" w:type="pct"/>
            <w:tcBorders>
              <w:top w:val="nil"/>
              <w:left w:val="nil"/>
              <w:bottom w:val="nil"/>
              <w:right w:val="nil"/>
            </w:tcBorders>
            <w:shd w:val="clear" w:color="auto" w:fill="auto"/>
            <w:noWrap/>
          </w:tcPr>
          <w:p w14:paraId="147A4B0E" w14:textId="60A3FD6F" w:rsidR="009B186A" w:rsidRPr="007B60BF" w:rsidRDefault="009B186A" w:rsidP="009B186A">
            <w:pPr>
              <w:jc w:val="right"/>
            </w:pPr>
            <w:r w:rsidRPr="007B60BF">
              <w:t xml:space="preserve">(2.385) </w:t>
            </w:r>
          </w:p>
        </w:tc>
      </w:tr>
      <w:tr w:rsidR="009B186A" w:rsidRPr="007B60BF" w14:paraId="0DEF8FB0" w14:textId="77777777" w:rsidTr="00AE5F34">
        <w:tc>
          <w:tcPr>
            <w:tcW w:w="3153" w:type="pct"/>
            <w:tcBorders>
              <w:top w:val="nil"/>
              <w:left w:val="nil"/>
              <w:bottom w:val="nil"/>
              <w:right w:val="nil"/>
            </w:tcBorders>
            <w:shd w:val="clear" w:color="auto" w:fill="FFFFFF" w:themeFill="background1"/>
            <w:noWrap/>
          </w:tcPr>
          <w:p w14:paraId="5743316B" w14:textId="77777777" w:rsidR="009B186A" w:rsidRPr="007B60BF" w:rsidRDefault="009B186A" w:rsidP="009B186A">
            <w:pPr>
              <w:ind w:firstLineChars="200" w:firstLine="400"/>
              <w:rPr>
                <w:color w:val="000000" w:themeColor="text1"/>
              </w:rPr>
            </w:pPr>
            <w:r w:rsidRPr="007B60BF">
              <w:t>Provisão para Licença Especial</w:t>
            </w:r>
          </w:p>
        </w:tc>
        <w:tc>
          <w:tcPr>
            <w:tcW w:w="852" w:type="pct"/>
            <w:tcBorders>
              <w:top w:val="nil"/>
              <w:left w:val="nil"/>
              <w:bottom w:val="nil"/>
              <w:right w:val="nil"/>
            </w:tcBorders>
            <w:shd w:val="clear" w:color="auto" w:fill="auto"/>
            <w:noWrap/>
          </w:tcPr>
          <w:p w14:paraId="47CBABD0" w14:textId="1139CA60" w:rsidR="009B186A" w:rsidRPr="007B60BF" w:rsidRDefault="009B186A" w:rsidP="009B186A">
            <w:pPr>
              <w:jc w:val="right"/>
            </w:pPr>
            <w:r w:rsidRPr="007B60BF">
              <w:t xml:space="preserve"> 13.450 </w:t>
            </w:r>
          </w:p>
        </w:tc>
        <w:tc>
          <w:tcPr>
            <w:tcW w:w="99" w:type="pct"/>
            <w:tcBorders>
              <w:top w:val="nil"/>
              <w:left w:val="nil"/>
              <w:bottom w:val="nil"/>
              <w:right w:val="nil"/>
            </w:tcBorders>
            <w:shd w:val="clear" w:color="auto" w:fill="auto"/>
            <w:noWrap/>
          </w:tcPr>
          <w:p w14:paraId="6B8B3183" w14:textId="77777777" w:rsidR="009B186A" w:rsidRPr="007B60BF" w:rsidRDefault="009B186A" w:rsidP="009B186A"/>
        </w:tc>
        <w:tc>
          <w:tcPr>
            <w:tcW w:w="895" w:type="pct"/>
            <w:tcBorders>
              <w:top w:val="nil"/>
              <w:left w:val="nil"/>
              <w:bottom w:val="nil"/>
              <w:right w:val="nil"/>
            </w:tcBorders>
            <w:shd w:val="clear" w:color="auto" w:fill="auto"/>
            <w:noWrap/>
          </w:tcPr>
          <w:p w14:paraId="55F75E75" w14:textId="0B31A8A1" w:rsidR="009B186A" w:rsidRPr="007B60BF" w:rsidRDefault="009B186A" w:rsidP="009B186A">
            <w:pPr>
              <w:jc w:val="right"/>
            </w:pPr>
            <w:r w:rsidRPr="007B60BF">
              <w:t xml:space="preserve"> 3.230 </w:t>
            </w:r>
          </w:p>
        </w:tc>
      </w:tr>
      <w:tr w:rsidR="009B186A" w:rsidRPr="007B60BF" w14:paraId="7E809445" w14:textId="77777777" w:rsidTr="00AE5F34">
        <w:tc>
          <w:tcPr>
            <w:tcW w:w="3153" w:type="pct"/>
            <w:tcBorders>
              <w:top w:val="nil"/>
              <w:left w:val="nil"/>
              <w:bottom w:val="nil"/>
              <w:right w:val="nil"/>
            </w:tcBorders>
            <w:shd w:val="clear" w:color="auto" w:fill="FFFFFF" w:themeFill="background1"/>
            <w:noWrap/>
          </w:tcPr>
          <w:p w14:paraId="4E34F470" w14:textId="76F26AEC" w:rsidR="009B186A" w:rsidRPr="007B60BF" w:rsidRDefault="009B186A" w:rsidP="009B186A">
            <w:pPr>
              <w:ind w:firstLineChars="200" w:firstLine="400"/>
            </w:pPr>
            <w:r w:rsidRPr="007B60BF">
              <w:t>Provisão pra Contingências</w:t>
            </w:r>
          </w:p>
        </w:tc>
        <w:tc>
          <w:tcPr>
            <w:tcW w:w="852" w:type="pct"/>
            <w:tcBorders>
              <w:top w:val="nil"/>
              <w:left w:val="nil"/>
              <w:bottom w:val="nil"/>
              <w:right w:val="nil"/>
            </w:tcBorders>
            <w:shd w:val="clear" w:color="auto" w:fill="auto"/>
            <w:noWrap/>
          </w:tcPr>
          <w:p w14:paraId="6092525D" w14:textId="639F395C" w:rsidR="009B186A" w:rsidRPr="007B60BF" w:rsidRDefault="009B186A" w:rsidP="009B186A">
            <w:pPr>
              <w:jc w:val="right"/>
            </w:pPr>
            <w:r w:rsidRPr="007B60BF">
              <w:t xml:space="preserve"> 61.946 </w:t>
            </w:r>
          </w:p>
        </w:tc>
        <w:tc>
          <w:tcPr>
            <w:tcW w:w="99" w:type="pct"/>
            <w:tcBorders>
              <w:top w:val="nil"/>
              <w:left w:val="nil"/>
              <w:bottom w:val="nil"/>
              <w:right w:val="nil"/>
            </w:tcBorders>
            <w:shd w:val="clear" w:color="auto" w:fill="auto"/>
            <w:noWrap/>
          </w:tcPr>
          <w:p w14:paraId="686EA647" w14:textId="77777777" w:rsidR="009B186A" w:rsidRPr="007B60BF" w:rsidRDefault="009B186A" w:rsidP="009B186A"/>
        </w:tc>
        <w:tc>
          <w:tcPr>
            <w:tcW w:w="895" w:type="pct"/>
            <w:tcBorders>
              <w:top w:val="nil"/>
              <w:left w:val="nil"/>
              <w:bottom w:val="nil"/>
              <w:right w:val="nil"/>
            </w:tcBorders>
            <w:shd w:val="clear" w:color="auto" w:fill="auto"/>
            <w:noWrap/>
          </w:tcPr>
          <w:p w14:paraId="77EDF297" w14:textId="3D44DDBC" w:rsidR="009B186A" w:rsidRPr="007B60BF" w:rsidRDefault="009B186A" w:rsidP="009B186A">
            <w:pPr>
              <w:jc w:val="right"/>
            </w:pPr>
            <w:r w:rsidRPr="007B60BF">
              <w:t xml:space="preserve">(18.291) </w:t>
            </w:r>
          </w:p>
        </w:tc>
      </w:tr>
      <w:tr w:rsidR="009B186A" w:rsidRPr="007B60BF" w14:paraId="1C9C0097" w14:textId="77777777" w:rsidTr="00FF0BB4">
        <w:tc>
          <w:tcPr>
            <w:tcW w:w="3153" w:type="pct"/>
            <w:tcBorders>
              <w:top w:val="nil"/>
              <w:left w:val="nil"/>
              <w:bottom w:val="nil"/>
              <w:right w:val="nil"/>
            </w:tcBorders>
            <w:shd w:val="clear" w:color="auto" w:fill="auto"/>
            <w:noWrap/>
            <w:vAlign w:val="center"/>
          </w:tcPr>
          <w:p w14:paraId="12CE9ACB" w14:textId="77777777" w:rsidR="009B186A" w:rsidRPr="007B60BF" w:rsidRDefault="009B186A" w:rsidP="009B186A">
            <w:pPr>
              <w:ind w:firstLineChars="200" w:firstLine="200"/>
              <w:rPr>
                <w:sz w:val="10"/>
                <w:szCs w:val="10"/>
              </w:rPr>
            </w:pPr>
          </w:p>
        </w:tc>
        <w:tc>
          <w:tcPr>
            <w:tcW w:w="852" w:type="pct"/>
            <w:tcBorders>
              <w:top w:val="nil"/>
              <w:left w:val="nil"/>
              <w:bottom w:val="nil"/>
              <w:right w:val="nil"/>
            </w:tcBorders>
            <w:shd w:val="clear" w:color="auto" w:fill="auto"/>
            <w:noWrap/>
          </w:tcPr>
          <w:p w14:paraId="1B150DDA" w14:textId="77777777" w:rsidR="009B186A" w:rsidRPr="007B60BF" w:rsidRDefault="009B186A" w:rsidP="009B186A">
            <w:pPr>
              <w:jc w:val="right"/>
              <w:rPr>
                <w:sz w:val="10"/>
                <w:szCs w:val="10"/>
              </w:rPr>
            </w:pPr>
          </w:p>
        </w:tc>
        <w:tc>
          <w:tcPr>
            <w:tcW w:w="99" w:type="pct"/>
            <w:tcBorders>
              <w:top w:val="nil"/>
              <w:left w:val="nil"/>
              <w:bottom w:val="nil"/>
              <w:right w:val="nil"/>
            </w:tcBorders>
            <w:shd w:val="clear" w:color="auto" w:fill="auto"/>
            <w:noWrap/>
            <w:vAlign w:val="bottom"/>
          </w:tcPr>
          <w:p w14:paraId="11C12F34" w14:textId="77777777" w:rsidR="009B186A" w:rsidRPr="007B60BF" w:rsidRDefault="009B186A" w:rsidP="009B186A">
            <w:pPr>
              <w:rPr>
                <w:sz w:val="10"/>
                <w:szCs w:val="10"/>
              </w:rPr>
            </w:pPr>
          </w:p>
        </w:tc>
        <w:tc>
          <w:tcPr>
            <w:tcW w:w="895" w:type="pct"/>
            <w:tcBorders>
              <w:top w:val="nil"/>
              <w:left w:val="nil"/>
              <w:bottom w:val="nil"/>
              <w:right w:val="nil"/>
            </w:tcBorders>
            <w:shd w:val="clear" w:color="auto" w:fill="auto"/>
            <w:noWrap/>
          </w:tcPr>
          <w:p w14:paraId="3B3C8A8C" w14:textId="55F91545" w:rsidR="009B186A" w:rsidRPr="007B60BF" w:rsidRDefault="009B186A" w:rsidP="009B186A">
            <w:pPr>
              <w:jc w:val="right"/>
              <w:rPr>
                <w:b/>
                <w:sz w:val="10"/>
                <w:szCs w:val="10"/>
              </w:rPr>
            </w:pPr>
          </w:p>
        </w:tc>
      </w:tr>
      <w:tr w:rsidR="009B186A" w:rsidRPr="007B60BF" w14:paraId="584F4C5E" w14:textId="77777777" w:rsidTr="00AE5F34">
        <w:tc>
          <w:tcPr>
            <w:tcW w:w="3153" w:type="pct"/>
            <w:tcBorders>
              <w:top w:val="nil"/>
              <w:left w:val="nil"/>
              <w:bottom w:val="nil"/>
              <w:right w:val="nil"/>
            </w:tcBorders>
            <w:shd w:val="clear" w:color="auto" w:fill="auto"/>
            <w:noWrap/>
            <w:vAlign w:val="center"/>
            <w:hideMark/>
          </w:tcPr>
          <w:p w14:paraId="27CF71A1" w14:textId="5075AE6A" w:rsidR="009B186A" w:rsidRPr="007B60BF" w:rsidRDefault="009B186A" w:rsidP="009B186A">
            <w:pPr>
              <w:rPr>
                <w:b/>
                <w:bCs/>
              </w:rPr>
            </w:pPr>
            <w:r w:rsidRPr="007B60BF">
              <w:rPr>
                <w:b/>
                <w:bCs/>
              </w:rPr>
              <w:t>Caixa Líquido Gerado pelas Atividades Operacionais</w:t>
            </w:r>
          </w:p>
        </w:tc>
        <w:tc>
          <w:tcPr>
            <w:tcW w:w="852" w:type="pct"/>
            <w:tcBorders>
              <w:top w:val="nil"/>
              <w:left w:val="nil"/>
              <w:bottom w:val="single" w:sz="8" w:space="0" w:color="auto"/>
              <w:right w:val="nil"/>
            </w:tcBorders>
            <w:shd w:val="clear" w:color="auto" w:fill="auto"/>
            <w:noWrap/>
          </w:tcPr>
          <w:p w14:paraId="5C46FFFC" w14:textId="378FABAA" w:rsidR="009B186A" w:rsidRPr="007B60BF" w:rsidRDefault="009B186A" w:rsidP="009B186A">
            <w:pPr>
              <w:jc w:val="right"/>
              <w:rPr>
                <w:b/>
                <w:bCs/>
              </w:rPr>
            </w:pPr>
            <w:r w:rsidRPr="007B60BF">
              <w:rPr>
                <w:b/>
              </w:rPr>
              <w:t xml:space="preserve"> 37.770 </w:t>
            </w:r>
          </w:p>
        </w:tc>
        <w:tc>
          <w:tcPr>
            <w:tcW w:w="99" w:type="pct"/>
            <w:tcBorders>
              <w:top w:val="nil"/>
              <w:left w:val="nil"/>
              <w:bottom w:val="nil"/>
              <w:right w:val="nil"/>
            </w:tcBorders>
            <w:shd w:val="clear" w:color="auto" w:fill="auto"/>
            <w:noWrap/>
          </w:tcPr>
          <w:p w14:paraId="2AD73FDD" w14:textId="77777777" w:rsidR="009B186A" w:rsidRPr="007B60BF" w:rsidRDefault="009B186A" w:rsidP="009B186A">
            <w:pPr>
              <w:rPr>
                <w:b/>
              </w:rPr>
            </w:pPr>
          </w:p>
        </w:tc>
        <w:tc>
          <w:tcPr>
            <w:tcW w:w="895" w:type="pct"/>
            <w:tcBorders>
              <w:top w:val="nil"/>
              <w:left w:val="nil"/>
              <w:bottom w:val="single" w:sz="8" w:space="0" w:color="auto"/>
              <w:right w:val="nil"/>
            </w:tcBorders>
            <w:shd w:val="clear" w:color="auto" w:fill="auto"/>
            <w:noWrap/>
          </w:tcPr>
          <w:p w14:paraId="1EB9C88B" w14:textId="64572C0D" w:rsidR="009B186A" w:rsidRPr="007B60BF" w:rsidRDefault="009B186A" w:rsidP="009B186A">
            <w:pPr>
              <w:jc w:val="right"/>
              <w:rPr>
                <w:b/>
                <w:bCs/>
              </w:rPr>
            </w:pPr>
            <w:r w:rsidRPr="007B60BF">
              <w:rPr>
                <w:b/>
              </w:rPr>
              <w:t>85.744</w:t>
            </w:r>
          </w:p>
        </w:tc>
      </w:tr>
      <w:tr w:rsidR="009B186A" w:rsidRPr="007B60BF" w14:paraId="49894811" w14:textId="77777777" w:rsidTr="00FF0BB4">
        <w:tc>
          <w:tcPr>
            <w:tcW w:w="3153" w:type="pct"/>
            <w:tcBorders>
              <w:top w:val="nil"/>
              <w:left w:val="nil"/>
              <w:right w:val="nil"/>
            </w:tcBorders>
            <w:shd w:val="clear" w:color="auto" w:fill="auto"/>
            <w:noWrap/>
            <w:vAlign w:val="center"/>
          </w:tcPr>
          <w:p w14:paraId="7531A41D" w14:textId="1CE88957" w:rsidR="009B186A" w:rsidRPr="007B60BF" w:rsidRDefault="009B186A" w:rsidP="009B186A">
            <w:pPr>
              <w:rPr>
                <w:b/>
                <w:bCs/>
                <w:sz w:val="10"/>
                <w:szCs w:val="10"/>
              </w:rPr>
            </w:pPr>
          </w:p>
        </w:tc>
        <w:tc>
          <w:tcPr>
            <w:tcW w:w="852" w:type="pct"/>
            <w:tcBorders>
              <w:top w:val="nil"/>
              <w:left w:val="nil"/>
              <w:right w:val="nil"/>
            </w:tcBorders>
            <w:shd w:val="clear" w:color="auto" w:fill="auto"/>
            <w:noWrap/>
          </w:tcPr>
          <w:p w14:paraId="0C71D0F1" w14:textId="77777777" w:rsidR="009B186A" w:rsidRPr="007B60BF" w:rsidRDefault="009B186A" w:rsidP="009B186A">
            <w:pPr>
              <w:jc w:val="right"/>
              <w:rPr>
                <w:b/>
                <w:bCs/>
                <w:sz w:val="10"/>
                <w:szCs w:val="10"/>
              </w:rPr>
            </w:pPr>
          </w:p>
        </w:tc>
        <w:tc>
          <w:tcPr>
            <w:tcW w:w="99" w:type="pct"/>
            <w:tcBorders>
              <w:top w:val="nil"/>
              <w:left w:val="nil"/>
              <w:right w:val="nil"/>
            </w:tcBorders>
            <w:shd w:val="clear" w:color="auto" w:fill="auto"/>
            <w:noWrap/>
            <w:vAlign w:val="center"/>
          </w:tcPr>
          <w:p w14:paraId="05697051" w14:textId="77777777" w:rsidR="009B186A" w:rsidRPr="007B60BF" w:rsidRDefault="009B186A" w:rsidP="009B186A">
            <w:pPr>
              <w:rPr>
                <w:b/>
                <w:sz w:val="10"/>
                <w:szCs w:val="10"/>
              </w:rPr>
            </w:pPr>
          </w:p>
        </w:tc>
        <w:tc>
          <w:tcPr>
            <w:tcW w:w="895" w:type="pct"/>
            <w:tcBorders>
              <w:top w:val="nil"/>
              <w:left w:val="nil"/>
              <w:right w:val="nil"/>
            </w:tcBorders>
            <w:shd w:val="clear" w:color="auto" w:fill="auto"/>
            <w:noWrap/>
          </w:tcPr>
          <w:p w14:paraId="390680D5" w14:textId="6E3D7D31" w:rsidR="009B186A" w:rsidRPr="007B60BF" w:rsidRDefault="009B186A" w:rsidP="009B186A">
            <w:pPr>
              <w:jc w:val="right"/>
              <w:rPr>
                <w:b/>
                <w:bCs/>
                <w:sz w:val="10"/>
                <w:szCs w:val="10"/>
              </w:rPr>
            </w:pPr>
          </w:p>
        </w:tc>
      </w:tr>
      <w:tr w:rsidR="009B186A" w:rsidRPr="007B60BF" w14:paraId="4384184B" w14:textId="77777777" w:rsidTr="00FF0BB4">
        <w:tc>
          <w:tcPr>
            <w:tcW w:w="3153" w:type="pct"/>
            <w:tcBorders>
              <w:left w:val="nil"/>
              <w:bottom w:val="nil"/>
              <w:right w:val="nil"/>
            </w:tcBorders>
            <w:shd w:val="clear" w:color="auto" w:fill="auto"/>
            <w:noWrap/>
            <w:vAlign w:val="center"/>
            <w:hideMark/>
          </w:tcPr>
          <w:p w14:paraId="329E821A" w14:textId="77777777" w:rsidR="009B186A" w:rsidRPr="007B60BF" w:rsidRDefault="009B186A" w:rsidP="009B186A">
            <w:pPr>
              <w:rPr>
                <w:b/>
                <w:bCs/>
              </w:rPr>
            </w:pPr>
            <w:r w:rsidRPr="007B60BF">
              <w:rPr>
                <w:b/>
                <w:bCs/>
              </w:rPr>
              <w:t>Fluxo de Caixa das Atividades de Investimento</w:t>
            </w:r>
          </w:p>
        </w:tc>
        <w:tc>
          <w:tcPr>
            <w:tcW w:w="852" w:type="pct"/>
            <w:tcBorders>
              <w:left w:val="nil"/>
              <w:bottom w:val="nil"/>
              <w:right w:val="nil"/>
            </w:tcBorders>
            <w:shd w:val="clear" w:color="auto" w:fill="auto"/>
            <w:noWrap/>
          </w:tcPr>
          <w:p w14:paraId="05F1F5B1" w14:textId="77777777" w:rsidR="009B186A" w:rsidRPr="007B60BF" w:rsidRDefault="009B186A" w:rsidP="009B186A">
            <w:pPr>
              <w:jc w:val="right"/>
              <w:rPr>
                <w:b/>
              </w:rPr>
            </w:pPr>
          </w:p>
        </w:tc>
        <w:tc>
          <w:tcPr>
            <w:tcW w:w="99" w:type="pct"/>
            <w:tcBorders>
              <w:left w:val="nil"/>
              <w:bottom w:val="nil"/>
              <w:right w:val="nil"/>
            </w:tcBorders>
            <w:shd w:val="clear" w:color="auto" w:fill="auto"/>
            <w:noWrap/>
            <w:vAlign w:val="center"/>
          </w:tcPr>
          <w:p w14:paraId="2E6B3D67" w14:textId="77777777" w:rsidR="009B186A" w:rsidRPr="007B60BF" w:rsidRDefault="009B186A" w:rsidP="009B186A">
            <w:pPr>
              <w:rPr>
                <w:b/>
              </w:rPr>
            </w:pPr>
          </w:p>
        </w:tc>
        <w:tc>
          <w:tcPr>
            <w:tcW w:w="895" w:type="pct"/>
            <w:tcBorders>
              <w:left w:val="nil"/>
              <w:bottom w:val="nil"/>
              <w:right w:val="nil"/>
            </w:tcBorders>
            <w:shd w:val="clear" w:color="auto" w:fill="auto"/>
            <w:noWrap/>
          </w:tcPr>
          <w:p w14:paraId="631F5170" w14:textId="1202ED1D" w:rsidR="009B186A" w:rsidRPr="007B60BF" w:rsidRDefault="009B186A" w:rsidP="009B186A">
            <w:pPr>
              <w:jc w:val="right"/>
              <w:rPr>
                <w:b/>
              </w:rPr>
            </w:pPr>
          </w:p>
        </w:tc>
      </w:tr>
      <w:tr w:rsidR="009B186A" w:rsidRPr="007B60BF" w14:paraId="4586ECFC" w14:textId="77777777" w:rsidTr="00AE5F34">
        <w:tc>
          <w:tcPr>
            <w:tcW w:w="3153" w:type="pct"/>
            <w:tcBorders>
              <w:top w:val="nil"/>
              <w:left w:val="nil"/>
              <w:bottom w:val="nil"/>
              <w:right w:val="nil"/>
            </w:tcBorders>
            <w:shd w:val="clear" w:color="auto" w:fill="auto"/>
            <w:noWrap/>
            <w:vAlign w:val="center"/>
            <w:hideMark/>
          </w:tcPr>
          <w:p w14:paraId="3DA4D096" w14:textId="216B36B5" w:rsidR="009B186A" w:rsidRPr="007B60BF" w:rsidRDefault="009B186A" w:rsidP="009B186A">
            <w:pPr>
              <w:ind w:firstLineChars="200" w:firstLine="400"/>
            </w:pPr>
            <w:r w:rsidRPr="007B60BF">
              <w:t>Aquisições de Bens Imóveis</w:t>
            </w:r>
          </w:p>
        </w:tc>
        <w:tc>
          <w:tcPr>
            <w:tcW w:w="852" w:type="pct"/>
            <w:tcBorders>
              <w:top w:val="nil"/>
              <w:left w:val="nil"/>
              <w:bottom w:val="nil"/>
              <w:right w:val="nil"/>
            </w:tcBorders>
            <w:shd w:val="clear" w:color="auto" w:fill="auto"/>
            <w:noWrap/>
          </w:tcPr>
          <w:p w14:paraId="76E2CE13" w14:textId="6B6BCBE9" w:rsidR="009B186A" w:rsidRPr="007B60BF" w:rsidRDefault="009B186A" w:rsidP="009B186A">
            <w:pPr>
              <w:jc w:val="right"/>
            </w:pPr>
            <w:r w:rsidRPr="007B60BF">
              <w:t xml:space="preserve"> (21.028)</w:t>
            </w:r>
          </w:p>
        </w:tc>
        <w:tc>
          <w:tcPr>
            <w:tcW w:w="99" w:type="pct"/>
            <w:tcBorders>
              <w:top w:val="nil"/>
              <w:left w:val="nil"/>
              <w:bottom w:val="nil"/>
              <w:right w:val="nil"/>
            </w:tcBorders>
            <w:shd w:val="clear" w:color="auto" w:fill="auto"/>
            <w:noWrap/>
          </w:tcPr>
          <w:p w14:paraId="7608A8F5" w14:textId="77777777" w:rsidR="009B186A" w:rsidRPr="007B60BF" w:rsidRDefault="009B186A" w:rsidP="009B186A"/>
        </w:tc>
        <w:tc>
          <w:tcPr>
            <w:tcW w:w="895" w:type="pct"/>
            <w:tcBorders>
              <w:top w:val="nil"/>
              <w:left w:val="nil"/>
              <w:bottom w:val="nil"/>
              <w:right w:val="nil"/>
            </w:tcBorders>
            <w:shd w:val="clear" w:color="auto" w:fill="auto"/>
            <w:noWrap/>
          </w:tcPr>
          <w:p w14:paraId="4546BB29" w14:textId="1AC921B3" w:rsidR="009B186A" w:rsidRPr="007B60BF" w:rsidRDefault="009B186A" w:rsidP="009B186A">
            <w:pPr>
              <w:jc w:val="right"/>
            </w:pPr>
            <w:r w:rsidRPr="007B60BF">
              <w:t xml:space="preserve">(1.563) </w:t>
            </w:r>
          </w:p>
        </w:tc>
      </w:tr>
      <w:tr w:rsidR="009B186A" w:rsidRPr="007B60BF" w14:paraId="4FA57EFD" w14:textId="77777777" w:rsidTr="00AE5F34">
        <w:tc>
          <w:tcPr>
            <w:tcW w:w="3153" w:type="pct"/>
            <w:tcBorders>
              <w:top w:val="nil"/>
              <w:left w:val="nil"/>
              <w:bottom w:val="nil"/>
              <w:right w:val="nil"/>
            </w:tcBorders>
            <w:shd w:val="clear" w:color="auto" w:fill="auto"/>
            <w:noWrap/>
            <w:vAlign w:val="center"/>
            <w:hideMark/>
          </w:tcPr>
          <w:p w14:paraId="643E5843" w14:textId="31A8F3A9" w:rsidR="009B186A" w:rsidRPr="007B60BF" w:rsidRDefault="009B186A" w:rsidP="009B186A">
            <w:pPr>
              <w:ind w:firstLineChars="200" w:firstLine="400"/>
            </w:pPr>
            <w:r w:rsidRPr="007B60BF">
              <w:t>Aquisições de Bens Móveis</w:t>
            </w:r>
          </w:p>
        </w:tc>
        <w:tc>
          <w:tcPr>
            <w:tcW w:w="852" w:type="pct"/>
            <w:tcBorders>
              <w:top w:val="nil"/>
              <w:left w:val="nil"/>
              <w:bottom w:val="nil"/>
              <w:right w:val="nil"/>
            </w:tcBorders>
            <w:shd w:val="clear" w:color="auto" w:fill="auto"/>
            <w:noWrap/>
          </w:tcPr>
          <w:p w14:paraId="46CCDE94" w14:textId="788B0A52" w:rsidR="009B186A" w:rsidRPr="007B60BF" w:rsidRDefault="009B186A" w:rsidP="009B186A">
            <w:pPr>
              <w:jc w:val="right"/>
            </w:pPr>
            <w:r w:rsidRPr="007B60BF">
              <w:t xml:space="preserve"> (36.291)</w:t>
            </w:r>
          </w:p>
        </w:tc>
        <w:tc>
          <w:tcPr>
            <w:tcW w:w="99" w:type="pct"/>
            <w:tcBorders>
              <w:top w:val="nil"/>
              <w:left w:val="nil"/>
              <w:bottom w:val="nil"/>
              <w:right w:val="nil"/>
            </w:tcBorders>
            <w:shd w:val="clear" w:color="auto" w:fill="auto"/>
            <w:noWrap/>
          </w:tcPr>
          <w:p w14:paraId="3C839E3F" w14:textId="77777777" w:rsidR="009B186A" w:rsidRPr="007B60BF" w:rsidRDefault="009B186A" w:rsidP="009B186A"/>
        </w:tc>
        <w:tc>
          <w:tcPr>
            <w:tcW w:w="895" w:type="pct"/>
            <w:tcBorders>
              <w:top w:val="nil"/>
              <w:left w:val="nil"/>
              <w:bottom w:val="nil"/>
              <w:right w:val="nil"/>
            </w:tcBorders>
            <w:shd w:val="clear" w:color="auto" w:fill="auto"/>
            <w:noWrap/>
          </w:tcPr>
          <w:p w14:paraId="205A9F7F" w14:textId="7F2B498B" w:rsidR="009B186A" w:rsidRPr="007B60BF" w:rsidRDefault="009B186A" w:rsidP="009B186A">
            <w:pPr>
              <w:jc w:val="right"/>
            </w:pPr>
            <w:r w:rsidRPr="007B60BF">
              <w:t xml:space="preserve">(14.178) </w:t>
            </w:r>
          </w:p>
        </w:tc>
      </w:tr>
      <w:tr w:rsidR="009B186A" w:rsidRPr="007B60BF" w14:paraId="45FBF6FD" w14:textId="77777777" w:rsidTr="00AE5F34">
        <w:tc>
          <w:tcPr>
            <w:tcW w:w="3153" w:type="pct"/>
            <w:tcBorders>
              <w:top w:val="nil"/>
              <w:left w:val="nil"/>
              <w:bottom w:val="nil"/>
              <w:right w:val="nil"/>
            </w:tcBorders>
            <w:shd w:val="clear" w:color="auto" w:fill="auto"/>
            <w:noWrap/>
            <w:vAlign w:val="center"/>
          </w:tcPr>
          <w:p w14:paraId="603DE1A3" w14:textId="29B831D6" w:rsidR="009B186A" w:rsidRPr="007B60BF" w:rsidRDefault="009B186A" w:rsidP="009B186A">
            <w:pPr>
              <w:ind w:firstLineChars="200" w:firstLine="400"/>
            </w:pPr>
            <w:r w:rsidRPr="007B60BF">
              <w:t>Aquisições de Importação em Andamento</w:t>
            </w:r>
          </w:p>
        </w:tc>
        <w:tc>
          <w:tcPr>
            <w:tcW w:w="852" w:type="pct"/>
            <w:tcBorders>
              <w:top w:val="nil"/>
              <w:left w:val="nil"/>
              <w:bottom w:val="nil"/>
              <w:right w:val="nil"/>
            </w:tcBorders>
            <w:shd w:val="clear" w:color="auto" w:fill="auto"/>
            <w:noWrap/>
          </w:tcPr>
          <w:p w14:paraId="41060C99" w14:textId="7269C79C" w:rsidR="009B186A" w:rsidRPr="007B60BF" w:rsidRDefault="009B186A" w:rsidP="009B186A">
            <w:pPr>
              <w:jc w:val="right"/>
            </w:pPr>
            <w:r w:rsidRPr="007B60BF">
              <w:t xml:space="preserve"> 11.654 </w:t>
            </w:r>
          </w:p>
        </w:tc>
        <w:tc>
          <w:tcPr>
            <w:tcW w:w="99" w:type="pct"/>
            <w:tcBorders>
              <w:top w:val="nil"/>
              <w:left w:val="nil"/>
              <w:bottom w:val="nil"/>
              <w:right w:val="nil"/>
            </w:tcBorders>
            <w:shd w:val="clear" w:color="auto" w:fill="auto"/>
            <w:noWrap/>
          </w:tcPr>
          <w:p w14:paraId="201E1004" w14:textId="77777777" w:rsidR="009B186A" w:rsidRPr="007B60BF" w:rsidRDefault="009B186A" w:rsidP="009B186A"/>
        </w:tc>
        <w:tc>
          <w:tcPr>
            <w:tcW w:w="895" w:type="pct"/>
            <w:tcBorders>
              <w:top w:val="nil"/>
              <w:left w:val="nil"/>
              <w:right w:val="nil"/>
            </w:tcBorders>
            <w:shd w:val="clear" w:color="auto" w:fill="auto"/>
            <w:noWrap/>
          </w:tcPr>
          <w:p w14:paraId="3C593967" w14:textId="3FAB86B5" w:rsidR="009B186A" w:rsidRPr="007B60BF" w:rsidRDefault="009B186A" w:rsidP="009B186A">
            <w:pPr>
              <w:jc w:val="right"/>
            </w:pPr>
            <w:r w:rsidRPr="007B60BF">
              <w:t xml:space="preserve">(13.805) </w:t>
            </w:r>
          </w:p>
        </w:tc>
      </w:tr>
      <w:tr w:rsidR="009B186A" w:rsidRPr="007B60BF" w14:paraId="43DA376B" w14:textId="77777777" w:rsidTr="00AE5F34">
        <w:tc>
          <w:tcPr>
            <w:tcW w:w="3153" w:type="pct"/>
            <w:tcBorders>
              <w:top w:val="nil"/>
              <w:left w:val="nil"/>
              <w:bottom w:val="nil"/>
              <w:right w:val="nil"/>
            </w:tcBorders>
            <w:shd w:val="clear" w:color="auto" w:fill="auto"/>
            <w:noWrap/>
            <w:vAlign w:val="center"/>
          </w:tcPr>
          <w:p w14:paraId="7059B8F7" w14:textId="7E7C50F1" w:rsidR="009B186A" w:rsidRPr="007B60BF" w:rsidRDefault="009B186A" w:rsidP="009B186A">
            <w:pPr>
              <w:ind w:firstLineChars="200" w:firstLine="400"/>
            </w:pPr>
            <w:r w:rsidRPr="007B60BF">
              <w:t>Aquisições de Intangíveis</w:t>
            </w:r>
          </w:p>
        </w:tc>
        <w:tc>
          <w:tcPr>
            <w:tcW w:w="852" w:type="pct"/>
            <w:tcBorders>
              <w:top w:val="nil"/>
              <w:left w:val="nil"/>
              <w:bottom w:val="nil"/>
              <w:right w:val="nil"/>
            </w:tcBorders>
            <w:shd w:val="clear" w:color="auto" w:fill="auto"/>
            <w:noWrap/>
          </w:tcPr>
          <w:p w14:paraId="3D19BFFC" w14:textId="443B9B15" w:rsidR="009B186A" w:rsidRPr="007B60BF" w:rsidRDefault="009B186A" w:rsidP="009B186A">
            <w:pPr>
              <w:jc w:val="right"/>
            </w:pPr>
            <w:r w:rsidRPr="007B60BF">
              <w:t xml:space="preserve"> (67)</w:t>
            </w:r>
          </w:p>
        </w:tc>
        <w:tc>
          <w:tcPr>
            <w:tcW w:w="99" w:type="pct"/>
            <w:tcBorders>
              <w:top w:val="nil"/>
              <w:left w:val="nil"/>
              <w:bottom w:val="nil"/>
              <w:right w:val="nil"/>
            </w:tcBorders>
            <w:shd w:val="clear" w:color="auto" w:fill="auto"/>
            <w:noWrap/>
          </w:tcPr>
          <w:p w14:paraId="1FE701E3" w14:textId="77777777" w:rsidR="009B186A" w:rsidRPr="007B60BF" w:rsidRDefault="009B186A" w:rsidP="009B186A"/>
        </w:tc>
        <w:tc>
          <w:tcPr>
            <w:tcW w:w="895" w:type="pct"/>
            <w:tcBorders>
              <w:top w:val="nil"/>
              <w:left w:val="nil"/>
              <w:right w:val="nil"/>
            </w:tcBorders>
            <w:shd w:val="clear" w:color="auto" w:fill="auto"/>
            <w:noWrap/>
          </w:tcPr>
          <w:p w14:paraId="7C40250C" w14:textId="00B7E9B7" w:rsidR="009B186A" w:rsidRPr="007B60BF" w:rsidRDefault="009B186A" w:rsidP="009B186A">
            <w:pPr>
              <w:jc w:val="right"/>
            </w:pPr>
            <w:r w:rsidRPr="007B60BF">
              <w:t xml:space="preserve">(302) </w:t>
            </w:r>
          </w:p>
        </w:tc>
      </w:tr>
      <w:tr w:rsidR="009B186A" w:rsidRPr="007B60BF" w14:paraId="59572B10" w14:textId="77777777" w:rsidTr="00364F94">
        <w:tc>
          <w:tcPr>
            <w:tcW w:w="3153" w:type="pct"/>
            <w:tcBorders>
              <w:top w:val="nil"/>
              <w:left w:val="nil"/>
              <w:bottom w:val="nil"/>
              <w:right w:val="nil"/>
            </w:tcBorders>
            <w:shd w:val="clear" w:color="auto" w:fill="auto"/>
            <w:noWrap/>
            <w:vAlign w:val="center"/>
          </w:tcPr>
          <w:p w14:paraId="67A17C5D" w14:textId="77777777" w:rsidR="009B186A" w:rsidRPr="007B60BF" w:rsidRDefault="009B186A" w:rsidP="009B186A">
            <w:pPr>
              <w:ind w:firstLineChars="200" w:firstLine="200"/>
              <w:rPr>
                <w:sz w:val="10"/>
                <w:szCs w:val="10"/>
              </w:rPr>
            </w:pPr>
          </w:p>
        </w:tc>
        <w:tc>
          <w:tcPr>
            <w:tcW w:w="852" w:type="pct"/>
            <w:tcBorders>
              <w:top w:val="single" w:sz="4" w:space="0" w:color="auto"/>
              <w:left w:val="nil"/>
              <w:right w:val="nil"/>
            </w:tcBorders>
            <w:shd w:val="clear" w:color="auto" w:fill="auto"/>
            <w:noWrap/>
          </w:tcPr>
          <w:p w14:paraId="392CF46C" w14:textId="1746A985" w:rsidR="009B186A" w:rsidRPr="007B60BF" w:rsidRDefault="009B186A" w:rsidP="009B186A">
            <w:pPr>
              <w:jc w:val="right"/>
              <w:rPr>
                <w:sz w:val="10"/>
                <w:szCs w:val="10"/>
              </w:rPr>
            </w:pPr>
          </w:p>
        </w:tc>
        <w:tc>
          <w:tcPr>
            <w:tcW w:w="99" w:type="pct"/>
            <w:tcBorders>
              <w:top w:val="nil"/>
              <w:left w:val="nil"/>
              <w:right w:val="nil"/>
            </w:tcBorders>
            <w:shd w:val="clear" w:color="auto" w:fill="auto"/>
            <w:noWrap/>
            <w:vAlign w:val="center"/>
          </w:tcPr>
          <w:p w14:paraId="0CA997A6" w14:textId="77777777" w:rsidR="009B186A" w:rsidRPr="007B60BF" w:rsidRDefault="009B186A" w:rsidP="009B186A">
            <w:pPr>
              <w:jc w:val="right"/>
              <w:rPr>
                <w:sz w:val="10"/>
                <w:szCs w:val="10"/>
              </w:rPr>
            </w:pPr>
          </w:p>
        </w:tc>
        <w:tc>
          <w:tcPr>
            <w:tcW w:w="895" w:type="pct"/>
            <w:tcBorders>
              <w:top w:val="single" w:sz="4" w:space="0" w:color="auto"/>
              <w:left w:val="nil"/>
              <w:right w:val="nil"/>
            </w:tcBorders>
            <w:shd w:val="clear" w:color="auto" w:fill="auto"/>
            <w:noWrap/>
          </w:tcPr>
          <w:p w14:paraId="612B688F" w14:textId="48327890" w:rsidR="009B186A" w:rsidRPr="007B60BF" w:rsidRDefault="009B186A" w:rsidP="009B186A">
            <w:pPr>
              <w:jc w:val="right"/>
              <w:rPr>
                <w:sz w:val="10"/>
                <w:szCs w:val="10"/>
              </w:rPr>
            </w:pPr>
          </w:p>
        </w:tc>
      </w:tr>
      <w:tr w:rsidR="009B186A" w:rsidRPr="007B60BF" w14:paraId="7B68F41F" w14:textId="77777777" w:rsidTr="00FF0BB4">
        <w:tc>
          <w:tcPr>
            <w:tcW w:w="3153" w:type="pct"/>
            <w:tcBorders>
              <w:top w:val="nil"/>
              <w:left w:val="nil"/>
              <w:bottom w:val="nil"/>
              <w:right w:val="nil"/>
            </w:tcBorders>
            <w:shd w:val="clear" w:color="auto" w:fill="auto"/>
            <w:noWrap/>
            <w:vAlign w:val="center"/>
            <w:hideMark/>
          </w:tcPr>
          <w:p w14:paraId="001BDAFC" w14:textId="15CB84C5" w:rsidR="009B186A" w:rsidRPr="007B60BF" w:rsidRDefault="009B186A" w:rsidP="009B186A">
            <w:pPr>
              <w:rPr>
                <w:b/>
                <w:bCs/>
              </w:rPr>
            </w:pPr>
            <w:r w:rsidRPr="007B60BF">
              <w:rPr>
                <w:b/>
                <w:bCs/>
              </w:rPr>
              <w:t>Caixa Líquido Gerado pelas Atividades de Investimento</w:t>
            </w:r>
          </w:p>
        </w:tc>
        <w:tc>
          <w:tcPr>
            <w:tcW w:w="852" w:type="pct"/>
            <w:tcBorders>
              <w:top w:val="nil"/>
              <w:left w:val="nil"/>
              <w:bottom w:val="single" w:sz="4" w:space="0" w:color="auto"/>
              <w:right w:val="nil"/>
            </w:tcBorders>
            <w:shd w:val="clear" w:color="auto" w:fill="auto"/>
            <w:noWrap/>
          </w:tcPr>
          <w:p w14:paraId="47ACA4AD" w14:textId="0B90A5EA" w:rsidR="009B186A" w:rsidRPr="007B60BF" w:rsidRDefault="009B186A" w:rsidP="009B186A">
            <w:pPr>
              <w:jc w:val="right"/>
              <w:rPr>
                <w:b/>
                <w:bCs/>
              </w:rPr>
            </w:pPr>
            <w:r w:rsidRPr="007B60BF">
              <w:rPr>
                <w:b/>
              </w:rPr>
              <w:t xml:space="preserve"> (45.732)</w:t>
            </w:r>
          </w:p>
        </w:tc>
        <w:tc>
          <w:tcPr>
            <w:tcW w:w="99" w:type="pct"/>
            <w:tcBorders>
              <w:top w:val="nil"/>
              <w:left w:val="nil"/>
              <w:right w:val="nil"/>
            </w:tcBorders>
            <w:shd w:val="clear" w:color="auto" w:fill="auto"/>
            <w:noWrap/>
          </w:tcPr>
          <w:p w14:paraId="4536645B" w14:textId="77777777" w:rsidR="009B186A" w:rsidRPr="007B60BF" w:rsidRDefault="009B186A" w:rsidP="009B186A">
            <w:pPr>
              <w:rPr>
                <w:b/>
              </w:rPr>
            </w:pPr>
          </w:p>
        </w:tc>
        <w:tc>
          <w:tcPr>
            <w:tcW w:w="895" w:type="pct"/>
            <w:tcBorders>
              <w:top w:val="nil"/>
              <w:left w:val="nil"/>
              <w:bottom w:val="single" w:sz="4" w:space="0" w:color="auto"/>
              <w:right w:val="nil"/>
            </w:tcBorders>
            <w:shd w:val="clear" w:color="auto" w:fill="auto"/>
            <w:noWrap/>
          </w:tcPr>
          <w:p w14:paraId="52B4C150" w14:textId="1AC42873" w:rsidR="009B186A" w:rsidRPr="007B60BF" w:rsidRDefault="009B186A" w:rsidP="009B186A">
            <w:pPr>
              <w:jc w:val="right"/>
              <w:rPr>
                <w:b/>
                <w:bCs/>
              </w:rPr>
            </w:pPr>
            <w:r w:rsidRPr="007B60BF">
              <w:rPr>
                <w:b/>
              </w:rPr>
              <w:t>(29.848)</w:t>
            </w:r>
          </w:p>
        </w:tc>
      </w:tr>
      <w:tr w:rsidR="009B186A" w:rsidRPr="007B60BF" w14:paraId="7B247EC7" w14:textId="77777777" w:rsidTr="00FF0BB4">
        <w:tc>
          <w:tcPr>
            <w:tcW w:w="3153" w:type="pct"/>
            <w:tcBorders>
              <w:top w:val="nil"/>
              <w:left w:val="nil"/>
              <w:bottom w:val="nil"/>
              <w:right w:val="nil"/>
            </w:tcBorders>
            <w:shd w:val="clear" w:color="auto" w:fill="auto"/>
            <w:noWrap/>
            <w:vAlign w:val="center"/>
          </w:tcPr>
          <w:p w14:paraId="046A5635" w14:textId="77777777" w:rsidR="009B186A" w:rsidRPr="007B60BF" w:rsidRDefault="009B186A" w:rsidP="009B186A">
            <w:pPr>
              <w:rPr>
                <w:b/>
                <w:bCs/>
                <w:sz w:val="10"/>
                <w:szCs w:val="10"/>
              </w:rPr>
            </w:pPr>
          </w:p>
        </w:tc>
        <w:tc>
          <w:tcPr>
            <w:tcW w:w="852" w:type="pct"/>
            <w:tcBorders>
              <w:top w:val="single" w:sz="4" w:space="0" w:color="auto"/>
              <w:left w:val="nil"/>
              <w:right w:val="nil"/>
            </w:tcBorders>
            <w:shd w:val="clear" w:color="auto" w:fill="auto"/>
            <w:noWrap/>
          </w:tcPr>
          <w:p w14:paraId="7E79D5FD" w14:textId="77777777" w:rsidR="009B186A" w:rsidRPr="007B60BF" w:rsidRDefault="009B186A" w:rsidP="009B186A">
            <w:pPr>
              <w:jc w:val="right"/>
              <w:rPr>
                <w:b/>
                <w:bCs/>
                <w:sz w:val="10"/>
                <w:szCs w:val="10"/>
              </w:rPr>
            </w:pPr>
          </w:p>
        </w:tc>
        <w:tc>
          <w:tcPr>
            <w:tcW w:w="99" w:type="pct"/>
            <w:tcBorders>
              <w:left w:val="nil"/>
              <w:right w:val="nil"/>
            </w:tcBorders>
            <w:shd w:val="clear" w:color="auto" w:fill="auto"/>
            <w:noWrap/>
            <w:vAlign w:val="center"/>
          </w:tcPr>
          <w:p w14:paraId="23134798" w14:textId="77777777" w:rsidR="009B186A" w:rsidRPr="007B60BF" w:rsidRDefault="009B186A" w:rsidP="009B186A">
            <w:pPr>
              <w:rPr>
                <w:b/>
                <w:sz w:val="10"/>
                <w:szCs w:val="10"/>
              </w:rPr>
            </w:pPr>
          </w:p>
        </w:tc>
        <w:tc>
          <w:tcPr>
            <w:tcW w:w="895" w:type="pct"/>
            <w:tcBorders>
              <w:top w:val="single" w:sz="4" w:space="0" w:color="auto"/>
              <w:left w:val="nil"/>
              <w:right w:val="nil"/>
            </w:tcBorders>
            <w:shd w:val="clear" w:color="auto" w:fill="auto"/>
            <w:noWrap/>
          </w:tcPr>
          <w:p w14:paraId="35AE4F49" w14:textId="0C54C107" w:rsidR="009B186A" w:rsidRPr="007B60BF" w:rsidRDefault="009B186A" w:rsidP="009B186A">
            <w:pPr>
              <w:jc w:val="right"/>
              <w:rPr>
                <w:b/>
                <w:bCs/>
                <w:sz w:val="10"/>
                <w:szCs w:val="10"/>
              </w:rPr>
            </w:pPr>
          </w:p>
        </w:tc>
      </w:tr>
      <w:tr w:rsidR="009B186A" w:rsidRPr="007B60BF" w14:paraId="1D9EDA9B" w14:textId="77777777" w:rsidTr="00FF0BB4">
        <w:tc>
          <w:tcPr>
            <w:tcW w:w="3153" w:type="pct"/>
            <w:tcBorders>
              <w:top w:val="nil"/>
              <w:left w:val="nil"/>
              <w:bottom w:val="nil"/>
              <w:right w:val="nil"/>
            </w:tcBorders>
            <w:shd w:val="clear" w:color="auto" w:fill="auto"/>
            <w:noWrap/>
            <w:vAlign w:val="center"/>
            <w:hideMark/>
          </w:tcPr>
          <w:p w14:paraId="4220A1A3" w14:textId="77777777" w:rsidR="009B186A" w:rsidRPr="007B60BF" w:rsidRDefault="009B186A" w:rsidP="009B186A">
            <w:pPr>
              <w:rPr>
                <w:b/>
                <w:bCs/>
              </w:rPr>
            </w:pPr>
            <w:r w:rsidRPr="007B60BF">
              <w:rPr>
                <w:b/>
                <w:bCs/>
              </w:rPr>
              <w:t>Fluxo de Caixa das Atividades de Financiamento</w:t>
            </w:r>
          </w:p>
        </w:tc>
        <w:tc>
          <w:tcPr>
            <w:tcW w:w="852" w:type="pct"/>
            <w:tcBorders>
              <w:left w:val="nil"/>
              <w:right w:val="nil"/>
            </w:tcBorders>
            <w:shd w:val="clear" w:color="auto" w:fill="auto"/>
            <w:noWrap/>
          </w:tcPr>
          <w:p w14:paraId="78E5C21A" w14:textId="77777777" w:rsidR="009B186A" w:rsidRPr="007B60BF" w:rsidRDefault="009B186A" w:rsidP="009B186A">
            <w:pPr>
              <w:rPr>
                <w:b/>
              </w:rPr>
            </w:pPr>
          </w:p>
        </w:tc>
        <w:tc>
          <w:tcPr>
            <w:tcW w:w="99" w:type="pct"/>
            <w:tcBorders>
              <w:left w:val="nil"/>
              <w:right w:val="nil"/>
            </w:tcBorders>
            <w:shd w:val="clear" w:color="auto" w:fill="auto"/>
            <w:noWrap/>
            <w:vAlign w:val="bottom"/>
          </w:tcPr>
          <w:p w14:paraId="2154621F" w14:textId="77777777" w:rsidR="009B186A" w:rsidRPr="007B60BF" w:rsidRDefault="009B186A" w:rsidP="009B186A">
            <w:pPr>
              <w:rPr>
                <w:b/>
              </w:rPr>
            </w:pPr>
          </w:p>
        </w:tc>
        <w:tc>
          <w:tcPr>
            <w:tcW w:w="895" w:type="pct"/>
            <w:tcBorders>
              <w:left w:val="nil"/>
              <w:right w:val="nil"/>
            </w:tcBorders>
            <w:shd w:val="clear" w:color="auto" w:fill="auto"/>
            <w:noWrap/>
          </w:tcPr>
          <w:p w14:paraId="3D4510B6" w14:textId="435BB664" w:rsidR="009B186A" w:rsidRPr="007B60BF" w:rsidRDefault="009B186A" w:rsidP="009B186A">
            <w:pPr>
              <w:rPr>
                <w:b/>
              </w:rPr>
            </w:pPr>
          </w:p>
        </w:tc>
      </w:tr>
      <w:tr w:rsidR="009B186A" w:rsidRPr="007B60BF" w14:paraId="35686A5B" w14:textId="77777777" w:rsidTr="005A16AA">
        <w:tc>
          <w:tcPr>
            <w:tcW w:w="3153" w:type="pct"/>
            <w:tcBorders>
              <w:top w:val="nil"/>
              <w:left w:val="nil"/>
              <w:bottom w:val="nil"/>
              <w:right w:val="nil"/>
            </w:tcBorders>
            <w:shd w:val="clear" w:color="auto" w:fill="auto"/>
            <w:noWrap/>
            <w:vAlign w:val="center"/>
          </w:tcPr>
          <w:p w14:paraId="72352088" w14:textId="77777777" w:rsidR="009B186A" w:rsidRPr="007B60BF" w:rsidRDefault="009B186A" w:rsidP="009B186A">
            <w:pPr>
              <w:ind w:firstLineChars="200" w:firstLine="400"/>
            </w:pPr>
            <w:r w:rsidRPr="007B60BF">
              <w:t>Subvenções Governamentais/Receitas Diferidas</w:t>
            </w:r>
          </w:p>
        </w:tc>
        <w:tc>
          <w:tcPr>
            <w:tcW w:w="852" w:type="pct"/>
            <w:tcBorders>
              <w:top w:val="nil"/>
              <w:left w:val="nil"/>
              <w:right w:val="nil"/>
            </w:tcBorders>
            <w:shd w:val="clear" w:color="auto" w:fill="auto"/>
            <w:noWrap/>
          </w:tcPr>
          <w:p w14:paraId="7B2DF265" w14:textId="09ACA1FA" w:rsidR="009B186A" w:rsidRPr="007B60BF" w:rsidRDefault="009B186A" w:rsidP="009B186A">
            <w:pPr>
              <w:jc w:val="right"/>
            </w:pPr>
            <w:r w:rsidRPr="007B60BF">
              <w:t xml:space="preserve"> 23.236 </w:t>
            </w:r>
          </w:p>
        </w:tc>
        <w:tc>
          <w:tcPr>
            <w:tcW w:w="99" w:type="pct"/>
            <w:tcBorders>
              <w:top w:val="nil"/>
              <w:left w:val="nil"/>
              <w:right w:val="nil"/>
            </w:tcBorders>
            <w:shd w:val="clear" w:color="auto" w:fill="auto"/>
            <w:noWrap/>
            <w:vAlign w:val="center"/>
          </w:tcPr>
          <w:p w14:paraId="2CB90999" w14:textId="77777777" w:rsidR="009B186A" w:rsidRPr="007B60BF" w:rsidRDefault="009B186A" w:rsidP="009B186A">
            <w:pPr>
              <w:jc w:val="right"/>
            </w:pPr>
          </w:p>
        </w:tc>
        <w:tc>
          <w:tcPr>
            <w:tcW w:w="895" w:type="pct"/>
            <w:tcBorders>
              <w:top w:val="nil"/>
              <w:left w:val="nil"/>
              <w:right w:val="nil"/>
            </w:tcBorders>
            <w:shd w:val="clear" w:color="auto" w:fill="auto"/>
            <w:noWrap/>
          </w:tcPr>
          <w:p w14:paraId="51B204A1" w14:textId="14593616" w:rsidR="009B186A" w:rsidRPr="007B60BF" w:rsidRDefault="009B186A" w:rsidP="009B186A">
            <w:pPr>
              <w:jc w:val="right"/>
            </w:pPr>
            <w:r w:rsidRPr="007B60BF">
              <w:t xml:space="preserve"> 12.097 </w:t>
            </w:r>
          </w:p>
        </w:tc>
      </w:tr>
      <w:tr w:rsidR="009B186A" w:rsidRPr="007B60BF" w14:paraId="576E6706" w14:textId="77777777" w:rsidTr="005A16AA">
        <w:tc>
          <w:tcPr>
            <w:tcW w:w="3153" w:type="pct"/>
            <w:tcBorders>
              <w:top w:val="nil"/>
              <w:left w:val="nil"/>
              <w:bottom w:val="nil"/>
              <w:right w:val="nil"/>
            </w:tcBorders>
            <w:shd w:val="clear" w:color="auto" w:fill="auto"/>
            <w:noWrap/>
            <w:vAlign w:val="center"/>
            <w:hideMark/>
          </w:tcPr>
          <w:p w14:paraId="01C5050C" w14:textId="77777777" w:rsidR="009B186A" w:rsidRPr="007B60BF" w:rsidRDefault="009B186A" w:rsidP="009B186A">
            <w:pPr>
              <w:ind w:firstLineChars="200" w:firstLine="400"/>
            </w:pPr>
            <w:r w:rsidRPr="007B60BF">
              <w:t>Adiantamento para Futuro Aumento de Capital</w:t>
            </w:r>
          </w:p>
        </w:tc>
        <w:tc>
          <w:tcPr>
            <w:tcW w:w="852" w:type="pct"/>
            <w:tcBorders>
              <w:left w:val="nil"/>
              <w:bottom w:val="single" w:sz="4" w:space="0" w:color="auto"/>
              <w:right w:val="nil"/>
            </w:tcBorders>
            <w:shd w:val="clear" w:color="auto" w:fill="auto"/>
            <w:noWrap/>
          </w:tcPr>
          <w:p w14:paraId="7E5F449E" w14:textId="17C70DDD" w:rsidR="009B186A" w:rsidRPr="007B60BF" w:rsidRDefault="009B186A" w:rsidP="009B186A">
            <w:pPr>
              <w:jc w:val="right"/>
            </w:pPr>
            <w:r w:rsidRPr="007B60BF">
              <w:t xml:space="preserve"> 24.181 </w:t>
            </w:r>
          </w:p>
        </w:tc>
        <w:tc>
          <w:tcPr>
            <w:tcW w:w="99" w:type="pct"/>
            <w:tcBorders>
              <w:left w:val="nil"/>
              <w:right w:val="nil"/>
            </w:tcBorders>
            <w:shd w:val="clear" w:color="auto" w:fill="auto"/>
            <w:noWrap/>
            <w:vAlign w:val="bottom"/>
          </w:tcPr>
          <w:p w14:paraId="27D86880" w14:textId="77777777" w:rsidR="009B186A" w:rsidRPr="007B60BF" w:rsidRDefault="009B186A" w:rsidP="009B186A"/>
        </w:tc>
        <w:tc>
          <w:tcPr>
            <w:tcW w:w="895" w:type="pct"/>
            <w:tcBorders>
              <w:left w:val="nil"/>
              <w:bottom w:val="single" w:sz="4" w:space="0" w:color="auto"/>
              <w:right w:val="nil"/>
            </w:tcBorders>
            <w:shd w:val="clear" w:color="auto" w:fill="auto"/>
            <w:noWrap/>
          </w:tcPr>
          <w:p w14:paraId="342DADB9" w14:textId="70B1D643" w:rsidR="009B186A" w:rsidRPr="007B60BF" w:rsidRDefault="009B186A" w:rsidP="009B186A">
            <w:pPr>
              <w:jc w:val="right"/>
            </w:pPr>
            <w:r w:rsidRPr="007B60BF">
              <w:t xml:space="preserve"> 8.813 </w:t>
            </w:r>
          </w:p>
        </w:tc>
      </w:tr>
      <w:tr w:rsidR="009B186A" w:rsidRPr="007B60BF" w14:paraId="6F562940" w14:textId="77777777" w:rsidTr="00FF0BB4">
        <w:tc>
          <w:tcPr>
            <w:tcW w:w="3153" w:type="pct"/>
            <w:tcBorders>
              <w:top w:val="nil"/>
              <w:left w:val="nil"/>
              <w:bottom w:val="nil"/>
              <w:right w:val="nil"/>
            </w:tcBorders>
            <w:shd w:val="clear" w:color="auto" w:fill="auto"/>
            <w:noWrap/>
            <w:vAlign w:val="center"/>
          </w:tcPr>
          <w:p w14:paraId="417342B2" w14:textId="77777777" w:rsidR="009B186A" w:rsidRPr="007B60BF" w:rsidRDefault="009B186A" w:rsidP="009B186A">
            <w:pPr>
              <w:ind w:firstLineChars="200" w:firstLine="200"/>
              <w:rPr>
                <w:sz w:val="10"/>
                <w:szCs w:val="10"/>
              </w:rPr>
            </w:pPr>
          </w:p>
        </w:tc>
        <w:tc>
          <w:tcPr>
            <w:tcW w:w="852" w:type="pct"/>
            <w:tcBorders>
              <w:top w:val="single" w:sz="4" w:space="0" w:color="auto"/>
              <w:left w:val="nil"/>
              <w:bottom w:val="nil"/>
              <w:right w:val="nil"/>
            </w:tcBorders>
            <w:shd w:val="clear" w:color="auto" w:fill="auto"/>
            <w:noWrap/>
          </w:tcPr>
          <w:p w14:paraId="7DD2879E" w14:textId="7102D19B" w:rsidR="009B186A" w:rsidRPr="007B60BF" w:rsidRDefault="009B186A" w:rsidP="009B186A">
            <w:pPr>
              <w:jc w:val="right"/>
              <w:rPr>
                <w:sz w:val="10"/>
                <w:szCs w:val="10"/>
              </w:rPr>
            </w:pPr>
          </w:p>
        </w:tc>
        <w:tc>
          <w:tcPr>
            <w:tcW w:w="99" w:type="pct"/>
            <w:tcBorders>
              <w:left w:val="nil"/>
              <w:bottom w:val="nil"/>
              <w:right w:val="nil"/>
            </w:tcBorders>
            <w:shd w:val="clear" w:color="auto" w:fill="auto"/>
            <w:noWrap/>
            <w:vAlign w:val="center"/>
          </w:tcPr>
          <w:p w14:paraId="10A9BA41" w14:textId="77777777" w:rsidR="009B186A" w:rsidRPr="007B60BF" w:rsidRDefault="009B186A" w:rsidP="009B186A">
            <w:pPr>
              <w:jc w:val="right"/>
              <w:rPr>
                <w:sz w:val="10"/>
                <w:szCs w:val="10"/>
              </w:rPr>
            </w:pPr>
          </w:p>
        </w:tc>
        <w:tc>
          <w:tcPr>
            <w:tcW w:w="895" w:type="pct"/>
            <w:tcBorders>
              <w:top w:val="single" w:sz="4" w:space="0" w:color="auto"/>
              <w:left w:val="nil"/>
              <w:bottom w:val="nil"/>
              <w:right w:val="nil"/>
            </w:tcBorders>
            <w:shd w:val="clear" w:color="auto" w:fill="auto"/>
            <w:noWrap/>
          </w:tcPr>
          <w:p w14:paraId="5A5AFAD8" w14:textId="5CB3BCC0" w:rsidR="009B186A" w:rsidRPr="007B60BF" w:rsidRDefault="009B186A" w:rsidP="009B186A">
            <w:pPr>
              <w:jc w:val="right"/>
              <w:rPr>
                <w:sz w:val="10"/>
                <w:szCs w:val="10"/>
              </w:rPr>
            </w:pPr>
          </w:p>
        </w:tc>
      </w:tr>
      <w:tr w:rsidR="009B186A" w:rsidRPr="007B60BF" w14:paraId="008DC4B5" w14:textId="77777777" w:rsidTr="00FF0BB4">
        <w:tc>
          <w:tcPr>
            <w:tcW w:w="3153" w:type="pct"/>
            <w:tcBorders>
              <w:top w:val="nil"/>
              <w:left w:val="nil"/>
              <w:bottom w:val="nil"/>
              <w:right w:val="nil"/>
            </w:tcBorders>
            <w:shd w:val="clear" w:color="auto" w:fill="auto"/>
            <w:noWrap/>
            <w:vAlign w:val="center"/>
            <w:hideMark/>
          </w:tcPr>
          <w:p w14:paraId="577974F5" w14:textId="71D7F002" w:rsidR="009B186A" w:rsidRPr="007B60BF" w:rsidRDefault="009B186A" w:rsidP="009B186A">
            <w:pPr>
              <w:rPr>
                <w:b/>
                <w:bCs/>
              </w:rPr>
            </w:pPr>
            <w:r w:rsidRPr="007B60BF">
              <w:rPr>
                <w:b/>
                <w:bCs/>
              </w:rPr>
              <w:t>Caixa Líquido Gerado pelas Atividades de Financiamento</w:t>
            </w:r>
          </w:p>
        </w:tc>
        <w:tc>
          <w:tcPr>
            <w:tcW w:w="852" w:type="pct"/>
            <w:tcBorders>
              <w:top w:val="nil"/>
              <w:left w:val="nil"/>
              <w:bottom w:val="single" w:sz="8" w:space="0" w:color="auto"/>
              <w:right w:val="nil"/>
            </w:tcBorders>
            <w:shd w:val="clear" w:color="auto" w:fill="auto"/>
            <w:noWrap/>
          </w:tcPr>
          <w:p w14:paraId="6988CCD1" w14:textId="1C40FACC" w:rsidR="009B186A" w:rsidRPr="007B60BF" w:rsidRDefault="009B186A" w:rsidP="009B186A">
            <w:pPr>
              <w:jc w:val="right"/>
              <w:rPr>
                <w:b/>
              </w:rPr>
            </w:pPr>
            <w:r w:rsidRPr="007B60BF">
              <w:rPr>
                <w:b/>
              </w:rPr>
              <w:t xml:space="preserve"> 47.417 </w:t>
            </w:r>
          </w:p>
        </w:tc>
        <w:tc>
          <w:tcPr>
            <w:tcW w:w="99" w:type="pct"/>
            <w:tcBorders>
              <w:top w:val="nil"/>
              <w:left w:val="nil"/>
              <w:bottom w:val="nil"/>
              <w:right w:val="nil"/>
            </w:tcBorders>
            <w:shd w:val="clear" w:color="auto" w:fill="auto"/>
            <w:noWrap/>
            <w:vAlign w:val="bottom"/>
          </w:tcPr>
          <w:p w14:paraId="40266AC2" w14:textId="77777777" w:rsidR="009B186A" w:rsidRPr="007B60BF" w:rsidRDefault="009B186A" w:rsidP="009B186A">
            <w:pPr>
              <w:rPr>
                <w:b/>
              </w:rPr>
            </w:pPr>
          </w:p>
        </w:tc>
        <w:tc>
          <w:tcPr>
            <w:tcW w:w="895" w:type="pct"/>
            <w:tcBorders>
              <w:top w:val="nil"/>
              <w:left w:val="nil"/>
              <w:bottom w:val="single" w:sz="8" w:space="0" w:color="auto"/>
              <w:right w:val="nil"/>
            </w:tcBorders>
            <w:shd w:val="clear" w:color="auto" w:fill="auto"/>
            <w:noWrap/>
          </w:tcPr>
          <w:p w14:paraId="1CDA5F7B" w14:textId="4E8A0F05" w:rsidR="009B186A" w:rsidRPr="007B60BF" w:rsidRDefault="009B186A" w:rsidP="009B186A">
            <w:pPr>
              <w:jc w:val="right"/>
              <w:rPr>
                <w:b/>
              </w:rPr>
            </w:pPr>
            <w:r w:rsidRPr="007B60BF">
              <w:rPr>
                <w:b/>
              </w:rPr>
              <w:t>20.910</w:t>
            </w:r>
          </w:p>
        </w:tc>
      </w:tr>
      <w:tr w:rsidR="009B186A" w:rsidRPr="007B60BF" w14:paraId="08E748EC" w14:textId="77777777" w:rsidTr="00FF0BB4">
        <w:tc>
          <w:tcPr>
            <w:tcW w:w="3153" w:type="pct"/>
            <w:tcBorders>
              <w:top w:val="nil"/>
              <w:left w:val="nil"/>
              <w:right w:val="nil"/>
            </w:tcBorders>
            <w:shd w:val="clear" w:color="auto" w:fill="auto"/>
            <w:noWrap/>
            <w:vAlign w:val="center"/>
          </w:tcPr>
          <w:p w14:paraId="59C0111E" w14:textId="77777777" w:rsidR="009B186A" w:rsidRPr="007B60BF" w:rsidRDefault="009B186A" w:rsidP="009B186A">
            <w:pPr>
              <w:rPr>
                <w:b/>
                <w:bCs/>
                <w:sz w:val="10"/>
                <w:szCs w:val="10"/>
              </w:rPr>
            </w:pPr>
          </w:p>
        </w:tc>
        <w:tc>
          <w:tcPr>
            <w:tcW w:w="852" w:type="pct"/>
            <w:tcBorders>
              <w:top w:val="nil"/>
              <w:left w:val="nil"/>
              <w:right w:val="nil"/>
            </w:tcBorders>
            <w:shd w:val="clear" w:color="auto" w:fill="auto"/>
            <w:noWrap/>
          </w:tcPr>
          <w:p w14:paraId="385DA309" w14:textId="77777777" w:rsidR="009B186A" w:rsidRPr="007B60BF" w:rsidRDefault="009B186A" w:rsidP="009B186A">
            <w:pPr>
              <w:jc w:val="right"/>
              <w:rPr>
                <w:b/>
                <w:bCs/>
                <w:sz w:val="10"/>
                <w:szCs w:val="10"/>
              </w:rPr>
            </w:pPr>
          </w:p>
        </w:tc>
        <w:tc>
          <w:tcPr>
            <w:tcW w:w="99" w:type="pct"/>
            <w:tcBorders>
              <w:top w:val="nil"/>
              <w:left w:val="nil"/>
              <w:right w:val="nil"/>
            </w:tcBorders>
            <w:shd w:val="clear" w:color="auto" w:fill="auto"/>
            <w:noWrap/>
            <w:vAlign w:val="center"/>
          </w:tcPr>
          <w:p w14:paraId="7B446E3A" w14:textId="77777777" w:rsidR="009B186A" w:rsidRPr="007B60BF" w:rsidRDefault="009B186A" w:rsidP="009B186A">
            <w:pPr>
              <w:rPr>
                <w:b/>
                <w:sz w:val="10"/>
                <w:szCs w:val="10"/>
              </w:rPr>
            </w:pPr>
          </w:p>
        </w:tc>
        <w:tc>
          <w:tcPr>
            <w:tcW w:w="895" w:type="pct"/>
            <w:tcBorders>
              <w:top w:val="nil"/>
              <w:left w:val="nil"/>
              <w:right w:val="nil"/>
            </w:tcBorders>
            <w:shd w:val="clear" w:color="auto" w:fill="auto"/>
            <w:noWrap/>
          </w:tcPr>
          <w:p w14:paraId="0B459EBC" w14:textId="69E5C210" w:rsidR="009B186A" w:rsidRPr="007B60BF" w:rsidRDefault="009B186A" w:rsidP="009B186A">
            <w:pPr>
              <w:jc w:val="right"/>
              <w:rPr>
                <w:b/>
                <w:bCs/>
                <w:sz w:val="10"/>
                <w:szCs w:val="10"/>
              </w:rPr>
            </w:pPr>
          </w:p>
        </w:tc>
      </w:tr>
      <w:tr w:rsidR="009B186A" w:rsidRPr="007B60BF" w14:paraId="060FEF62" w14:textId="77777777" w:rsidTr="00FF0BB4">
        <w:tc>
          <w:tcPr>
            <w:tcW w:w="3153" w:type="pct"/>
            <w:tcBorders>
              <w:right w:val="nil"/>
            </w:tcBorders>
            <w:shd w:val="clear" w:color="auto" w:fill="auto"/>
            <w:noWrap/>
            <w:vAlign w:val="center"/>
            <w:hideMark/>
          </w:tcPr>
          <w:p w14:paraId="2BE5492C" w14:textId="0C90DA6A" w:rsidR="009B186A" w:rsidRPr="007B60BF" w:rsidRDefault="009B186A" w:rsidP="009B186A">
            <w:pPr>
              <w:rPr>
                <w:b/>
                <w:bCs/>
              </w:rPr>
            </w:pPr>
            <w:r w:rsidRPr="007B60BF">
              <w:rPr>
                <w:b/>
                <w:bCs/>
              </w:rPr>
              <w:t>Caixa Adicionado/(Consumido) no Exercício</w:t>
            </w:r>
          </w:p>
        </w:tc>
        <w:tc>
          <w:tcPr>
            <w:tcW w:w="852" w:type="pct"/>
            <w:tcBorders>
              <w:left w:val="nil"/>
              <w:bottom w:val="double" w:sz="4" w:space="0" w:color="auto"/>
              <w:right w:val="nil"/>
            </w:tcBorders>
            <w:shd w:val="clear" w:color="auto" w:fill="auto"/>
            <w:noWrap/>
          </w:tcPr>
          <w:p w14:paraId="1634E2BF" w14:textId="153F3531" w:rsidR="009B186A" w:rsidRPr="007B60BF" w:rsidRDefault="009B186A" w:rsidP="009B186A">
            <w:pPr>
              <w:jc w:val="right"/>
              <w:rPr>
                <w:b/>
                <w:bCs/>
              </w:rPr>
            </w:pPr>
            <w:r w:rsidRPr="007B60BF">
              <w:rPr>
                <w:b/>
              </w:rPr>
              <w:t xml:space="preserve"> 39.455 </w:t>
            </w:r>
          </w:p>
        </w:tc>
        <w:tc>
          <w:tcPr>
            <w:tcW w:w="99" w:type="pct"/>
            <w:tcBorders>
              <w:left w:val="nil"/>
              <w:right w:val="nil"/>
            </w:tcBorders>
            <w:shd w:val="clear" w:color="auto" w:fill="auto"/>
            <w:noWrap/>
          </w:tcPr>
          <w:p w14:paraId="05EB70FD" w14:textId="77777777" w:rsidR="009B186A" w:rsidRPr="007B60BF" w:rsidRDefault="009B186A" w:rsidP="009B186A">
            <w:pPr>
              <w:rPr>
                <w:b/>
              </w:rPr>
            </w:pPr>
          </w:p>
        </w:tc>
        <w:tc>
          <w:tcPr>
            <w:tcW w:w="895" w:type="pct"/>
            <w:tcBorders>
              <w:left w:val="nil"/>
              <w:bottom w:val="double" w:sz="4" w:space="0" w:color="auto"/>
              <w:right w:val="nil"/>
            </w:tcBorders>
            <w:shd w:val="clear" w:color="auto" w:fill="auto"/>
            <w:noWrap/>
          </w:tcPr>
          <w:p w14:paraId="345A44D8" w14:textId="3B3726DC" w:rsidR="009B186A" w:rsidRPr="007B60BF" w:rsidRDefault="009B186A" w:rsidP="009B186A">
            <w:pPr>
              <w:jc w:val="right"/>
              <w:rPr>
                <w:b/>
                <w:bCs/>
              </w:rPr>
            </w:pPr>
            <w:r w:rsidRPr="007B60BF">
              <w:rPr>
                <w:b/>
              </w:rPr>
              <w:t>76.806</w:t>
            </w:r>
          </w:p>
        </w:tc>
      </w:tr>
      <w:tr w:rsidR="009B186A" w:rsidRPr="007B60BF" w14:paraId="70B6754E" w14:textId="77777777" w:rsidTr="00FF0BB4">
        <w:tc>
          <w:tcPr>
            <w:tcW w:w="3153" w:type="pct"/>
            <w:tcBorders>
              <w:left w:val="nil"/>
              <w:right w:val="nil"/>
            </w:tcBorders>
            <w:shd w:val="clear" w:color="auto" w:fill="auto"/>
            <w:noWrap/>
            <w:vAlign w:val="center"/>
          </w:tcPr>
          <w:p w14:paraId="2C5F3F12" w14:textId="77777777" w:rsidR="009B186A" w:rsidRPr="007B60BF" w:rsidRDefault="009B186A" w:rsidP="009B186A">
            <w:pPr>
              <w:rPr>
                <w:b/>
                <w:bCs/>
                <w:sz w:val="10"/>
                <w:szCs w:val="10"/>
              </w:rPr>
            </w:pPr>
          </w:p>
        </w:tc>
        <w:tc>
          <w:tcPr>
            <w:tcW w:w="852" w:type="pct"/>
            <w:tcBorders>
              <w:top w:val="double" w:sz="4" w:space="0" w:color="auto"/>
              <w:left w:val="nil"/>
              <w:right w:val="nil"/>
            </w:tcBorders>
            <w:shd w:val="clear" w:color="auto" w:fill="auto"/>
            <w:noWrap/>
          </w:tcPr>
          <w:p w14:paraId="5D035F6B" w14:textId="77777777" w:rsidR="009B186A" w:rsidRPr="007B60BF" w:rsidRDefault="009B186A" w:rsidP="009B186A">
            <w:pPr>
              <w:jc w:val="right"/>
              <w:rPr>
                <w:b/>
                <w:bCs/>
                <w:sz w:val="10"/>
                <w:szCs w:val="10"/>
              </w:rPr>
            </w:pPr>
          </w:p>
        </w:tc>
        <w:tc>
          <w:tcPr>
            <w:tcW w:w="99" w:type="pct"/>
            <w:tcBorders>
              <w:left w:val="nil"/>
              <w:right w:val="nil"/>
            </w:tcBorders>
            <w:shd w:val="clear" w:color="auto" w:fill="auto"/>
            <w:noWrap/>
            <w:vAlign w:val="center"/>
          </w:tcPr>
          <w:p w14:paraId="65706974" w14:textId="77777777" w:rsidR="009B186A" w:rsidRPr="007B60BF" w:rsidRDefault="009B186A" w:rsidP="009B186A">
            <w:pPr>
              <w:rPr>
                <w:sz w:val="10"/>
                <w:szCs w:val="10"/>
              </w:rPr>
            </w:pPr>
          </w:p>
        </w:tc>
        <w:tc>
          <w:tcPr>
            <w:tcW w:w="895" w:type="pct"/>
            <w:tcBorders>
              <w:top w:val="double" w:sz="4" w:space="0" w:color="auto"/>
              <w:left w:val="nil"/>
              <w:right w:val="nil"/>
            </w:tcBorders>
            <w:shd w:val="clear" w:color="auto" w:fill="auto"/>
            <w:noWrap/>
          </w:tcPr>
          <w:p w14:paraId="248A8253" w14:textId="421F686E" w:rsidR="009B186A" w:rsidRPr="007B60BF" w:rsidRDefault="009B186A" w:rsidP="009B186A">
            <w:pPr>
              <w:jc w:val="right"/>
              <w:rPr>
                <w:b/>
                <w:bCs/>
                <w:sz w:val="10"/>
                <w:szCs w:val="10"/>
              </w:rPr>
            </w:pPr>
          </w:p>
        </w:tc>
      </w:tr>
      <w:tr w:rsidR="009B186A" w:rsidRPr="007B60BF" w14:paraId="0C3415E6" w14:textId="77777777" w:rsidTr="00AE5F34">
        <w:tc>
          <w:tcPr>
            <w:tcW w:w="3153" w:type="pct"/>
            <w:tcBorders>
              <w:left w:val="nil"/>
              <w:bottom w:val="nil"/>
              <w:right w:val="nil"/>
            </w:tcBorders>
            <w:shd w:val="clear" w:color="auto" w:fill="auto"/>
            <w:noWrap/>
            <w:vAlign w:val="center"/>
            <w:hideMark/>
          </w:tcPr>
          <w:p w14:paraId="22BF124C" w14:textId="627A4413" w:rsidR="009B186A" w:rsidRPr="007B60BF" w:rsidRDefault="009B186A" w:rsidP="009B186A">
            <w:pPr>
              <w:ind w:firstLineChars="200" w:firstLine="400"/>
            </w:pPr>
            <w:r w:rsidRPr="007B60BF">
              <w:t>Caixa e Equivalente de Caixa no Início do Exercício</w:t>
            </w:r>
          </w:p>
        </w:tc>
        <w:tc>
          <w:tcPr>
            <w:tcW w:w="852" w:type="pct"/>
            <w:tcBorders>
              <w:left w:val="nil"/>
              <w:bottom w:val="nil"/>
              <w:right w:val="nil"/>
            </w:tcBorders>
            <w:shd w:val="clear" w:color="auto" w:fill="auto"/>
            <w:noWrap/>
          </w:tcPr>
          <w:p w14:paraId="172DA2E3" w14:textId="4F166DB7" w:rsidR="009B186A" w:rsidRPr="007B60BF" w:rsidRDefault="009B186A" w:rsidP="009B186A">
            <w:pPr>
              <w:jc w:val="right"/>
            </w:pPr>
            <w:r w:rsidRPr="007B60BF">
              <w:t xml:space="preserve"> 237.037 </w:t>
            </w:r>
          </w:p>
        </w:tc>
        <w:tc>
          <w:tcPr>
            <w:tcW w:w="99" w:type="pct"/>
            <w:tcBorders>
              <w:left w:val="nil"/>
              <w:bottom w:val="nil"/>
              <w:right w:val="nil"/>
            </w:tcBorders>
            <w:shd w:val="clear" w:color="auto" w:fill="auto"/>
            <w:noWrap/>
            <w:vAlign w:val="bottom"/>
          </w:tcPr>
          <w:p w14:paraId="4CCE978F" w14:textId="77777777" w:rsidR="009B186A" w:rsidRPr="007B60BF" w:rsidRDefault="009B186A" w:rsidP="009B186A"/>
        </w:tc>
        <w:tc>
          <w:tcPr>
            <w:tcW w:w="895" w:type="pct"/>
            <w:tcBorders>
              <w:left w:val="nil"/>
              <w:bottom w:val="nil"/>
              <w:right w:val="nil"/>
            </w:tcBorders>
            <w:shd w:val="clear" w:color="auto" w:fill="auto"/>
            <w:noWrap/>
          </w:tcPr>
          <w:p w14:paraId="2C993286" w14:textId="57AE47D2" w:rsidR="009B186A" w:rsidRPr="007B60BF" w:rsidRDefault="009B186A" w:rsidP="009B186A">
            <w:pPr>
              <w:jc w:val="right"/>
            </w:pPr>
            <w:r w:rsidRPr="007B60BF">
              <w:t xml:space="preserve"> 160.231 </w:t>
            </w:r>
          </w:p>
        </w:tc>
      </w:tr>
      <w:tr w:rsidR="009B186A" w:rsidRPr="007B60BF" w14:paraId="75032E68" w14:textId="77777777" w:rsidTr="00AE5F34">
        <w:tc>
          <w:tcPr>
            <w:tcW w:w="3153" w:type="pct"/>
            <w:tcBorders>
              <w:top w:val="nil"/>
              <w:left w:val="nil"/>
              <w:bottom w:val="nil"/>
              <w:right w:val="nil"/>
            </w:tcBorders>
            <w:shd w:val="clear" w:color="auto" w:fill="auto"/>
            <w:noWrap/>
            <w:vAlign w:val="center"/>
            <w:hideMark/>
          </w:tcPr>
          <w:p w14:paraId="4538DC84" w14:textId="4B0C8CB1" w:rsidR="009B186A" w:rsidRPr="007B60BF" w:rsidRDefault="009B186A" w:rsidP="009B186A">
            <w:pPr>
              <w:ind w:firstLineChars="200" w:firstLine="400"/>
            </w:pPr>
            <w:r w:rsidRPr="007B60BF">
              <w:t>Caixa e Equivalente de Caixa no Final do Exercício</w:t>
            </w:r>
          </w:p>
        </w:tc>
        <w:tc>
          <w:tcPr>
            <w:tcW w:w="852" w:type="pct"/>
            <w:tcBorders>
              <w:top w:val="nil"/>
              <w:left w:val="nil"/>
              <w:right w:val="nil"/>
            </w:tcBorders>
            <w:shd w:val="clear" w:color="auto" w:fill="auto"/>
            <w:noWrap/>
          </w:tcPr>
          <w:p w14:paraId="31708421" w14:textId="6C7846DD" w:rsidR="009B186A" w:rsidRPr="007B60BF" w:rsidRDefault="009B186A" w:rsidP="009B186A">
            <w:pPr>
              <w:jc w:val="right"/>
            </w:pPr>
            <w:r w:rsidRPr="007B60BF">
              <w:t xml:space="preserve"> 276.492 </w:t>
            </w:r>
          </w:p>
        </w:tc>
        <w:tc>
          <w:tcPr>
            <w:tcW w:w="99" w:type="pct"/>
            <w:tcBorders>
              <w:top w:val="nil"/>
              <w:left w:val="nil"/>
              <w:bottom w:val="nil"/>
              <w:right w:val="nil"/>
            </w:tcBorders>
            <w:shd w:val="clear" w:color="auto" w:fill="auto"/>
            <w:noWrap/>
          </w:tcPr>
          <w:p w14:paraId="4489A71A" w14:textId="77777777" w:rsidR="009B186A" w:rsidRPr="007B60BF" w:rsidRDefault="009B186A" w:rsidP="009B186A"/>
        </w:tc>
        <w:tc>
          <w:tcPr>
            <w:tcW w:w="895" w:type="pct"/>
            <w:tcBorders>
              <w:top w:val="nil"/>
              <w:left w:val="nil"/>
              <w:right w:val="nil"/>
            </w:tcBorders>
            <w:shd w:val="clear" w:color="auto" w:fill="auto"/>
            <w:noWrap/>
          </w:tcPr>
          <w:p w14:paraId="6FDC645D" w14:textId="0B197B56" w:rsidR="009B186A" w:rsidRPr="007B60BF" w:rsidRDefault="009B186A" w:rsidP="009B186A">
            <w:pPr>
              <w:jc w:val="right"/>
            </w:pPr>
            <w:r w:rsidRPr="007B60BF">
              <w:t xml:space="preserve"> 237.037 </w:t>
            </w:r>
          </w:p>
        </w:tc>
      </w:tr>
      <w:tr w:rsidR="009B186A" w:rsidRPr="007B60BF" w14:paraId="212794BF" w14:textId="77777777" w:rsidTr="00FF0BB4">
        <w:tc>
          <w:tcPr>
            <w:tcW w:w="3153" w:type="pct"/>
            <w:tcBorders>
              <w:right w:val="nil"/>
            </w:tcBorders>
            <w:shd w:val="clear" w:color="auto" w:fill="auto"/>
            <w:noWrap/>
            <w:vAlign w:val="center"/>
            <w:hideMark/>
          </w:tcPr>
          <w:p w14:paraId="161837E8" w14:textId="77777777" w:rsidR="009B186A" w:rsidRPr="007B60BF" w:rsidRDefault="009B186A" w:rsidP="009B186A">
            <w:pPr>
              <w:rPr>
                <w:b/>
                <w:bCs/>
              </w:rPr>
            </w:pPr>
            <w:r w:rsidRPr="007B60BF">
              <w:rPr>
                <w:b/>
                <w:bCs/>
              </w:rPr>
              <w:t>Aumento/(Redução) de Caixa e Equivalente de Caixa</w:t>
            </w:r>
          </w:p>
        </w:tc>
        <w:tc>
          <w:tcPr>
            <w:tcW w:w="852" w:type="pct"/>
            <w:tcBorders>
              <w:left w:val="nil"/>
              <w:bottom w:val="double" w:sz="4" w:space="0" w:color="auto"/>
              <w:right w:val="nil"/>
            </w:tcBorders>
            <w:shd w:val="clear" w:color="auto" w:fill="auto"/>
            <w:noWrap/>
          </w:tcPr>
          <w:p w14:paraId="3A2576F4" w14:textId="03464B07" w:rsidR="009B186A" w:rsidRPr="007B60BF" w:rsidRDefault="009B186A" w:rsidP="009B186A">
            <w:pPr>
              <w:jc w:val="right"/>
              <w:rPr>
                <w:b/>
                <w:bCs/>
              </w:rPr>
            </w:pPr>
            <w:r w:rsidRPr="007B60BF">
              <w:rPr>
                <w:b/>
              </w:rPr>
              <w:t xml:space="preserve"> 39.455 </w:t>
            </w:r>
          </w:p>
        </w:tc>
        <w:tc>
          <w:tcPr>
            <w:tcW w:w="99" w:type="pct"/>
            <w:tcBorders>
              <w:left w:val="nil"/>
              <w:right w:val="nil"/>
            </w:tcBorders>
            <w:shd w:val="clear" w:color="auto" w:fill="auto"/>
            <w:noWrap/>
          </w:tcPr>
          <w:p w14:paraId="4A5146E8" w14:textId="77777777" w:rsidR="009B186A" w:rsidRPr="007B60BF" w:rsidRDefault="009B186A" w:rsidP="009B186A">
            <w:pPr>
              <w:rPr>
                <w:b/>
              </w:rPr>
            </w:pPr>
          </w:p>
        </w:tc>
        <w:tc>
          <w:tcPr>
            <w:tcW w:w="895" w:type="pct"/>
            <w:tcBorders>
              <w:left w:val="nil"/>
              <w:bottom w:val="double" w:sz="4" w:space="0" w:color="auto"/>
              <w:right w:val="nil"/>
            </w:tcBorders>
            <w:shd w:val="clear" w:color="auto" w:fill="auto"/>
            <w:noWrap/>
          </w:tcPr>
          <w:p w14:paraId="2B1A0B13" w14:textId="0932906B" w:rsidR="009B186A" w:rsidRPr="007B60BF" w:rsidRDefault="009B186A" w:rsidP="009B186A">
            <w:pPr>
              <w:jc w:val="right"/>
              <w:rPr>
                <w:b/>
                <w:bCs/>
              </w:rPr>
            </w:pPr>
            <w:r w:rsidRPr="007B60BF">
              <w:rPr>
                <w:b/>
              </w:rPr>
              <w:t>76.806</w:t>
            </w:r>
          </w:p>
        </w:tc>
      </w:tr>
      <w:tr w:rsidR="00364F94" w:rsidRPr="007B60BF" w14:paraId="502FE51C" w14:textId="77777777" w:rsidTr="00364F94">
        <w:tc>
          <w:tcPr>
            <w:tcW w:w="3153" w:type="pct"/>
            <w:tcBorders>
              <w:top w:val="nil"/>
              <w:left w:val="nil"/>
              <w:bottom w:val="nil"/>
              <w:right w:val="nil"/>
            </w:tcBorders>
            <w:shd w:val="clear" w:color="auto" w:fill="auto"/>
            <w:noWrap/>
            <w:vAlign w:val="center"/>
          </w:tcPr>
          <w:p w14:paraId="068229C0" w14:textId="77777777" w:rsidR="00364F94" w:rsidRPr="007B60BF" w:rsidRDefault="00364F94" w:rsidP="00364F94">
            <w:pPr>
              <w:ind w:firstLineChars="200" w:firstLine="240"/>
              <w:rPr>
                <w:sz w:val="12"/>
                <w:szCs w:val="12"/>
              </w:rPr>
            </w:pPr>
          </w:p>
        </w:tc>
        <w:tc>
          <w:tcPr>
            <w:tcW w:w="852" w:type="pct"/>
            <w:tcBorders>
              <w:top w:val="nil"/>
              <w:left w:val="nil"/>
              <w:right w:val="nil"/>
            </w:tcBorders>
            <w:shd w:val="clear" w:color="auto" w:fill="auto"/>
            <w:noWrap/>
            <w:vAlign w:val="center"/>
          </w:tcPr>
          <w:p w14:paraId="4A884D5E" w14:textId="77777777" w:rsidR="00364F94" w:rsidRPr="007B60BF" w:rsidRDefault="00364F94" w:rsidP="00364F94">
            <w:pPr>
              <w:jc w:val="right"/>
              <w:rPr>
                <w:sz w:val="12"/>
                <w:szCs w:val="12"/>
              </w:rPr>
            </w:pPr>
          </w:p>
        </w:tc>
        <w:tc>
          <w:tcPr>
            <w:tcW w:w="99" w:type="pct"/>
            <w:tcBorders>
              <w:top w:val="nil"/>
              <w:left w:val="nil"/>
              <w:right w:val="nil"/>
            </w:tcBorders>
            <w:shd w:val="clear" w:color="auto" w:fill="auto"/>
            <w:noWrap/>
            <w:vAlign w:val="center"/>
          </w:tcPr>
          <w:p w14:paraId="6A0CE5D7" w14:textId="77777777" w:rsidR="00364F94" w:rsidRPr="007B60BF" w:rsidRDefault="00364F94" w:rsidP="00364F94">
            <w:pPr>
              <w:rPr>
                <w:sz w:val="12"/>
                <w:szCs w:val="12"/>
              </w:rPr>
            </w:pPr>
          </w:p>
        </w:tc>
        <w:tc>
          <w:tcPr>
            <w:tcW w:w="895" w:type="pct"/>
            <w:tcBorders>
              <w:top w:val="nil"/>
              <w:left w:val="nil"/>
              <w:right w:val="nil"/>
            </w:tcBorders>
            <w:shd w:val="clear" w:color="auto" w:fill="auto"/>
            <w:noWrap/>
          </w:tcPr>
          <w:p w14:paraId="0BDA4904" w14:textId="670EA8AF" w:rsidR="00364F94" w:rsidRPr="007B60BF" w:rsidRDefault="00364F94" w:rsidP="00364F94">
            <w:pPr>
              <w:jc w:val="right"/>
              <w:rPr>
                <w:sz w:val="12"/>
                <w:szCs w:val="12"/>
              </w:rPr>
            </w:pPr>
          </w:p>
        </w:tc>
      </w:tr>
    </w:tbl>
    <w:p w14:paraId="65D6C326" w14:textId="388E8568" w:rsidR="005B23CD" w:rsidRPr="007B60BF" w:rsidRDefault="00DF06DB">
      <w:r w:rsidRPr="007B60BF">
        <w:t>A</w:t>
      </w:r>
      <w:r w:rsidR="00D65413" w:rsidRPr="007B60BF">
        <w:t xml:space="preserve">s notas explicativas </w:t>
      </w:r>
      <w:r w:rsidR="00F36266" w:rsidRPr="007B60BF">
        <w:t>são parte integrante das demonstrações contábeis.</w:t>
      </w:r>
      <w:r w:rsidR="005B23CD" w:rsidRPr="007B60BF">
        <w:br w:type="page"/>
      </w:r>
    </w:p>
    <w:p w14:paraId="5B6767E8" w14:textId="5671E416" w:rsidR="005B23CD" w:rsidRPr="007B60BF" w:rsidRDefault="006D099A" w:rsidP="0072145E">
      <w:pPr>
        <w:pStyle w:val="Ttulo1"/>
        <w:jc w:val="left"/>
      </w:pPr>
      <w:bookmarkStart w:id="16" w:name="_Toc223007848"/>
      <w:r w:rsidRPr="007B60BF">
        <w:lastRenderedPageBreak/>
        <w:t>Demonstrações</w:t>
      </w:r>
      <w:r w:rsidR="0072145E" w:rsidRPr="007B60BF">
        <w:t xml:space="preserve"> do Valor Adicionado</w:t>
      </w:r>
      <w:bookmarkEnd w:id="16"/>
    </w:p>
    <w:tbl>
      <w:tblPr>
        <w:tblW w:w="4922" w:type="pct"/>
        <w:tblCellMar>
          <w:left w:w="70" w:type="dxa"/>
          <w:right w:w="70" w:type="dxa"/>
        </w:tblCellMar>
        <w:tblLook w:val="04A0" w:firstRow="1" w:lastRow="0" w:firstColumn="1" w:lastColumn="0" w:noHBand="0" w:noVBand="1"/>
      </w:tblPr>
      <w:tblGrid>
        <w:gridCol w:w="5342"/>
        <w:gridCol w:w="1609"/>
        <w:gridCol w:w="420"/>
        <w:gridCol w:w="1559"/>
      </w:tblGrid>
      <w:tr w:rsidR="009221E6" w:rsidRPr="007B60BF" w14:paraId="5762978D" w14:textId="77777777" w:rsidTr="00960B2E">
        <w:tc>
          <w:tcPr>
            <w:tcW w:w="2991" w:type="pct"/>
            <w:tcBorders>
              <w:top w:val="nil"/>
              <w:left w:val="nil"/>
              <w:right w:val="nil"/>
            </w:tcBorders>
            <w:shd w:val="clear" w:color="auto" w:fill="auto"/>
            <w:noWrap/>
            <w:vAlign w:val="bottom"/>
          </w:tcPr>
          <w:p w14:paraId="45A9FBBB" w14:textId="77777777" w:rsidR="009221E6" w:rsidRPr="007B60BF" w:rsidRDefault="009221E6" w:rsidP="002A7241">
            <w:pPr>
              <w:rPr>
                <w:b/>
                <w:bCs/>
              </w:rPr>
            </w:pPr>
          </w:p>
        </w:tc>
        <w:tc>
          <w:tcPr>
            <w:tcW w:w="901" w:type="pct"/>
            <w:tcBorders>
              <w:top w:val="nil"/>
              <w:left w:val="nil"/>
              <w:right w:val="nil"/>
            </w:tcBorders>
            <w:shd w:val="clear" w:color="auto" w:fill="auto"/>
            <w:noWrap/>
            <w:vAlign w:val="bottom"/>
          </w:tcPr>
          <w:p w14:paraId="252B2148" w14:textId="77777777" w:rsidR="009221E6" w:rsidRPr="007B60BF" w:rsidRDefault="009221E6" w:rsidP="00AA05E0">
            <w:pPr>
              <w:jc w:val="right"/>
              <w:rPr>
                <w:b/>
                <w:bCs/>
              </w:rPr>
            </w:pPr>
          </w:p>
        </w:tc>
        <w:tc>
          <w:tcPr>
            <w:tcW w:w="235" w:type="pct"/>
            <w:tcBorders>
              <w:top w:val="nil"/>
              <w:left w:val="nil"/>
              <w:right w:val="nil"/>
            </w:tcBorders>
            <w:shd w:val="clear" w:color="auto" w:fill="auto"/>
            <w:noWrap/>
            <w:vAlign w:val="bottom"/>
          </w:tcPr>
          <w:p w14:paraId="02A893A9" w14:textId="77777777" w:rsidR="009221E6" w:rsidRPr="007B60BF" w:rsidRDefault="009221E6" w:rsidP="002A7241">
            <w:pPr>
              <w:jc w:val="right"/>
              <w:rPr>
                <w:b/>
                <w:bCs/>
              </w:rPr>
            </w:pPr>
          </w:p>
        </w:tc>
        <w:tc>
          <w:tcPr>
            <w:tcW w:w="873" w:type="pct"/>
            <w:tcBorders>
              <w:top w:val="nil"/>
              <w:left w:val="nil"/>
              <w:right w:val="nil"/>
            </w:tcBorders>
            <w:vAlign w:val="bottom"/>
          </w:tcPr>
          <w:p w14:paraId="18357F55" w14:textId="77777777" w:rsidR="009221E6" w:rsidRPr="007B60BF" w:rsidRDefault="009221E6" w:rsidP="00AA05E0">
            <w:pPr>
              <w:jc w:val="right"/>
              <w:rPr>
                <w:b/>
                <w:bCs/>
              </w:rPr>
            </w:pPr>
          </w:p>
        </w:tc>
      </w:tr>
      <w:tr w:rsidR="00947136" w:rsidRPr="007B60BF" w14:paraId="20488A05" w14:textId="77777777" w:rsidTr="00960B2E">
        <w:tc>
          <w:tcPr>
            <w:tcW w:w="2991" w:type="pct"/>
            <w:tcBorders>
              <w:left w:val="nil"/>
              <w:right w:val="nil"/>
            </w:tcBorders>
            <w:shd w:val="clear" w:color="auto" w:fill="auto"/>
            <w:noWrap/>
            <w:vAlign w:val="bottom"/>
            <w:hideMark/>
          </w:tcPr>
          <w:p w14:paraId="684C93CD" w14:textId="0654A85B" w:rsidR="00947136" w:rsidRPr="007B60BF" w:rsidRDefault="00947136" w:rsidP="00947136">
            <w:pPr>
              <w:rPr>
                <w:b/>
                <w:bCs/>
              </w:rPr>
            </w:pPr>
          </w:p>
        </w:tc>
        <w:tc>
          <w:tcPr>
            <w:tcW w:w="901" w:type="pct"/>
            <w:tcBorders>
              <w:left w:val="nil"/>
              <w:bottom w:val="single" w:sz="4" w:space="0" w:color="auto"/>
              <w:right w:val="nil"/>
            </w:tcBorders>
            <w:shd w:val="clear" w:color="auto" w:fill="auto"/>
            <w:noWrap/>
            <w:vAlign w:val="bottom"/>
            <w:hideMark/>
          </w:tcPr>
          <w:p w14:paraId="5CCF0AFE" w14:textId="0419D898" w:rsidR="00947136" w:rsidRPr="007B60BF" w:rsidRDefault="009173BF" w:rsidP="00590EEE">
            <w:pPr>
              <w:jc w:val="right"/>
              <w:rPr>
                <w:b/>
                <w:bCs/>
              </w:rPr>
            </w:pPr>
            <w:r w:rsidRPr="007B60BF">
              <w:rPr>
                <w:b/>
                <w:bCs/>
                <w:color w:val="000000"/>
              </w:rPr>
              <w:t>31/12/2025</w:t>
            </w:r>
          </w:p>
        </w:tc>
        <w:tc>
          <w:tcPr>
            <w:tcW w:w="235" w:type="pct"/>
            <w:tcBorders>
              <w:left w:val="nil"/>
              <w:right w:val="nil"/>
            </w:tcBorders>
            <w:shd w:val="clear" w:color="auto" w:fill="auto"/>
            <w:noWrap/>
            <w:vAlign w:val="bottom"/>
            <w:hideMark/>
          </w:tcPr>
          <w:p w14:paraId="0DE5A538" w14:textId="77777777" w:rsidR="00947136" w:rsidRPr="007B60BF" w:rsidRDefault="00947136" w:rsidP="00947136">
            <w:pPr>
              <w:jc w:val="right"/>
              <w:rPr>
                <w:b/>
                <w:bCs/>
              </w:rPr>
            </w:pPr>
          </w:p>
        </w:tc>
        <w:tc>
          <w:tcPr>
            <w:tcW w:w="873" w:type="pct"/>
            <w:tcBorders>
              <w:left w:val="nil"/>
              <w:right w:val="nil"/>
            </w:tcBorders>
          </w:tcPr>
          <w:p w14:paraId="4A62786E" w14:textId="0D03F395" w:rsidR="00947136" w:rsidRPr="007B60BF" w:rsidRDefault="00AA430E" w:rsidP="00590EEE">
            <w:pPr>
              <w:jc w:val="right"/>
              <w:rPr>
                <w:b/>
                <w:bCs/>
              </w:rPr>
            </w:pPr>
            <w:r w:rsidRPr="007B60BF">
              <w:rPr>
                <w:b/>
              </w:rPr>
              <w:t>31/12/2024</w:t>
            </w:r>
          </w:p>
        </w:tc>
      </w:tr>
      <w:tr w:rsidR="00947136" w:rsidRPr="007B60BF" w14:paraId="4104E806" w14:textId="77777777" w:rsidTr="00D7349A">
        <w:tc>
          <w:tcPr>
            <w:tcW w:w="2991" w:type="pct"/>
            <w:tcBorders>
              <w:top w:val="nil"/>
              <w:left w:val="nil"/>
              <w:right w:val="nil"/>
            </w:tcBorders>
            <w:shd w:val="clear" w:color="auto" w:fill="auto"/>
            <w:noWrap/>
            <w:vAlign w:val="bottom"/>
          </w:tcPr>
          <w:p w14:paraId="19E39419" w14:textId="77777777" w:rsidR="00947136" w:rsidRPr="007B60BF" w:rsidRDefault="00947136" w:rsidP="00947136">
            <w:pPr>
              <w:rPr>
                <w:b/>
                <w:bCs/>
              </w:rPr>
            </w:pPr>
          </w:p>
        </w:tc>
        <w:tc>
          <w:tcPr>
            <w:tcW w:w="901" w:type="pct"/>
            <w:tcBorders>
              <w:top w:val="single" w:sz="4" w:space="0" w:color="auto"/>
              <w:left w:val="nil"/>
              <w:right w:val="nil"/>
            </w:tcBorders>
            <w:shd w:val="clear" w:color="auto" w:fill="auto"/>
            <w:noWrap/>
            <w:vAlign w:val="center"/>
          </w:tcPr>
          <w:p w14:paraId="4AB531FD" w14:textId="77777777" w:rsidR="00947136" w:rsidRPr="007B60BF" w:rsidRDefault="00947136" w:rsidP="00947136">
            <w:pPr>
              <w:jc w:val="right"/>
              <w:rPr>
                <w:b/>
                <w:bCs/>
              </w:rPr>
            </w:pPr>
          </w:p>
        </w:tc>
        <w:tc>
          <w:tcPr>
            <w:tcW w:w="235" w:type="pct"/>
            <w:tcBorders>
              <w:top w:val="nil"/>
              <w:left w:val="nil"/>
              <w:right w:val="nil"/>
            </w:tcBorders>
            <w:shd w:val="clear" w:color="auto" w:fill="auto"/>
            <w:noWrap/>
            <w:vAlign w:val="bottom"/>
          </w:tcPr>
          <w:p w14:paraId="244B8583" w14:textId="77777777" w:rsidR="00947136" w:rsidRPr="007B60BF" w:rsidRDefault="00947136" w:rsidP="00947136">
            <w:pPr>
              <w:jc w:val="right"/>
              <w:rPr>
                <w:b/>
                <w:bCs/>
              </w:rPr>
            </w:pPr>
          </w:p>
        </w:tc>
        <w:tc>
          <w:tcPr>
            <w:tcW w:w="873" w:type="pct"/>
            <w:tcBorders>
              <w:top w:val="single" w:sz="4" w:space="0" w:color="auto"/>
              <w:left w:val="nil"/>
              <w:right w:val="nil"/>
            </w:tcBorders>
          </w:tcPr>
          <w:p w14:paraId="71A45FC8" w14:textId="77777777" w:rsidR="00947136" w:rsidRPr="007B60BF" w:rsidRDefault="00947136" w:rsidP="00947136">
            <w:pPr>
              <w:jc w:val="right"/>
              <w:rPr>
                <w:b/>
                <w:bCs/>
              </w:rPr>
            </w:pPr>
          </w:p>
        </w:tc>
      </w:tr>
      <w:tr w:rsidR="00947136" w:rsidRPr="007B60BF" w14:paraId="32218B83" w14:textId="77777777" w:rsidTr="00D7349A">
        <w:tc>
          <w:tcPr>
            <w:tcW w:w="2991" w:type="pct"/>
            <w:tcBorders>
              <w:left w:val="nil"/>
              <w:bottom w:val="nil"/>
              <w:right w:val="nil"/>
            </w:tcBorders>
            <w:shd w:val="clear" w:color="auto" w:fill="auto"/>
            <w:noWrap/>
            <w:vAlign w:val="bottom"/>
            <w:hideMark/>
          </w:tcPr>
          <w:p w14:paraId="744610EF" w14:textId="77777777" w:rsidR="00947136" w:rsidRPr="007B60BF" w:rsidRDefault="00947136" w:rsidP="00947136">
            <w:pPr>
              <w:rPr>
                <w:b/>
                <w:bCs/>
              </w:rPr>
            </w:pPr>
            <w:r w:rsidRPr="007B60BF">
              <w:rPr>
                <w:b/>
                <w:bCs/>
              </w:rPr>
              <w:t>Receitas</w:t>
            </w:r>
          </w:p>
        </w:tc>
        <w:tc>
          <w:tcPr>
            <w:tcW w:w="901" w:type="pct"/>
            <w:tcBorders>
              <w:left w:val="nil"/>
              <w:right w:val="nil"/>
            </w:tcBorders>
            <w:shd w:val="clear" w:color="auto" w:fill="auto"/>
            <w:noWrap/>
            <w:vAlign w:val="center"/>
          </w:tcPr>
          <w:p w14:paraId="3F04987C" w14:textId="77777777" w:rsidR="00947136" w:rsidRPr="007B60BF" w:rsidRDefault="00947136" w:rsidP="00947136">
            <w:pPr>
              <w:jc w:val="right"/>
              <w:rPr>
                <w:b/>
                <w:bCs/>
              </w:rPr>
            </w:pPr>
          </w:p>
        </w:tc>
        <w:tc>
          <w:tcPr>
            <w:tcW w:w="235" w:type="pct"/>
            <w:tcBorders>
              <w:left w:val="nil"/>
              <w:right w:val="nil"/>
            </w:tcBorders>
            <w:shd w:val="clear" w:color="auto" w:fill="auto"/>
            <w:noWrap/>
            <w:vAlign w:val="bottom"/>
          </w:tcPr>
          <w:p w14:paraId="2E5AAA09" w14:textId="77777777" w:rsidR="00947136" w:rsidRPr="007B60BF" w:rsidRDefault="00947136" w:rsidP="00947136">
            <w:pPr>
              <w:jc w:val="right"/>
              <w:rPr>
                <w:b/>
                <w:bCs/>
              </w:rPr>
            </w:pPr>
          </w:p>
        </w:tc>
        <w:tc>
          <w:tcPr>
            <w:tcW w:w="873" w:type="pct"/>
            <w:tcBorders>
              <w:left w:val="nil"/>
              <w:right w:val="nil"/>
            </w:tcBorders>
          </w:tcPr>
          <w:p w14:paraId="4B2B2DF3" w14:textId="77777777" w:rsidR="00947136" w:rsidRPr="007B60BF" w:rsidRDefault="00947136" w:rsidP="00947136">
            <w:pPr>
              <w:jc w:val="right"/>
              <w:rPr>
                <w:b/>
                <w:bCs/>
              </w:rPr>
            </w:pPr>
          </w:p>
        </w:tc>
      </w:tr>
      <w:tr w:rsidR="000D68F8" w:rsidRPr="007B60BF" w14:paraId="3DF249CC" w14:textId="77777777" w:rsidTr="00960B2E">
        <w:tc>
          <w:tcPr>
            <w:tcW w:w="2991" w:type="pct"/>
            <w:tcBorders>
              <w:top w:val="nil"/>
              <w:left w:val="nil"/>
              <w:bottom w:val="nil"/>
              <w:right w:val="nil"/>
            </w:tcBorders>
            <w:shd w:val="clear" w:color="auto" w:fill="auto"/>
            <w:noWrap/>
            <w:vAlign w:val="bottom"/>
            <w:hideMark/>
          </w:tcPr>
          <w:p w14:paraId="4BF1FE8D" w14:textId="77777777" w:rsidR="000D68F8" w:rsidRPr="007B60BF" w:rsidRDefault="000D68F8" w:rsidP="000D68F8">
            <w:pPr>
              <w:ind w:firstLineChars="200" w:firstLine="400"/>
            </w:pPr>
            <w:r w:rsidRPr="007B60BF">
              <w:t>Prestação de Serviços</w:t>
            </w:r>
          </w:p>
        </w:tc>
        <w:tc>
          <w:tcPr>
            <w:tcW w:w="901" w:type="pct"/>
            <w:tcBorders>
              <w:left w:val="nil"/>
              <w:bottom w:val="nil"/>
              <w:right w:val="nil"/>
            </w:tcBorders>
            <w:shd w:val="clear" w:color="auto" w:fill="auto"/>
            <w:noWrap/>
          </w:tcPr>
          <w:p w14:paraId="1DBF3886" w14:textId="3FBD2458" w:rsidR="000D68F8" w:rsidRPr="007B60BF" w:rsidRDefault="000D68F8" w:rsidP="000D68F8">
            <w:pPr>
              <w:jc w:val="right"/>
            </w:pPr>
            <w:r w:rsidRPr="007B60BF">
              <w:t xml:space="preserve"> 382.618 </w:t>
            </w:r>
          </w:p>
        </w:tc>
        <w:tc>
          <w:tcPr>
            <w:tcW w:w="235" w:type="pct"/>
            <w:tcBorders>
              <w:left w:val="nil"/>
              <w:bottom w:val="nil"/>
              <w:right w:val="nil"/>
            </w:tcBorders>
            <w:shd w:val="clear" w:color="auto" w:fill="auto"/>
            <w:noWrap/>
            <w:vAlign w:val="bottom"/>
          </w:tcPr>
          <w:p w14:paraId="4BE8233A" w14:textId="77777777" w:rsidR="000D68F8" w:rsidRPr="007B60BF" w:rsidRDefault="000D68F8" w:rsidP="000D68F8">
            <w:pPr>
              <w:jc w:val="right"/>
            </w:pPr>
          </w:p>
        </w:tc>
        <w:tc>
          <w:tcPr>
            <w:tcW w:w="873" w:type="pct"/>
            <w:tcBorders>
              <w:left w:val="nil"/>
              <w:bottom w:val="nil"/>
              <w:right w:val="nil"/>
            </w:tcBorders>
            <w:shd w:val="clear" w:color="auto" w:fill="auto"/>
          </w:tcPr>
          <w:p w14:paraId="46A3DD3F" w14:textId="082D60FD" w:rsidR="000D68F8" w:rsidRPr="007B60BF" w:rsidRDefault="000D68F8" w:rsidP="000D68F8">
            <w:pPr>
              <w:jc w:val="right"/>
            </w:pPr>
            <w:r w:rsidRPr="007B60BF">
              <w:t xml:space="preserve"> 379.338 </w:t>
            </w:r>
          </w:p>
        </w:tc>
      </w:tr>
      <w:tr w:rsidR="000D68F8" w:rsidRPr="007B60BF" w14:paraId="3769DA89" w14:textId="77777777" w:rsidTr="00960B2E">
        <w:tc>
          <w:tcPr>
            <w:tcW w:w="2991" w:type="pct"/>
            <w:tcBorders>
              <w:top w:val="nil"/>
              <w:left w:val="nil"/>
              <w:bottom w:val="nil"/>
              <w:right w:val="nil"/>
            </w:tcBorders>
            <w:shd w:val="clear" w:color="auto" w:fill="auto"/>
            <w:noWrap/>
            <w:vAlign w:val="bottom"/>
            <w:hideMark/>
          </w:tcPr>
          <w:p w14:paraId="1305F4B3" w14:textId="77777777" w:rsidR="000D68F8" w:rsidRPr="007B60BF" w:rsidRDefault="000D68F8" w:rsidP="000D68F8">
            <w:pPr>
              <w:ind w:firstLineChars="200" w:firstLine="400"/>
            </w:pPr>
            <w:r w:rsidRPr="007B60BF">
              <w:t>Outras Receitas</w:t>
            </w:r>
          </w:p>
        </w:tc>
        <w:tc>
          <w:tcPr>
            <w:tcW w:w="901" w:type="pct"/>
            <w:tcBorders>
              <w:top w:val="nil"/>
              <w:left w:val="nil"/>
              <w:bottom w:val="nil"/>
              <w:right w:val="nil"/>
            </w:tcBorders>
            <w:shd w:val="clear" w:color="auto" w:fill="auto"/>
            <w:noWrap/>
          </w:tcPr>
          <w:p w14:paraId="6689257B" w14:textId="5628102B" w:rsidR="000D68F8" w:rsidRPr="007B60BF" w:rsidRDefault="000D68F8" w:rsidP="000D68F8">
            <w:pPr>
              <w:jc w:val="right"/>
            </w:pPr>
            <w:r w:rsidRPr="007B60BF">
              <w:t xml:space="preserve"> 20.901 </w:t>
            </w:r>
          </w:p>
        </w:tc>
        <w:tc>
          <w:tcPr>
            <w:tcW w:w="235" w:type="pct"/>
            <w:tcBorders>
              <w:top w:val="nil"/>
              <w:left w:val="nil"/>
              <w:bottom w:val="nil"/>
              <w:right w:val="nil"/>
            </w:tcBorders>
            <w:shd w:val="clear" w:color="auto" w:fill="auto"/>
            <w:noWrap/>
            <w:vAlign w:val="bottom"/>
          </w:tcPr>
          <w:p w14:paraId="366FD133" w14:textId="77777777" w:rsidR="000D68F8" w:rsidRPr="007B60BF" w:rsidRDefault="000D68F8" w:rsidP="000D68F8">
            <w:pPr>
              <w:jc w:val="right"/>
            </w:pPr>
          </w:p>
        </w:tc>
        <w:tc>
          <w:tcPr>
            <w:tcW w:w="873" w:type="pct"/>
            <w:tcBorders>
              <w:top w:val="nil"/>
              <w:left w:val="nil"/>
              <w:bottom w:val="nil"/>
              <w:right w:val="nil"/>
            </w:tcBorders>
            <w:shd w:val="clear" w:color="auto" w:fill="auto"/>
          </w:tcPr>
          <w:p w14:paraId="17B85998" w14:textId="08E8E32E" w:rsidR="000D68F8" w:rsidRPr="007B60BF" w:rsidRDefault="000D68F8" w:rsidP="000D68F8">
            <w:pPr>
              <w:jc w:val="right"/>
            </w:pPr>
            <w:r w:rsidRPr="007B60BF">
              <w:t xml:space="preserve"> 45.115 </w:t>
            </w:r>
          </w:p>
        </w:tc>
      </w:tr>
      <w:tr w:rsidR="000D68F8" w:rsidRPr="007B60BF" w14:paraId="32550A78" w14:textId="77777777" w:rsidTr="00960B2E">
        <w:tc>
          <w:tcPr>
            <w:tcW w:w="2991" w:type="pct"/>
            <w:tcBorders>
              <w:top w:val="nil"/>
              <w:left w:val="nil"/>
              <w:right w:val="nil"/>
            </w:tcBorders>
            <w:shd w:val="clear" w:color="auto" w:fill="auto"/>
            <w:noWrap/>
            <w:vAlign w:val="bottom"/>
            <w:hideMark/>
          </w:tcPr>
          <w:p w14:paraId="72F18B5D" w14:textId="5B84F07F" w:rsidR="000D68F8" w:rsidRPr="007B60BF" w:rsidRDefault="000D68F8" w:rsidP="000D68F8">
            <w:pPr>
              <w:ind w:firstLineChars="200" w:firstLine="400"/>
            </w:pPr>
            <w:r w:rsidRPr="007B60BF">
              <w:t>Prov. Créd. Liq. Duvidosa Reversão/(Constituição)</w:t>
            </w:r>
          </w:p>
        </w:tc>
        <w:tc>
          <w:tcPr>
            <w:tcW w:w="901" w:type="pct"/>
            <w:tcBorders>
              <w:top w:val="nil"/>
              <w:left w:val="nil"/>
              <w:right w:val="nil"/>
            </w:tcBorders>
            <w:shd w:val="clear" w:color="auto" w:fill="auto"/>
            <w:noWrap/>
          </w:tcPr>
          <w:p w14:paraId="377C6792" w14:textId="5A013768" w:rsidR="000D68F8" w:rsidRPr="007B60BF" w:rsidRDefault="000D68F8" w:rsidP="000D68F8">
            <w:pPr>
              <w:jc w:val="right"/>
            </w:pPr>
            <w:r w:rsidRPr="007B60BF">
              <w:t xml:space="preserve"> (1.834)</w:t>
            </w:r>
          </w:p>
        </w:tc>
        <w:tc>
          <w:tcPr>
            <w:tcW w:w="235" w:type="pct"/>
            <w:tcBorders>
              <w:top w:val="nil"/>
              <w:left w:val="nil"/>
              <w:right w:val="nil"/>
            </w:tcBorders>
            <w:shd w:val="clear" w:color="auto" w:fill="auto"/>
            <w:noWrap/>
            <w:vAlign w:val="bottom"/>
          </w:tcPr>
          <w:p w14:paraId="3A9E1E63" w14:textId="77777777" w:rsidR="000D68F8" w:rsidRPr="007B60BF" w:rsidRDefault="000D68F8" w:rsidP="000D68F8">
            <w:pPr>
              <w:jc w:val="right"/>
            </w:pPr>
          </w:p>
        </w:tc>
        <w:tc>
          <w:tcPr>
            <w:tcW w:w="873" w:type="pct"/>
            <w:tcBorders>
              <w:top w:val="nil"/>
              <w:left w:val="nil"/>
              <w:right w:val="nil"/>
            </w:tcBorders>
            <w:shd w:val="clear" w:color="auto" w:fill="auto"/>
          </w:tcPr>
          <w:p w14:paraId="5EA4AE49" w14:textId="268C6698" w:rsidR="000D68F8" w:rsidRPr="007B60BF" w:rsidRDefault="000D68F8" w:rsidP="000D68F8">
            <w:pPr>
              <w:jc w:val="right"/>
            </w:pPr>
            <w:r w:rsidRPr="007B60BF">
              <w:t xml:space="preserve">(3.356) </w:t>
            </w:r>
          </w:p>
        </w:tc>
      </w:tr>
      <w:tr w:rsidR="007C01B1" w:rsidRPr="007B60BF" w14:paraId="1DFA2B8E" w14:textId="77777777" w:rsidTr="00960B2E">
        <w:tc>
          <w:tcPr>
            <w:tcW w:w="2991" w:type="pct"/>
            <w:shd w:val="clear" w:color="auto" w:fill="auto"/>
            <w:noWrap/>
            <w:vAlign w:val="bottom"/>
          </w:tcPr>
          <w:p w14:paraId="037F6CB9" w14:textId="77777777" w:rsidR="007C01B1" w:rsidRPr="007B60BF" w:rsidRDefault="007C01B1" w:rsidP="007C01B1">
            <w:pPr>
              <w:rPr>
                <w:b/>
              </w:rPr>
            </w:pPr>
          </w:p>
        </w:tc>
        <w:tc>
          <w:tcPr>
            <w:tcW w:w="901" w:type="pct"/>
            <w:tcBorders>
              <w:bottom w:val="single" w:sz="4" w:space="0" w:color="auto"/>
            </w:tcBorders>
            <w:shd w:val="clear" w:color="auto" w:fill="auto"/>
            <w:noWrap/>
          </w:tcPr>
          <w:p w14:paraId="4A7AA17D" w14:textId="005837C6" w:rsidR="007C01B1" w:rsidRPr="007B60BF" w:rsidRDefault="000D68F8" w:rsidP="007C01B1">
            <w:pPr>
              <w:jc w:val="right"/>
              <w:rPr>
                <w:b/>
              </w:rPr>
            </w:pPr>
            <w:r w:rsidRPr="007B60BF">
              <w:rPr>
                <w:b/>
              </w:rPr>
              <w:t>401.685</w:t>
            </w:r>
          </w:p>
        </w:tc>
        <w:tc>
          <w:tcPr>
            <w:tcW w:w="235" w:type="pct"/>
            <w:shd w:val="clear" w:color="auto" w:fill="auto"/>
            <w:noWrap/>
            <w:vAlign w:val="bottom"/>
          </w:tcPr>
          <w:p w14:paraId="5D921FA9" w14:textId="77777777" w:rsidR="007C01B1" w:rsidRPr="007B60BF" w:rsidRDefault="007C01B1" w:rsidP="007C01B1">
            <w:pPr>
              <w:jc w:val="right"/>
              <w:rPr>
                <w:b/>
              </w:rPr>
            </w:pPr>
          </w:p>
        </w:tc>
        <w:tc>
          <w:tcPr>
            <w:tcW w:w="873" w:type="pct"/>
            <w:tcBorders>
              <w:bottom w:val="single" w:sz="4" w:space="0" w:color="auto"/>
            </w:tcBorders>
            <w:shd w:val="clear" w:color="auto" w:fill="auto"/>
          </w:tcPr>
          <w:p w14:paraId="35884107" w14:textId="41409FDF" w:rsidR="007C01B1" w:rsidRPr="007B60BF" w:rsidRDefault="007C01B1" w:rsidP="007C01B1">
            <w:pPr>
              <w:jc w:val="right"/>
              <w:rPr>
                <w:b/>
              </w:rPr>
            </w:pPr>
            <w:r w:rsidRPr="007B60BF">
              <w:t xml:space="preserve"> </w:t>
            </w:r>
            <w:r w:rsidRPr="007B60BF">
              <w:rPr>
                <w:b/>
              </w:rPr>
              <w:t xml:space="preserve">421.097 </w:t>
            </w:r>
          </w:p>
        </w:tc>
      </w:tr>
      <w:tr w:rsidR="007C01B1" w:rsidRPr="007B60BF" w14:paraId="63CC82ED" w14:textId="77777777" w:rsidTr="00D7349A">
        <w:tc>
          <w:tcPr>
            <w:tcW w:w="2991" w:type="pct"/>
            <w:tcBorders>
              <w:left w:val="nil"/>
              <w:bottom w:val="nil"/>
              <w:right w:val="nil"/>
            </w:tcBorders>
            <w:shd w:val="clear" w:color="auto" w:fill="auto"/>
            <w:noWrap/>
            <w:vAlign w:val="bottom"/>
          </w:tcPr>
          <w:tbl>
            <w:tblPr>
              <w:tblW w:w="2779" w:type="pct"/>
              <w:tblCellMar>
                <w:left w:w="70" w:type="dxa"/>
                <w:right w:w="70" w:type="dxa"/>
              </w:tblCellMar>
              <w:tblLook w:val="04A0" w:firstRow="1" w:lastRow="0" w:firstColumn="1" w:lastColumn="0" w:noHBand="0" w:noVBand="1"/>
            </w:tblPr>
            <w:tblGrid>
              <w:gridCol w:w="2745"/>
              <w:gridCol w:w="146"/>
            </w:tblGrid>
            <w:tr w:rsidR="007C01B1" w:rsidRPr="007B60BF" w14:paraId="09FEA283" w14:textId="77777777" w:rsidTr="00414B3C">
              <w:tc>
                <w:tcPr>
                  <w:tcW w:w="4755" w:type="pct"/>
                  <w:tcBorders>
                    <w:left w:val="nil"/>
                    <w:bottom w:val="nil"/>
                    <w:right w:val="nil"/>
                  </w:tcBorders>
                  <w:shd w:val="clear" w:color="auto" w:fill="auto"/>
                  <w:noWrap/>
                  <w:vAlign w:val="bottom"/>
                  <w:hideMark/>
                </w:tcPr>
                <w:p w14:paraId="2165AB26" w14:textId="77777777" w:rsidR="007C01B1" w:rsidRPr="007B60BF" w:rsidRDefault="007C01B1" w:rsidP="007C01B1">
                  <w:pPr>
                    <w:rPr>
                      <w:b/>
                      <w:bCs/>
                    </w:rPr>
                  </w:pPr>
                </w:p>
              </w:tc>
              <w:tc>
                <w:tcPr>
                  <w:tcW w:w="245" w:type="pct"/>
                  <w:tcBorders>
                    <w:left w:val="nil"/>
                    <w:bottom w:val="nil"/>
                    <w:right w:val="nil"/>
                  </w:tcBorders>
                  <w:shd w:val="clear" w:color="auto" w:fill="auto"/>
                  <w:noWrap/>
                  <w:vAlign w:val="bottom"/>
                  <w:hideMark/>
                </w:tcPr>
                <w:p w14:paraId="54638BFF" w14:textId="77777777" w:rsidR="007C01B1" w:rsidRPr="007B60BF" w:rsidRDefault="007C01B1" w:rsidP="007C01B1">
                  <w:pPr>
                    <w:jc w:val="right"/>
                    <w:rPr>
                      <w:b/>
                      <w:bCs/>
                    </w:rPr>
                  </w:pPr>
                </w:p>
              </w:tc>
            </w:tr>
          </w:tbl>
          <w:p w14:paraId="08AD2C26" w14:textId="77777777" w:rsidR="007C01B1" w:rsidRPr="007B60BF" w:rsidRDefault="007C01B1" w:rsidP="007C01B1">
            <w:pPr>
              <w:ind w:firstLineChars="200" w:firstLine="400"/>
            </w:pPr>
          </w:p>
        </w:tc>
        <w:tc>
          <w:tcPr>
            <w:tcW w:w="901" w:type="pct"/>
            <w:tcBorders>
              <w:top w:val="single" w:sz="4" w:space="0" w:color="auto"/>
              <w:left w:val="nil"/>
              <w:right w:val="nil"/>
            </w:tcBorders>
            <w:shd w:val="clear" w:color="auto" w:fill="auto"/>
            <w:noWrap/>
            <w:vAlign w:val="center"/>
          </w:tcPr>
          <w:p w14:paraId="768355E3" w14:textId="77777777" w:rsidR="007C01B1" w:rsidRPr="007B60BF" w:rsidRDefault="007C01B1" w:rsidP="007C01B1">
            <w:pPr>
              <w:jc w:val="right"/>
            </w:pPr>
          </w:p>
        </w:tc>
        <w:tc>
          <w:tcPr>
            <w:tcW w:w="235" w:type="pct"/>
            <w:tcBorders>
              <w:left w:val="nil"/>
              <w:right w:val="nil"/>
            </w:tcBorders>
            <w:shd w:val="clear" w:color="auto" w:fill="auto"/>
            <w:noWrap/>
            <w:vAlign w:val="bottom"/>
          </w:tcPr>
          <w:p w14:paraId="2782EC7D" w14:textId="77777777" w:rsidR="007C01B1" w:rsidRPr="007B60BF" w:rsidRDefault="007C01B1" w:rsidP="007C01B1">
            <w:pPr>
              <w:jc w:val="right"/>
            </w:pPr>
          </w:p>
        </w:tc>
        <w:tc>
          <w:tcPr>
            <w:tcW w:w="873" w:type="pct"/>
            <w:tcBorders>
              <w:top w:val="single" w:sz="4" w:space="0" w:color="auto"/>
              <w:left w:val="nil"/>
              <w:right w:val="nil"/>
            </w:tcBorders>
            <w:shd w:val="clear" w:color="auto" w:fill="auto"/>
          </w:tcPr>
          <w:p w14:paraId="1CDFA850" w14:textId="77777777" w:rsidR="007C01B1" w:rsidRPr="007B60BF" w:rsidRDefault="007C01B1" w:rsidP="007C01B1">
            <w:pPr>
              <w:jc w:val="right"/>
            </w:pPr>
          </w:p>
        </w:tc>
      </w:tr>
      <w:tr w:rsidR="007C01B1" w:rsidRPr="007B60BF" w14:paraId="59C8CD35" w14:textId="77777777" w:rsidTr="00D7349A">
        <w:tc>
          <w:tcPr>
            <w:tcW w:w="2991" w:type="pct"/>
            <w:tcBorders>
              <w:top w:val="nil"/>
              <w:left w:val="nil"/>
              <w:bottom w:val="nil"/>
              <w:right w:val="nil"/>
            </w:tcBorders>
            <w:shd w:val="clear" w:color="auto" w:fill="auto"/>
            <w:noWrap/>
            <w:vAlign w:val="bottom"/>
            <w:hideMark/>
          </w:tcPr>
          <w:p w14:paraId="37C7A62D" w14:textId="439FB1E6" w:rsidR="007C01B1" w:rsidRPr="007B60BF" w:rsidRDefault="007C01B1" w:rsidP="007C01B1">
            <w:pPr>
              <w:rPr>
                <w:b/>
                <w:bCs/>
              </w:rPr>
            </w:pPr>
            <w:r w:rsidRPr="007B60BF">
              <w:rPr>
                <w:b/>
                <w:bCs/>
              </w:rPr>
              <w:t xml:space="preserve"> Insumos Adquiridos de Terceiros</w:t>
            </w:r>
          </w:p>
        </w:tc>
        <w:tc>
          <w:tcPr>
            <w:tcW w:w="901" w:type="pct"/>
            <w:tcBorders>
              <w:left w:val="nil"/>
              <w:right w:val="nil"/>
            </w:tcBorders>
            <w:shd w:val="clear" w:color="auto" w:fill="auto"/>
            <w:noWrap/>
            <w:vAlign w:val="center"/>
          </w:tcPr>
          <w:p w14:paraId="013ECB4B" w14:textId="77777777" w:rsidR="007C01B1" w:rsidRPr="007B60BF" w:rsidRDefault="007C01B1" w:rsidP="007C01B1">
            <w:pPr>
              <w:jc w:val="right"/>
              <w:rPr>
                <w:b/>
                <w:bCs/>
              </w:rPr>
            </w:pPr>
          </w:p>
        </w:tc>
        <w:tc>
          <w:tcPr>
            <w:tcW w:w="235" w:type="pct"/>
            <w:tcBorders>
              <w:left w:val="nil"/>
              <w:right w:val="nil"/>
            </w:tcBorders>
            <w:shd w:val="clear" w:color="auto" w:fill="auto"/>
            <w:noWrap/>
            <w:vAlign w:val="bottom"/>
          </w:tcPr>
          <w:p w14:paraId="61099F89" w14:textId="77777777" w:rsidR="007C01B1" w:rsidRPr="007B60BF" w:rsidRDefault="007C01B1" w:rsidP="007C01B1">
            <w:pPr>
              <w:jc w:val="right"/>
              <w:rPr>
                <w:b/>
                <w:bCs/>
              </w:rPr>
            </w:pPr>
          </w:p>
        </w:tc>
        <w:tc>
          <w:tcPr>
            <w:tcW w:w="873" w:type="pct"/>
            <w:tcBorders>
              <w:left w:val="nil"/>
              <w:right w:val="nil"/>
            </w:tcBorders>
            <w:shd w:val="clear" w:color="auto" w:fill="auto"/>
          </w:tcPr>
          <w:p w14:paraId="41A2835F" w14:textId="77777777" w:rsidR="007C01B1" w:rsidRPr="007B60BF" w:rsidRDefault="007C01B1" w:rsidP="007C01B1">
            <w:pPr>
              <w:jc w:val="right"/>
              <w:rPr>
                <w:b/>
                <w:bCs/>
              </w:rPr>
            </w:pPr>
          </w:p>
        </w:tc>
      </w:tr>
      <w:tr w:rsidR="000D68F8" w:rsidRPr="007B60BF" w14:paraId="3A59C3E1" w14:textId="77777777" w:rsidTr="00960B2E">
        <w:tc>
          <w:tcPr>
            <w:tcW w:w="2991" w:type="pct"/>
            <w:tcBorders>
              <w:top w:val="nil"/>
              <w:left w:val="nil"/>
              <w:bottom w:val="nil"/>
              <w:right w:val="nil"/>
            </w:tcBorders>
            <w:shd w:val="clear" w:color="auto" w:fill="auto"/>
            <w:noWrap/>
            <w:vAlign w:val="bottom"/>
            <w:hideMark/>
          </w:tcPr>
          <w:p w14:paraId="077552A2" w14:textId="77777777" w:rsidR="000D68F8" w:rsidRPr="007B60BF" w:rsidRDefault="000D68F8" w:rsidP="000D68F8">
            <w:pPr>
              <w:ind w:firstLineChars="200" w:firstLine="400"/>
            </w:pPr>
            <w:r w:rsidRPr="007B60BF">
              <w:t xml:space="preserve"> Custos dos Serviços Prestados (Consumo)</w:t>
            </w:r>
          </w:p>
        </w:tc>
        <w:tc>
          <w:tcPr>
            <w:tcW w:w="901" w:type="pct"/>
            <w:tcBorders>
              <w:top w:val="nil"/>
              <w:left w:val="nil"/>
              <w:bottom w:val="nil"/>
              <w:right w:val="nil"/>
            </w:tcBorders>
            <w:shd w:val="clear" w:color="auto" w:fill="auto"/>
            <w:noWrap/>
          </w:tcPr>
          <w:p w14:paraId="3AEFC54D" w14:textId="72D1521F" w:rsidR="000D68F8" w:rsidRPr="007B60BF" w:rsidRDefault="000D68F8" w:rsidP="000D68F8">
            <w:pPr>
              <w:jc w:val="right"/>
            </w:pPr>
            <w:r w:rsidRPr="007B60BF">
              <w:t xml:space="preserve"> (268.212) </w:t>
            </w:r>
          </w:p>
        </w:tc>
        <w:tc>
          <w:tcPr>
            <w:tcW w:w="235" w:type="pct"/>
            <w:tcBorders>
              <w:top w:val="nil"/>
              <w:left w:val="nil"/>
              <w:bottom w:val="nil"/>
              <w:right w:val="nil"/>
            </w:tcBorders>
            <w:shd w:val="clear" w:color="auto" w:fill="auto"/>
            <w:noWrap/>
          </w:tcPr>
          <w:p w14:paraId="1B70FA82" w14:textId="77777777" w:rsidR="000D68F8" w:rsidRPr="007B60BF" w:rsidRDefault="000D68F8" w:rsidP="000D68F8">
            <w:pPr>
              <w:jc w:val="right"/>
            </w:pPr>
          </w:p>
        </w:tc>
        <w:tc>
          <w:tcPr>
            <w:tcW w:w="873" w:type="pct"/>
            <w:tcBorders>
              <w:top w:val="nil"/>
              <w:left w:val="nil"/>
              <w:bottom w:val="nil"/>
              <w:right w:val="nil"/>
            </w:tcBorders>
            <w:shd w:val="clear" w:color="auto" w:fill="auto"/>
          </w:tcPr>
          <w:p w14:paraId="399C2655" w14:textId="6900A136" w:rsidR="000D68F8" w:rsidRPr="007B60BF" w:rsidRDefault="000D68F8" w:rsidP="000D68F8">
            <w:pPr>
              <w:jc w:val="right"/>
            </w:pPr>
            <w:r w:rsidRPr="007B60BF">
              <w:t xml:space="preserve">(245.109) </w:t>
            </w:r>
          </w:p>
        </w:tc>
      </w:tr>
      <w:tr w:rsidR="000D68F8" w:rsidRPr="007B60BF" w14:paraId="766D8870" w14:textId="77777777" w:rsidTr="00960B2E">
        <w:tc>
          <w:tcPr>
            <w:tcW w:w="2991" w:type="pct"/>
            <w:tcBorders>
              <w:top w:val="nil"/>
              <w:left w:val="nil"/>
              <w:bottom w:val="nil"/>
              <w:right w:val="nil"/>
            </w:tcBorders>
            <w:shd w:val="clear" w:color="auto" w:fill="auto"/>
            <w:noWrap/>
            <w:vAlign w:val="bottom"/>
            <w:hideMark/>
          </w:tcPr>
          <w:p w14:paraId="20BC5313" w14:textId="77777777" w:rsidR="000D68F8" w:rsidRPr="007B60BF" w:rsidRDefault="000D68F8" w:rsidP="000D68F8">
            <w:pPr>
              <w:ind w:firstLineChars="200" w:firstLine="400"/>
            </w:pPr>
            <w:r w:rsidRPr="007B60BF">
              <w:t xml:space="preserve"> Serviços de Terceiros</w:t>
            </w:r>
          </w:p>
        </w:tc>
        <w:tc>
          <w:tcPr>
            <w:tcW w:w="901" w:type="pct"/>
            <w:tcBorders>
              <w:top w:val="nil"/>
              <w:left w:val="nil"/>
              <w:bottom w:val="nil"/>
              <w:right w:val="nil"/>
            </w:tcBorders>
            <w:shd w:val="clear" w:color="auto" w:fill="auto"/>
            <w:noWrap/>
          </w:tcPr>
          <w:p w14:paraId="73CBCC8D" w14:textId="7DCE9081" w:rsidR="000D68F8" w:rsidRPr="007B60BF" w:rsidRDefault="000D68F8" w:rsidP="000D68F8">
            <w:pPr>
              <w:jc w:val="right"/>
            </w:pPr>
            <w:r w:rsidRPr="007B60BF">
              <w:t xml:space="preserve">(192.102) </w:t>
            </w:r>
          </w:p>
        </w:tc>
        <w:tc>
          <w:tcPr>
            <w:tcW w:w="235" w:type="pct"/>
            <w:tcBorders>
              <w:top w:val="nil"/>
              <w:left w:val="nil"/>
              <w:bottom w:val="nil"/>
              <w:right w:val="nil"/>
            </w:tcBorders>
            <w:shd w:val="clear" w:color="auto" w:fill="auto"/>
            <w:noWrap/>
          </w:tcPr>
          <w:p w14:paraId="6C733674" w14:textId="77777777" w:rsidR="000D68F8" w:rsidRPr="007B60BF" w:rsidRDefault="000D68F8" w:rsidP="000D68F8">
            <w:pPr>
              <w:jc w:val="right"/>
            </w:pPr>
          </w:p>
        </w:tc>
        <w:tc>
          <w:tcPr>
            <w:tcW w:w="873" w:type="pct"/>
            <w:tcBorders>
              <w:top w:val="nil"/>
              <w:left w:val="nil"/>
              <w:bottom w:val="nil"/>
              <w:right w:val="nil"/>
            </w:tcBorders>
            <w:shd w:val="clear" w:color="auto" w:fill="auto"/>
          </w:tcPr>
          <w:p w14:paraId="1E1D6FFC" w14:textId="1ADA4B1E" w:rsidR="000D68F8" w:rsidRPr="007B60BF" w:rsidRDefault="000D68F8" w:rsidP="000D68F8">
            <w:pPr>
              <w:jc w:val="right"/>
            </w:pPr>
            <w:r w:rsidRPr="007B60BF">
              <w:t xml:space="preserve">(180.875) </w:t>
            </w:r>
          </w:p>
        </w:tc>
      </w:tr>
      <w:tr w:rsidR="000D68F8" w:rsidRPr="007B60BF" w14:paraId="7B4F6C1E" w14:textId="77777777" w:rsidTr="00960B2E">
        <w:tc>
          <w:tcPr>
            <w:tcW w:w="2991" w:type="pct"/>
            <w:tcBorders>
              <w:top w:val="nil"/>
              <w:left w:val="nil"/>
              <w:bottom w:val="nil"/>
              <w:right w:val="nil"/>
            </w:tcBorders>
            <w:shd w:val="clear" w:color="auto" w:fill="auto"/>
            <w:noWrap/>
            <w:vAlign w:val="bottom"/>
            <w:hideMark/>
          </w:tcPr>
          <w:p w14:paraId="63182786" w14:textId="77777777" w:rsidR="000D68F8" w:rsidRPr="007B60BF" w:rsidRDefault="000D68F8" w:rsidP="000D68F8">
            <w:pPr>
              <w:ind w:firstLineChars="200" w:firstLine="400"/>
            </w:pPr>
            <w:r w:rsidRPr="007B60BF">
              <w:t xml:space="preserve"> Perda/Recuperação de Valores Ativos</w:t>
            </w:r>
          </w:p>
        </w:tc>
        <w:tc>
          <w:tcPr>
            <w:tcW w:w="901" w:type="pct"/>
            <w:tcBorders>
              <w:top w:val="nil"/>
              <w:left w:val="nil"/>
              <w:right w:val="nil"/>
            </w:tcBorders>
            <w:shd w:val="clear" w:color="auto" w:fill="auto"/>
            <w:noWrap/>
          </w:tcPr>
          <w:p w14:paraId="30B11CD1" w14:textId="3EA16DFC" w:rsidR="000D68F8" w:rsidRPr="007B60BF" w:rsidRDefault="000D68F8" w:rsidP="000D68F8">
            <w:pPr>
              <w:jc w:val="right"/>
            </w:pPr>
            <w:r w:rsidRPr="007B60BF">
              <w:t xml:space="preserve"> (4.423) </w:t>
            </w:r>
          </w:p>
        </w:tc>
        <w:tc>
          <w:tcPr>
            <w:tcW w:w="235" w:type="pct"/>
            <w:tcBorders>
              <w:top w:val="nil"/>
              <w:left w:val="nil"/>
              <w:right w:val="nil"/>
            </w:tcBorders>
            <w:shd w:val="clear" w:color="auto" w:fill="auto"/>
            <w:noWrap/>
          </w:tcPr>
          <w:p w14:paraId="15AB4F4D" w14:textId="77777777" w:rsidR="000D68F8" w:rsidRPr="007B60BF" w:rsidRDefault="000D68F8" w:rsidP="000D68F8">
            <w:pPr>
              <w:jc w:val="right"/>
            </w:pPr>
          </w:p>
        </w:tc>
        <w:tc>
          <w:tcPr>
            <w:tcW w:w="873" w:type="pct"/>
            <w:tcBorders>
              <w:top w:val="nil"/>
              <w:left w:val="nil"/>
              <w:right w:val="nil"/>
            </w:tcBorders>
            <w:shd w:val="clear" w:color="auto" w:fill="auto"/>
          </w:tcPr>
          <w:p w14:paraId="2A86A094" w14:textId="3522182A" w:rsidR="000D68F8" w:rsidRPr="007B60BF" w:rsidRDefault="000D68F8" w:rsidP="000D68F8">
            <w:pPr>
              <w:jc w:val="right"/>
            </w:pPr>
            <w:r w:rsidRPr="007B60BF">
              <w:t xml:space="preserve">(3.079) </w:t>
            </w:r>
          </w:p>
        </w:tc>
      </w:tr>
      <w:tr w:rsidR="007C01B1" w:rsidRPr="007B60BF" w14:paraId="2874D861" w14:textId="77777777" w:rsidTr="00960B2E">
        <w:tc>
          <w:tcPr>
            <w:tcW w:w="2991" w:type="pct"/>
            <w:tcBorders>
              <w:top w:val="nil"/>
              <w:left w:val="nil"/>
              <w:bottom w:val="nil"/>
              <w:right w:val="nil"/>
            </w:tcBorders>
            <w:shd w:val="clear" w:color="auto" w:fill="auto"/>
            <w:noWrap/>
            <w:vAlign w:val="bottom"/>
          </w:tcPr>
          <w:p w14:paraId="30F3AB84" w14:textId="77777777" w:rsidR="007C01B1" w:rsidRPr="007B60BF" w:rsidRDefault="007C01B1" w:rsidP="007C01B1">
            <w:pPr>
              <w:ind w:firstLineChars="200" w:firstLine="400"/>
              <w:rPr>
                <w:b/>
              </w:rPr>
            </w:pPr>
          </w:p>
        </w:tc>
        <w:tc>
          <w:tcPr>
            <w:tcW w:w="901" w:type="pct"/>
            <w:tcBorders>
              <w:top w:val="nil"/>
              <w:left w:val="nil"/>
              <w:bottom w:val="single" w:sz="4" w:space="0" w:color="auto"/>
              <w:right w:val="nil"/>
            </w:tcBorders>
            <w:shd w:val="clear" w:color="auto" w:fill="auto"/>
            <w:noWrap/>
          </w:tcPr>
          <w:p w14:paraId="0F07C118" w14:textId="4AD60E31" w:rsidR="007C01B1" w:rsidRPr="007B60BF" w:rsidRDefault="000D68F8" w:rsidP="007C01B1">
            <w:pPr>
              <w:jc w:val="right"/>
              <w:rPr>
                <w:b/>
              </w:rPr>
            </w:pPr>
            <w:r w:rsidRPr="007B60BF">
              <w:rPr>
                <w:b/>
              </w:rPr>
              <w:t>(464.737)</w:t>
            </w:r>
          </w:p>
        </w:tc>
        <w:tc>
          <w:tcPr>
            <w:tcW w:w="235" w:type="pct"/>
            <w:tcBorders>
              <w:top w:val="nil"/>
              <w:left w:val="nil"/>
              <w:right w:val="nil"/>
            </w:tcBorders>
            <w:shd w:val="clear" w:color="auto" w:fill="auto"/>
            <w:noWrap/>
          </w:tcPr>
          <w:p w14:paraId="37877CE7" w14:textId="77777777" w:rsidR="007C01B1" w:rsidRPr="007B60BF" w:rsidRDefault="007C01B1" w:rsidP="007C01B1">
            <w:pPr>
              <w:jc w:val="right"/>
              <w:rPr>
                <w:b/>
              </w:rPr>
            </w:pPr>
          </w:p>
        </w:tc>
        <w:tc>
          <w:tcPr>
            <w:tcW w:w="873" w:type="pct"/>
            <w:tcBorders>
              <w:top w:val="nil"/>
              <w:left w:val="nil"/>
              <w:bottom w:val="single" w:sz="4" w:space="0" w:color="auto"/>
              <w:right w:val="nil"/>
            </w:tcBorders>
            <w:shd w:val="clear" w:color="auto" w:fill="auto"/>
          </w:tcPr>
          <w:p w14:paraId="4F48932C" w14:textId="11C6B35D" w:rsidR="007C01B1" w:rsidRPr="007B60BF" w:rsidRDefault="007C01B1" w:rsidP="007C01B1">
            <w:pPr>
              <w:jc w:val="right"/>
              <w:rPr>
                <w:b/>
              </w:rPr>
            </w:pPr>
            <w:r w:rsidRPr="007B60BF">
              <w:rPr>
                <w:b/>
              </w:rPr>
              <w:t xml:space="preserve">(429.063) </w:t>
            </w:r>
          </w:p>
        </w:tc>
      </w:tr>
      <w:tr w:rsidR="007C01B1" w:rsidRPr="007B60BF" w14:paraId="699CE348" w14:textId="77777777" w:rsidTr="00A549FF">
        <w:tc>
          <w:tcPr>
            <w:tcW w:w="2991" w:type="pct"/>
            <w:tcBorders>
              <w:top w:val="nil"/>
              <w:left w:val="nil"/>
              <w:bottom w:val="nil"/>
              <w:right w:val="nil"/>
            </w:tcBorders>
            <w:shd w:val="clear" w:color="auto" w:fill="auto"/>
            <w:noWrap/>
            <w:vAlign w:val="bottom"/>
          </w:tcPr>
          <w:p w14:paraId="259DBEE8" w14:textId="77777777" w:rsidR="007C01B1" w:rsidRPr="007B60BF" w:rsidRDefault="007C01B1" w:rsidP="007C01B1">
            <w:pPr>
              <w:rPr>
                <w:b/>
                <w:bCs/>
              </w:rPr>
            </w:pPr>
          </w:p>
        </w:tc>
        <w:tc>
          <w:tcPr>
            <w:tcW w:w="901" w:type="pct"/>
            <w:tcBorders>
              <w:top w:val="single" w:sz="4" w:space="0" w:color="auto"/>
              <w:left w:val="nil"/>
              <w:right w:val="nil"/>
            </w:tcBorders>
            <w:shd w:val="clear" w:color="auto" w:fill="auto"/>
            <w:noWrap/>
          </w:tcPr>
          <w:p w14:paraId="2FB19091" w14:textId="77777777" w:rsidR="007C01B1" w:rsidRPr="007B60BF" w:rsidRDefault="007C01B1" w:rsidP="007C01B1">
            <w:pPr>
              <w:jc w:val="right"/>
              <w:rPr>
                <w:b/>
                <w:bCs/>
              </w:rPr>
            </w:pPr>
          </w:p>
        </w:tc>
        <w:tc>
          <w:tcPr>
            <w:tcW w:w="235" w:type="pct"/>
            <w:tcBorders>
              <w:top w:val="nil"/>
              <w:left w:val="nil"/>
              <w:right w:val="nil"/>
            </w:tcBorders>
            <w:shd w:val="clear" w:color="auto" w:fill="auto"/>
            <w:noWrap/>
            <w:vAlign w:val="bottom"/>
          </w:tcPr>
          <w:p w14:paraId="4A03CCB0" w14:textId="77777777" w:rsidR="007C01B1" w:rsidRPr="007B60BF" w:rsidRDefault="007C01B1" w:rsidP="007C01B1">
            <w:pPr>
              <w:jc w:val="right"/>
              <w:rPr>
                <w:b/>
                <w:bCs/>
              </w:rPr>
            </w:pPr>
          </w:p>
        </w:tc>
        <w:tc>
          <w:tcPr>
            <w:tcW w:w="873" w:type="pct"/>
            <w:tcBorders>
              <w:top w:val="single" w:sz="4" w:space="0" w:color="auto"/>
              <w:left w:val="nil"/>
              <w:right w:val="nil"/>
            </w:tcBorders>
            <w:shd w:val="clear" w:color="auto" w:fill="auto"/>
          </w:tcPr>
          <w:p w14:paraId="57DACD6C" w14:textId="77777777" w:rsidR="007C01B1" w:rsidRPr="007B60BF" w:rsidRDefault="007C01B1" w:rsidP="007C01B1">
            <w:pPr>
              <w:jc w:val="right"/>
              <w:rPr>
                <w:b/>
                <w:bCs/>
              </w:rPr>
            </w:pPr>
          </w:p>
        </w:tc>
      </w:tr>
      <w:tr w:rsidR="007C01B1" w:rsidRPr="007B60BF" w14:paraId="484DDAB0" w14:textId="77777777" w:rsidTr="00A549FF">
        <w:tc>
          <w:tcPr>
            <w:tcW w:w="2991" w:type="pct"/>
            <w:tcBorders>
              <w:top w:val="nil"/>
              <w:left w:val="nil"/>
              <w:bottom w:val="nil"/>
            </w:tcBorders>
            <w:shd w:val="clear" w:color="auto" w:fill="auto"/>
            <w:noWrap/>
            <w:vAlign w:val="bottom"/>
            <w:hideMark/>
          </w:tcPr>
          <w:p w14:paraId="42C831B3" w14:textId="77777777" w:rsidR="007C01B1" w:rsidRPr="007B60BF" w:rsidRDefault="007C01B1" w:rsidP="007C01B1">
            <w:pPr>
              <w:rPr>
                <w:b/>
                <w:bCs/>
              </w:rPr>
            </w:pPr>
            <w:r w:rsidRPr="007B60BF">
              <w:rPr>
                <w:b/>
                <w:bCs/>
              </w:rPr>
              <w:t xml:space="preserve"> Valor Adicionado Bruto </w:t>
            </w:r>
          </w:p>
        </w:tc>
        <w:tc>
          <w:tcPr>
            <w:tcW w:w="901" w:type="pct"/>
            <w:tcBorders>
              <w:right w:val="nil"/>
            </w:tcBorders>
            <w:shd w:val="clear" w:color="auto" w:fill="auto"/>
            <w:noWrap/>
          </w:tcPr>
          <w:p w14:paraId="15277320" w14:textId="4693FDDD" w:rsidR="007C01B1" w:rsidRPr="007B60BF" w:rsidRDefault="007463C2" w:rsidP="007C01B1">
            <w:pPr>
              <w:jc w:val="right"/>
              <w:rPr>
                <w:b/>
              </w:rPr>
            </w:pPr>
            <w:r w:rsidRPr="007B60BF">
              <w:rPr>
                <w:b/>
              </w:rPr>
              <w:t>(63.052)</w:t>
            </w:r>
          </w:p>
        </w:tc>
        <w:tc>
          <w:tcPr>
            <w:tcW w:w="235" w:type="pct"/>
            <w:tcBorders>
              <w:left w:val="nil"/>
              <w:right w:val="nil"/>
            </w:tcBorders>
            <w:shd w:val="clear" w:color="auto" w:fill="auto"/>
            <w:noWrap/>
            <w:vAlign w:val="bottom"/>
          </w:tcPr>
          <w:p w14:paraId="257856F6" w14:textId="77777777" w:rsidR="007C01B1" w:rsidRPr="007B60BF" w:rsidRDefault="007C01B1" w:rsidP="007C01B1">
            <w:pPr>
              <w:jc w:val="right"/>
              <w:rPr>
                <w:b/>
              </w:rPr>
            </w:pPr>
          </w:p>
        </w:tc>
        <w:tc>
          <w:tcPr>
            <w:tcW w:w="873" w:type="pct"/>
            <w:tcBorders>
              <w:right w:val="nil"/>
            </w:tcBorders>
            <w:shd w:val="clear" w:color="auto" w:fill="auto"/>
          </w:tcPr>
          <w:p w14:paraId="3ECA79E6" w14:textId="1D9B0CF1" w:rsidR="007C01B1" w:rsidRPr="007B60BF" w:rsidRDefault="007C01B1" w:rsidP="007C01B1">
            <w:pPr>
              <w:jc w:val="right"/>
              <w:rPr>
                <w:b/>
              </w:rPr>
            </w:pPr>
            <w:r w:rsidRPr="007B60BF">
              <w:rPr>
                <w:b/>
              </w:rPr>
              <w:t xml:space="preserve">(7.966) </w:t>
            </w:r>
          </w:p>
        </w:tc>
      </w:tr>
      <w:tr w:rsidR="007C01B1" w:rsidRPr="007B60BF" w14:paraId="3A36EF3D" w14:textId="77777777" w:rsidTr="00A549FF">
        <w:trPr>
          <w:trHeight w:val="74"/>
        </w:trPr>
        <w:tc>
          <w:tcPr>
            <w:tcW w:w="2991" w:type="pct"/>
            <w:tcBorders>
              <w:top w:val="nil"/>
              <w:left w:val="nil"/>
              <w:bottom w:val="nil"/>
              <w:right w:val="nil"/>
            </w:tcBorders>
            <w:shd w:val="clear" w:color="auto" w:fill="auto"/>
            <w:noWrap/>
            <w:vAlign w:val="bottom"/>
          </w:tcPr>
          <w:p w14:paraId="6DCB67BA" w14:textId="77777777" w:rsidR="007C01B1" w:rsidRPr="007B60BF" w:rsidRDefault="007C01B1" w:rsidP="007C01B1">
            <w:pPr>
              <w:rPr>
                <w:b/>
                <w:bCs/>
              </w:rPr>
            </w:pPr>
          </w:p>
        </w:tc>
        <w:tc>
          <w:tcPr>
            <w:tcW w:w="901" w:type="pct"/>
            <w:tcBorders>
              <w:left w:val="nil"/>
              <w:right w:val="nil"/>
            </w:tcBorders>
            <w:shd w:val="clear" w:color="auto" w:fill="auto"/>
            <w:noWrap/>
          </w:tcPr>
          <w:p w14:paraId="2F5749F3" w14:textId="77777777" w:rsidR="007C01B1" w:rsidRPr="007B60BF" w:rsidRDefault="007C01B1" w:rsidP="007C01B1">
            <w:pPr>
              <w:jc w:val="right"/>
              <w:rPr>
                <w:b/>
                <w:bCs/>
              </w:rPr>
            </w:pPr>
          </w:p>
        </w:tc>
        <w:tc>
          <w:tcPr>
            <w:tcW w:w="235" w:type="pct"/>
            <w:tcBorders>
              <w:left w:val="nil"/>
              <w:right w:val="nil"/>
            </w:tcBorders>
            <w:shd w:val="clear" w:color="auto" w:fill="auto"/>
            <w:noWrap/>
            <w:vAlign w:val="bottom"/>
          </w:tcPr>
          <w:p w14:paraId="42BCC106" w14:textId="77777777" w:rsidR="007C01B1" w:rsidRPr="007B60BF" w:rsidRDefault="007C01B1" w:rsidP="007C01B1">
            <w:pPr>
              <w:jc w:val="right"/>
              <w:rPr>
                <w:b/>
                <w:bCs/>
              </w:rPr>
            </w:pPr>
          </w:p>
        </w:tc>
        <w:tc>
          <w:tcPr>
            <w:tcW w:w="873" w:type="pct"/>
            <w:tcBorders>
              <w:left w:val="nil"/>
              <w:right w:val="nil"/>
            </w:tcBorders>
            <w:shd w:val="clear" w:color="auto" w:fill="auto"/>
          </w:tcPr>
          <w:p w14:paraId="0DFA0E86" w14:textId="77777777" w:rsidR="007C01B1" w:rsidRPr="007B60BF" w:rsidRDefault="007C01B1" w:rsidP="007C01B1">
            <w:pPr>
              <w:jc w:val="right"/>
              <w:rPr>
                <w:b/>
                <w:bCs/>
              </w:rPr>
            </w:pPr>
          </w:p>
        </w:tc>
      </w:tr>
      <w:tr w:rsidR="007C01B1" w:rsidRPr="007B60BF" w14:paraId="47DFFB2C" w14:textId="77777777" w:rsidTr="00960B2E">
        <w:tc>
          <w:tcPr>
            <w:tcW w:w="2991" w:type="pct"/>
            <w:tcBorders>
              <w:top w:val="nil"/>
              <w:left w:val="nil"/>
              <w:bottom w:val="nil"/>
              <w:right w:val="nil"/>
            </w:tcBorders>
            <w:shd w:val="clear" w:color="auto" w:fill="auto"/>
            <w:noWrap/>
            <w:vAlign w:val="bottom"/>
            <w:hideMark/>
          </w:tcPr>
          <w:p w14:paraId="6884C349" w14:textId="77777777" w:rsidR="007C01B1" w:rsidRPr="007B60BF" w:rsidRDefault="007C01B1" w:rsidP="007C01B1">
            <w:pPr>
              <w:ind w:firstLineChars="200" w:firstLine="400"/>
            </w:pPr>
            <w:r w:rsidRPr="007B60BF">
              <w:t>Despesas com Depreciação/Amortização</w:t>
            </w:r>
          </w:p>
        </w:tc>
        <w:tc>
          <w:tcPr>
            <w:tcW w:w="901" w:type="pct"/>
            <w:tcBorders>
              <w:left w:val="nil"/>
              <w:right w:val="nil"/>
            </w:tcBorders>
            <w:shd w:val="clear" w:color="auto" w:fill="auto"/>
            <w:noWrap/>
          </w:tcPr>
          <w:p w14:paraId="4844B657" w14:textId="0BE13670" w:rsidR="007C01B1" w:rsidRPr="007B60BF" w:rsidRDefault="000D68F8" w:rsidP="007463C2">
            <w:pPr>
              <w:jc w:val="right"/>
            </w:pPr>
            <w:r w:rsidRPr="007B60BF">
              <w:t>(38.95</w:t>
            </w:r>
            <w:r w:rsidR="007463C2" w:rsidRPr="007B60BF">
              <w:t>3</w:t>
            </w:r>
            <w:r w:rsidRPr="007B60BF">
              <w:t>)</w:t>
            </w:r>
          </w:p>
        </w:tc>
        <w:tc>
          <w:tcPr>
            <w:tcW w:w="235" w:type="pct"/>
            <w:tcBorders>
              <w:left w:val="nil"/>
              <w:right w:val="nil"/>
            </w:tcBorders>
            <w:shd w:val="clear" w:color="auto" w:fill="auto"/>
            <w:noWrap/>
          </w:tcPr>
          <w:p w14:paraId="0F13F3E3" w14:textId="77777777" w:rsidR="007C01B1" w:rsidRPr="007B60BF" w:rsidRDefault="007C01B1" w:rsidP="007C01B1">
            <w:pPr>
              <w:jc w:val="right"/>
            </w:pPr>
          </w:p>
        </w:tc>
        <w:tc>
          <w:tcPr>
            <w:tcW w:w="873" w:type="pct"/>
            <w:tcBorders>
              <w:left w:val="nil"/>
              <w:right w:val="nil"/>
            </w:tcBorders>
            <w:shd w:val="clear" w:color="auto" w:fill="auto"/>
          </w:tcPr>
          <w:p w14:paraId="5DA0DBD2" w14:textId="6A0E41AC" w:rsidR="007C01B1" w:rsidRPr="007B60BF" w:rsidRDefault="007C01B1" w:rsidP="007C01B1">
            <w:pPr>
              <w:jc w:val="right"/>
            </w:pPr>
            <w:r w:rsidRPr="007B60BF">
              <w:t xml:space="preserve">(37.845) </w:t>
            </w:r>
          </w:p>
        </w:tc>
      </w:tr>
      <w:tr w:rsidR="007C01B1" w:rsidRPr="007B60BF" w14:paraId="087E0A76" w14:textId="77777777" w:rsidTr="00A549FF">
        <w:tc>
          <w:tcPr>
            <w:tcW w:w="2991" w:type="pct"/>
            <w:tcBorders>
              <w:top w:val="nil"/>
              <w:left w:val="nil"/>
              <w:bottom w:val="nil"/>
              <w:right w:val="nil"/>
            </w:tcBorders>
            <w:shd w:val="clear" w:color="auto" w:fill="auto"/>
            <w:noWrap/>
            <w:vAlign w:val="bottom"/>
          </w:tcPr>
          <w:p w14:paraId="76B39E1F" w14:textId="77777777" w:rsidR="007C01B1" w:rsidRPr="007B60BF" w:rsidRDefault="007C01B1" w:rsidP="007C01B1">
            <w:pPr>
              <w:rPr>
                <w:b/>
                <w:bCs/>
              </w:rPr>
            </w:pPr>
          </w:p>
        </w:tc>
        <w:tc>
          <w:tcPr>
            <w:tcW w:w="901" w:type="pct"/>
            <w:tcBorders>
              <w:top w:val="nil"/>
              <w:left w:val="nil"/>
              <w:right w:val="nil"/>
            </w:tcBorders>
            <w:shd w:val="clear" w:color="auto" w:fill="auto"/>
            <w:noWrap/>
          </w:tcPr>
          <w:p w14:paraId="63C614FA" w14:textId="77777777" w:rsidR="007C01B1" w:rsidRPr="007B60BF" w:rsidRDefault="007C01B1" w:rsidP="007C01B1">
            <w:pPr>
              <w:jc w:val="right"/>
              <w:rPr>
                <w:b/>
                <w:bCs/>
              </w:rPr>
            </w:pPr>
          </w:p>
        </w:tc>
        <w:tc>
          <w:tcPr>
            <w:tcW w:w="235" w:type="pct"/>
            <w:tcBorders>
              <w:top w:val="nil"/>
              <w:left w:val="nil"/>
              <w:right w:val="nil"/>
            </w:tcBorders>
            <w:shd w:val="clear" w:color="auto" w:fill="auto"/>
            <w:noWrap/>
            <w:vAlign w:val="bottom"/>
          </w:tcPr>
          <w:p w14:paraId="411FB5A1" w14:textId="77777777" w:rsidR="007C01B1" w:rsidRPr="007B60BF" w:rsidRDefault="007C01B1" w:rsidP="007C01B1">
            <w:pPr>
              <w:jc w:val="right"/>
              <w:rPr>
                <w:b/>
                <w:bCs/>
              </w:rPr>
            </w:pPr>
          </w:p>
        </w:tc>
        <w:tc>
          <w:tcPr>
            <w:tcW w:w="873" w:type="pct"/>
            <w:tcBorders>
              <w:top w:val="nil"/>
              <w:left w:val="nil"/>
              <w:right w:val="nil"/>
            </w:tcBorders>
            <w:shd w:val="clear" w:color="auto" w:fill="auto"/>
          </w:tcPr>
          <w:p w14:paraId="38BFBBBF" w14:textId="77777777" w:rsidR="007C01B1" w:rsidRPr="007B60BF" w:rsidRDefault="007C01B1" w:rsidP="007C01B1">
            <w:pPr>
              <w:rPr>
                <w:b/>
                <w:bCs/>
              </w:rPr>
            </w:pPr>
          </w:p>
        </w:tc>
      </w:tr>
      <w:tr w:rsidR="007C01B1" w:rsidRPr="007B60BF" w14:paraId="5F7993CD" w14:textId="77777777" w:rsidTr="00A549FF">
        <w:tc>
          <w:tcPr>
            <w:tcW w:w="2991" w:type="pct"/>
            <w:tcBorders>
              <w:top w:val="nil"/>
              <w:left w:val="nil"/>
              <w:bottom w:val="nil"/>
              <w:right w:val="nil"/>
            </w:tcBorders>
            <w:shd w:val="clear" w:color="auto" w:fill="auto"/>
            <w:noWrap/>
            <w:vAlign w:val="bottom"/>
            <w:hideMark/>
          </w:tcPr>
          <w:p w14:paraId="66640431" w14:textId="0154C10A" w:rsidR="007C01B1" w:rsidRPr="007B60BF" w:rsidRDefault="007C01B1" w:rsidP="007C01B1">
            <w:pPr>
              <w:rPr>
                <w:b/>
                <w:bCs/>
              </w:rPr>
            </w:pPr>
            <w:r w:rsidRPr="007B60BF">
              <w:rPr>
                <w:b/>
                <w:bCs/>
              </w:rPr>
              <w:t>Valor Adicionado Líquido Produzido</w:t>
            </w:r>
          </w:p>
        </w:tc>
        <w:tc>
          <w:tcPr>
            <w:tcW w:w="901" w:type="pct"/>
            <w:tcBorders>
              <w:left w:val="nil"/>
              <w:bottom w:val="single" w:sz="4" w:space="0" w:color="auto"/>
              <w:right w:val="nil"/>
            </w:tcBorders>
            <w:shd w:val="clear" w:color="auto" w:fill="auto"/>
            <w:noWrap/>
          </w:tcPr>
          <w:p w14:paraId="2601B5E7" w14:textId="1F65D923" w:rsidR="007C01B1" w:rsidRPr="007B60BF" w:rsidRDefault="007463C2" w:rsidP="007C01B1">
            <w:pPr>
              <w:jc w:val="right"/>
              <w:rPr>
                <w:b/>
              </w:rPr>
            </w:pPr>
            <w:r w:rsidRPr="007B60BF">
              <w:rPr>
                <w:b/>
              </w:rPr>
              <w:t>(102.005)</w:t>
            </w:r>
          </w:p>
        </w:tc>
        <w:tc>
          <w:tcPr>
            <w:tcW w:w="235" w:type="pct"/>
            <w:tcBorders>
              <w:left w:val="nil"/>
              <w:bottom w:val="nil"/>
              <w:right w:val="nil"/>
            </w:tcBorders>
            <w:shd w:val="clear" w:color="auto" w:fill="auto"/>
            <w:noWrap/>
          </w:tcPr>
          <w:p w14:paraId="2AAC1A30" w14:textId="77777777" w:rsidR="007C01B1" w:rsidRPr="007B60BF" w:rsidRDefault="007C01B1" w:rsidP="007C01B1">
            <w:pPr>
              <w:rPr>
                <w:b/>
              </w:rPr>
            </w:pPr>
          </w:p>
        </w:tc>
        <w:tc>
          <w:tcPr>
            <w:tcW w:w="873" w:type="pct"/>
            <w:tcBorders>
              <w:left w:val="nil"/>
              <w:bottom w:val="single" w:sz="4" w:space="0" w:color="auto"/>
              <w:right w:val="nil"/>
            </w:tcBorders>
            <w:shd w:val="clear" w:color="auto" w:fill="auto"/>
          </w:tcPr>
          <w:p w14:paraId="412B50F3" w14:textId="010648B0" w:rsidR="007C01B1" w:rsidRPr="007B60BF" w:rsidRDefault="007C01B1" w:rsidP="007C01B1">
            <w:pPr>
              <w:jc w:val="right"/>
              <w:rPr>
                <w:b/>
              </w:rPr>
            </w:pPr>
            <w:r w:rsidRPr="007B60BF">
              <w:rPr>
                <w:b/>
              </w:rPr>
              <w:t xml:space="preserve">(45.811) </w:t>
            </w:r>
          </w:p>
        </w:tc>
      </w:tr>
      <w:tr w:rsidR="007C01B1" w:rsidRPr="007B60BF" w14:paraId="51991AB1" w14:textId="77777777" w:rsidTr="00D7349A">
        <w:tc>
          <w:tcPr>
            <w:tcW w:w="2991" w:type="pct"/>
            <w:tcBorders>
              <w:top w:val="nil"/>
              <w:left w:val="nil"/>
              <w:bottom w:val="nil"/>
              <w:right w:val="nil"/>
            </w:tcBorders>
            <w:shd w:val="clear" w:color="auto" w:fill="auto"/>
            <w:noWrap/>
            <w:vAlign w:val="bottom"/>
          </w:tcPr>
          <w:p w14:paraId="562814A9" w14:textId="77777777" w:rsidR="007C01B1" w:rsidRPr="007B60BF" w:rsidRDefault="007C01B1" w:rsidP="007C01B1">
            <w:pPr>
              <w:rPr>
                <w:b/>
                <w:bCs/>
              </w:rPr>
            </w:pPr>
          </w:p>
        </w:tc>
        <w:tc>
          <w:tcPr>
            <w:tcW w:w="901" w:type="pct"/>
            <w:tcBorders>
              <w:top w:val="single" w:sz="4" w:space="0" w:color="auto"/>
              <w:left w:val="nil"/>
              <w:right w:val="nil"/>
            </w:tcBorders>
            <w:shd w:val="clear" w:color="auto" w:fill="auto"/>
            <w:noWrap/>
            <w:vAlign w:val="center"/>
          </w:tcPr>
          <w:p w14:paraId="5AAD7487" w14:textId="77777777" w:rsidR="007C01B1" w:rsidRPr="007B60BF" w:rsidRDefault="007C01B1" w:rsidP="007C01B1">
            <w:pPr>
              <w:jc w:val="right"/>
              <w:rPr>
                <w:b/>
                <w:bCs/>
              </w:rPr>
            </w:pPr>
          </w:p>
        </w:tc>
        <w:tc>
          <w:tcPr>
            <w:tcW w:w="235" w:type="pct"/>
            <w:tcBorders>
              <w:top w:val="nil"/>
              <w:left w:val="nil"/>
              <w:right w:val="nil"/>
            </w:tcBorders>
            <w:shd w:val="clear" w:color="auto" w:fill="auto"/>
            <w:noWrap/>
            <w:vAlign w:val="center"/>
          </w:tcPr>
          <w:p w14:paraId="4B5C56C7" w14:textId="77777777" w:rsidR="007C01B1" w:rsidRPr="007B60BF" w:rsidRDefault="007C01B1" w:rsidP="007C01B1">
            <w:pPr>
              <w:jc w:val="right"/>
              <w:rPr>
                <w:b/>
                <w:bCs/>
              </w:rPr>
            </w:pPr>
          </w:p>
        </w:tc>
        <w:tc>
          <w:tcPr>
            <w:tcW w:w="873" w:type="pct"/>
            <w:tcBorders>
              <w:top w:val="single" w:sz="4" w:space="0" w:color="auto"/>
              <w:left w:val="nil"/>
              <w:right w:val="nil"/>
            </w:tcBorders>
            <w:shd w:val="clear" w:color="auto" w:fill="auto"/>
          </w:tcPr>
          <w:p w14:paraId="21F58B01" w14:textId="77777777" w:rsidR="007C01B1" w:rsidRPr="007B60BF" w:rsidRDefault="007C01B1" w:rsidP="007C01B1">
            <w:pPr>
              <w:jc w:val="right"/>
              <w:rPr>
                <w:b/>
                <w:bCs/>
              </w:rPr>
            </w:pPr>
          </w:p>
        </w:tc>
      </w:tr>
      <w:tr w:rsidR="007C01B1" w:rsidRPr="007B60BF" w14:paraId="7B09EE0B" w14:textId="77777777" w:rsidTr="00D7349A">
        <w:tc>
          <w:tcPr>
            <w:tcW w:w="2991" w:type="pct"/>
            <w:tcBorders>
              <w:top w:val="nil"/>
              <w:left w:val="nil"/>
              <w:bottom w:val="nil"/>
              <w:right w:val="nil"/>
            </w:tcBorders>
            <w:shd w:val="clear" w:color="auto" w:fill="auto"/>
            <w:noWrap/>
            <w:vAlign w:val="bottom"/>
            <w:hideMark/>
          </w:tcPr>
          <w:p w14:paraId="79A1E8EA" w14:textId="77777777" w:rsidR="007C01B1" w:rsidRPr="007B60BF" w:rsidRDefault="007C01B1" w:rsidP="007C01B1">
            <w:pPr>
              <w:rPr>
                <w:b/>
                <w:bCs/>
              </w:rPr>
            </w:pPr>
            <w:r w:rsidRPr="007B60BF">
              <w:rPr>
                <w:b/>
                <w:bCs/>
              </w:rPr>
              <w:t>Valor Adicionado Recebido em Transferências</w:t>
            </w:r>
          </w:p>
        </w:tc>
        <w:tc>
          <w:tcPr>
            <w:tcW w:w="901" w:type="pct"/>
            <w:tcBorders>
              <w:left w:val="nil"/>
              <w:right w:val="nil"/>
            </w:tcBorders>
            <w:shd w:val="clear" w:color="auto" w:fill="auto"/>
            <w:noWrap/>
            <w:vAlign w:val="center"/>
          </w:tcPr>
          <w:p w14:paraId="5371596F" w14:textId="77777777" w:rsidR="007C01B1" w:rsidRPr="007B60BF" w:rsidRDefault="007C01B1" w:rsidP="007C01B1">
            <w:pPr>
              <w:jc w:val="right"/>
              <w:rPr>
                <w:b/>
                <w:bCs/>
              </w:rPr>
            </w:pPr>
          </w:p>
        </w:tc>
        <w:tc>
          <w:tcPr>
            <w:tcW w:w="235" w:type="pct"/>
            <w:tcBorders>
              <w:top w:val="nil"/>
              <w:left w:val="nil"/>
              <w:right w:val="nil"/>
            </w:tcBorders>
            <w:shd w:val="clear" w:color="auto" w:fill="auto"/>
            <w:noWrap/>
            <w:vAlign w:val="center"/>
          </w:tcPr>
          <w:p w14:paraId="3E80DE0D" w14:textId="77777777" w:rsidR="007C01B1" w:rsidRPr="007B60BF" w:rsidRDefault="007C01B1" w:rsidP="007C01B1">
            <w:pPr>
              <w:jc w:val="right"/>
              <w:rPr>
                <w:b/>
                <w:bCs/>
              </w:rPr>
            </w:pPr>
          </w:p>
        </w:tc>
        <w:tc>
          <w:tcPr>
            <w:tcW w:w="873" w:type="pct"/>
            <w:tcBorders>
              <w:left w:val="nil"/>
              <w:right w:val="nil"/>
            </w:tcBorders>
            <w:shd w:val="clear" w:color="auto" w:fill="auto"/>
          </w:tcPr>
          <w:p w14:paraId="7DB07F30" w14:textId="77777777" w:rsidR="007C01B1" w:rsidRPr="007B60BF" w:rsidRDefault="007C01B1" w:rsidP="007C01B1">
            <w:pPr>
              <w:jc w:val="right"/>
              <w:rPr>
                <w:b/>
                <w:bCs/>
              </w:rPr>
            </w:pPr>
          </w:p>
        </w:tc>
      </w:tr>
      <w:tr w:rsidR="007C01B1" w:rsidRPr="007B60BF" w14:paraId="0282A233" w14:textId="77777777" w:rsidTr="00960B2E">
        <w:tc>
          <w:tcPr>
            <w:tcW w:w="2991" w:type="pct"/>
            <w:tcBorders>
              <w:top w:val="nil"/>
              <w:left w:val="nil"/>
              <w:bottom w:val="nil"/>
              <w:right w:val="nil"/>
            </w:tcBorders>
            <w:shd w:val="clear" w:color="auto" w:fill="auto"/>
            <w:noWrap/>
            <w:vAlign w:val="bottom"/>
            <w:hideMark/>
          </w:tcPr>
          <w:p w14:paraId="46FE045F" w14:textId="77777777" w:rsidR="007C01B1" w:rsidRPr="007B60BF" w:rsidRDefault="007C01B1" w:rsidP="007C01B1">
            <w:pPr>
              <w:ind w:firstLineChars="200" w:firstLine="400"/>
            </w:pPr>
            <w:r w:rsidRPr="007B60BF">
              <w:t>Receitas Financeiras</w:t>
            </w:r>
          </w:p>
        </w:tc>
        <w:tc>
          <w:tcPr>
            <w:tcW w:w="901" w:type="pct"/>
            <w:tcBorders>
              <w:left w:val="nil"/>
              <w:bottom w:val="nil"/>
              <w:right w:val="nil"/>
            </w:tcBorders>
            <w:shd w:val="clear" w:color="auto" w:fill="auto"/>
            <w:noWrap/>
          </w:tcPr>
          <w:p w14:paraId="19FA8B67" w14:textId="7475A848" w:rsidR="007C01B1" w:rsidRPr="007B60BF" w:rsidRDefault="000D68F8" w:rsidP="007C01B1">
            <w:pPr>
              <w:jc w:val="right"/>
            </w:pPr>
            <w:r w:rsidRPr="007B60BF">
              <w:t>10.350</w:t>
            </w:r>
          </w:p>
        </w:tc>
        <w:tc>
          <w:tcPr>
            <w:tcW w:w="235" w:type="pct"/>
            <w:tcBorders>
              <w:left w:val="nil"/>
              <w:bottom w:val="nil"/>
              <w:right w:val="nil"/>
            </w:tcBorders>
            <w:shd w:val="clear" w:color="auto" w:fill="auto"/>
            <w:noWrap/>
          </w:tcPr>
          <w:p w14:paraId="3BC2AE8F" w14:textId="77777777" w:rsidR="007C01B1" w:rsidRPr="007B60BF" w:rsidRDefault="007C01B1" w:rsidP="007C01B1"/>
        </w:tc>
        <w:tc>
          <w:tcPr>
            <w:tcW w:w="873" w:type="pct"/>
            <w:tcBorders>
              <w:left w:val="nil"/>
              <w:bottom w:val="nil"/>
              <w:right w:val="nil"/>
            </w:tcBorders>
            <w:shd w:val="clear" w:color="auto" w:fill="auto"/>
          </w:tcPr>
          <w:p w14:paraId="2E2C33EE" w14:textId="6C14FBC0" w:rsidR="007C01B1" w:rsidRPr="007B60BF" w:rsidRDefault="007C01B1" w:rsidP="007C01B1">
            <w:pPr>
              <w:jc w:val="right"/>
            </w:pPr>
            <w:r w:rsidRPr="007B60BF">
              <w:t xml:space="preserve"> 4.935 </w:t>
            </w:r>
          </w:p>
        </w:tc>
      </w:tr>
      <w:tr w:rsidR="007C01B1" w:rsidRPr="007B60BF" w14:paraId="3C2744A1" w14:textId="77777777" w:rsidTr="00960B2E">
        <w:tc>
          <w:tcPr>
            <w:tcW w:w="2991" w:type="pct"/>
            <w:tcBorders>
              <w:top w:val="nil"/>
              <w:left w:val="nil"/>
              <w:bottom w:val="nil"/>
              <w:right w:val="nil"/>
            </w:tcBorders>
            <w:shd w:val="clear" w:color="auto" w:fill="auto"/>
            <w:noWrap/>
            <w:vAlign w:val="bottom"/>
            <w:hideMark/>
          </w:tcPr>
          <w:p w14:paraId="68953F57" w14:textId="77777777" w:rsidR="007C01B1" w:rsidRPr="007B60BF" w:rsidRDefault="007C01B1" w:rsidP="007C01B1">
            <w:pPr>
              <w:ind w:firstLineChars="200" w:firstLine="400"/>
            </w:pPr>
            <w:r w:rsidRPr="007B60BF">
              <w:t>Repasses Recebidos (-) Subvenções</w:t>
            </w:r>
          </w:p>
        </w:tc>
        <w:tc>
          <w:tcPr>
            <w:tcW w:w="901" w:type="pct"/>
            <w:tcBorders>
              <w:top w:val="nil"/>
              <w:left w:val="nil"/>
              <w:bottom w:val="nil"/>
              <w:right w:val="nil"/>
            </w:tcBorders>
            <w:shd w:val="clear" w:color="auto" w:fill="auto"/>
            <w:noWrap/>
          </w:tcPr>
          <w:p w14:paraId="40ABCB05" w14:textId="263EEE1D" w:rsidR="007C01B1" w:rsidRPr="007B60BF" w:rsidRDefault="000D68F8" w:rsidP="007C01B1">
            <w:pPr>
              <w:jc w:val="right"/>
            </w:pPr>
            <w:r w:rsidRPr="007B60BF">
              <w:t>1.967.827</w:t>
            </w:r>
          </w:p>
        </w:tc>
        <w:tc>
          <w:tcPr>
            <w:tcW w:w="235" w:type="pct"/>
            <w:tcBorders>
              <w:top w:val="nil"/>
              <w:left w:val="nil"/>
              <w:bottom w:val="nil"/>
              <w:right w:val="nil"/>
            </w:tcBorders>
            <w:shd w:val="clear" w:color="auto" w:fill="auto"/>
            <w:noWrap/>
          </w:tcPr>
          <w:p w14:paraId="19984434" w14:textId="77777777" w:rsidR="007C01B1" w:rsidRPr="007B60BF" w:rsidRDefault="007C01B1" w:rsidP="007C01B1"/>
        </w:tc>
        <w:tc>
          <w:tcPr>
            <w:tcW w:w="873" w:type="pct"/>
            <w:tcBorders>
              <w:top w:val="nil"/>
              <w:left w:val="nil"/>
              <w:bottom w:val="nil"/>
              <w:right w:val="nil"/>
            </w:tcBorders>
            <w:shd w:val="clear" w:color="auto" w:fill="auto"/>
          </w:tcPr>
          <w:p w14:paraId="1E8E9BF1" w14:textId="49A67A5C" w:rsidR="007C01B1" w:rsidRPr="007B60BF" w:rsidRDefault="007C01B1" w:rsidP="007C01B1">
            <w:pPr>
              <w:jc w:val="right"/>
            </w:pPr>
            <w:r w:rsidRPr="007B60BF">
              <w:t xml:space="preserve"> 1.787.149 </w:t>
            </w:r>
          </w:p>
        </w:tc>
      </w:tr>
      <w:tr w:rsidR="000D68F8" w:rsidRPr="007B60BF" w14:paraId="3753725E" w14:textId="77777777" w:rsidTr="00960B2E">
        <w:tc>
          <w:tcPr>
            <w:tcW w:w="2991" w:type="pct"/>
            <w:tcBorders>
              <w:top w:val="nil"/>
              <w:left w:val="nil"/>
              <w:bottom w:val="nil"/>
              <w:right w:val="nil"/>
            </w:tcBorders>
            <w:shd w:val="clear" w:color="auto" w:fill="auto"/>
            <w:noWrap/>
            <w:vAlign w:val="bottom"/>
          </w:tcPr>
          <w:p w14:paraId="371FEEBB" w14:textId="1484E436" w:rsidR="000D68F8" w:rsidRPr="007B60BF" w:rsidRDefault="000D68F8" w:rsidP="000D68F8">
            <w:pPr>
              <w:ind w:firstLineChars="200" w:firstLine="400"/>
            </w:pPr>
            <w:r w:rsidRPr="007B60BF">
              <w:t>Receitas de Diferido (Reversão de Subvenções)</w:t>
            </w:r>
          </w:p>
        </w:tc>
        <w:tc>
          <w:tcPr>
            <w:tcW w:w="901" w:type="pct"/>
            <w:tcBorders>
              <w:top w:val="nil"/>
              <w:left w:val="nil"/>
              <w:right w:val="nil"/>
            </w:tcBorders>
            <w:shd w:val="clear" w:color="auto" w:fill="auto"/>
            <w:noWrap/>
          </w:tcPr>
          <w:p w14:paraId="5F164D9B" w14:textId="4820716D" w:rsidR="000D68F8" w:rsidRPr="007B60BF" w:rsidRDefault="000D68F8" w:rsidP="000D68F8">
            <w:pPr>
              <w:jc w:val="right"/>
            </w:pPr>
            <w:r w:rsidRPr="007B60BF">
              <w:t xml:space="preserve"> 10.346 </w:t>
            </w:r>
          </w:p>
        </w:tc>
        <w:tc>
          <w:tcPr>
            <w:tcW w:w="235" w:type="pct"/>
            <w:tcBorders>
              <w:top w:val="nil"/>
              <w:left w:val="nil"/>
              <w:right w:val="nil"/>
            </w:tcBorders>
            <w:shd w:val="clear" w:color="auto" w:fill="auto"/>
            <w:noWrap/>
          </w:tcPr>
          <w:p w14:paraId="75AC0CB2" w14:textId="77777777" w:rsidR="000D68F8" w:rsidRPr="007B60BF" w:rsidRDefault="000D68F8" w:rsidP="000D68F8"/>
        </w:tc>
        <w:tc>
          <w:tcPr>
            <w:tcW w:w="873" w:type="pct"/>
            <w:tcBorders>
              <w:top w:val="nil"/>
              <w:left w:val="nil"/>
              <w:right w:val="nil"/>
            </w:tcBorders>
            <w:shd w:val="clear" w:color="auto" w:fill="auto"/>
          </w:tcPr>
          <w:p w14:paraId="3A875A3A" w14:textId="7B6D8AC5" w:rsidR="000D68F8" w:rsidRPr="007B60BF" w:rsidRDefault="000D68F8" w:rsidP="000D68F8">
            <w:pPr>
              <w:jc w:val="right"/>
            </w:pPr>
            <w:r w:rsidRPr="007B60BF">
              <w:t xml:space="preserve"> 10.600 </w:t>
            </w:r>
          </w:p>
        </w:tc>
      </w:tr>
      <w:tr w:rsidR="000D68F8" w:rsidRPr="007B60BF" w14:paraId="7FBDEDFB" w14:textId="77777777" w:rsidTr="00960B2E">
        <w:tc>
          <w:tcPr>
            <w:tcW w:w="2991" w:type="pct"/>
            <w:tcBorders>
              <w:top w:val="nil"/>
              <w:left w:val="nil"/>
              <w:bottom w:val="nil"/>
              <w:right w:val="nil"/>
            </w:tcBorders>
            <w:shd w:val="clear" w:color="auto" w:fill="auto"/>
            <w:noWrap/>
            <w:vAlign w:val="bottom"/>
            <w:hideMark/>
          </w:tcPr>
          <w:p w14:paraId="17574C21" w14:textId="77777777" w:rsidR="000D68F8" w:rsidRPr="007B60BF" w:rsidRDefault="000D68F8" w:rsidP="000D68F8">
            <w:pPr>
              <w:ind w:firstLineChars="200" w:firstLine="400"/>
            </w:pPr>
            <w:r w:rsidRPr="007B60BF">
              <w:t>Receitas de Aluguéis</w:t>
            </w:r>
          </w:p>
        </w:tc>
        <w:tc>
          <w:tcPr>
            <w:tcW w:w="901" w:type="pct"/>
            <w:tcBorders>
              <w:top w:val="nil"/>
              <w:left w:val="nil"/>
              <w:right w:val="nil"/>
            </w:tcBorders>
            <w:shd w:val="clear" w:color="auto" w:fill="auto"/>
            <w:noWrap/>
          </w:tcPr>
          <w:p w14:paraId="0B104883" w14:textId="1FAC2C08" w:rsidR="000D68F8" w:rsidRPr="007B60BF" w:rsidRDefault="000D68F8" w:rsidP="000D68F8">
            <w:pPr>
              <w:jc w:val="right"/>
            </w:pPr>
            <w:r w:rsidRPr="007B60BF">
              <w:t xml:space="preserve"> 9.896 </w:t>
            </w:r>
          </w:p>
        </w:tc>
        <w:tc>
          <w:tcPr>
            <w:tcW w:w="235" w:type="pct"/>
            <w:tcBorders>
              <w:top w:val="nil"/>
              <w:left w:val="nil"/>
              <w:right w:val="nil"/>
            </w:tcBorders>
            <w:shd w:val="clear" w:color="auto" w:fill="auto"/>
            <w:noWrap/>
          </w:tcPr>
          <w:p w14:paraId="0ABA77C0" w14:textId="77777777" w:rsidR="000D68F8" w:rsidRPr="007B60BF" w:rsidRDefault="000D68F8" w:rsidP="000D68F8"/>
        </w:tc>
        <w:tc>
          <w:tcPr>
            <w:tcW w:w="873" w:type="pct"/>
            <w:tcBorders>
              <w:top w:val="nil"/>
              <w:left w:val="nil"/>
              <w:right w:val="nil"/>
            </w:tcBorders>
            <w:shd w:val="clear" w:color="auto" w:fill="auto"/>
          </w:tcPr>
          <w:p w14:paraId="2A761C7E" w14:textId="3471A4B3" w:rsidR="000D68F8" w:rsidRPr="007B60BF" w:rsidRDefault="000D68F8" w:rsidP="000D68F8">
            <w:pPr>
              <w:jc w:val="right"/>
            </w:pPr>
            <w:r w:rsidRPr="007B60BF">
              <w:t xml:space="preserve"> 1.985 </w:t>
            </w:r>
          </w:p>
        </w:tc>
      </w:tr>
      <w:tr w:rsidR="007C01B1" w:rsidRPr="007B60BF" w14:paraId="3B48098A" w14:textId="77777777" w:rsidTr="00960B2E">
        <w:tc>
          <w:tcPr>
            <w:tcW w:w="2991" w:type="pct"/>
            <w:tcBorders>
              <w:top w:val="nil"/>
              <w:left w:val="nil"/>
              <w:bottom w:val="nil"/>
            </w:tcBorders>
            <w:shd w:val="clear" w:color="auto" w:fill="auto"/>
            <w:noWrap/>
            <w:vAlign w:val="bottom"/>
          </w:tcPr>
          <w:p w14:paraId="345FB689" w14:textId="77777777" w:rsidR="007C01B1" w:rsidRPr="007B60BF" w:rsidRDefault="007C01B1" w:rsidP="007C01B1">
            <w:pPr>
              <w:ind w:firstLineChars="200" w:firstLine="400"/>
              <w:rPr>
                <w:b/>
              </w:rPr>
            </w:pPr>
          </w:p>
        </w:tc>
        <w:tc>
          <w:tcPr>
            <w:tcW w:w="901" w:type="pct"/>
            <w:tcBorders>
              <w:bottom w:val="single" w:sz="4" w:space="0" w:color="auto"/>
            </w:tcBorders>
            <w:shd w:val="clear" w:color="auto" w:fill="auto"/>
            <w:noWrap/>
          </w:tcPr>
          <w:p w14:paraId="56EA8574" w14:textId="1B493FEB" w:rsidR="007C01B1" w:rsidRPr="007B60BF" w:rsidRDefault="007463C2" w:rsidP="007C01B1">
            <w:pPr>
              <w:jc w:val="right"/>
              <w:rPr>
                <w:b/>
              </w:rPr>
            </w:pPr>
            <w:r w:rsidRPr="007B60BF">
              <w:rPr>
                <w:b/>
              </w:rPr>
              <w:t>1.998.419</w:t>
            </w:r>
          </w:p>
        </w:tc>
        <w:tc>
          <w:tcPr>
            <w:tcW w:w="235" w:type="pct"/>
            <w:tcBorders>
              <w:top w:val="nil"/>
              <w:left w:val="nil"/>
              <w:right w:val="nil"/>
            </w:tcBorders>
            <w:shd w:val="clear" w:color="auto" w:fill="auto"/>
            <w:noWrap/>
          </w:tcPr>
          <w:p w14:paraId="7E0E8B41" w14:textId="77777777" w:rsidR="007C01B1" w:rsidRPr="007B60BF" w:rsidRDefault="007C01B1" w:rsidP="007C01B1">
            <w:pPr>
              <w:jc w:val="right"/>
              <w:rPr>
                <w:b/>
              </w:rPr>
            </w:pPr>
          </w:p>
        </w:tc>
        <w:tc>
          <w:tcPr>
            <w:tcW w:w="873" w:type="pct"/>
            <w:tcBorders>
              <w:bottom w:val="single" w:sz="4" w:space="0" w:color="auto"/>
            </w:tcBorders>
            <w:shd w:val="clear" w:color="auto" w:fill="auto"/>
          </w:tcPr>
          <w:p w14:paraId="17655443" w14:textId="06C827B2" w:rsidR="007C01B1" w:rsidRPr="007B60BF" w:rsidRDefault="007C01B1" w:rsidP="007C01B1">
            <w:pPr>
              <w:jc w:val="right"/>
              <w:rPr>
                <w:b/>
                <w:bCs/>
              </w:rPr>
            </w:pPr>
            <w:r w:rsidRPr="007B60BF">
              <w:rPr>
                <w:b/>
              </w:rPr>
              <w:t xml:space="preserve"> 1.804.669 </w:t>
            </w:r>
          </w:p>
        </w:tc>
      </w:tr>
      <w:tr w:rsidR="007C01B1" w:rsidRPr="007B60BF" w14:paraId="6920ECAB" w14:textId="77777777" w:rsidTr="00A549FF">
        <w:tc>
          <w:tcPr>
            <w:tcW w:w="2991" w:type="pct"/>
            <w:tcBorders>
              <w:top w:val="nil"/>
              <w:left w:val="nil"/>
              <w:bottom w:val="nil"/>
              <w:right w:val="nil"/>
            </w:tcBorders>
            <w:shd w:val="clear" w:color="auto" w:fill="auto"/>
            <w:noWrap/>
            <w:vAlign w:val="bottom"/>
          </w:tcPr>
          <w:p w14:paraId="55A2BFB5" w14:textId="77777777" w:rsidR="007C01B1" w:rsidRPr="007B60BF" w:rsidRDefault="007C01B1" w:rsidP="007C01B1">
            <w:pPr>
              <w:rPr>
                <w:b/>
                <w:bCs/>
              </w:rPr>
            </w:pPr>
          </w:p>
        </w:tc>
        <w:tc>
          <w:tcPr>
            <w:tcW w:w="901" w:type="pct"/>
            <w:tcBorders>
              <w:top w:val="single" w:sz="4" w:space="0" w:color="auto"/>
              <w:left w:val="nil"/>
              <w:right w:val="nil"/>
            </w:tcBorders>
            <w:shd w:val="clear" w:color="auto" w:fill="auto"/>
            <w:noWrap/>
          </w:tcPr>
          <w:p w14:paraId="5FA17505" w14:textId="77777777" w:rsidR="007C01B1" w:rsidRPr="007B60BF" w:rsidRDefault="007C01B1" w:rsidP="007C01B1">
            <w:pPr>
              <w:jc w:val="right"/>
              <w:rPr>
                <w:b/>
                <w:bCs/>
              </w:rPr>
            </w:pPr>
          </w:p>
        </w:tc>
        <w:tc>
          <w:tcPr>
            <w:tcW w:w="235" w:type="pct"/>
            <w:tcBorders>
              <w:top w:val="nil"/>
              <w:left w:val="nil"/>
              <w:right w:val="nil"/>
            </w:tcBorders>
            <w:shd w:val="clear" w:color="auto" w:fill="auto"/>
            <w:noWrap/>
            <w:vAlign w:val="center"/>
          </w:tcPr>
          <w:p w14:paraId="50131ABB" w14:textId="77777777" w:rsidR="007C01B1" w:rsidRPr="007B60BF" w:rsidRDefault="007C01B1" w:rsidP="007C01B1">
            <w:pPr>
              <w:jc w:val="right"/>
              <w:rPr>
                <w:b/>
                <w:bCs/>
              </w:rPr>
            </w:pPr>
          </w:p>
        </w:tc>
        <w:tc>
          <w:tcPr>
            <w:tcW w:w="873" w:type="pct"/>
            <w:tcBorders>
              <w:top w:val="single" w:sz="4" w:space="0" w:color="auto"/>
              <w:left w:val="nil"/>
              <w:right w:val="nil"/>
            </w:tcBorders>
            <w:shd w:val="clear" w:color="auto" w:fill="auto"/>
          </w:tcPr>
          <w:p w14:paraId="304E4FB7" w14:textId="3A565B39" w:rsidR="007C01B1" w:rsidRPr="007B60BF" w:rsidRDefault="007C01B1" w:rsidP="007C01B1">
            <w:pPr>
              <w:rPr>
                <w:b/>
                <w:bCs/>
              </w:rPr>
            </w:pPr>
          </w:p>
        </w:tc>
      </w:tr>
      <w:tr w:rsidR="007C01B1" w:rsidRPr="007B60BF" w14:paraId="57CAE21C" w14:textId="77777777" w:rsidTr="00DA5149">
        <w:tc>
          <w:tcPr>
            <w:tcW w:w="2991" w:type="pct"/>
            <w:tcBorders>
              <w:top w:val="nil"/>
              <w:left w:val="nil"/>
              <w:bottom w:val="nil"/>
            </w:tcBorders>
            <w:shd w:val="clear" w:color="auto" w:fill="auto"/>
            <w:noWrap/>
            <w:vAlign w:val="bottom"/>
            <w:hideMark/>
          </w:tcPr>
          <w:p w14:paraId="2F245116" w14:textId="77777777" w:rsidR="007C01B1" w:rsidRPr="007B60BF" w:rsidRDefault="007C01B1" w:rsidP="007C01B1">
            <w:pPr>
              <w:rPr>
                <w:b/>
                <w:bCs/>
              </w:rPr>
            </w:pPr>
            <w:r w:rsidRPr="007B60BF">
              <w:rPr>
                <w:b/>
                <w:bCs/>
              </w:rPr>
              <w:t xml:space="preserve">Valor Adicionado Total a Distribuir </w:t>
            </w:r>
          </w:p>
        </w:tc>
        <w:tc>
          <w:tcPr>
            <w:tcW w:w="901" w:type="pct"/>
            <w:tcBorders>
              <w:bottom w:val="single" w:sz="4" w:space="0" w:color="auto"/>
              <w:right w:val="nil"/>
            </w:tcBorders>
            <w:shd w:val="clear" w:color="auto" w:fill="auto"/>
            <w:noWrap/>
          </w:tcPr>
          <w:p w14:paraId="1F47813A" w14:textId="63BA8DC1" w:rsidR="007C01B1" w:rsidRPr="007B60BF" w:rsidRDefault="007463C2" w:rsidP="007463C2">
            <w:pPr>
              <w:jc w:val="right"/>
              <w:rPr>
                <w:b/>
                <w:bCs/>
              </w:rPr>
            </w:pPr>
            <w:r w:rsidRPr="007B60BF">
              <w:rPr>
                <w:b/>
                <w:bCs/>
              </w:rPr>
              <w:t>1.896.414</w:t>
            </w:r>
          </w:p>
        </w:tc>
        <w:tc>
          <w:tcPr>
            <w:tcW w:w="235" w:type="pct"/>
            <w:tcBorders>
              <w:left w:val="nil"/>
              <w:right w:val="nil"/>
            </w:tcBorders>
            <w:shd w:val="clear" w:color="auto" w:fill="auto"/>
            <w:noWrap/>
          </w:tcPr>
          <w:p w14:paraId="15354572" w14:textId="77777777" w:rsidR="007C01B1" w:rsidRPr="007B60BF" w:rsidRDefault="007C01B1" w:rsidP="007C01B1">
            <w:pPr>
              <w:rPr>
                <w:b/>
              </w:rPr>
            </w:pPr>
          </w:p>
        </w:tc>
        <w:tc>
          <w:tcPr>
            <w:tcW w:w="873" w:type="pct"/>
            <w:tcBorders>
              <w:bottom w:val="single" w:sz="4" w:space="0" w:color="auto"/>
              <w:right w:val="nil"/>
            </w:tcBorders>
            <w:shd w:val="clear" w:color="auto" w:fill="auto"/>
          </w:tcPr>
          <w:p w14:paraId="1E613955" w14:textId="47A781C6" w:rsidR="007C01B1" w:rsidRPr="007B60BF" w:rsidRDefault="007C01B1" w:rsidP="007C01B1">
            <w:pPr>
              <w:jc w:val="right"/>
              <w:rPr>
                <w:b/>
                <w:bCs/>
              </w:rPr>
            </w:pPr>
            <w:r w:rsidRPr="007B60BF">
              <w:rPr>
                <w:b/>
              </w:rPr>
              <w:t xml:space="preserve"> 1.758.858 </w:t>
            </w:r>
          </w:p>
        </w:tc>
      </w:tr>
      <w:tr w:rsidR="007C01B1" w:rsidRPr="007B60BF" w14:paraId="77B7E1E3" w14:textId="77777777" w:rsidTr="00D7349A">
        <w:tc>
          <w:tcPr>
            <w:tcW w:w="2991" w:type="pct"/>
            <w:tcBorders>
              <w:top w:val="nil"/>
              <w:left w:val="nil"/>
              <w:bottom w:val="nil"/>
              <w:right w:val="nil"/>
            </w:tcBorders>
            <w:shd w:val="clear" w:color="auto" w:fill="auto"/>
            <w:noWrap/>
            <w:vAlign w:val="bottom"/>
          </w:tcPr>
          <w:p w14:paraId="1D512DE1" w14:textId="77777777" w:rsidR="007C01B1" w:rsidRPr="007B60BF" w:rsidRDefault="007C01B1" w:rsidP="007C01B1">
            <w:pPr>
              <w:rPr>
                <w:b/>
                <w:bCs/>
              </w:rPr>
            </w:pPr>
          </w:p>
        </w:tc>
        <w:tc>
          <w:tcPr>
            <w:tcW w:w="901" w:type="pct"/>
            <w:tcBorders>
              <w:top w:val="single" w:sz="4" w:space="0" w:color="auto"/>
              <w:left w:val="nil"/>
              <w:right w:val="nil"/>
            </w:tcBorders>
            <w:shd w:val="clear" w:color="auto" w:fill="auto"/>
            <w:noWrap/>
            <w:vAlign w:val="center"/>
          </w:tcPr>
          <w:p w14:paraId="4E59E52F" w14:textId="77777777" w:rsidR="007C01B1" w:rsidRPr="007B60BF" w:rsidRDefault="007C01B1" w:rsidP="007C01B1">
            <w:pPr>
              <w:jc w:val="right"/>
              <w:rPr>
                <w:b/>
                <w:bCs/>
              </w:rPr>
            </w:pPr>
          </w:p>
        </w:tc>
        <w:tc>
          <w:tcPr>
            <w:tcW w:w="235" w:type="pct"/>
            <w:tcBorders>
              <w:left w:val="nil"/>
              <w:right w:val="nil"/>
            </w:tcBorders>
            <w:shd w:val="clear" w:color="auto" w:fill="auto"/>
            <w:noWrap/>
            <w:vAlign w:val="bottom"/>
          </w:tcPr>
          <w:p w14:paraId="69BA0ABF" w14:textId="77777777" w:rsidR="007C01B1" w:rsidRPr="007B60BF" w:rsidRDefault="007C01B1" w:rsidP="007C01B1">
            <w:pPr>
              <w:jc w:val="right"/>
              <w:rPr>
                <w:b/>
                <w:bCs/>
              </w:rPr>
            </w:pPr>
          </w:p>
        </w:tc>
        <w:tc>
          <w:tcPr>
            <w:tcW w:w="873" w:type="pct"/>
            <w:tcBorders>
              <w:top w:val="single" w:sz="4" w:space="0" w:color="auto"/>
              <w:left w:val="nil"/>
              <w:right w:val="nil"/>
            </w:tcBorders>
          </w:tcPr>
          <w:p w14:paraId="62012A20" w14:textId="1DF6652A" w:rsidR="007C01B1" w:rsidRPr="007B60BF" w:rsidRDefault="007C01B1" w:rsidP="007C01B1">
            <w:pPr>
              <w:jc w:val="right"/>
              <w:rPr>
                <w:b/>
                <w:bCs/>
              </w:rPr>
            </w:pPr>
          </w:p>
        </w:tc>
      </w:tr>
      <w:tr w:rsidR="007C01B1" w:rsidRPr="007B60BF" w14:paraId="3523DA43" w14:textId="77777777" w:rsidTr="00D7349A">
        <w:tc>
          <w:tcPr>
            <w:tcW w:w="2991" w:type="pct"/>
            <w:tcBorders>
              <w:top w:val="nil"/>
              <w:left w:val="nil"/>
              <w:bottom w:val="nil"/>
              <w:right w:val="nil"/>
            </w:tcBorders>
            <w:shd w:val="clear" w:color="auto" w:fill="auto"/>
            <w:noWrap/>
            <w:vAlign w:val="bottom"/>
            <w:hideMark/>
          </w:tcPr>
          <w:p w14:paraId="6461CAF5" w14:textId="77777777" w:rsidR="007C01B1" w:rsidRPr="007B60BF" w:rsidRDefault="007C01B1" w:rsidP="007C01B1">
            <w:pPr>
              <w:rPr>
                <w:b/>
                <w:bCs/>
              </w:rPr>
            </w:pPr>
            <w:r w:rsidRPr="007B60BF">
              <w:rPr>
                <w:b/>
                <w:bCs/>
              </w:rPr>
              <w:t>Distribuição do Valor Adicionado</w:t>
            </w:r>
          </w:p>
        </w:tc>
        <w:tc>
          <w:tcPr>
            <w:tcW w:w="901" w:type="pct"/>
            <w:tcBorders>
              <w:left w:val="nil"/>
              <w:right w:val="nil"/>
            </w:tcBorders>
            <w:shd w:val="clear" w:color="auto" w:fill="auto"/>
            <w:noWrap/>
            <w:vAlign w:val="center"/>
          </w:tcPr>
          <w:p w14:paraId="16B3FED6" w14:textId="77777777" w:rsidR="007C01B1" w:rsidRPr="007B60BF" w:rsidRDefault="007C01B1" w:rsidP="007C01B1">
            <w:pPr>
              <w:jc w:val="right"/>
              <w:rPr>
                <w:b/>
                <w:bCs/>
              </w:rPr>
            </w:pPr>
          </w:p>
        </w:tc>
        <w:tc>
          <w:tcPr>
            <w:tcW w:w="235" w:type="pct"/>
            <w:tcBorders>
              <w:left w:val="nil"/>
              <w:right w:val="nil"/>
            </w:tcBorders>
            <w:shd w:val="clear" w:color="auto" w:fill="auto"/>
            <w:noWrap/>
            <w:vAlign w:val="bottom"/>
          </w:tcPr>
          <w:p w14:paraId="12440574" w14:textId="77777777" w:rsidR="007C01B1" w:rsidRPr="007B60BF" w:rsidRDefault="007C01B1" w:rsidP="007C01B1">
            <w:pPr>
              <w:jc w:val="right"/>
              <w:rPr>
                <w:b/>
                <w:bCs/>
              </w:rPr>
            </w:pPr>
          </w:p>
        </w:tc>
        <w:tc>
          <w:tcPr>
            <w:tcW w:w="873" w:type="pct"/>
            <w:tcBorders>
              <w:left w:val="nil"/>
              <w:right w:val="nil"/>
            </w:tcBorders>
          </w:tcPr>
          <w:p w14:paraId="37A0677C" w14:textId="77777777" w:rsidR="007C01B1" w:rsidRPr="007B60BF" w:rsidRDefault="007C01B1" w:rsidP="007C01B1">
            <w:pPr>
              <w:jc w:val="right"/>
              <w:rPr>
                <w:b/>
                <w:bCs/>
              </w:rPr>
            </w:pPr>
          </w:p>
        </w:tc>
      </w:tr>
      <w:tr w:rsidR="007C01B1" w:rsidRPr="007B60BF" w14:paraId="59445DEB" w14:textId="77777777" w:rsidTr="008136F2">
        <w:tc>
          <w:tcPr>
            <w:tcW w:w="2991" w:type="pct"/>
            <w:tcBorders>
              <w:top w:val="nil"/>
              <w:left w:val="nil"/>
              <w:bottom w:val="nil"/>
              <w:right w:val="nil"/>
            </w:tcBorders>
            <w:shd w:val="clear" w:color="auto" w:fill="auto"/>
            <w:noWrap/>
            <w:vAlign w:val="bottom"/>
            <w:hideMark/>
          </w:tcPr>
          <w:p w14:paraId="3B791415" w14:textId="77777777" w:rsidR="007C01B1" w:rsidRPr="007B60BF" w:rsidRDefault="007C01B1" w:rsidP="007C01B1">
            <w:pPr>
              <w:tabs>
                <w:tab w:val="left" w:pos="210"/>
              </w:tabs>
              <w:rPr>
                <w:b/>
                <w:bCs/>
              </w:rPr>
            </w:pPr>
            <w:r w:rsidRPr="007B60BF">
              <w:rPr>
                <w:b/>
                <w:bCs/>
              </w:rPr>
              <w:t xml:space="preserve">   Pessoal</w:t>
            </w:r>
          </w:p>
        </w:tc>
        <w:tc>
          <w:tcPr>
            <w:tcW w:w="901" w:type="pct"/>
            <w:tcBorders>
              <w:top w:val="nil"/>
              <w:left w:val="nil"/>
              <w:right w:val="nil"/>
            </w:tcBorders>
            <w:shd w:val="clear" w:color="auto" w:fill="auto"/>
            <w:noWrap/>
          </w:tcPr>
          <w:p w14:paraId="2F043801" w14:textId="01F12AC1" w:rsidR="007C01B1" w:rsidRPr="007B60BF" w:rsidRDefault="007C01B1" w:rsidP="007C01B1">
            <w:pPr>
              <w:jc w:val="right"/>
              <w:rPr>
                <w:b/>
                <w:bCs/>
              </w:rPr>
            </w:pPr>
          </w:p>
        </w:tc>
        <w:tc>
          <w:tcPr>
            <w:tcW w:w="235" w:type="pct"/>
            <w:tcBorders>
              <w:top w:val="nil"/>
              <w:left w:val="nil"/>
              <w:right w:val="nil"/>
            </w:tcBorders>
            <w:shd w:val="clear" w:color="auto" w:fill="auto"/>
            <w:noWrap/>
            <w:vAlign w:val="bottom"/>
          </w:tcPr>
          <w:p w14:paraId="4FE5580D" w14:textId="77777777" w:rsidR="007C01B1" w:rsidRPr="007B60BF" w:rsidRDefault="007C01B1" w:rsidP="007C01B1">
            <w:pPr>
              <w:jc w:val="right"/>
              <w:rPr>
                <w:b/>
                <w:bCs/>
              </w:rPr>
            </w:pPr>
          </w:p>
        </w:tc>
        <w:tc>
          <w:tcPr>
            <w:tcW w:w="873" w:type="pct"/>
            <w:tcBorders>
              <w:top w:val="nil"/>
              <w:left w:val="nil"/>
              <w:right w:val="nil"/>
            </w:tcBorders>
          </w:tcPr>
          <w:p w14:paraId="107F7B6F" w14:textId="77777777" w:rsidR="007C01B1" w:rsidRPr="007B60BF" w:rsidRDefault="007C01B1" w:rsidP="007C01B1">
            <w:pPr>
              <w:jc w:val="right"/>
            </w:pPr>
          </w:p>
        </w:tc>
      </w:tr>
      <w:tr w:rsidR="000D68F8" w:rsidRPr="007B60BF" w14:paraId="05D91BD4" w14:textId="77777777" w:rsidTr="00DA5149">
        <w:tc>
          <w:tcPr>
            <w:tcW w:w="2991" w:type="pct"/>
            <w:tcBorders>
              <w:top w:val="nil"/>
              <w:left w:val="nil"/>
              <w:bottom w:val="nil"/>
              <w:right w:val="nil"/>
            </w:tcBorders>
            <w:shd w:val="clear" w:color="auto" w:fill="auto"/>
            <w:noWrap/>
            <w:vAlign w:val="bottom"/>
            <w:hideMark/>
          </w:tcPr>
          <w:p w14:paraId="2ED3F436" w14:textId="77777777" w:rsidR="000D68F8" w:rsidRPr="007B60BF" w:rsidRDefault="000D68F8" w:rsidP="000D68F8">
            <w:pPr>
              <w:ind w:firstLineChars="200" w:firstLine="400"/>
            </w:pPr>
            <w:r w:rsidRPr="007B60BF">
              <w:t>Remuneração Direta</w:t>
            </w:r>
          </w:p>
        </w:tc>
        <w:tc>
          <w:tcPr>
            <w:tcW w:w="901" w:type="pct"/>
            <w:tcBorders>
              <w:left w:val="nil"/>
              <w:bottom w:val="nil"/>
              <w:right w:val="nil"/>
            </w:tcBorders>
            <w:shd w:val="clear" w:color="auto" w:fill="auto"/>
            <w:noWrap/>
          </w:tcPr>
          <w:p w14:paraId="144C8E6A" w14:textId="02B715D4" w:rsidR="000D68F8" w:rsidRPr="007B60BF" w:rsidRDefault="000D68F8" w:rsidP="000D68F8">
            <w:pPr>
              <w:jc w:val="right"/>
            </w:pPr>
            <w:r w:rsidRPr="007B60BF">
              <w:t xml:space="preserve"> 1.355.425 </w:t>
            </w:r>
          </w:p>
        </w:tc>
        <w:tc>
          <w:tcPr>
            <w:tcW w:w="235" w:type="pct"/>
            <w:tcBorders>
              <w:left w:val="nil"/>
              <w:bottom w:val="nil"/>
              <w:right w:val="nil"/>
            </w:tcBorders>
            <w:shd w:val="clear" w:color="auto" w:fill="auto"/>
            <w:noWrap/>
          </w:tcPr>
          <w:p w14:paraId="58004755" w14:textId="77777777" w:rsidR="000D68F8" w:rsidRPr="007B60BF" w:rsidRDefault="000D68F8" w:rsidP="000D68F8">
            <w:pPr>
              <w:jc w:val="right"/>
            </w:pPr>
          </w:p>
        </w:tc>
        <w:tc>
          <w:tcPr>
            <w:tcW w:w="873" w:type="pct"/>
            <w:tcBorders>
              <w:left w:val="nil"/>
              <w:bottom w:val="nil"/>
              <w:right w:val="nil"/>
            </w:tcBorders>
            <w:shd w:val="clear" w:color="auto" w:fill="auto"/>
          </w:tcPr>
          <w:p w14:paraId="295A5B7D" w14:textId="002A65EB" w:rsidR="000D68F8" w:rsidRPr="007B60BF" w:rsidRDefault="000D68F8" w:rsidP="000D68F8">
            <w:pPr>
              <w:jc w:val="right"/>
            </w:pPr>
            <w:r w:rsidRPr="007B60BF">
              <w:t xml:space="preserve"> 1.172.495 </w:t>
            </w:r>
          </w:p>
        </w:tc>
      </w:tr>
      <w:tr w:rsidR="000D68F8" w:rsidRPr="007B60BF" w14:paraId="7EE01A02" w14:textId="77777777" w:rsidTr="00960B2E">
        <w:tc>
          <w:tcPr>
            <w:tcW w:w="2991" w:type="pct"/>
            <w:tcBorders>
              <w:top w:val="nil"/>
              <w:left w:val="nil"/>
              <w:bottom w:val="nil"/>
              <w:right w:val="nil"/>
            </w:tcBorders>
            <w:shd w:val="clear" w:color="auto" w:fill="auto"/>
            <w:noWrap/>
            <w:vAlign w:val="bottom"/>
            <w:hideMark/>
          </w:tcPr>
          <w:p w14:paraId="750D5187" w14:textId="77777777" w:rsidR="000D68F8" w:rsidRPr="007B60BF" w:rsidRDefault="000D68F8" w:rsidP="000D68F8">
            <w:pPr>
              <w:ind w:firstLineChars="200" w:firstLine="400"/>
            </w:pPr>
            <w:r w:rsidRPr="007B60BF">
              <w:t>Benefícios</w:t>
            </w:r>
          </w:p>
        </w:tc>
        <w:tc>
          <w:tcPr>
            <w:tcW w:w="901" w:type="pct"/>
            <w:tcBorders>
              <w:top w:val="nil"/>
              <w:left w:val="nil"/>
              <w:bottom w:val="nil"/>
              <w:right w:val="nil"/>
            </w:tcBorders>
            <w:shd w:val="clear" w:color="auto" w:fill="auto"/>
            <w:noWrap/>
          </w:tcPr>
          <w:p w14:paraId="1AFDAD1E" w14:textId="44CD29FA" w:rsidR="000D68F8" w:rsidRPr="007B60BF" w:rsidRDefault="000D68F8" w:rsidP="000D68F8">
            <w:pPr>
              <w:jc w:val="right"/>
            </w:pPr>
            <w:r w:rsidRPr="007B60BF">
              <w:t xml:space="preserve"> 145.138 </w:t>
            </w:r>
          </w:p>
        </w:tc>
        <w:tc>
          <w:tcPr>
            <w:tcW w:w="235" w:type="pct"/>
            <w:tcBorders>
              <w:top w:val="nil"/>
              <w:left w:val="nil"/>
              <w:bottom w:val="nil"/>
              <w:right w:val="nil"/>
            </w:tcBorders>
            <w:shd w:val="clear" w:color="auto" w:fill="auto"/>
            <w:noWrap/>
          </w:tcPr>
          <w:p w14:paraId="10E72228" w14:textId="77777777" w:rsidR="000D68F8" w:rsidRPr="007B60BF" w:rsidRDefault="000D68F8" w:rsidP="000D68F8">
            <w:pPr>
              <w:jc w:val="right"/>
            </w:pPr>
          </w:p>
        </w:tc>
        <w:tc>
          <w:tcPr>
            <w:tcW w:w="873" w:type="pct"/>
            <w:tcBorders>
              <w:top w:val="nil"/>
              <w:left w:val="nil"/>
              <w:bottom w:val="nil"/>
              <w:right w:val="nil"/>
            </w:tcBorders>
            <w:shd w:val="clear" w:color="auto" w:fill="auto"/>
          </w:tcPr>
          <w:p w14:paraId="333371F2" w14:textId="7594ABCE" w:rsidR="000D68F8" w:rsidRPr="007B60BF" w:rsidRDefault="000D68F8" w:rsidP="000D68F8">
            <w:pPr>
              <w:jc w:val="right"/>
            </w:pPr>
            <w:r w:rsidRPr="007B60BF">
              <w:t xml:space="preserve"> 119.783 </w:t>
            </w:r>
          </w:p>
        </w:tc>
      </w:tr>
      <w:tr w:rsidR="000D68F8" w:rsidRPr="007B60BF" w14:paraId="2A4A7ECC" w14:textId="77777777" w:rsidTr="00960B2E">
        <w:tc>
          <w:tcPr>
            <w:tcW w:w="2991" w:type="pct"/>
            <w:tcBorders>
              <w:top w:val="nil"/>
              <w:left w:val="nil"/>
              <w:bottom w:val="nil"/>
              <w:right w:val="nil"/>
            </w:tcBorders>
            <w:shd w:val="clear" w:color="auto" w:fill="auto"/>
            <w:noWrap/>
            <w:vAlign w:val="bottom"/>
            <w:hideMark/>
          </w:tcPr>
          <w:p w14:paraId="7652B21D" w14:textId="77777777" w:rsidR="000D68F8" w:rsidRPr="007B60BF" w:rsidRDefault="000D68F8" w:rsidP="000D68F8">
            <w:pPr>
              <w:ind w:firstLineChars="200" w:firstLine="400"/>
            </w:pPr>
            <w:r w:rsidRPr="007B60BF">
              <w:t>FGTS</w:t>
            </w:r>
          </w:p>
        </w:tc>
        <w:tc>
          <w:tcPr>
            <w:tcW w:w="901" w:type="pct"/>
            <w:tcBorders>
              <w:top w:val="nil"/>
              <w:left w:val="nil"/>
              <w:right w:val="nil"/>
            </w:tcBorders>
            <w:shd w:val="clear" w:color="auto" w:fill="auto"/>
            <w:noWrap/>
          </w:tcPr>
          <w:p w14:paraId="5D87F83F" w14:textId="0DD02C00" w:rsidR="000D68F8" w:rsidRPr="007B60BF" w:rsidRDefault="000D68F8" w:rsidP="000D68F8">
            <w:pPr>
              <w:jc w:val="right"/>
            </w:pPr>
            <w:r w:rsidRPr="007B60BF">
              <w:t xml:space="preserve"> 103.626 </w:t>
            </w:r>
          </w:p>
        </w:tc>
        <w:tc>
          <w:tcPr>
            <w:tcW w:w="235" w:type="pct"/>
            <w:tcBorders>
              <w:top w:val="nil"/>
              <w:left w:val="nil"/>
              <w:right w:val="nil"/>
            </w:tcBorders>
            <w:shd w:val="clear" w:color="auto" w:fill="auto"/>
            <w:noWrap/>
          </w:tcPr>
          <w:p w14:paraId="444B7083" w14:textId="77777777" w:rsidR="000D68F8" w:rsidRPr="007B60BF" w:rsidRDefault="000D68F8" w:rsidP="000D68F8">
            <w:pPr>
              <w:jc w:val="right"/>
            </w:pPr>
          </w:p>
        </w:tc>
        <w:tc>
          <w:tcPr>
            <w:tcW w:w="873" w:type="pct"/>
            <w:tcBorders>
              <w:top w:val="nil"/>
              <w:left w:val="nil"/>
              <w:right w:val="nil"/>
            </w:tcBorders>
            <w:shd w:val="clear" w:color="auto" w:fill="auto"/>
          </w:tcPr>
          <w:p w14:paraId="434DFDB7" w14:textId="638FE9F5" w:rsidR="000D68F8" w:rsidRPr="007B60BF" w:rsidRDefault="000D68F8" w:rsidP="000D68F8">
            <w:pPr>
              <w:jc w:val="right"/>
            </w:pPr>
            <w:r w:rsidRPr="007B60BF">
              <w:t xml:space="preserve"> 95.615 </w:t>
            </w:r>
          </w:p>
        </w:tc>
      </w:tr>
      <w:tr w:rsidR="007C01B1" w:rsidRPr="007B60BF" w14:paraId="51DAF684" w14:textId="77777777" w:rsidTr="00960B2E">
        <w:tc>
          <w:tcPr>
            <w:tcW w:w="2991" w:type="pct"/>
            <w:tcBorders>
              <w:top w:val="nil"/>
              <w:left w:val="nil"/>
              <w:bottom w:val="nil"/>
              <w:right w:val="nil"/>
            </w:tcBorders>
            <w:shd w:val="clear" w:color="auto" w:fill="auto"/>
            <w:noWrap/>
            <w:vAlign w:val="bottom"/>
            <w:hideMark/>
          </w:tcPr>
          <w:p w14:paraId="06EF1E8C" w14:textId="77777777" w:rsidR="007C01B1" w:rsidRPr="007B60BF" w:rsidRDefault="007C01B1" w:rsidP="007C01B1">
            <w:pPr>
              <w:rPr>
                <w:b/>
                <w:bCs/>
              </w:rPr>
            </w:pPr>
            <w:r w:rsidRPr="007B60BF">
              <w:rPr>
                <w:b/>
                <w:bCs/>
              </w:rPr>
              <w:t xml:space="preserve">   Impostos, Taxas e Contribuições</w:t>
            </w:r>
          </w:p>
        </w:tc>
        <w:tc>
          <w:tcPr>
            <w:tcW w:w="901" w:type="pct"/>
            <w:tcBorders>
              <w:left w:val="nil"/>
              <w:right w:val="nil"/>
            </w:tcBorders>
            <w:shd w:val="clear" w:color="auto" w:fill="auto"/>
            <w:noWrap/>
          </w:tcPr>
          <w:p w14:paraId="1E738A72" w14:textId="256FE3C1" w:rsidR="007C01B1" w:rsidRPr="007B60BF" w:rsidRDefault="007C01B1" w:rsidP="007C01B1">
            <w:pPr>
              <w:jc w:val="right"/>
              <w:rPr>
                <w:b/>
                <w:bCs/>
              </w:rPr>
            </w:pPr>
          </w:p>
        </w:tc>
        <w:tc>
          <w:tcPr>
            <w:tcW w:w="235" w:type="pct"/>
            <w:tcBorders>
              <w:left w:val="nil"/>
              <w:right w:val="nil"/>
            </w:tcBorders>
            <w:shd w:val="clear" w:color="auto" w:fill="auto"/>
            <w:noWrap/>
            <w:vAlign w:val="bottom"/>
          </w:tcPr>
          <w:p w14:paraId="519309FC" w14:textId="77777777" w:rsidR="007C01B1" w:rsidRPr="007B60BF" w:rsidRDefault="007C01B1" w:rsidP="007C01B1">
            <w:pPr>
              <w:jc w:val="right"/>
              <w:rPr>
                <w:b/>
                <w:bCs/>
              </w:rPr>
            </w:pPr>
          </w:p>
        </w:tc>
        <w:tc>
          <w:tcPr>
            <w:tcW w:w="873" w:type="pct"/>
            <w:tcBorders>
              <w:left w:val="nil"/>
              <w:right w:val="nil"/>
            </w:tcBorders>
            <w:shd w:val="clear" w:color="auto" w:fill="auto"/>
          </w:tcPr>
          <w:p w14:paraId="23AFDC9E" w14:textId="496AB667" w:rsidR="007C01B1" w:rsidRPr="007B60BF" w:rsidRDefault="007C01B1" w:rsidP="007C01B1">
            <w:pPr>
              <w:jc w:val="right"/>
              <w:rPr>
                <w:b/>
                <w:bCs/>
              </w:rPr>
            </w:pPr>
          </w:p>
        </w:tc>
      </w:tr>
      <w:tr w:rsidR="007C01B1" w:rsidRPr="007B60BF" w14:paraId="05E32133" w14:textId="77777777" w:rsidTr="00960B2E">
        <w:tc>
          <w:tcPr>
            <w:tcW w:w="2991" w:type="pct"/>
            <w:tcBorders>
              <w:top w:val="nil"/>
              <w:left w:val="nil"/>
              <w:bottom w:val="nil"/>
              <w:right w:val="nil"/>
            </w:tcBorders>
            <w:shd w:val="clear" w:color="auto" w:fill="auto"/>
            <w:noWrap/>
            <w:vAlign w:val="bottom"/>
            <w:hideMark/>
          </w:tcPr>
          <w:p w14:paraId="582FF633" w14:textId="77777777" w:rsidR="007C01B1" w:rsidRPr="007B60BF" w:rsidRDefault="007C01B1" w:rsidP="007C01B1">
            <w:pPr>
              <w:rPr>
                <w:bCs/>
              </w:rPr>
            </w:pPr>
            <w:r w:rsidRPr="007B60BF">
              <w:rPr>
                <w:bCs/>
              </w:rPr>
              <w:t xml:space="preserve">        Federais</w:t>
            </w:r>
          </w:p>
        </w:tc>
        <w:tc>
          <w:tcPr>
            <w:tcW w:w="901" w:type="pct"/>
            <w:tcBorders>
              <w:top w:val="nil"/>
              <w:left w:val="nil"/>
              <w:right w:val="nil"/>
            </w:tcBorders>
            <w:shd w:val="clear" w:color="auto" w:fill="auto"/>
            <w:noWrap/>
          </w:tcPr>
          <w:p w14:paraId="4304F0F9" w14:textId="2C8D2629" w:rsidR="007C01B1" w:rsidRPr="007B60BF" w:rsidRDefault="000D68F8" w:rsidP="007C01B1">
            <w:pPr>
              <w:jc w:val="right"/>
            </w:pPr>
            <w:r w:rsidRPr="007B60BF">
              <w:t>375.172</w:t>
            </w:r>
          </w:p>
        </w:tc>
        <w:tc>
          <w:tcPr>
            <w:tcW w:w="235" w:type="pct"/>
            <w:tcBorders>
              <w:top w:val="nil"/>
              <w:left w:val="nil"/>
              <w:right w:val="nil"/>
            </w:tcBorders>
            <w:shd w:val="clear" w:color="auto" w:fill="auto"/>
            <w:noWrap/>
          </w:tcPr>
          <w:p w14:paraId="2F9D5042" w14:textId="77777777" w:rsidR="007C01B1" w:rsidRPr="007B60BF" w:rsidRDefault="007C01B1" w:rsidP="007C01B1">
            <w:pPr>
              <w:jc w:val="right"/>
            </w:pPr>
          </w:p>
        </w:tc>
        <w:tc>
          <w:tcPr>
            <w:tcW w:w="873" w:type="pct"/>
            <w:tcBorders>
              <w:top w:val="nil"/>
              <w:left w:val="nil"/>
              <w:right w:val="nil"/>
            </w:tcBorders>
            <w:shd w:val="clear" w:color="auto" w:fill="auto"/>
          </w:tcPr>
          <w:p w14:paraId="5D16742F" w14:textId="230F486D" w:rsidR="007C01B1" w:rsidRPr="007B60BF" w:rsidRDefault="007C01B1" w:rsidP="007C01B1">
            <w:pPr>
              <w:jc w:val="right"/>
            </w:pPr>
            <w:r w:rsidRPr="007B60BF">
              <w:t xml:space="preserve"> 346.164 </w:t>
            </w:r>
          </w:p>
        </w:tc>
      </w:tr>
      <w:tr w:rsidR="007C01B1" w:rsidRPr="007B60BF" w14:paraId="46C7EFD6" w14:textId="77777777" w:rsidTr="00960B2E">
        <w:tc>
          <w:tcPr>
            <w:tcW w:w="2991" w:type="pct"/>
            <w:tcBorders>
              <w:top w:val="nil"/>
              <w:left w:val="nil"/>
              <w:bottom w:val="nil"/>
              <w:right w:val="nil"/>
            </w:tcBorders>
            <w:shd w:val="clear" w:color="auto" w:fill="auto"/>
            <w:noWrap/>
            <w:vAlign w:val="bottom"/>
            <w:hideMark/>
          </w:tcPr>
          <w:p w14:paraId="757D63E9" w14:textId="77777777" w:rsidR="007C01B1" w:rsidRPr="007B60BF" w:rsidRDefault="007C01B1" w:rsidP="007C01B1">
            <w:pPr>
              <w:rPr>
                <w:bCs/>
              </w:rPr>
            </w:pPr>
            <w:r w:rsidRPr="007B60BF">
              <w:rPr>
                <w:bCs/>
              </w:rPr>
              <w:t xml:space="preserve">        Estaduais/Municipais</w:t>
            </w:r>
          </w:p>
        </w:tc>
        <w:tc>
          <w:tcPr>
            <w:tcW w:w="901" w:type="pct"/>
            <w:tcBorders>
              <w:top w:val="nil"/>
              <w:left w:val="nil"/>
              <w:right w:val="nil"/>
            </w:tcBorders>
            <w:shd w:val="clear" w:color="auto" w:fill="auto"/>
            <w:noWrap/>
          </w:tcPr>
          <w:p w14:paraId="666EDF4C" w14:textId="47449C66" w:rsidR="007C01B1" w:rsidRPr="007B60BF" w:rsidRDefault="000D68F8" w:rsidP="007C01B1">
            <w:pPr>
              <w:jc w:val="right"/>
            </w:pPr>
            <w:r w:rsidRPr="007B60BF">
              <w:t>72</w:t>
            </w:r>
          </w:p>
        </w:tc>
        <w:tc>
          <w:tcPr>
            <w:tcW w:w="235" w:type="pct"/>
            <w:tcBorders>
              <w:top w:val="nil"/>
              <w:left w:val="nil"/>
              <w:right w:val="nil"/>
            </w:tcBorders>
            <w:shd w:val="clear" w:color="auto" w:fill="auto"/>
            <w:noWrap/>
            <w:vAlign w:val="bottom"/>
          </w:tcPr>
          <w:p w14:paraId="467957FA" w14:textId="77777777" w:rsidR="007C01B1" w:rsidRPr="007B60BF" w:rsidRDefault="007C01B1" w:rsidP="007C01B1">
            <w:pPr>
              <w:jc w:val="right"/>
              <w:rPr>
                <w:bCs/>
              </w:rPr>
            </w:pPr>
          </w:p>
        </w:tc>
        <w:tc>
          <w:tcPr>
            <w:tcW w:w="873" w:type="pct"/>
            <w:tcBorders>
              <w:top w:val="nil"/>
              <w:left w:val="nil"/>
              <w:right w:val="nil"/>
            </w:tcBorders>
            <w:shd w:val="clear" w:color="auto" w:fill="auto"/>
          </w:tcPr>
          <w:p w14:paraId="1B530D03" w14:textId="1C5A5112" w:rsidR="007C01B1" w:rsidRPr="007B60BF" w:rsidRDefault="007C01B1" w:rsidP="007C01B1">
            <w:pPr>
              <w:jc w:val="right"/>
              <w:rPr>
                <w:bCs/>
              </w:rPr>
            </w:pPr>
            <w:r w:rsidRPr="007B60BF">
              <w:t xml:space="preserve"> 51 </w:t>
            </w:r>
          </w:p>
        </w:tc>
      </w:tr>
      <w:tr w:rsidR="007C01B1" w:rsidRPr="007B60BF" w14:paraId="30C67796" w14:textId="77777777" w:rsidTr="00960B2E">
        <w:tc>
          <w:tcPr>
            <w:tcW w:w="2991" w:type="pct"/>
            <w:tcBorders>
              <w:top w:val="nil"/>
              <w:left w:val="nil"/>
              <w:bottom w:val="nil"/>
              <w:right w:val="nil"/>
            </w:tcBorders>
            <w:shd w:val="clear" w:color="auto" w:fill="auto"/>
            <w:noWrap/>
            <w:vAlign w:val="bottom"/>
            <w:hideMark/>
          </w:tcPr>
          <w:p w14:paraId="7F48B583" w14:textId="77777777" w:rsidR="007C01B1" w:rsidRPr="007B60BF" w:rsidRDefault="007C01B1" w:rsidP="007C01B1">
            <w:pPr>
              <w:rPr>
                <w:b/>
                <w:bCs/>
              </w:rPr>
            </w:pPr>
            <w:r w:rsidRPr="007B60BF">
              <w:rPr>
                <w:b/>
                <w:bCs/>
              </w:rPr>
              <w:t xml:space="preserve">   Remuneração de Capitais de Terceiros</w:t>
            </w:r>
          </w:p>
        </w:tc>
        <w:tc>
          <w:tcPr>
            <w:tcW w:w="901" w:type="pct"/>
            <w:tcBorders>
              <w:top w:val="nil"/>
              <w:left w:val="nil"/>
              <w:right w:val="nil"/>
            </w:tcBorders>
            <w:shd w:val="clear" w:color="auto" w:fill="auto"/>
            <w:noWrap/>
          </w:tcPr>
          <w:p w14:paraId="23685B74" w14:textId="5F589BE6" w:rsidR="007C01B1" w:rsidRPr="007B60BF" w:rsidRDefault="007C01B1" w:rsidP="007C01B1">
            <w:pPr>
              <w:jc w:val="right"/>
              <w:rPr>
                <w:b/>
                <w:bCs/>
              </w:rPr>
            </w:pPr>
          </w:p>
        </w:tc>
        <w:tc>
          <w:tcPr>
            <w:tcW w:w="235" w:type="pct"/>
            <w:tcBorders>
              <w:top w:val="nil"/>
              <w:left w:val="nil"/>
              <w:right w:val="nil"/>
            </w:tcBorders>
            <w:shd w:val="clear" w:color="auto" w:fill="auto"/>
            <w:noWrap/>
            <w:vAlign w:val="bottom"/>
          </w:tcPr>
          <w:p w14:paraId="7589242A" w14:textId="77777777" w:rsidR="007C01B1" w:rsidRPr="007B60BF" w:rsidRDefault="007C01B1" w:rsidP="007C01B1">
            <w:pPr>
              <w:jc w:val="right"/>
              <w:rPr>
                <w:b/>
                <w:bCs/>
              </w:rPr>
            </w:pPr>
          </w:p>
        </w:tc>
        <w:tc>
          <w:tcPr>
            <w:tcW w:w="873" w:type="pct"/>
            <w:tcBorders>
              <w:top w:val="nil"/>
              <w:left w:val="nil"/>
              <w:right w:val="nil"/>
            </w:tcBorders>
            <w:shd w:val="clear" w:color="auto" w:fill="auto"/>
          </w:tcPr>
          <w:p w14:paraId="59E89485" w14:textId="5FD58F93" w:rsidR="007C01B1" w:rsidRPr="007B60BF" w:rsidRDefault="007C01B1" w:rsidP="007C01B1">
            <w:pPr>
              <w:jc w:val="right"/>
              <w:rPr>
                <w:b/>
                <w:bCs/>
              </w:rPr>
            </w:pPr>
          </w:p>
        </w:tc>
      </w:tr>
      <w:tr w:rsidR="000D68F8" w:rsidRPr="007B60BF" w14:paraId="2B1EE2D4" w14:textId="77777777" w:rsidTr="00960B2E">
        <w:tc>
          <w:tcPr>
            <w:tcW w:w="2991" w:type="pct"/>
            <w:tcBorders>
              <w:top w:val="nil"/>
              <w:left w:val="nil"/>
              <w:bottom w:val="nil"/>
              <w:right w:val="nil"/>
            </w:tcBorders>
            <w:shd w:val="clear" w:color="auto" w:fill="auto"/>
            <w:noWrap/>
            <w:vAlign w:val="bottom"/>
            <w:hideMark/>
          </w:tcPr>
          <w:p w14:paraId="48E68178" w14:textId="77777777" w:rsidR="000D68F8" w:rsidRPr="007B60BF" w:rsidRDefault="000D68F8" w:rsidP="000D68F8">
            <w:pPr>
              <w:ind w:firstLineChars="200" w:firstLine="400"/>
            </w:pPr>
            <w:r w:rsidRPr="007B60BF">
              <w:t>Despesas Financeiras</w:t>
            </w:r>
          </w:p>
        </w:tc>
        <w:tc>
          <w:tcPr>
            <w:tcW w:w="901" w:type="pct"/>
            <w:tcBorders>
              <w:left w:val="nil"/>
              <w:bottom w:val="nil"/>
              <w:right w:val="nil"/>
            </w:tcBorders>
            <w:shd w:val="clear" w:color="auto" w:fill="auto"/>
            <w:noWrap/>
          </w:tcPr>
          <w:p w14:paraId="4E01B97A" w14:textId="7A4932EE" w:rsidR="000D68F8" w:rsidRPr="007B60BF" w:rsidRDefault="000D68F8" w:rsidP="000D68F8">
            <w:pPr>
              <w:jc w:val="right"/>
            </w:pPr>
            <w:r w:rsidRPr="007B60BF">
              <w:t xml:space="preserve"> 3.641 </w:t>
            </w:r>
          </w:p>
        </w:tc>
        <w:tc>
          <w:tcPr>
            <w:tcW w:w="235" w:type="pct"/>
            <w:tcBorders>
              <w:left w:val="nil"/>
              <w:bottom w:val="nil"/>
              <w:right w:val="nil"/>
            </w:tcBorders>
            <w:shd w:val="clear" w:color="auto" w:fill="auto"/>
            <w:noWrap/>
          </w:tcPr>
          <w:p w14:paraId="333551D7" w14:textId="77777777" w:rsidR="000D68F8" w:rsidRPr="007B60BF" w:rsidRDefault="000D68F8" w:rsidP="000D68F8">
            <w:pPr>
              <w:jc w:val="right"/>
            </w:pPr>
          </w:p>
        </w:tc>
        <w:tc>
          <w:tcPr>
            <w:tcW w:w="873" w:type="pct"/>
            <w:tcBorders>
              <w:left w:val="nil"/>
              <w:bottom w:val="nil"/>
              <w:right w:val="nil"/>
            </w:tcBorders>
            <w:shd w:val="clear" w:color="auto" w:fill="auto"/>
          </w:tcPr>
          <w:p w14:paraId="0E2F5953" w14:textId="4FE4E05A" w:rsidR="000D68F8" w:rsidRPr="007B60BF" w:rsidRDefault="000D68F8" w:rsidP="000D68F8">
            <w:pPr>
              <w:jc w:val="right"/>
            </w:pPr>
            <w:r w:rsidRPr="007B60BF">
              <w:t xml:space="preserve"> 643 </w:t>
            </w:r>
          </w:p>
        </w:tc>
      </w:tr>
      <w:tr w:rsidR="000D68F8" w:rsidRPr="007B60BF" w14:paraId="575D053A" w14:textId="77777777" w:rsidTr="00960B2E">
        <w:tc>
          <w:tcPr>
            <w:tcW w:w="2991" w:type="pct"/>
            <w:tcBorders>
              <w:top w:val="nil"/>
              <w:left w:val="nil"/>
              <w:bottom w:val="nil"/>
              <w:right w:val="nil"/>
            </w:tcBorders>
            <w:shd w:val="clear" w:color="auto" w:fill="auto"/>
            <w:noWrap/>
            <w:vAlign w:val="bottom"/>
            <w:hideMark/>
          </w:tcPr>
          <w:p w14:paraId="5AF0B901" w14:textId="3AC0AE52" w:rsidR="000D68F8" w:rsidRPr="007B60BF" w:rsidRDefault="000D68F8" w:rsidP="000D68F8">
            <w:pPr>
              <w:ind w:firstLineChars="200" w:firstLine="400"/>
            </w:pPr>
            <w:r w:rsidRPr="007B60BF">
              <w:t>Locação de Imóveis</w:t>
            </w:r>
          </w:p>
        </w:tc>
        <w:tc>
          <w:tcPr>
            <w:tcW w:w="901" w:type="pct"/>
            <w:tcBorders>
              <w:top w:val="nil"/>
              <w:left w:val="nil"/>
              <w:bottom w:val="nil"/>
              <w:right w:val="nil"/>
            </w:tcBorders>
            <w:shd w:val="clear" w:color="auto" w:fill="auto"/>
            <w:noWrap/>
          </w:tcPr>
          <w:p w14:paraId="5FF63AF8" w14:textId="6533C6CD" w:rsidR="000D68F8" w:rsidRPr="007B60BF" w:rsidRDefault="000D68F8" w:rsidP="000D68F8">
            <w:pPr>
              <w:jc w:val="right"/>
            </w:pPr>
            <w:r w:rsidRPr="007B60BF">
              <w:t xml:space="preserve"> 12 </w:t>
            </w:r>
          </w:p>
        </w:tc>
        <w:tc>
          <w:tcPr>
            <w:tcW w:w="235" w:type="pct"/>
            <w:tcBorders>
              <w:top w:val="nil"/>
              <w:left w:val="nil"/>
              <w:bottom w:val="nil"/>
              <w:right w:val="nil"/>
            </w:tcBorders>
            <w:shd w:val="clear" w:color="auto" w:fill="auto"/>
            <w:noWrap/>
          </w:tcPr>
          <w:p w14:paraId="0441339C" w14:textId="77777777" w:rsidR="000D68F8" w:rsidRPr="007B60BF" w:rsidRDefault="000D68F8" w:rsidP="000D68F8">
            <w:pPr>
              <w:jc w:val="right"/>
            </w:pPr>
          </w:p>
        </w:tc>
        <w:tc>
          <w:tcPr>
            <w:tcW w:w="873" w:type="pct"/>
            <w:tcBorders>
              <w:top w:val="nil"/>
              <w:left w:val="nil"/>
              <w:bottom w:val="nil"/>
              <w:right w:val="nil"/>
            </w:tcBorders>
            <w:shd w:val="clear" w:color="auto" w:fill="auto"/>
          </w:tcPr>
          <w:p w14:paraId="2F1AF5FD" w14:textId="1A7FBB1C" w:rsidR="000D68F8" w:rsidRPr="007B60BF" w:rsidRDefault="000D68F8" w:rsidP="000D68F8">
            <w:pPr>
              <w:jc w:val="right"/>
            </w:pPr>
            <w:r w:rsidRPr="007B60BF">
              <w:t xml:space="preserve"> 499 </w:t>
            </w:r>
          </w:p>
        </w:tc>
      </w:tr>
      <w:tr w:rsidR="000D68F8" w:rsidRPr="007B60BF" w14:paraId="23CB3890" w14:textId="77777777" w:rsidTr="00960B2E">
        <w:tc>
          <w:tcPr>
            <w:tcW w:w="2991" w:type="pct"/>
            <w:tcBorders>
              <w:top w:val="nil"/>
              <w:left w:val="nil"/>
              <w:bottom w:val="nil"/>
              <w:right w:val="nil"/>
            </w:tcBorders>
            <w:shd w:val="clear" w:color="auto" w:fill="auto"/>
            <w:noWrap/>
            <w:vAlign w:val="bottom"/>
            <w:hideMark/>
          </w:tcPr>
          <w:p w14:paraId="269E7191" w14:textId="77777777" w:rsidR="000D68F8" w:rsidRPr="007B60BF" w:rsidRDefault="000D68F8" w:rsidP="000D68F8">
            <w:pPr>
              <w:ind w:firstLineChars="200" w:firstLine="400"/>
            </w:pPr>
            <w:r w:rsidRPr="007B60BF">
              <w:t>Locação de Máquinas e Equipamentos</w:t>
            </w:r>
          </w:p>
        </w:tc>
        <w:tc>
          <w:tcPr>
            <w:tcW w:w="901" w:type="pct"/>
            <w:tcBorders>
              <w:top w:val="nil"/>
              <w:left w:val="nil"/>
              <w:right w:val="nil"/>
            </w:tcBorders>
            <w:shd w:val="clear" w:color="auto" w:fill="auto"/>
            <w:noWrap/>
          </w:tcPr>
          <w:p w14:paraId="277785F1" w14:textId="0E5E8782" w:rsidR="000D68F8" w:rsidRPr="007B60BF" w:rsidRDefault="000D68F8" w:rsidP="000D68F8">
            <w:pPr>
              <w:jc w:val="right"/>
            </w:pPr>
            <w:r w:rsidRPr="007B60BF">
              <w:t xml:space="preserve"> 3.944 </w:t>
            </w:r>
          </w:p>
        </w:tc>
        <w:tc>
          <w:tcPr>
            <w:tcW w:w="235" w:type="pct"/>
            <w:tcBorders>
              <w:top w:val="nil"/>
              <w:left w:val="nil"/>
              <w:right w:val="nil"/>
            </w:tcBorders>
            <w:shd w:val="clear" w:color="auto" w:fill="auto"/>
            <w:noWrap/>
          </w:tcPr>
          <w:p w14:paraId="2F5A4638" w14:textId="77777777" w:rsidR="000D68F8" w:rsidRPr="007B60BF" w:rsidRDefault="000D68F8" w:rsidP="000D68F8">
            <w:pPr>
              <w:jc w:val="right"/>
            </w:pPr>
          </w:p>
        </w:tc>
        <w:tc>
          <w:tcPr>
            <w:tcW w:w="873" w:type="pct"/>
            <w:tcBorders>
              <w:top w:val="nil"/>
              <w:left w:val="nil"/>
              <w:right w:val="nil"/>
            </w:tcBorders>
            <w:shd w:val="clear" w:color="auto" w:fill="auto"/>
          </w:tcPr>
          <w:p w14:paraId="2F2B3E61" w14:textId="3139CF8E" w:rsidR="000D68F8" w:rsidRPr="007B60BF" w:rsidRDefault="000D68F8" w:rsidP="000D68F8">
            <w:pPr>
              <w:jc w:val="right"/>
            </w:pPr>
            <w:r w:rsidRPr="007B60BF">
              <w:t xml:space="preserve"> 3.456 </w:t>
            </w:r>
          </w:p>
        </w:tc>
      </w:tr>
      <w:tr w:rsidR="007C01B1" w:rsidRPr="007B60BF" w14:paraId="4DEB42B6" w14:textId="77777777" w:rsidTr="00A549FF">
        <w:tc>
          <w:tcPr>
            <w:tcW w:w="2991" w:type="pct"/>
            <w:tcBorders>
              <w:top w:val="nil"/>
              <w:left w:val="nil"/>
              <w:bottom w:val="nil"/>
              <w:right w:val="nil"/>
            </w:tcBorders>
            <w:shd w:val="clear" w:color="auto" w:fill="auto"/>
            <w:noWrap/>
            <w:vAlign w:val="bottom"/>
            <w:hideMark/>
          </w:tcPr>
          <w:p w14:paraId="4645AFAC" w14:textId="77777777" w:rsidR="007C01B1" w:rsidRPr="007B60BF" w:rsidRDefault="007C01B1" w:rsidP="007C01B1">
            <w:pPr>
              <w:rPr>
                <w:b/>
                <w:bCs/>
              </w:rPr>
            </w:pPr>
            <w:r w:rsidRPr="007B60BF">
              <w:rPr>
                <w:b/>
                <w:bCs/>
              </w:rPr>
              <w:t xml:space="preserve">   Remuneração dos Capitais Próprios</w:t>
            </w:r>
          </w:p>
        </w:tc>
        <w:tc>
          <w:tcPr>
            <w:tcW w:w="901" w:type="pct"/>
            <w:tcBorders>
              <w:top w:val="nil"/>
              <w:left w:val="nil"/>
              <w:right w:val="nil"/>
            </w:tcBorders>
            <w:shd w:val="clear" w:color="auto" w:fill="auto"/>
            <w:noWrap/>
          </w:tcPr>
          <w:p w14:paraId="7A713EA2" w14:textId="48131D72" w:rsidR="007C01B1" w:rsidRPr="007B60BF" w:rsidRDefault="007C01B1" w:rsidP="007C01B1">
            <w:pPr>
              <w:jc w:val="right"/>
              <w:rPr>
                <w:b/>
                <w:bCs/>
              </w:rPr>
            </w:pPr>
          </w:p>
        </w:tc>
        <w:tc>
          <w:tcPr>
            <w:tcW w:w="235" w:type="pct"/>
            <w:tcBorders>
              <w:top w:val="nil"/>
              <w:left w:val="nil"/>
              <w:right w:val="nil"/>
            </w:tcBorders>
            <w:shd w:val="clear" w:color="auto" w:fill="auto"/>
            <w:noWrap/>
            <w:vAlign w:val="bottom"/>
          </w:tcPr>
          <w:p w14:paraId="657CD54B" w14:textId="77777777" w:rsidR="007C01B1" w:rsidRPr="007B60BF" w:rsidRDefault="007C01B1" w:rsidP="007C01B1">
            <w:pPr>
              <w:jc w:val="right"/>
              <w:rPr>
                <w:b/>
                <w:bCs/>
              </w:rPr>
            </w:pPr>
          </w:p>
        </w:tc>
        <w:tc>
          <w:tcPr>
            <w:tcW w:w="873" w:type="pct"/>
            <w:tcBorders>
              <w:top w:val="nil"/>
              <w:left w:val="nil"/>
              <w:right w:val="nil"/>
            </w:tcBorders>
            <w:shd w:val="clear" w:color="auto" w:fill="auto"/>
          </w:tcPr>
          <w:p w14:paraId="387AA376" w14:textId="1187364B" w:rsidR="007C01B1" w:rsidRPr="007B60BF" w:rsidRDefault="007C01B1" w:rsidP="007C01B1">
            <w:pPr>
              <w:jc w:val="right"/>
              <w:rPr>
                <w:b/>
                <w:bCs/>
              </w:rPr>
            </w:pPr>
          </w:p>
        </w:tc>
      </w:tr>
      <w:tr w:rsidR="007C01B1" w:rsidRPr="007B60BF" w14:paraId="29E14E46" w14:textId="77777777" w:rsidTr="00DA5149">
        <w:tc>
          <w:tcPr>
            <w:tcW w:w="2991" w:type="pct"/>
            <w:tcBorders>
              <w:top w:val="nil"/>
              <w:left w:val="nil"/>
            </w:tcBorders>
            <w:shd w:val="clear" w:color="auto" w:fill="auto"/>
            <w:noWrap/>
            <w:vAlign w:val="bottom"/>
            <w:hideMark/>
          </w:tcPr>
          <w:p w14:paraId="556B0D12" w14:textId="289DDE69" w:rsidR="007C01B1" w:rsidRPr="007B60BF" w:rsidRDefault="007C01B1" w:rsidP="00897A0E">
            <w:pPr>
              <w:ind w:firstLineChars="200" w:firstLine="400"/>
            </w:pPr>
            <w:r w:rsidRPr="007B60BF">
              <w:t xml:space="preserve">Resultado do </w:t>
            </w:r>
            <w:r w:rsidR="00897A0E" w:rsidRPr="007B60BF">
              <w:t>Exercício</w:t>
            </w:r>
          </w:p>
        </w:tc>
        <w:tc>
          <w:tcPr>
            <w:tcW w:w="901" w:type="pct"/>
            <w:tcBorders>
              <w:bottom w:val="single" w:sz="4" w:space="0" w:color="auto"/>
            </w:tcBorders>
            <w:shd w:val="clear" w:color="auto" w:fill="auto"/>
            <w:noWrap/>
          </w:tcPr>
          <w:p w14:paraId="06E13F63" w14:textId="5A6FB739" w:rsidR="007C01B1" w:rsidRPr="007B60BF" w:rsidRDefault="000D68F8" w:rsidP="007C01B1">
            <w:pPr>
              <w:jc w:val="right"/>
            </w:pPr>
            <w:r w:rsidRPr="007B60BF">
              <w:t>(90.616)</w:t>
            </w:r>
          </w:p>
        </w:tc>
        <w:tc>
          <w:tcPr>
            <w:tcW w:w="235" w:type="pct"/>
            <w:tcBorders>
              <w:left w:val="nil"/>
              <w:right w:val="nil"/>
            </w:tcBorders>
            <w:shd w:val="clear" w:color="auto" w:fill="auto"/>
            <w:noWrap/>
          </w:tcPr>
          <w:p w14:paraId="0A497643" w14:textId="77777777" w:rsidR="007C01B1" w:rsidRPr="007B60BF" w:rsidRDefault="007C01B1" w:rsidP="007C01B1"/>
        </w:tc>
        <w:tc>
          <w:tcPr>
            <w:tcW w:w="873" w:type="pct"/>
            <w:tcBorders>
              <w:bottom w:val="single" w:sz="4" w:space="0" w:color="auto"/>
            </w:tcBorders>
            <w:shd w:val="clear" w:color="auto" w:fill="auto"/>
          </w:tcPr>
          <w:p w14:paraId="7BEB219D" w14:textId="11DC3EC6" w:rsidR="007C01B1" w:rsidRPr="007B60BF" w:rsidRDefault="007C01B1" w:rsidP="007C01B1">
            <w:pPr>
              <w:jc w:val="right"/>
            </w:pPr>
            <w:r w:rsidRPr="007B60BF">
              <w:t xml:space="preserve"> 20.152 </w:t>
            </w:r>
          </w:p>
        </w:tc>
      </w:tr>
      <w:tr w:rsidR="007C01B1" w:rsidRPr="007B60BF" w14:paraId="14F26E9B" w14:textId="77777777" w:rsidTr="00D7349A">
        <w:tc>
          <w:tcPr>
            <w:tcW w:w="2991" w:type="pct"/>
            <w:tcBorders>
              <w:top w:val="nil"/>
              <w:left w:val="nil"/>
              <w:right w:val="nil"/>
            </w:tcBorders>
            <w:shd w:val="clear" w:color="auto" w:fill="auto"/>
            <w:noWrap/>
            <w:vAlign w:val="bottom"/>
          </w:tcPr>
          <w:p w14:paraId="4384AC5F" w14:textId="77777777" w:rsidR="007C01B1" w:rsidRPr="007B60BF" w:rsidRDefault="007C01B1" w:rsidP="007C01B1">
            <w:pPr>
              <w:ind w:firstLineChars="200" w:firstLine="400"/>
            </w:pPr>
          </w:p>
        </w:tc>
        <w:tc>
          <w:tcPr>
            <w:tcW w:w="901" w:type="pct"/>
            <w:tcBorders>
              <w:top w:val="single" w:sz="4" w:space="0" w:color="auto"/>
              <w:left w:val="nil"/>
              <w:right w:val="nil"/>
            </w:tcBorders>
            <w:shd w:val="clear" w:color="auto" w:fill="auto"/>
            <w:noWrap/>
            <w:vAlign w:val="center"/>
          </w:tcPr>
          <w:p w14:paraId="53D5834A" w14:textId="77777777" w:rsidR="007C01B1" w:rsidRPr="007B60BF" w:rsidRDefault="007C01B1" w:rsidP="007C01B1">
            <w:pPr>
              <w:jc w:val="right"/>
            </w:pPr>
          </w:p>
        </w:tc>
        <w:tc>
          <w:tcPr>
            <w:tcW w:w="235" w:type="pct"/>
            <w:tcBorders>
              <w:left w:val="nil"/>
              <w:right w:val="nil"/>
            </w:tcBorders>
            <w:shd w:val="clear" w:color="auto" w:fill="auto"/>
            <w:noWrap/>
            <w:vAlign w:val="center"/>
          </w:tcPr>
          <w:p w14:paraId="411A925D" w14:textId="77777777" w:rsidR="007C01B1" w:rsidRPr="007B60BF" w:rsidRDefault="007C01B1" w:rsidP="007C01B1">
            <w:pPr>
              <w:jc w:val="right"/>
            </w:pPr>
          </w:p>
        </w:tc>
        <w:tc>
          <w:tcPr>
            <w:tcW w:w="873" w:type="pct"/>
            <w:tcBorders>
              <w:top w:val="single" w:sz="4" w:space="0" w:color="auto"/>
              <w:left w:val="nil"/>
              <w:right w:val="nil"/>
            </w:tcBorders>
            <w:shd w:val="clear" w:color="auto" w:fill="auto"/>
          </w:tcPr>
          <w:p w14:paraId="650E6D87" w14:textId="0B3A84C3" w:rsidR="007C01B1" w:rsidRPr="007B60BF" w:rsidRDefault="007C01B1" w:rsidP="007C01B1">
            <w:pPr>
              <w:jc w:val="right"/>
              <w:rPr>
                <w:b/>
              </w:rPr>
            </w:pPr>
          </w:p>
        </w:tc>
      </w:tr>
      <w:tr w:rsidR="007C01B1" w:rsidRPr="007B60BF" w14:paraId="013151AB" w14:textId="77777777" w:rsidTr="00DA5149">
        <w:tc>
          <w:tcPr>
            <w:tcW w:w="2991" w:type="pct"/>
            <w:shd w:val="clear" w:color="auto" w:fill="auto"/>
            <w:noWrap/>
            <w:vAlign w:val="bottom"/>
          </w:tcPr>
          <w:p w14:paraId="3389E702" w14:textId="77777777" w:rsidR="007C01B1" w:rsidRPr="007B60BF" w:rsidRDefault="007C01B1" w:rsidP="007C01B1">
            <w:pPr>
              <w:rPr>
                <w:b/>
              </w:rPr>
            </w:pPr>
            <w:r w:rsidRPr="007B60BF">
              <w:rPr>
                <w:b/>
                <w:bCs/>
              </w:rPr>
              <w:t>Valor Adicionado Distribuído</w:t>
            </w:r>
          </w:p>
        </w:tc>
        <w:tc>
          <w:tcPr>
            <w:tcW w:w="901" w:type="pct"/>
            <w:tcBorders>
              <w:bottom w:val="double" w:sz="4" w:space="0" w:color="auto"/>
            </w:tcBorders>
            <w:shd w:val="clear" w:color="auto" w:fill="auto"/>
            <w:noWrap/>
          </w:tcPr>
          <w:p w14:paraId="4C700221" w14:textId="561CE646" w:rsidR="007C01B1" w:rsidRPr="007B60BF" w:rsidRDefault="007463C2" w:rsidP="007C01B1">
            <w:pPr>
              <w:jc w:val="right"/>
              <w:rPr>
                <w:b/>
              </w:rPr>
            </w:pPr>
            <w:r w:rsidRPr="007B60BF">
              <w:rPr>
                <w:b/>
              </w:rPr>
              <w:t>1.896.414</w:t>
            </w:r>
          </w:p>
        </w:tc>
        <w:tc>
          <w:tcPr>
            <w:tcW w:w="235" w:type="pct"/>
            <w:shd w:val="clear" w:color="auto" w:fill="auto"/>
            <w:noWrap/>
          </w:tcPr>
          <w:p w14:paraId="000E93FE" w14:textId="77777777" w:rsidR="007C01B1" w:rsidRPr="007B60BF" w:rsidRDefault="007C01B1" w:rsidP="007C01B1">
            <w:pPr>
              <w:jc w:val="right"/>
              <w:rPr>
                <w:b/>
              </w:rPr>
            </w:pPr>
          </w:p>
        </w:tc>
        <w:tc>
          <w:tcPr>
            <w:tcW w:w="873" w:type="pct"/>
            <w:tcBorders>
              <w:bottom w:val="double" w:sz="4" w:space="0" w:color="auto"/>
            </w:tcBorders>
            <w:shd w:val="clear" w:color="auto" w:fill="auto"/>
          </w:tcPr>
          <w:p w14:paraId="31FD1D02" w14:textId="4960F0A5" w:rsidR="007C01B1" w:rsidRPr="007B60BF" w:rsidRDefault="007C01B1" w:rsidP="007C01B1">
            <w:pPr>
              <w:jc w:val="right"/>
              <w:rPr>
                <w:b/>
              </w:rPr>
            </w:pPr>
            <w:r w:rsidRPr="007B60BF">
              <w:rPr>
                <w:b/>
              </w:rPr>
              <w:t>1.758.858</w:t>
            </w:r>
          </w:p>
        </w:tc>
      </w:tr>
    </w:tbl>
    <w:p w14:paraId="5C16BCB3" w14:textId="77777777" w:rsidR="00CD7AFB" w:rsidRPr="007B60BF" w:rsidRDefault="00CD7AFB" w:rsidP="00CD7AFB">
      <w:pPr>
        <w:jc w:val="center"/>
      </w:pPr>
    </w:p>
    <w:p w14:paraId="6F5205FA" w14:textId="77777777" w:rsidR="00CE2AE4" w:rsidRPr="007B60BF" w:rsidRDefault="00CE2AE4" w:rsidP="00CD7AFB">
      <w:pPr>
        <w:jc w:val="center"/>
      </w:pPr>
    </w:p>
    <w:p w14:paraId="38BC4327" w14:textId="77777777" w:rsidR="00CD7AFB" w:rsidRPr="007B60BF" w:rsidRDefault="00DF06DB" w:rsidP="00CD7E51">
      <w:r w:rsidRPr="007B60BF">
        <w:t>A</w:t>
      </w:r>
      <w:r w:rsidR="00CD7AFB" w:rsidRPr="007B60BF">
        <w:t>s notas explicativas são parte integran</w:t>
      </w:r>
      <w:r w:rsidR="00B36C17" w:rsidRPr="007B60BF">
        <w:t>te das demonstrações contábeis.</w:t>
      </w:r>
    </w:p>
    <w:p w14:paraId="29690869" w14:textId="77777777" w:rsidR="00CD7AFB" w:rsidRPr="007B60BF" w:rsidRDefault="00CD7AFB" w:rsidP="00CD7AFB">
      <w:pPr>
        <w:rPr>
          <w:b/>
        </w:rPr>
      </w:pPr>
    </w:p>
    <w:p w14:paraId="3D74646F" w14:textId="77777777" w:rsidR="00955A65" w:rsidRPr="007B60BF" w:rsidRDefault="00955A65" w:rsidP="00B63A81"/>
    <w:p w14:paraId="353DCA52" w14:textId="77777777" w:rsidR="000D505E" w:rsidRPr="007B60BF" w:rsidRDefault="000D505E" w:rsidP="00B63A81">
      <w:pPr>
        <w:sectPr w:rsidR="000D505E" w:rsidRPr="007B60BF" w:rsidSect="00941D4C">
          <w:headerReference w:type="first" r:id="rId14"/>
          <w:pgSz w:w="11907" w:h="16839" w:code="9"/>
          <w:pgMar w:top="1418" w:right="1134" w:bottom="1134" w:left="1701" w:header="720" w:footer="720" w:gutter="0"/>
          <w:cols w:space="720"/>
          <w:docGrid w:linePitch="272"/>
        </w:sectPr>
      </w:pPr>
    </w:p>
    <w:p w14:paraId="1E877705" w14:textId="77777777" w:rsidR="009657C6" w:rsidRPr="007B60BF" w:rsidRDefault="007807EC" w:rsidP="00464239">
      <w:pPr>
        <w:pStyle w:val="Ttulo1"/>
        <w:jc w:val="left"/>
      </w:pPr>
      <w:bookmarkStart w:id="17" w:name="_Toc223007849"/>
      <w:r w:rsidRPr="007B60BF">
        <w:lastRenderedPageBreak/>
        <w:t>Notas Explicativas</w:t>
      </w:r>
      <w:bookmarkEnd w:id="17"/>
    </w:p>
    <w:p w14:paraId="4DEDBC61" w14:textId="77777777" w:rsidR="00350888" w:rsidRPr="007B60BF" w:rsidRDefault="00350888" w:rsidP="00595A08"/>
    <w:p w14:paraId="7BCA8834" w14:textId="2D07620B" w:rsidR="009657C6" w:rsidRPr="007B60BF" w:rsidRDefault="003B0841" w:rsidP="00086B22">
      <w:pPr>
        <w:pStyle w:val="Ttulo1"/>
        <w:numPr>
          <w:ilvl w:val="0"/>
          <w:numId w:val="5"/>
        </w:numPr>
        <w:ind w:left="0" w:hanging="567"/>
        <w:jc w:val="left"/>
      </w:pPr>
      <w:bookmarkStart w:id="18" w:name="_Toc223007850"/>
      <w:r w:rsidRPr="007B60BF">
        <w:t>Contexto Operacional</w:t>
      </w:r>
      <w:bookmarkEnd w:id="18"/>
    </w:p>
    <w:p w14:paraId="4C710D80" w14:textId="77777777" w:rsidR="003B0841" w:rsidRPr="007B60BF" w:rsidRDefault="003B0841" w:rsidP="003B0841">
      <w:pPr>
        <w:pStyle w:val="PargrafodaLista"/>
        <w:ind w:left="3"/>
      </w:pPr>
    </w:p>
    <w:p w14:paraId="30672DF6" w14:textId="75C72281" w:rsidR="00B65802" w:rsidRPr="007B60BF" w:rsidRDefault="00B65802" w:rsidP="00B65802">
      <w:pPr>
        <w:jc w:val="both"/>
      </w:pPr>
      <w:r w:rsidRPr="007B60BF">
        <w:t>O Hospital de Clínicas de Porto Alegre - HCPA com sede em Porto Alegre, Estado do Rio Grande do Sul, é uma empresa pública de direito privado,</w:t>
      </w:r>
      <w:r w:rsidR="00F41DDF" w:rsidRPr="007B60BF">
        <w:t xml:space="preserve"> criado pela Lei n º 5.604, de </w:t>
      </w:r>
      <w:r w:rsidRPr="007B60BF">
        <w:t>2 de setembro de 1970, sendo regido pelo seu Estatuto Social e caracteriza-se por ser uma Unidade Orçamentária do Ministério da Educação (MEC), com patrimônio próprio e autonomia administrativa. Vincula-se academicamente à Universidade Federal do Rio Grande do Sul (UFRGS) como apoio ao ensino e à pesquisa junto aos cursos da Faculdade de Medicina, da Escola de Enfermagem e demais cursos vinculados à área da saúde, sendo campo de aprendizado para cursos de graduação e pós-graduação.</w:t>
      </w:r>
    </w:p>
    <w:p w14:paraId="015B0F63" w14:textId="77777777" w:rsidR="00B65802" w:rsidRPr="007B60BF" w:rsidRDefault="00B65802" w:rsidP="00B65802">
      <w:pPr>
        <w:jc w:val="both"/>
      </w:pPr>
    </w:p>
    <w:p w14:paraId="1D69F45A" w14:textId="39BFD79F" w:rsidR="00B65802" w:rsidRPr="007B60BF" w:rsidRDefault="00B65802" w:rsidP="00B65802">
      <w:pPr>
        <w:jc w:val="both"/>
      </w:pPr>
      <w:r w:rsidRPr="007B60BF">
        <w:t>É um hospital geral e universitário, que presta assistência médico-hospitalar a pacientes do Sistema Ún</w:t>
      </w:r>
      <w:r w:rsidR="00F41DDF" w:rsidRPr="007B60BF">
        <w:t xml:space="preserve">ico de Saúde (SUS), </w:t>
      </w:r>
      <w:r w:rsidRPr="007B60BF">
        <w:t xml:space="preserve">de convênios e particulares. </w:t>
      </w:r>
    </w:p>
    <w:p w14:paraId="04CFDAB2" w14:textId="77777777" w:rsidR="00B65802" w:rsidRPr="007B60BF" w:rsidRDefault="00B65802" w:rsidP="00B65802">
      <w:pPr>
        <w:jc w:val="both"/>
      </w:pPr>
    </w:p>
    <w:p w14:paraId="35058DE8" w14:textId="590BE332" w:rsidR="00B65802" w:rsidRPr="007B60BF" w:rsidRDefault="00B65802" w:rsidP="00B65802">
      <w:pPr>
        <w:jc w:val="both"/>
      </w:pPr>
      <w:r w:rsidRPr="007B60BF">
        <w:t xml:space="preserve">Em 21 de novembro de 2017, foi aprovada a alteração do Estatuto Social da </w:t>
      </w:r>
      <w:r w:rsidR="0055760E" w:rsidRPr="007B60BF">
        <w:t>I</w:t>
      </w:r>
      <w:r w:rsidRPr="007B60BF">
        <w:t>nstituição adequando-o à Lei nº 13.303 de 27 de julho de 2016 (Lei das Estatais) e ao Decreto nº 8.945 de 27 de dezembro de 2016. A partir de então, do ponto de vista organizacional, a Assembleia Geral, representada pela União, delibera sobre todos os negócios relativos ao seu objeto, sendo regido pela Lei nº 6.404, de 15 de dezembro de 1976.</w:t>
      </w:r>
    </w:p>
    <w:p w14:paraId="3121D80F" w14:textId="77777777" w:rsidR="00B65802" w:rsidRPr="007B60BF" w:rsidRDefault="00B65802" w:rsidP="00B65802">
      <w:pPr>
        <w:jc w:val="both"/>
      </w:pPr>
    </w:p>
    <w:p w14:paraId="7A6A8050" w14:textId="60D2CC8C" w:rsidR="00B65802" w:rsidRPr="007B60BF" w:rsidRDefault="00B65802" w:rsidP="00B65802">
      <w:pPr>
        <w:jc w:val="both"/>
      </w:pPr>
      <w:r w:rsidRPr="007B60BF">
        <w:t xml:space="preserve">O HCPA é administrado pelo Conselho de Administração (CA), como órgão colegiado de deliberação estratégica e controle da gestão, e pela Diretoria Executiva (DE) como órgão executivo de administração e representação. O Conselho de Administração (CA) é composto por integrantes vinculados à Universidade Federal do Rio Grande do Sul (UFRGS), por membros representantes dos Ministérios da </w:t>
      </w:r>
      <w:r w:rsidR="00222749" w:rsidRPr="007B60BF">
        <w:t xml:space="preserve">Educação (MEC), da Saúde (MS), </w:t>
      </w:r>
      <w:r w:rsidRPr="007B60BF">
        <w:t xml:space="preserve">da </w:t>
      </w:r>
      <w:r w:rsidR="00222749" w:rsidRPr="007B60BF">
        <w:t>Fazenda</w:t>
      </w:r>
      <w:r w:rsidRPr="007B60BF">
        <w:t xml:space="preserve"> (M</w:t>
      </w:r>
      <w:r w:rsidR="00222749" w:rsidRPr="007B60BF">
        <w:t xml:space="preserve">F), da Gestão e Inovação em Serviços Públicos (MGI), </w:t>
      </w:r>
      <w:r w:rsidR="00651C27" w:rsidRPr="007B60BF">
        <w:t>pelo Diretor</w:t>
      </w:r>
      <w:r w:rsidRPr="007B60BF">
        <w:t>-Presidente do HCPA e por um representante dos empregados. Já a Diretoria Executiva (DE) é composta p</w:t>
      </w:r>
      <w:r w:rsidR="0055760E" w:rsidRPr="007B60BF">
        <w:t>or Diretor</w:t>
      </w:r>
      <w:r w:rsidR="005466DD" w:rsidRPr="007B60BF">
        <w:t xml:space="preserve">-Presidente, Diretor </w:t>
      </w:r>
      <w:r w:rsidRPr="007B60BF">
        <w:t>Médico, Diretor</w:t>
      </w:r>
      <w:r w:rsidR="0055760E" w:rsidRPr="007B60BF">
        <w:t>a</w:t>
      </w:r>
      <w:r w:rsidR="00651C27" w:rsidRPr="007B60BF">
        <w:t xml:space="preserve"> Administrativ</w:t>
      </w:r>
      <w:r w:rsidR="0055760E" w:rsidRPr="007B60BF">
        <w:t>a</w:t>
      </w:r>
      <w:r w:rsidRPr="007B60BF">
        <w:t xml:space="preserve">, Diretora de Enfermagem, Diretora </w:t>
      </w:r>
      <w:r w:rsidR="005466DD" w:rsidRPr="007B60BF">
        <w:t xml:space="preserve">de Ensino e Diretora </w:t>
      </w:r>
      <w:r w:rsidRPr="007B60BF">
        <w:t>de Pesquisa.</w:t>
      </w:r>
    </w:p>
    <w:p w14:paraId="62C982D8" w14:textId="77777777" w:rsidR="00B65802" w:rsidRPr="007B60BF" w:rsidRDefault="00B65802" w:rsidP="00B65802">
      <w:pPr>
        <w:jc w:val="both"/>
      </w:pPr>
    </w:p>
    <w:p w14:paraId="67AD91C7" w14:textId="07BFFA0A" w:rsidR="00B65802" w:rsidRPr="007B60BF" w:rsidRDefault="00B65802" w:rsidP="00B65802">
      <w:pPr>
        <w:jc w:val="both"/>
      </w:pPr>
      <w:r w:rsidRPr="007B60BF">
        <w:t xml:space="preserve">Os professores da UFRGS atuam, no HCPA, na preceptoria dos programas de Residência Médica e Residência Integrada Multiprofissional em Saúde (RIMS). Os funcionários são contratados sob o regime da CLT, e o Capital Social pertence integralmente à União Federal. Possui como órgão fiscalizador o Conselho Fiscal (CF), composto por dois membros do Ministério da Educação (MEC) e um membro representante do Ministério da </w:t>
      </w:r>
      <w:r w:rsidR="00222749" w:rsidRPr="007B60BF">
        <w:t>Fazenda</w:t>
      </w:r>
      <w:r w:rsidRPr="007B60BF">
        <w:t xml:space="preserve"> (M</w:t>
      </w:r>
      <w:r w:rsidR="00222749" w:rsidRPr="007B60BF">
        <w:t>F</w:t>
      </w:r>
      <w:r w:rsidRPr="007B60BF">
        <w:t>).</w:t>
      </w:r>
    </w:p>
    <w:p w14:paraId="457DBD6C" w14:textId="77777777" w:rsidR="00B65802" w:rsidRPr="007B60BF" w:rsidRDefault="00B65802" w:rsidP="00300354">
      <w:pPr>
        <w:jc w:val="both"/>
      </w:pPr>
    </w:p>
    <w:p w14:paraId="2E1FEF37" w14:textId="77777777" w:rsidR="008D011E" w:rsidRPr="007B60BF" w:rsidRDefault="008D011E" w:rsidP="009657C6">
      <w:pPr>
        <w:autoSpaceDE w:val="0"/>
        <w:autoSpaceDN w:val="0"/>
        <w:adjustRightInd w:val="0"/>
        <w:jc w:val="both"/>
      </w:pPr>
    </w:p>
    <w:p w14:paraId="1A28D325" w14:textId="77777777" w:rsidR="009657C6" w:rsidRPr="007B60BF" w:rsidRDefault="00230EA8" w:rsidP="00086B22">
      <w:pPr>
        <w:pStyle w:val="Ttulo1"/>
        <w:numPr>
          <w:ilvl w:val="0"/>
          <w:numId w:val="5"/>
        </w:numPr>
        <w:ind w:left="0" w:hanging="567"/>
        <w:jc w:val="left"/>
      </w:pPr>
      <w:bookmarkStart w:id="19" w:name="_Toc223007851"/>
      <w:r w:rsidRPr="007B60BF">
        <w:t>Principais Políticas Contábeis</w:t>
      </w:r>
      <w:bookmarkEnd w:id="19"/>
    </w:p>
    <w:p w14:paraId="2B38F4D4" w14:textId="77777777" w:rsidR="009657C6" w:rsidRPr="007B60BF" w:rsidRDefault="009657C6" w:rsidP="009657C6">
      <w:pPr>
        <w:jc w:val="both"/>
      </w:pPr>
    </w:p>
    <w:p w14:paraId="4315404F" w14:textId="77777777" w:rsidR="009657C6" w:rsidRPr="007B60BF" w:rsidRDefault="009657C6" w:rsidP="009657C6">
      <w:pPr>
        <w:jc w:val="both"/>
      </w:pPr>
      <w:r w:rsidRPr="007B60BF">
        <w:t xml:space="preserve">As principais políticas contábeis aplicadas na preparação destas </w:t>
      </w:r>
      <w:r w:rsidR="00416B8B" w:rsidRPr="007B60BF">
        <w:t xml:space="preserve">Demonstrações </w:t>
      </w:r>
      <w:r w:rsidR="0058514F" w:rsidRPr="007B60BF">
        <w:t>Contábeis</w:t>
      </w:r>
      <w:r w:rsidRPr="007B60BF">
        <w:t xml:space="preserve"> estão definidas </w:t>
      </w:r>
      <w:r w:rsidR="006B3C15" w:rsidRPr="007B60BF">
        <w:t>a seguir</w:t>
      </w:r>
      <w:r w:rsidRPr="007B60BF">
        <w:t>. Essas políticas foram aplicadas de modo consistente em t</w:t>
      </w:r>
      <w:r w:rsidR="006B3C15" w:rsidRPr="007B60BF">
        <w:t>odos os exercícios apresentados.</w:t>
      </w:r>
    </w:p>
    <w:p w14:paraId="2150E1A1" w14:textId="77777777" w:rsidR="009657C6" w:rsidRPr="007B60BF" w:rsidRDefault="009657C6" w:rsidP="009657C6">
      <w:pPr>
        <w:jc w:val="both"/>
        <w:rPr>
          <w:b/>
        </w:rPr>
      </w:pPr>
    </w:p>
    <w:p w14:paraId="36ECA98B" w14:textId="28600D8B" w:rsidR="004055B7" w:rsidRPr="007B60BF" w:rsidRDefault="004055B7" w:rsidP="00086B22">
      <w:pPr>
        <w:pStyle w:val="Subttulo"/>
        <w:numPr>
          <w:ilvl w:val="1"/>
          <w:numId w:val="1"/>
        </w:numPr>
        <w:ind w:left="0" w:hanging="426"/>
      </w:pPr>
      <w:r w:rsidRPr="007B60BF">
        <w:t xml:space="preserve">Base </w:t>
      </w:r>
      <w:r w:rsidR="00A97DA4" w:rsidRPr="007B60BF">
        <w:t>de Elaboração e Apresentação das Demonstrações Contábeis</w:t>
      </w:r>
    </w:p>
    <w:p w14:paraId="3030FAFC" w14:textId="77777777" w:rsidR="004055B7" w:rsidRPr="007B60BF" w:rsidRDefault="004055B7" w:rsidP="009657C6">
      <w:pPr>
        <w:jc w:val="both"/>
        <w:rPr>
          <w:b/>
        </w:rPr>
      </w:pPr>
    </w:p>
    <w:p w14:paraId="621965F1" w14:textId="3E88ACDC" w:rsidR="0096203D" w:rsidRPr="007B60BF" w:rsidRDefault="009657C6" w:rsidP="0096203D">
      <w:pPr>
        <w:jc w:val="both"/>
      </w:pPr>
      <w:r w:rsidRPr="007B60BF">
        <w:t xml:space="preserve">As </w:t>
      </w:r>
      <w:r w:rsidR="00416B8B" w:rsidRPr="007B60BF">
        <w:t xml:space="preserve">Demonstrações </w:t>
      </w:r>
      <w:r w:rsidR="0058514F" w:rsidRPr="007B60BF">
        <w:t>Contábeis</w:t>
      </w:r>
      <w:r w:rsidR="00010ADE" w:rsidRPr="007B60BF">
        <w:t xml:space="preserve"> foram elaboradas e est</w:t>
      </w:r>
      <w:r w:rsidRPr="007B60BF">
        <w:t>ão apresentadas em conformidade com as práticas contábeis adotadas no Brasil</w:t>
      </w:r>
      <w:r w:rsidR="00010ADE" w:rsidRPr="007B60BF">
        <w:t>,</w:t>
      </w:r>
      <w:r w:rsidR="00E176E1" w:rsidRPr="007B60BF">
        <w:t xml:space="preserve"> atende</w:t>
      </w:r>
      <w:r w:rsidR="00010ADE" w:rsidRPr="007B60BF">
        <w:t>ndo</w:t>
      </w:r>
      <w:r w:rsidR="00C55C69" w:rsidRPr="007B60BF">
        <w:t xml:space="preserve"> à</w:t>
      </w:r>
      <w:r w:rsidRPr="007B60BF">
        <w:t>s disposições contidas na legislação societária (Lei 6.404/76 e alterações</w:t>
      </w:r>
      <w:r w:rsidR="0096203D" w:rsidRPr="007B60BF">
        <w:t>,</w:t>
      </w:r>
      <w:r w:rsidRPr="007B60BF">
        <w:t xml:space="preserve"> incluindo a Lei nº 11.638/07), </w:t>
      </w:r>
      <w:r w:rsidR="00D922B9" w:rsidRPr="007B60BF">
        <w:t>n</w:t>
      </w:r>
      <w:r w:rsidRPr="007B60BF">
        <w:t xml:space="preserve">as Normas Brasileiras de Contabilidade, </w:t>
      </w:r>
      <w:r w:rsidR="00D922B9" w:rsidRPr="007B60BF">
        <w:t>n</w:t>
      </w:r>
      <w:r w:rsidRPr="007B60BF">
        <w:t>os p</w:t>
      </w:r>
      <w:r w:rsidR="00D922B9" w:rsidRPr="007B60BF">
        <w:t xml:space="preserve">ronunciamentos, </w:t>
      </w:r>
      <w:r w:rsidRPr="007B60BF">
        <w:t xml:space="preserve">orientações e </w:t>
      </w:r>
      <w:r w:rsidR="00D922B9" w:rsidRPr="007B60BF">
        <w:t>interpretações emitido</w:t>
      </w:r>
      <w:r w:rsidRPr="007B60BF">
        <w:t>s pelo Comitê de Pronunciamentos Contábeis (CPC)</w:t>
      </w:r>
      <w:r w:rsidR="00D922B9" w:rsidRPr="007B60BF">
        <w:t>, aprovado</w:t>
      </w:r>
      <w:r w:rsidRPr="007B60BF">
        <w:t>s pelo Co</w:t>
      </w:r>
      <w:r w:rsidR="0096203D" w:rsidRPr="007B60BF">
        <w:t xml:space="preserve">nselho Federal de Contabilidade, e </w:t>
      </w:r>
      <w:r w:rsidR="00D922B9" w:rsidRPr="007B60BF">
        <w:t>a</w:t>
      </w:r>
      <w:r w:rsidR="0096203D" w:rsidRPr="007B60BF">
        <w:t>o Sistema Integrado de Administração Finance</w:t>
      </w:r>
      <w:r w:rsidR="00D922B9" w:rsidRPr="007B60BF">
        <w:t xml:space="preserve">ira (SIAFI) </w:t>
      </w:r>
      <w:r w:rsidR="0096203D" w:rsidRPr="007B60BF">
        <w:t xml:space="preserve">do Governo Federal, </w:t>
      </w:r>
      <w:r w:rsidR="00010ADE" w:rsidRPr="007B60BF">
        <w:t>a</w:t>
      </w:r>
      <w:r w:rsidR="0096203D" w:rsidRPr="007B60BF">
        <w:t>o qual o HCPA aderiu em 01 de janeiro de 19</w:t>
      </w:r>
      <w:r w:rsidR="00CE21B1" w:rsidRPr="007B60BF">
        <w:t>92, na forma da Lei n° 4.320/64</w:t>
      </w:r>
      <w:r w:rsidR="005E7B50" w:rsidRPr="007B60BF">
        <w:t>.</w:t>
      </w:r>
      <w:r w:rsidR="00CE21B1" w:rsidRPr="007B60BF">
        <w:t xml:space="preserve"> A moeda funcional utilizada é o Real (R$).</w:t>
      </w:r>
      <w:r w:rsidR="00D802C2">
        <w:t xml:space="preserve"> </w:t>
      </w:r>
      <w:r w:rsidR="00D802C2" w:rsidRPr="00D802C2">
        <w:t>As demonstrações contábeis foram elaboradas no pressuposto da continuidade operacional de negócios</w:t>
      </w:r>
      <w:r w:rsidR="00D802C2">
        <w:t>.</w:t>
      </w:r>
    </w:p>
    <w:p w14:paraId="2E86F862" w14:textId="4A94867D" w:rsidR="00D32202" w:rsidRPr="007B60BF" w:rsidRDefault="00D32202" w:rsidP="009657C6">
      <w:pPr>
        <w:jc w:val="both"/>
      </w:pPr>
    </w:p>
    <w:p w14:paraId="3F9C3CB0" w14:textId="6E58DECE" w:rsidR="00D32202" w:rsidRPr="007B60BF" w:rsidRDefault="00D32202" w:rsidP="00D32202">
      <w:pPr>
        <w:jc w:val="both"/>
      </w:pPr>
      <w:r w:rsidRPr="007B60BF">
        <w:t xml:space="preserve">As demonstrações foram </w:t>
      </w:r>
      <w:r w:rsidR="006279CB" w:rsidRPr="007B60BF">
        <w:t>aprovadas</w:t>
      </w:r>
      <w:r w:rsidRPr="007B60BF">
        <w:t xml:space="preserve"> na reunião da Diretoria Executiva do dia </w:t>
      </w:r>
      <w:r w:rsidR="00434BD7" w:rsidRPr="007B60BF">
        <w:t>3</w:t>
      </w:r>
      <w:r w:rsidR="003A3AAD" w:rsidRPr="007B60BF">
        <w:t xml:space="preserve"> </w:t>
      </w:r>
      <w:r w:rsidRPr="007B60BF">
        <w:t xml:space="preserve">de </w:t>
      </w:r>
      <w:r w:rsidR="00434BD7" w:rsidRPr="007B60BF">
        <w:t>março</w:t>
      </w:r>
      <w:r w:rsidRPr="007B60BF">
        <w:t xml:space="preserve"> de 202</w:t>
      </w:r>
      <w:r w:rsidR="00434BD7" w:rsidRPr="007B60BF">
        <w:t>6</w:t>
      </w:r>
      <w:r w:rsidRPr="007B60BF">
        <w:t>.</w:t>
      </w:r>
    </w:p>
    <w:p w14:paraId="48752B1B" w14:textId="77777777" w:rsidR="00350888" w:rsidRPr="007B60BF" w:rsidRDefault="00350888" w:rsidP="009657C6">
      <w:pPr>
        <w:jc w:val="both"/>
      </w:pPr>
    </w:p>
    <w:p w14:paraId="52038F5D" w14:textId="3F71751A" w:rsidR="004055B7" w:rsidRPr="007B60BF" w:rsidRDefault="004055B7" w:rsidP="00086B22">
      <w:pPr>
        <w:pStyle w:val="Subttulo"/>
        <w:numPr>
          <w:ilvl w:val="1"/>
          <w:numId w:val="1"/>
        </w:numPr>
        <w:ind w:left="0" w:hanging="426"/>
      </w:pPr>
      <w:r w:rsidRPr="007B60BF">
        <w:t xml:space="preserve">Mudanças nas </w:t>
      </w:r>
      <w:r w:rsidR="00B74CEE" w:rsidRPr="007B60BF">
        <w:t>P</w:t>
      </w:r>
      <w:r w:rsidRPr="007B60BF">
        <w:t xml:space="preserve">olíticas </w:t>
      </w:r>
      <w:r w:rsidR="00B74CEE" w:rsidRPr="007B60BF">
        <w:t>C</w:t>
      </w:r>
      <w:r w:rsidRPr="007B60BF">
        <w:t xml:space="preserve">ontábeis e </w:t>
      </w:r>
      <w:r w:rsidR="00B74CEE" w:rsidRPr="007B60BF">
        <w:t>D</w:t>
      </w:r>
      <w:r w:rsidRPr="007B60BF">
        <w:t>ivulgações</w:t>
      </w:r>
      <w:r w:rsidR="00451AB1" w:rsidRPr="007B60BF">
        <w:t xml:space="preserve"> </w:t>
      </w:r>
    </w:p>
    <w:p w14:paraId="6D9FB37B" w14:textId="77777777" w:rsidR="009657C6" w:rsidRPr="007B60BF" w:rsidRDefault="009657C6" w:rsidP="009657C6">
      <w:pPr>
        <w:jc w:val="both"/>
        <w:rPr>
          <w:rFonts w:ascii="Arial" w:hAnsi="Arial" w:cs="Arial"/>
        </w:rPr>
      </w:pPr>
    </w:p>
    <w:p w14:paraId="277101EE" w14:textId="2207392E" w:rsidR="00422CCE" w:rsidRPr="007B60BF" w:rsidRDefault="00F55468" w:rsidP="00422CCE">
      <w:pPr>
        <w:jc w:val="both"/>
      </w:pPr>
      <w:r w:rsidRPr="007B60BF">
        <w:t>N</w:t>
      </w:r>
      <w:r w:rsidR="00422CCE" w:rsidRPr="007B60BF">
        <w:t xml:space="preserve">ão houve novos pronunciamentos ou interpretações vigentes que pudessem ter impacto significativo nas políticas e nas </w:t>
      </w:r>
      <w:r w:rsidR="00252A4C" w:rsidRPr="007B60BF">
        <w:t>d</w:t>
      </w:r>
      <w:r w:rsidR="00422CCE" w:rsidRPr="007B60BF">
        <w:t xml:space="preserve">emonstrações </w:t>
      </w:r>
      <w:r w:rsidR="0055760E" w:rsidRPr="007B60BF">
        <w:t>c</w:t>
      </w:r>
      <w:r w:rsidR="00422CCE" w:rsidRPr="007B60BF">
        <w:t xml:space="preserve">ontábeis. </w:t>
      </w:r>
    </w:p>
    <w:p w14:paraId="4F302289" w14:textId="77777777" w:rsidR="007D6754" w:rsidRPr="007B60BF" w:rsidRDefault="007D6754">
      <w:pPr>
        <w:rPr>
          <w:b/>
        </w:rPr>
      </w:pPr>
      <w:r w:rsidRPr="007B60BF">
        <w:br w:type="page"/>
      </w:r>
    </w:p>
    <w:p w14:paraId="7CC7328A" w14:textId="336F4829" w:rsidR="009657C6" w:rsidRPr="007B60BF" w:rsidRDefault="009657C6" w:rsidP="00086B22">
      <w:pPr>
        <w:pStyle w:val="Subttulo"/>
        <w:numPr>
          <w:ilvl w:val="1"/>
          <w:numId w:val="1"/>
        </w:numPr>
        <w:ind w:left="0" w:hanging="426"/>
        <w:rPr>
          <w:iCs/>
        </w:rPr>
      </w:pPr>
      <w:r w:rsidRPr="007B60BF">
        <w:rPr>
          <w:iCs/>
        </w:rPr>
        <w:lastRenderedPageBreak/>
        <w:t>Operações com Moeda Estrangeira</w:t>
      </w:r>
    </w:p>
    <w:p w14:paraId="00EAE108" w14:textId="77777777" w:rsidR="009657C6" w:rsidRPr="007B60BF" w:rsidRDefault="009657C6" w:rsidP="009657C6">
      <w:pPr>
        <w:jc w:val="both"/>
        <w:rPr>
          <w:rFonts w:ascii="Arial" w:hAnsi="Arial" w:cs="Arial"/>
        </w:rPr>
      </w:pPr>
    </w:p>
    <w:p w14:paraId="4DC79DFD" w14:textId="77777777" w:rsidR="009657C6" w:rsidRPr="007B60BF" w:rsidRDefault="009657C6" w:rsidP="009657C6">
      <w:pPr>
        <w:jc w:val="both"/>
      </w:pPr>
      <w:r w:rsidRPr="007B60BF">
        <w:t>As operações de importação realizadas em moeda estrangeira são convertidas para a moeda funcional (Real – R$) mediante a utilização das taxas de câmbio divulgadas pelo Banco Central do Brasil</w:t>
      </w:r>
      <w:r w:rsidR="00F2433D" w:rsidRPr="007B60BF">
        <w:t>-BACEN</w:t>
      </w:r>
      <w:r w:rsidR="0096203D" w:rsidRPr="007B60BF">
        <w:t xml:space="preserve"> e pela </w:t>
      </w:r>
      <w:r w:rsidRPr="007B60BF">
        <w:t>Receita Federal do Brasil</w:t>
      </w:r>
      <w:r w:rsidR="00F2433D" w:rsidRPr="007B60BF">
        <w:t>- RFB</w:t>
      </w:r>
      <w:r w:rsidRPr="007B60BF">
        <w:t>. Os ganhos e perdas com variação cambial na aplicação das taxas</w:t>
      </w:r>
      <w:r w:rsidR="00E968FC" w:rsidRPr="007B60BF">
        <w:t xml:space="preserve"> de câmbio</w:t>
      </w:r>
      <w:r w:rsidRPr="007B60BF">
        <w:t xml:space="preserve"> sobre os ativos e passivos são apresentados na Demonstração do Resultado como Receitas e Despesas Financeiras.</w:t>
      </w:r>
    </w:p>
    <w:p w14:paraId="7E04C195" w14:textId="77777777" w:rsidR="00043C55" w:rsidRPr="007B60BF" w:rsidRDefault="00043C55" w:rsidP="009657C6">
      <w:pPr>
        <w:jc w:val="both"/>
      </w:pPr>
    </w:p>
    <w:p w14:paraId="17837229" w14:textId="77777777" w:rsidR="009657C6" w:rsidRPr="007B60BF" w:rsidRDefault="00122208" w:rsidP="00086B22">
      <w:pPr>
        <w:pStyle w:val="Subttulo"/>
        <w:numPr>
          <w:ilvl w:val="1"/>
          <w:numId w:val="1"/>
        </w:numPr>
        <w:ind w:left="0" w:hanging="426"/>
        <w:rPr>
          <w:iCs/>
        </w:rPr>
      </w:pPr>
      <w:r w:rsidRPr="007B60BF">
        <w:rPr>
          <w:iCs/>
        </w:rPr>
        <w:t>Instrumentos</w:t>
      </w:r>
      <w:r w:rsidR="000D34DD" w:rsidRPr="007B60BF">
        <w:rPr>
          <w:iCs/>
        </w:rPr>
        <w:t xml:space="preserve"> Financeiros</w:t>
      </w:r>
    </w:p>
    <w:p w14:paraId="28BF3A48" w14:textId="77777777" w:rsidR="009657C6" w:rsidRPr="007B60BF" w:rsidRDefault="009657C6" w:rsidP="009657C6">
      <w:pPr>
        <w:jc w:val="both"/>
      </w:pPr>
    </w:p>
    <w:p w14:paraId="4B2B9627" w14:textId="77777777" w:rsidR="00122208" w:rsidRPr="007B60BF" w:rsidRDefault="00122208" w:rsidP="00122208">
      <w:pPr>
        <w:jc w:val="both"/>
      </w:pPr>
      <w:r w:rsidRPr="007B60BF">
        <w:t xml:space="preserve">A Instituição classifica seus ativos financeiros não derivativos sob a categoria de recebíveis, reconhecidos inicialmente na data em que foram originados, </w:t>
      </w:r>
      <w:r w:rsidR="0006288E" w:rsidRPr="007B60BF">
        <w:t xml:space="preserve">pelo </w:t>
      </w:r>
      <w:r w:rsidRPr="007B60BF">
        <w:t>valor justo e após o reconhecimento inicial</w:t>
      </w:r>
      <w:r w:rsidR="00C55C69" w:rsidRPr="007B60BF">
        <w:t>,</w:t>
      </w:r>
      <w:r w:rsidRPr="007B60BF">
        <w:t xml:space="preserve"> são mensuradas pelo custo amortizado com o uso do método da taxa de juros efetiva menos a provisão para </w:t>
      </w:r>
      <w:r w:rsidRPr="007B60BF">
        <w:rPr>
          <w:i/>
        </w:rPr>
        <w:t>impairment</w:t>
      </w:r>
      <w:r w:rsidRPr="007B60BF">
        <w:t>. São apresentados como Ativo Circulante, exceto aqueles com prazo de vencimento superior a 12 meses após a data de emissão do balanço (estes são classificados como Ativos Não Circulante</w:t>
      </w:r>
      <w:r w:rsidR="0006288E" w:rsidRPr="007B60BF">
        <w:t>s</w:t>
      </w:r>
      <w:r w:rsidRPr="007B60BF">
        <w:t xml:space="preserve">). </w:t>
      </w:r>
    </w:p>
    <w:p w14:paraId="622C2045" w14:textId="77777777" w:rsidR="00B457E8" w:rsidRPr="007B60BF" w:rsidRDefault="00B457E8" w:rsidP="00122208">
      <w:pPr>
        <w:jc w:val="both"/>
      </w:pPr>
    </w:p>
    <w:p w14:paraId="51DEE98E" w14:textId="758A3F5A" w:rsidR="00122208" w:rsidRPr="007B60BF" w:rsidRDefault="00122208" w:rsidP="00122208">
      <w:pPr>
        <w:jc w:val="both"/>
      </w:pPr>
      <w:r w:rsidRPr="007B60BF">
        <w:t xml:space="preserve">Os recebíveis da Instituição compreendem: </w:t>
      </w:r>
      <w:r w:rsidR="00D922B9" w:rsidRPr="007B60BF">
        <w:t>c</w:t>
      </w:r>
      <w:r w:rsidRPr="007B60BF">
        <w:t xml:space="preserve">aixa e </w:t>
      </w:r>
      <w:r w:rsidR="00D922B9" w:rsidRPr="007B60BF">
        <w:t>e</w:t>
      </w:r>
      <w:r w:rsidRPr="007B60BF">
        <w:t xml:space="preserve">quivalentes de </w:t>
      </w:r>
      <w:r w:rsidR="00D922B9" w:rsidRPr="007B60BF">
        <w:t>c</w:t>
      </w:r>
      <w:r w:rsidRPr="007B60BF">
        <w:t xml:space="preserve">aixa, </w:t>
      </w:r>
      <w:r w:rsidR="00D922B9" w:rsidRPr="007B60BF">
        <w:t>c</w:t>
      </w:r>
      <w:r w:rsidRPr="007B60BF">
        <w:t xml:space="preserve">rédito de </w:t>
      </w:r>
      <w:r w:rsidR="00D922B9" w:rsidRPr="007B60BF">
        <w:t>f</w:t>
      </w:r>
      <w:r w:rsidRPr="007B60BF">
        <w:t xml:space="preserve">ornecimento de </w:t>
      </w:r>
      <w:r w:rsidR="00D922B9" w:rsidRPr="007B60BF">
        <w:t>s</w:t>
      </w:r>
      <w:r w:rsidR="00E34300" w:rsidRPr="007B60BF">
        <w:t xml:space="preserve">erviços </w:t>
      </w:r>
      <w:r w:rsidRPr="007B60BF">
        <w:t>e demais contas a receber.</w:t>
      </w:r>
      <w:r w:rsidR="00D922B9" w:rsidRPr="007B60BF">
        <w:t xml:space="preserve"> </w:t>
      </w:r>
      <w:r w:rsidRPr="007B60BF">
        <w:t>A Instituição não possui ativos financeiros m</w:t>
      </w:r>
      <w:r w:rsidR="00E34300" w:rsidRPr="007B60BF">
        <w:t xml:space="preserve">antidos para negociação, </w:t>
      </w:r>
      <w:r w:rsidRPr="007B60BF">
        <w:t>disponíveis para venda e operações em derivativos.</w:t>
      </w:r>
    </w:p>
    <w:p w14:paraId="6FB2DB67" w14:textId="77777777" w:rsidR="00122208" w:rsidRPr="007B60BF" w:rsidRDefault="00122208" w:rsidP="00122208">
      <w:pPr>
        <w:jc w:val="both"/>
      </w:pPr>
    </w:p>
    <w:p w14:paraId="3B97F10F" w14:textId="5F55119B" w:rsidR="000D34DD" w:rsidRPr="007B60BF" w:rsidRDefault="00122208" w:rsidP="00122208">
      <w:pPr>
        <w:jc w:val="both"/>
      </w:pPr>
      <w:r w:rsidRPr="007B60BF">
        <w:t>A Instituição reconhece seus passivos financeiros não derivativos inicialmente na data em que são originados. A baixa de um passivo financeiro ocorre quando tem suas obrigações contratuais ret</w:t>
      </w:r>
      <w:r w:rsidR="00E34300" w:rsidRPr="007B60BF">
        <w:t>iradas, canceladas ou pagas</w:t>
      </w:r>
      <w:r w:rsidRPr="007B60BF">
        <w:t xml:space="preserve">. A Instituição tem </w:t>
      </w:r>
      <w:r w:rsidR="007F3D06" w:rsidRPr="007B60BF">
        <w:t>como</w:t>
      </w:r>
      <w:r w:rsidRPr="007B60BF">
        <w:t xml:space="preserve"> passivos financeiros não derivativos</w:t>
      </w:r>
      <w:r w:rsidR="00D922B9" w:rsidRPr="007B60BF">
        <w:t>:</w:t>
      </w:r>
      <w:r w:rsidRPr="007B60BF">
        <w:t xml:space="preserve"> fornecedores e outras contas a pagar.</w:t>
      </w:r>
    </w:p>
    <w:p w14:paraId="4F07A2FE" w14:textId="77777777" w:rsidR="00122208" w:rsidRPr="007B60BF" w:rsidRDefault="00122208" w:rsidP="00122208">
      <w:pPr>
        <w:jc w:val="both"/>
      </w:pPr>
    </w:p>
    <w:p w14:paraId="7304BC3E" w14:textId="77777777" w:rsidR="000D34DD" w:rsidRPr="007B60BF" w:rsidRDefault="00C55C69" w:rsidP="00086B22">
      <w:pPr>
        <w:pStyle w:val="Subttulo"/>
        <w:numPr>
          <w:ilvl w:val="1"/>
          <w:numId w:val="1"/>
        </w:numPr>
        <w:ind w:left="0" w:hanging="426"/>
        <w:rPr>
          <w:iCs/>
        </w:rPr>
      </w:pPr>
      <w:r w:rsidRPr="007B60BF">
        <w:rPr>
          <w:iCs/>
        </w:rPr>
        <w:t>Caixa e Equivalentes de C</w:t>
      </w:r>
      <w:r w:rsidR="000D34DD" w:rsidRPr="007B60BF">
        <w:rPr>
          <w:iCs/>
        </w:rPr>
        <w:t>aixa</w:t>
      </w:r>
    </w:p>
    <w:p w14:paraId="17B68BCA" w14:textId="77777777" w:rsidR="000D34DD" w:rsidRPr="007B60BF" w:rsidRDefault="000D34DD" w:rsidP="000D34DD">
      <w:pPr>
        <w:jc w:val="both"/>
      </w:pPr>
    </w:p>
    <w:p w14:paraId="511D8233" w14:textId="77777777" w:rsidR="009657C6" w:rsidRPr="007B60BF" w:rsidRDefault="003607F1" w:rsidP="009657C6">
      <w:pPr>
        <w:jc w:val="both"/>
      </w:pPr>
      <w:r w:rsidRPr="007B60BF">
        <w:t xml:space="preserve">Os ativos classificados como </w:t>
      </w:r>
      <w:r w:rsidR="00122208" w:rsidRPr="007B60BF">
        <w:t xml:space="preserve">Caixa e Equivalentes de Caixa incluem o caixa, os depósitos bancários, depósitos em poupança, investimentos de curto prazo de alta liquidez e rendimentos diários, com risco insignificante de mudança de valor. </w:t>
      </w:r>
    </w:p>
    <w:p w14:paraId="7418B2BE" w14:textId="77777777" w:rsidR="00D83DF0" w:rsidRPr="007B60BF" w:rsidRDefault="00D83DF0" w:rsidP="009657C6">
      <w:pPr>
        <w:jc w:val="both"/>
      </w:pPr>
    </w:p>
    <w:p w14:paraId="728E2984" w14:textId="77777777" w:rsidR="009657C6" w:rsidRPr="007B60BF" w:rsidRDefault="009657C6" w:rsidP="00086B22">
      <w:pPr>
        <w:pStyle w:val="Subttulo"/>
        <w:numPr>
          <w:ilvl w:val="1"/>
          <w:numId w:val="1"/>
        </w:numPr>
        <w:ind w:left="0" w:hanging="426"/>
        <w:rPr>
          <w:iCs/>
        </w:rPr>
      </w:pPr>
      <w:r w:rsidRPr="007B60BF">
        <w:rPr>
          <w:iCs/>
        </w:rPr>
        <w:t>Estoques</w:t>
      </w:r>
      <w:r w:rsidR="00A909E4" w:rsidRPr="007B60BF">
        <w:rPr>
          <w:iCs/>
        </w:rPr>
        <w:t xml:space="preserve"> de</w:t>
      </w:r>
      <w:r w:rsidR="00C55C69" w:rsidRPr="007B60BF">
        <w:rPr>
          <w:iCs/>
        </w:rPr>
        <w:t xml:space="preserve"> Material de Consumo</w:t>
      </w:r>
    </w:p>
    <w:p w14:paraId="52DBAEF4" w14:textId="77777777" w:rsidR="009657C6" w:rsidRPr="007B60BF" w:rsidRDefault="009657C6" w:rsidP="009657C6">
      <w:pPr>
        <w:jc w:val="both"/>
      </w:pPr>
    </w:p>
    <w:p w14:paraId="50D3A62C" w14:textId="1A32A970" w:rsidR="00DC261B" w:rsidRPr="007B60BF" w:rsidRDefault="00DC261B" w:rsidP="00DC261B">
      <w:pPr>
        <w:jc w:val="both"/>
      </w:pPr>
      <w:r w:rsidRPr="007B60BF">
        <w:t xml:space="preserve">Os estoques de materiais em almoxarifado a serem consumidos na prestação de serviços e no curso normal das atividades da Instituição são avaliados pelo custo médio ponderado de aquisição e não excedem o valor de mercado. As importações em andamento estão registradas pelos custos incorridos apropriados até </w:t>
      </w:r>
      <w:r w:rsidR="004602BA" w:rsidRPr="007B60BF">
        <w:t>31 de dezembro de 2025</w:t>
      </w:r>
      <w:r w:rsidRPr="007B60BF">
        <w:t xml:space="preserve">. No estoque não constam itens com custo superior ao valor realizável líquido. As perdas </w:t>
      </w:r>
      <w:r w:rsidR="00B649AE" w:rsidRPr="007B60BF">
        <w:t>de</w:t>
      </w:r>
      <w:r w:rsidRPr="007B60BF">
        <w:t xml:space="preserve"> estoque são reconhecidas como despe</w:t>
      </w:r>
      <w:r w:rsidR="00422CCE" w:rsidRPr="007B60BF">
        <w:t>sa do exercício em que ocorrem.</w:t>
      </w:r>
    </w:p>
    <w:p w14:paraId="65315A7E" w14:textId="77777777" w:rsidR="00010ADE" w:rsidRPr="007B60BF" w:rsidRDefault="00010ADE" w:rsidP="00DC261B">
      <w:pPr>
        <w:jc w:val="both"/>
      </w:pPr>
    </w:p>
    <w:p w14:paraId="6924CC23" w14:textId="73A4CC2E" w:rsidR="001F2C40" w:rsidRPr="007B60BF" w:rsidRDefault="009657C6" w:rsidP="00086B22">
      <w:pPr>
        <w:pStyle w:val="Subttulo"/>
        <w:numPr>
          <w:ilvl w:val="1"/>
          <w:numId w:val="1"/>
        </w:numPr>
        <w:ind w:left="0" w:hanging="426"/>
        <w:rPr>
          <w:iCs/>
        </w:rPr>
      </w:pPr>
      <w:r w:rsidRPr="007B60BF">
        <w:rPr>
          <w:iCs/>
        </w:rPr>
        <w:t>Depósitos Judiciais</w:t>
      </w:r>
    </w:p>
    <w:p w14:paraId="43B8456A" w14:textId="77777777" w:rsidR="00ED5B2D" w:rsidRPr="007B60BF" w:rsidRDefault="00ED5B2D" w:rsidP="009657C6">
      <w:pPr>
        <w:jc w:val="both"/>
      </w:pPr>
    </w:p>
    <w:p w14:paraId="0F4BC02A" w14:textId="6786EC40" w:rsidR="001870D3" w:rsidRPr="007B60BF" w:rsidRDefault="00242337" w:rsidP="001870D3">
      <w:pPr>
        <w:jc w:val="both"/>
      </w:pPr>
      <w:r w:rsidRPr="007B60BF">
        <w:t>Os d</w:t>
      </w:r>
      <w:r w:rsidR="009657C6" w:rsidRPr="007B60BF">
        <w:t xml:space="preserve">epósitos </w:t>
      </w:r>
      <w:r w:rsidRPr="007B60BF">
        <w:t>judiciais s</w:t>
      </w:r>
      <w:r w:rsidR="009657C6" w:rsidRPr="007B60BF">
        <w:t xml:space="preserve">ão compostos </w:t>
      </w:r>
      <w:r w:rsidRPr="007B60BF">
        <w:t>por</w:t>
      </w:r>
      <w:r w:rsidR="009657C6" w:rsidRPr="007B60BF">
        <w:t xml:space="preserve"> valores recursais vinculados a causas trabalhistas corrigidos até </w:t>
      </w:r>
      <w:r w:rsidR="004602BA" w:rsidRPr="007B60BF">
        <w:t>31 de dezembro de 2025</w:t>
      </w:r>
      <w:r w:rsidR="00E612B7" w:rsidRPr="007B60BF">
        <w:t xml:space="preserve">. Os </w:t>
      </w:r>
      <w:r w:rsidR="002D418E" w:rsidRPr="007B60BF">
        <w:t xml:space="preserve">recursos </w:t>
      </w:r>
      <w:r w:rsidR="009657C6" w:rsidRPr="007B60BF">
        <w:t>depositados na Caixa Econômica Federal são atualizados pelo coeficiente de remuneração das contas do FGTS, enquanto que o</w:t>
      </w:r>
      <w:r w:rsidR="00EB59F2" w:rsidRPr="007B60BF">
        <w:t>s</w:t>
      </w:r>
      <w:r w:rsidR="009657C6" w:rsidRPr="007B60BF">
        <w:t xml:space="preserve"> depositado</w:t>
      </w:r>
      <w:r w:rsidR="00EB59F2" w:rsidRPr="007B60BF">
        <w:t>s</w:t>
      </w:r>
      <w:r w:rsidR="009657C6" w:rsidRPr="007B60BF">
        <w:t xml:space="preserve"> no Banco do Brasil </w:t>
      </w:r>
      <w:r w:rsidR="00EB59F2" w:rsidRPr="007B60BF">
        <w:t>são</w:t>
      </w:r>
      <w:r w:rsidR="009657C6" w:rsidRPr="007B60BF">
        <w:t xml:space="preserve"> atualizado</w:t>
      </w:r>
      <w:r w:rsidR="00EB59F2" w:rsidRPr="007B60BF">
        <w:t>s</w:t>
      </w:r>
      <w:r w:rsidR="009657C6" w:rsidRPr="007B60BF">
        <w:t xml:space="preserve"> </w:t>
      </w:r>
      <w:r w:rsidR="00E612B7" w:rsidRPr="007B60BF">
        <w:t>pela taxa de juros remuneratória da poupança</w:t>
      </w:r>
      <w:r w:rsidR="009657C6" w:rsidRPr="007B60BF">
        <w:t xml:space="preserve">. </w:t>
      </w:r>
      <w:r w:rsidRPr="007B60BF">
        <w:t xml:space="preserve">No caso do pagamento de </w:t>
      </w:r>
      <w:r w:rsidR="009657C6" w:rsidRPr="007B60BF">
        <w:t>depósitos recursais</w:t>
      </w:r>
      <w:r w:rsidRPr="007B60BF">
        <w:t xml:space="preserve">, estes são realizados </w:t>
      </w:r>
      <w:r w:rsidR="009657C6" w:rsidRPr="007B60BF">
        <w:t xml:space="preserve">com recursos próprios. </w:t>
      </w:r>
      <w:r w:rsidRPr="007B60BF">
        <w:t>Na</w:t>
      </w:r>
      <w:r w:rsidR="009657C6" w:rsidRPr="007B60BF">
        <w:t xml:space="preserve"> execução do processo, se o desfecho for a favor do reclamante, a Instituição quita a dívida com recursos recebidos do Tesouro Nacional</w:t>
      </w:r>
      <w:r w:rsidRPr="007B60BF">
        <w:t>,</w:t>
      </w:r>
      <w:r w:rsidR="009657C6" w:rsidRPr="007B60BF">
        <w:t xml:space="preserve"> e o valor do depósito</w:t>
      </w:r>
      <w:r w:rsidRPr="007B60BF">
        <w:t xml:space="preserve"> recursal prévio</w:t>
      </w:r>
      <w:r w:rsidR="009657C6" w:rsidRPr="007B60BF">
        <w:t xml:space="preserve"> é restituído ao HCPA, devidamente corrigido. </w:t>
      </w:r>
    </w:p>
    <w:p w14:paraId="7852AE8F" w14:textId="77777777" w:rsidR="00E34300" w:rsidRPr="007B60BF" w:rsidRDefault="00E34300" w:rsidP="001870D3">
      <w:pPr>
        <w:jc w:val="both"/>
      </w:pPr>
    </w:p>
    <w:p w14:paraId="70F1AFFE" w14:textId="0CC7014B" w:rsidR="009657C6" w:rsidRPr="007B60BF" w:rsidRDefault="009657C6" w:rsidP="00086B22">
      <w:pPr>
        <w:pStyle w:val="Subttulo"/>
        <w:numPr>
          <w:ilvl w:val="1"/>
          <w:numId w:val="1"/>
        </w:numPr>
        <w:ind w:left="0" w:hanging="426"/>
        <w:rPr>
          <w:iCs/>
        </w:rPr>
      </w:pPr>
      <w:r w:rsidRPr="007B60BF">
        <w:rPr>
          <w:iCs/>
        </w:rPr>
        <w:t>Imobilizado e Intangível</w:t>
      </w:r>
    </w:p>
    <w:p w14:paraId="02F9A2A8" w14:textId="77777777" w:rsidR="009657C6" w:rsidRPr="007B60BF" w:rsidRDefault="009657C6" w:rsidP="00C46C0C">
      <w:pPr>
        <w:jc w:val="both"/>
      </w:pPr>
    </w:p>
    <w:p w14:paraId="3DE1B26A" w14:textId="5D316A52" w:rsidR="00ED4898" w:rsidRPr="007B60BF" w:rsidRDefault="009657C6" w:rsidP="00C46C0C">
      <w:pPr>
        <w:jc w:val="both"/>
      </w:pPr>
      <w:r w:rsidRPr="007B60BF">
        <w:t xml:space="preserve">O Imobilizado e o Intangível são mensurados pelo seu custo histórico, menos depreciação </w:t>
      </w:r>
      <w:r w:rsidR="009F038D">
        <w:t>e</w:t>
      </w:r>
      <w:r w:rsidRPr="007B60BF">
        <w:t xml:space="preserve"> amortização acumulada</w:t>
      </w:r>
      <w:r w:rsidR="009F038D">
        <w:t>s</w:t>
      </w:r>
      <w:r w:rsidRPr="007B60BF">
        <w:t xml:space="preserve">. Os terrenos não são depreciados. O custo dos bens constantes nas </w:t>
      </w:r>
      <w:r w:rsidR="00F51296" w:rsidRPr="007B60BF">
        <w:t>d</w:t>
      </w:r>
      <w:r w:rsidR="00416B8B" w:rsidRPr="007B60BF">
        <w:t xml:space="preserve">emonstrações </w:t>
      </w:r>
      <w:r w:rsidR="00F51296" w:rsidRPr="007B60BF">
        <w:t>c</w:t>
      </w:r>
      <w:r w:rsidR="0058514F" w:rsidRPr="007B60BF">
        <w:t>ontábeis</w:t>
      </w:r>
      <w:r w:rsidRPr="007B60BF">
        <w:t xml:space="preserve"> em 31 de dezembro de 2009 foi ajustado conforme laudo de empresa especializada, contratada para refletir o custo atribuído aos bens do permanente. Os custos subsequentes são </w:t>
      </w:r>
      <w:r w:rsidR="004165FB" w:rsidRPr="007B60BF">
        <w:t>incluídos no valor contábil do a</w:t>
      </w:r>
      <w:r w:rsidRPr="007B60BF">
        <w:t xml:space="preserve">tivo ou reconhecidos como um ativo separado, conforme apropriado, somente </w:t>
      </w:r>
      <w:r w:rsidR="004165FB" w:rsidRPr="007B60BF">
        <w:t>se</w:t>
      </w:r>
      <w:r w:rsidRPr="007B60BF">
        <w:t xml:space="preserve"> </w:t>
      </w:r>
      <w:r w:rsidR="00150C27" w:rsidRPr="007B60BF">
        <w:t>esses custos adicionais puderem ser mensurados com segurança e espera-se benefícios econômicos futuros</w:t>
      </w:r>
      <w:r w:rsidRPr="007B60BF">
        <w:t xml:space="preserve">. Os valores contábeis de itens ou peças substituídas são baixados. </w:t>
      </w:r>
      <w:r w:rsidR="00D41D54" w:rsidRPr="007B60BF">
        <w:t xml:space="preserve">Os gastos com </w:t>
      </w:r>
      <w:r w:rsidRPr="007B60BF">
        <w:t xml:space="preserve">reparos e manutenções </w:t>
      </w:r>
      <w:r w:rsidR="00944DC2" w:rsidRPr="007B60BF">
        <w:t>possuem como</w:t>
      </w:r>
      <w:r w:rsidRPr="007B60BF">
        <w:t xml:space="preserve"> contra</w:t>
      </w:r>
      <w:r w:rsidR="0081701D" w:rsidRPr="007B60BF">
        <w:t>partida o resultado</w:t>
      </w:r>
      <w:r w:rsidRPr="007B60BF">
        <w:t>, quando incorridos</w:t>
      </w:r>
      <w:r w:rsidR="00C12955" w:rsidRPr="007B60BF">
        <w:t>.</w:t>
      </w:r>
      <w:r w:rsidR="00017F1D" w:rsidRPr="007B60BF">
        <w:t xml:space="preserve"> </w:t>
      </w:r>
    </w:p>
    <w:p w14:paraId="3E0B61C2" w14:textId="771336FC" w:rsidR="009657C6" w:rsidRPr="007B60BF" w:rsidRDefault="00017F1D" w:rsidP="00C46C0C">
      <w:pPr>
        <w:jc w:val="both"/>
      </w:pPr>
      <w:r w:rsidRPr="007B60BF">
        <w:lastRenderedPageBreak/>
        <w:t>P</w:t>
      </w:r>
      <w:r w:rsidR="009657C6" w:rsidRPr="007B60BF">
        <w:t xml:space="preserve">ara que não haja perda do custo histórico, a depreciação ou amortização nas </w:t>
      </w:r>
      <w:r w:rsidR="00AA00F0" w:rsidRPr="007B60BF">
        <w:t>d</w:t>
      </w:r>
      <w:r w:rsidR="00416B8B" w:rsidRPr="007B60BF">
        <w:t xml:space="preserve">emonstrações </w:t>
      </w:r>
      <w:r w:rsidR="00AA00F0" w:rsidRPr="007B60BF">
        <w:t>c</w:t>
      </w:r>
      <w:r w:rsidR="0058514F" w:rsidRPr="007B60BF">
        <w:t>ontábeis</w:t>
      </w:r>
      <w:r w:rsidR="009657C6" w:rsidRPr="007B60BF">
        <w:t xml:space="preserve"> está demonstrada pelo valor acumulado, desde a data do início de operação na Instituição, acrescido da depreciação do custo atribuído a partir do exercício de 2010. </w:t>
      </w:r>
    </w:p>
    <w:p w14:paraId="55B21289" w14:textId="77777777" w:rsidR="009657C6" w:rsidRPr="007B60BF" w:rsidRDefault="009657C6" w:rsidP="00C46C0C">
      <w:pPr>
        <w:jc w:val="both"/>
      </w:pPr>
    </w:p>
    <w:p w14:paraId="2B7E016A" w14:textId="77777777" w:rsidR="009657C6" w:rsidRPr="007B60BF" w:rsidRDefault="009657C6" w:rsidP="009657C6">
      <w:pPr>
        <w:jc w:val="both"/>
      </w:pPr>
      <w:r w:rsidRPr="007B60BF">
        <w:t xml:space="preserve">As depreciações e amortizações são calculadas usando o método linear, considerando os seus custos durante a vida útil estimada, como </w:t>
      </w:r>
      <w:r w:rsidR="009E013F" w:rsidRPr="007B60BF">
        <w:t>demonstrado a seguir</w:t>
      </w:r>
      <w:r w:rsidRPr="007B60BF">
        <w:t>:</w:t>
      </w:r>
    </w:p>
    <w:p w14:paraId="1C090BB6" w14:textId="77777777" w:rsidR="00A6699D" w:rsidRPr="007B60BF" w:rsidRDefault="00A6699D" w:rsidP="009657C6">
      <w:pPr>
        <w:jc w:val="both"/>
      </w:pPr>
    </w:p>
    <w:tbl>
      <w:tblPr>
        <w:tblStyle w:val="Tabelacomgrade"/>
        <w:tblW w:w="0" w:type="auto"/>
        <w:tblInd w:w="108" w:type="dxa"/>
        <w:tblLook w:val="01E0" w:firstRow="1" w:lastRow="1" w:firstColumn="1" w:lastColumn="1" w:noHBand="0" w:noVBand="0"/>
      </w:tblPr>
      <w:tblGrid>
        <w:gridCol w:w="6526"/>
        <w:gridCol w:w="2379"/>
      </w:tblGrid>
      <w:tr w:rsidR="001F3542" w:rsidRPr="002351D5" w14:paraId="36423D70" w14:textId="77777777" w:rsidTr="00181455">
        <w:tc>
          <w:tcPr>
            <w:tcW w:w="6526" w:type="dxa"/>
          </w:tcPr>
          <w:p w14:paraId="2213148B" w14:textId="16985B41" w:rsidR="009657C6" w:rsidRPr="002351D5" w:rsidRDefault="00AA00F0" w:rsidP="009657C6">
            <w:pPr>
              <w:jc w:val="both"/>
              <w:rPr>
                <w:b/>
              </w:rPr>
            </w:pPr>
            <w:r w:rsidRPr="002351D5">
              <w:rPr>
                <w:b/>
              </w:rPr>
              <w:t>Bens</w:t>
            </w:r>
          </w:p>
        </w:tc>
        <w:tc>
          <w:tcPr>
            <w:tcW w:w="2379" w:type="dxa"/>
          </w:tcPr>
          <w:p w14:paraId="5107E0A7" w14:textId="7B18FFA1" w:rsidR="009657C6" w:rsidRPr="002351D5" w:rsidRDefault="000B7E5E" w:rsidP="000B7E5E">
            <w:pPr>
              <w:jc w:val="center"/>
              <w:rPr>
                <w:b/>
              </w:rPr>
            </w:pPr>
            <w:r w:rsidRPr="002351D5">
              <w:rPr>
                <w:b/>
              </w:rPr>
              <w:t>Vida Útil Estimada</w:t>
            </w:r>
          </w:p>
        </w:tc>
      </w:tr>
      <w:tr w:rsidR="001F3542" w:rsidRPr="002351D5" w14:paraId="63CB35D3" w14:textId="77777777" w:rsidTr="00181455">
        <w:tc>
          <w:tcPr>
            <w:tcW w:w="6526" w:type="dxa"/>
          </w:tcPr>
          <w:p w14:paraId="263BB234" w14:textId="77777777" w:rsidR="009657C6" w:rsidRPr="002351D5" w:rsidRDefault="009657C6" w:rsidP="00C46C0C">
            <w:pPr>
              <w:jc w:val="both"/>
            </w:pPr>
            <w:r w:rsidRPr="002351D5">
              <w:t xml:space="preserve">Edificações (Prédios) </w:t>
            </w:r>
          </w:p>
        </w:tc>
        <w:tc>
          <w:tcPr>
            <w:tcW w:w="2379" w:type="dxa"/>
          </w:tcPr>
          <w:p w14:paraId="5B30376D" w14:textId="77777777" w:rsidR="009657C6" w:rsidRPr="002351D5" w:rsidRDefault="009657C6" w:rsidP="00512FE5">
            <w:pPr>
              <w:jc w:val="right"/>
            </w:pPr>
            <w:r w:rsidRPr="002351D5">
              <w:t>De 40 anos a 100 anos</w:t>
            </w:r>
          </w:p>
        </w:tc>
      </w:tr>
      <w:tr w:rsidR="001F3542" w:rsidRPr="002351D5" w14:paraId="31EC2E9C" w14:textId="77777777" w:rsidTr="00181455">
        <w:tc>
          <w:tcPr>
            <w:tcW w:w="6526" w:type="dxa"/>
          </w:tcPr>
          <w:p w14:paraId="05DCC8B5" w14:textId="18976C4A" w:rsidR="009657C6" w:rsidRPr="002351D5" w:rsidRDefault="002351D5" w:rsidP="009657C6">
            <w:pPr>
              <w:jc w:val="both"/>
            </w:pPr>
            <w:r w:rsidRPr="002351D5">
              <w:t>Bens Móveis e Máquinas</w:t>
            </w:r>
            <w:r w:rsidR="009657C6" w:rsidRPr="002351D5">
              <w:t xml:space="preserve"> </w:t>
            </w:r>
          </w:p>
        </w:tc>
        <w:tc>
          <w:tcPr>
            <w:tcW w:w="2379" w:type="dxa"/>
          </w:tcPr>
          <w:p w14:paraId="020C6E32" w14:textId="77777777" w:rsidR="009657C6" w:rsidRPr="002351D5" w:rsidRDefault="009657C6" w:rsidP="00512FE5">
            <w:pPr>
              <w:jc w:val="right"/>
            </w:pPr>
            <w:r w:rsidRPr="002351D5">
              <w:t>De 04 anos a 10 anos</w:t>
            </w:r>
          </w:p>
        </w:tc>
      </w:tr>
      <w:tr w:rsidR="001F3542" w:rsidRPr="002351D5" w14:paraId="6119BCF5" w14:textId="77777777" w:rsidTr="00181455">
        <w:tc>
          <w:tcPr>
            <w:tcW w:w="6526" w:type="dxa"/>
          </w:tcPr>
          <w:p w14:paraId="4CC4E439" w14:textId="77C3785D" w:rsidR="009657C6" w:rsidRPr="002351D5" w:rsidRDefault="002351D5" w:rsidP="004165FB">
            <w:pPr>
              <w:jc w:val="both"/>
            </w:pPr>
            <w:r w:rsidRPr="002351D5">
              <w:t>Informática</w:t>
            </w:r>
          </w:p>
        </w:tc>
        <w:tc>
          <w:tcPr>
            <w:tcW w:w="2379" w:type="dxa"/>
          </w:tcPr>
          <w:p w14:paraId="38744F7A" w14:textId="5553AD23" w:rsidR="009657C6" w:rsidRPr="002351D5" w:rsidRDefault="009657C6" w:rsidP="002351D5">
            <w:pPr>
              <w:jc w:val="right"/>
            </w:pPr>
            <w:r w:rsidRPr="002351D5">
              <w:t>De 0</w:t>
            </w:r>
            <w:r w:rsidR="002351D5" w:rsidRPr="002351D5">
              <w:t>2</w:t>
            </w:r>
            <w:r w:rsidRPr="002351D5">
              <w:t xml:space="preserve"> anos a </w:t>
            </w:r>
            <w:r w:rsidR="002351D5" w:rsidRPr="002351D5">
              <w:t>05</w:t>
            </w:r>
            <w:r w:rsidRPr="002351D5">
              <w:t xml:space="preserve"> anos</w:t>
            </w:r>
          </w:p>
        </w:tc>
      </w:tr>
      <w:tr w:rsidR="001F3542" w:rsidRPr="002351D5" w14:paraId="43A8B76F" w14:textId="77777777" w:rsidTr="00181455">
        <w:tc>
          <w:tcPr>
            <w:tcW w:w="6526" w:type="dxa"/>
          </w:tcPr>
          <w:p w14:paraId="7FDF17FB" w14:textId="77777777" w:rsidR="009657C6" w:rsidRPr="002351D5" w:rsidRDefault="009657C6" w:rsidP="009657C6">
            <w:pPr>
              <w:jc w:val="both"/>
            </w:pPr>
            <w:r w:rsidRPr="002351D5">
              <w:t xml:space="preserve">Veículos </w:t>
            </w:r>
          </w:p>
        </w:tc>
        <w:tc>
          <w:tcPr>
            <w:tcW w:w="2379" w:type="dxa"/>
          </w:tcPr>
          <w:p w14:paraId="2CA7FD2F" w14:textId="77777777" w:rsidR="009657C6" w:rsidRPr="002351D5" w:rsidRDefault="007B715B" w:rsidP="00512FE5">
            <w:pPr>
              <w:jc w:val="right"/>
            </w:pPr>
            <w:r w:rsidRPr="002351D5">
              <w:t xml:space="preserve">De </w:t>
            </w:r>
            <w:r w:rsidR="009657C6" w:rsidRPr="002351D5">
              <w:t>03 anos a 10 anos</w:t>
            </w:r>
          </w:p>
        </w:tc>
      </w:tr>
      <w:tr w:rsidR="009657C6" w:rsidRPr="007B60BF" w14:paraId="5BC81457" w14:textId="77777777" w:rsidTr="00181455">
        <w:tc>
          <w:tcPr>
            <w:tcW w:w="6526" w:type="dxa"/>
          </w:tcPr>
          <w:p w14:paraId="3A92027A" w14:textId="42C303B5" w:rsidR="009657C6" w:rsidRPr="002351D5" w:rsidRDefault="009657C6" w:rsidP="001B62F6">
            <w:pPr>
              <w:jc w:val="both"/>
            </w:pPr>
            <w:r w:rsidRPr="002351D5">
              <w:t xml:space="preserve">Intangível – Software </w:t>
            </w:r>
            <w:r w:rsidR="001B62F6" w:rsidRPr="002351D5">
              <w:t>/ Direito de Propriedade</w:t>
            </w:r>
          </w:p>
        </w:tc>
        <w:tc>
          <w:tcPr>
            <w:tcW w:w="2379" w:type="dxa"/>
          </w:tcPr>
          <w:p w14:paraId="0E75E468" w14:textId="449ADEE2" w:rsidR="009657C6" w:rsidRPr="002351D5" w:rsidRDefault="001B62F6" w:rsidP="001B62F6">
            <w:pPr>
              <w:jc w:val="right"/>
            </w:pPr>
            <w:r w:rsidRPr="002351D5">
              <w:t>De 05 anos a 10 anos</w:t>
            </w:r>
          </w:p>
        </w:tc>
      </w:tr>
    </w:tbl>
    <w:p w14:paraId="25C12E0A" w14:textId="77777777" w:rsidR="009657C6" w:rsidRPr="007B60BF" w:rsidRDefault="009657C6" w:rsidP="009657C6">
      <w:pPr>
        <w:jc w:val="both"/>
      </w:pPr>
    </w:p>
    <w:p w14:paraId="7F1006B4" w14:textId="77777777" w:rsidR="009657C6" w:rsidRPr="007B60BF" w:rsidRDefault="009657C6" w:rsidP="00086B22">
      <w:pPr>
        <w:pStyle w:val="Subttulo"/>
        <w:numPr>
          <w:ilvl w:val="1"/>
          <w:numId w:val="1"/>
        </w:numPr>
        <w:ind w:left="0" w:hanging="426"/>
        <w:rPr>
          <w:iCs/>
        </w:rPr>
      </w:pPr>
      <w:r w:rsidRPr="007B60BF">
        <w:rPr>
          <w:i/>
          <w:iCs/>
        </w:rPr>
        <w:t>I</w:t>
      </w:r>
      <w:r w:rsidRPr="007B60BF">
        <w:rPr>
          <w:i/>
        </w:rPr>
        <w:t>mpairment</w:t>
      </w:r>
      <w:r w:rsidR="00A909E4" w:rsidRPr="007B60BF">
        <w:rPr>
          <w:iCs/>
        </w:rPr>
        <w:t xml:space="preserve"> de A</w:t>
      </w:r>
      <w:r w:rsidRPr="007B60BF">
        <w:rPr>
          <w:iCs/>
        </w:rPr>
        <w:t xml:space="preserve">tivos não </w:t>
      </w:r>
      <w:r w:rsidR="00A909E4" w:rsidRPr="007B60BF">
        <w:rPr>
          <w:iCs/>
        </w:rPr>
        <w:t>F</w:t>
      </w:r>
      <w:r w:rsidRPr="007B60BF">
        <w:rPr>
          <w:iCs/>
        </w:rPr>
        <w:t>inanceiros</w:t>
      </w:r>
    </w:p>
    <w:p w14:paraId="24DE15C3" w14:textId="77777777" w:rsidR="009657C6" w:rsidRPr="007B60BF" w:rsidRDefault="009657C6" w:rsidP="009657C6">
      <w:pPr>
        <w:jc w:val="both"/>
      </w:pPr>
    </w:p>
    <w:p w14:paraId="76F5A2BE" w14:textId="3B9C98BD" w:rsidR="004032B8" w:rsidRPr="007B60BF" w:rsidRDefault="0018194B" w:rsidP="004032B8">
      <w:pPr>
        <w:jc w:val="both"/>
      </w:pPr>
      <w:r w:rsidRPr="007B60BF">
        <w:t xml:space="preserve">A </w:t>
      </w:r>
      <w:r w:rsidR="0055760E" w:rsidRPr="007B60BF">
        <w:t>I</w:t>
      </w:r>
      <w:r w:rsidR="00252A4C" w:rsidRPr="007B60BF">
        <w:t xml:space="preserve">nstituição </w:t>
      </w:r>
      <w:r w:rsidR="004032B8" w:rsidRPr="007B60BF">
        <w:t xml:space="preserve">revisa </w:t>
      </w:r>
      <w:r w:rsidR="00542570" w:rsidRPr="007B60BF">
        <w:t xml:space="preserve">anualmente </w:t>
      </w:r>
      <w:r w:rsidR="004032B8" w:rsidRPr="007B60BF">
        <w:t xml:space="preserve">o valor contábil dos ativos de vida longa, principalmente o imobilizado mantido e utilizado nas operações, </w:t>
      </w:r>
      <w:r w:rsidRPr="007B60BF">
        <w:t>por avaliações internas, as quais objetivam identificar</w:t>
      </w:r>
      <w:r w:rsidR="004032B8" w:rsidRPr="007B60BF">
        <w:t xml:space="preserve"> </w:t>
      </w:r>
      <w:r w:rsidRPr="007B60BF">
        <w:t>indícios de desvalorização de um ativo ou grupo de ativos, conforme fontes externas e internas de informaç</w:t>
      </w:r>
      <w:r w:rsidR="00EF44B8" w:rsidRPr="007B60BF">
        <w:t>ão</w:t>
      </w:r>
      <w:r w:rsidR="004032B8" w:rsidRPr="007B60BF">
        <w:t>.</w:t>
      </w:r>
    </w:p>
    <w:p w14:paraId="4871491C" w14:textId="77777777" w:rsidR="004032B8" w:rsidRPr="007B60BF" w:rsidRDefault="004032B8" w:rsidP="004032B8">
      <w:pPr>
        <w:jc w:val="both"/>
      </w:pPr>
    </w:p>
    <w:p w14:paraId="3D0E9B34" w14:textId="77777777" w:rsidR="009657C6" w:rsidRPr="007B60BF" w:rsidRDefault="009657C6" w:rsidP="00086B22">
      <w:pPr>
        <w:pStyle w:val="Subttulo"/>
        <w:numPr>
          <w:ilvl w:val="1"/>
          <w:numId w:val="1"/>
        </w:numPr>
        <w:ind w:left="0" w:hanging="426"/>
        <w:rPr>
          <w:iCs/>
        </w:rPr>
      </w:pPr>
      <w:r w:rsidRPr="007B60BF">
        <w:rPr>
          <w:iCs/>
        </w:rPr>
        <w:t>Fornecedores</w:t>
      </w:r>
    </w:p>
    <w:p w14:paraId="7464E02C" w14:textId="77777777" w:rsidR="009657C6" w:rsidRPr="007B60BF" w:rsidRDefault="009657C6" w:rsidP="009657C6">
      <w:pPr>
        <w:jc w:val="both"/>
      </w:pPr>
    </w:p>
    <w:p w14:paraId="5CF8E05C" w14:textId="35086F10" w:rsidR="00595A08" w:rsidRPr="007B60BF" w:rsidRDefault="009657C6" w:rsidP="00595A08">
      <w:pPr>
        <w:jc w:val="both"/>
      </w:pPr>
      <w:r w:rsidRPr="007B60BF">
        <w:t>As contas a pagar aos fornecedores são obrigações assumidas pelas compras de bens ou serviços que foram adquiridos no curso normal dos negócios, sendo reconhecidas pelo valor justo e classificadas como passivos circulantes, pois a Instituição tem por prática o pagamento dos fornecedores no vencimento de até 30 dias após a certificação do serv</w:t>
      </w:r>
      <w:r w:rsidR="0024480D" w:rsidRPr="007B60BF">
        <w:t>iço prestado ou bem adquirido</w:t>
      </w:r>
      <w:r w:rsidR="00C12955" w:rsidRPr="007B60BF">
        <w:t>.</w:t>
      </w:r>
    </w:p>
    <w:p w14:paraId="52C4044F" w14:textId="77777777" w:rsidR="00ED5B2D" w:rsidRPr="007B60BF" w:rsidRDefault="00ED5B2D" w:rsidP="00595A08">
      <w:pPr>
        <w:jc w:val="both"/>
      </w:pPr>
    </w:p>
    <w:p w14:paraId="18F306C0" w14:textId="77777777" w:rsidR="009657C6" w:rsidRPr="007B60BF" w:rsidRDefault="009657C6" w:rsidP="00086B22">
      <w:pPr>
        <w:pStyle w:val="Subttulo"/>
        <w:numPr>
          <w:ilvl w:val="1"/>
          <w:numId w:val="1"/>
        </w:numPr>
        <w:ind w:left="0" w:hanging="426"/>
        <w:rPr>
          <w:iCs/>
        </w:rPr>
      </w:pPr>
      <w:r w:rsidRPr="007B60BF">
        <w:rPr>
          <w:iCs/>
        </w:rPr>
        <w:t>Obrigações Tributárias</w:t>
      </w:r>
    </w:p>
    <w:p w14:paraId="3E56B490" w14:textId="77777777" w:rsidR="009657C6" w:rsidRPr="007B60BF" w:rsidRDefault="009657C6" w:rsidP="009657C6">
      <w:pPr>
        <w:jc w:val="both"/>
      </w:pPr>
    </w:p>
    <w:p w14:paraId="2ED87607" w14:textId="334A3E8D" w:rsidR="00755D20" w:rsidRPr="00B619A0" w:rsidRDefault="00755D20" w:rsidP="00755D20">
      <w:pPr>
        <w:jc w:val="both"/>
      </w:pPr>
      <w:r w:rsidRPr="007B60BF">
        <w:t xml:space="preserve">São registrados os tributos federais PIS e COFINS incidentes </w:t>
      </w:r>
      <w:r w:rsidRPr="00B619A0">
        <w:t xml:space="preserve">sobre receitas próprias, assim como os valores retidos dos fornecedores referentes a tributos municipais incidentes sobre serviços prestados na sede da Instituição, conforme Lei Complementar Municipal n° 306/93 e </w:t>
      </w:r>
      <w:r w:rsidR="00D706DC" w:rsidRPr="00B619A0">
        <w:t xml:space="preserve">n° </w:t>
      </w:r>
      <w:r w:rsidRPr="00B619A0">
        <w:t>07/73 e leis federais incidentes sobre bens ou serviços fornecidos c</w:t>
      </w:r>
      <w:r w:rsidR="00D706DC" w:rsidRPr="00B619A0">
        <w:t>onforme IN/RFB n° 1.234</w:t>
      </w:r>
      <w:r w:rsidRPr="00B619A0">
        <w:t xml:space="preserve">/2012 e n° </w:t>
      </w:r>
      <w:r w:rsidR="00D706DC" w:rsidRPr="00B619A0">
        <w:t>2.110/2022</w:t>
      </w:r>
      <w:r w:rsidRPr="00B619A0">
        <w:t>. A Instituição goza de isenção dos demais tributos federais conforme artigo n° 15 da Lei 5.604 de 02 de setembro de 1970.</w:t>
      </w:r>
    </w:p>
    <w:p w14:paraId="424E6ACF" w14:textId="05BA1B29" w:rsidR="009F038D" w:rsidRPr="00B619A0" w:rsidRDefault="009F038D" w:rsidP="00755D20">
      <w:pPr>
        <w:jc w:val="both"/>
      </w:pPr>
    </w:p>
    <w:p w14:paraId="4FB0983C" w14:textId="3771D2D3" w:rsidR="009F038D" w:rsidRPr="00B619A0" w:rsidRDefault="009F038D" w:rsidP="00755D20">
      <w:pPr>
        <w:jc w:val="both"/>
      </w:pPr>
      <w:r w:rsidRPr="00B619A0">
        <w:t xml:space="preserve">Em 2025, a reforma tributária sobre o valor agregado foi regulamentada por meio da Lei Complementar nº 214, prevendo a substituição de tributos como PIS, COFINS, ICMS, ISS e IPI pelos tributos CBS e IBS, bem como a criação do IS (Imposto Seletivo), que abrange determinados setores econômicos. Em janeiro de 2026 a Lei Complementar no. 227, </w:t>
      </w:r>
      <w:r w:rsidRPr="00B619A0">
        <w:rPr>
          <w:color w:val="000000"/>
        </w:rPr>
        <w:t>instituiu o Comitê Gestor do Imposto sobre Bens e Serviços (CGIBS), entidade pública com caráter técnico e operacional sob regime especial.</w:t>
      </w:r>
      <w:r w:rsidRPr="00B619A0">
        <w:t xml:space="preserve"> A nova metodologia de tributação ocorre entre 2026 e 2032, não havendo incidência, no primeiro ano de transição, dos novos tributos advindos da reforma.</w:t>
      </w:r>
    </w:p>
    <w:p w14:paraId="64160CC5" w14:textId="2809D140" w:rsidR="00C47E43" w:rsidRPr="00B619A0" w:rsidRDefault="00C47E43" w:rsidP="00755D20">
      <w:pPr>
        <w:jc w:val="both"/>
      </w:pPr>
    </w:p>
    <w:p w14:paraId="2039AF02" w14:textId="46D6A58A" w:rsidR="00C47E43" w:rsidRPr="007B60BF" w:rsidRDefault="00521E40" w:rsidP="00755D20">
      <w:pPr>
        <w:jc w:val="both"/>
      </w:pPr>
      <w:r w:rsidRPr="00B619A0">
        <w:t>A</w:t>
      </w:r>
      <w:r w:rsidR="0050343D" w:rsidRPr="00B619A0">
        <w:t xml:space="preserve"> Instituição constituiu um</w:t>
      </w:r>
      <w:r w:rsidR="00C47E43" w:rsidRPr="00B619A0">
        <w:t xml:space="preserve"> grupo de estudos multiprofissional para analisar os possíveis impactos</w:t>
      </w:r>
      <w:r w:rsidR="00C47E43" w:rsidRPr="007B60BF">
        <w:t xml:space="preserve"> da reforma tributária </w:t>
      </w:r>
      <w:r w:rsidR="008C3B27" w:rsidRPr="007B60BF">
        <w:t>em</w:t>
      </w:r>
      <w:r w:rsidR="00C47E43" w:rsidRPr="007B60BF">
        <w:t xml:space="preserve"> seus processos, tanto na área de faturamento, quanto de compra de materiais</w:t>
      </w:r>
      <w:r w:rsidR="008C3B27" w:rsidRPr="007B60BF">
        <w:t xml:space="preserve"> e serviços. A mensuração do impacto</w:t>
      </w:r>
      <w:r w:rsidR="00C47E43" w:rsidRPr="007B60BF">
        <w:t xml:space="preserve"> da </w:t>
      </w:r>
      <w:r w:rsidR="008C3B27" w:rsidRPr="007B60BF">
        <w:t>r</w:t>
      </w:r>
      <w:r w:rsidR="00C47E43" w:rsidRPr="007B60BF">
        <w:t xml:space="preserve">eforma </w:t>
      </w:r>
      <w:r w:rsidR="008C3B27" w:rsidRPr="007B60BF">
        <w:t>t</w:t>
      </w:r>
      <w:r w:rsidR="00C47E43" w:rsidRPr="007B60BF">
        <w:t>ributária neste momento</w:t>
      </w:r>
      <w:r w:rsidR="008C3B27" w:rsidRPr="007B60BF">
        <w:t xml:space="preserve"> é</w:t>
      </w:r>
      <w:r w:rsidR="00C47E43" w:rsidRPr="007B60BF">
        <w:t xml:space="preserve"> complexa, visto que </w:t>
      </w:r>
      <w:r w:rsidR="008C3B27" w:rsidRPr="007B60BF">
        <w:t xml:space="preserve">ainda </w:t>
      </w:r>
      <w:r w:rsidR="00C47E43" w:rsidRPr="007B60BF">
        <w:t>depende de definições regulatórias pendentes</w:t>
      </w:r>
      <w:r w:rsidR="008C3B27" w:rsidRPr="007B60BF">
        <w:t xml:space="preserve"> sobre a</w:t>
      </w:r>
      <w:r w:rsidR="00C47E43" w:rsidRPr="007B60BF">
        <w:t xml:space="preserve"> natureza jurídica </w:t>
      </w:r>
      <w:r w:rsidR="008C3B27" w:rsidRPr="007B60BF">
        <w:t xml:space="preserve">do hospital e </w:t>
      </w:r>
      <w:r w:rsidR="00C47E43" w:rsidRPr="007B60BF">
        <w:t xml:space="preserve">alíquotas aplicáveis aos fornecedores. </w:t>
      </w:r>
    </w:p>
    <w:p w14:paraId="23F3290A" w14:textId="77777777" w:rsidR="00010ADE" w:rsidRPr="007B60BF" w:rsidRDefault="00010ADE" w:rsidP="009657C6">
      <w:pPr>
        <w:jc w:val="both"/>
      </w:pPr>
    </w:p>
    <w:p w14:paraId="186193D4" w14:textId="276D30E0" w:rsidR="009657C6" w:rsidRPr="007B60BF" w:rsidRDefault="009657C6" w:rsidP="00086B22">
      <w:pPr>
        <w:pStyle w:val="Subttulo"/>
        <w:numPr>
          <w:ilvl w:val="1"/>
          <w:numId w:val="1"/>
        </w:numPr>
        <w:ind w:left="0" w:hanging="426"/>
        <w:jc w:val="both"/>
        <w:rPr>
          <w:iCs/>
        </w:rPr>
      </w:pPr>
      <w:r w:rsidRPr="007B60BF">
        <w:rPr>
          <w:iCs/>
        </w:rPr>
        <w:t>Benefícios a Empregados</w:t>
      </w:r>
    </w:p>
    <w:p w14:paraId="7270EABA" w14:textId="77777777" w:rsidR="00357AC7" w:rsidRPr="007B60BF" w:rsidRDefault="00357AC7" w:rsidP="00357AC7"/>
    <w:p w14:paraId="70E9E30B" w14:textId="15382FDF" w:rsidR="009657C6" w:rsidRPr="007B60BF" w:rsidRDefault="009657C6" w:rsidP="009657C6">
      <w:pPr>
        <w:jc w:val="both"/>
      </w:pPr>
      <w:r w:rsidRPr="007B60BF">
        <w:t xml:space="preserve">A Instituição possui </w:t>
      </w:r>
      <w:r w:rsidR="00357AC7" w:rsidRPr="007B60BF">
        <w:t>plano</w:t>
      </w:r>
      <w:r w:rsidRPr="007B60BF">
        <w:t xml:space="preserve"> de benefícios a empregados, como </w:t>
      </w:r>
      <w:r w:rsidR="00366723" w:rsidRPr="007B60BF">
        <w:t>aux</w:t>
      </w:r>
      <w:r w:rsidR="00017F1D" w:rsidRPr="007B60BF">
        <w:t>í</w:t>
      </w:r>
      <w:r w:rsidR="004165FB" w:rsidRPr="007B60BF">
        <w:t>lio-</w:t>
      </w:r>
      <w:r w:rsidRPr="007B60BF">
        <w:t xml:space="preserve">creche, assistência </w:t>
      </w:r>
      <w:r w:rsidR="004165FB" w:rsidRPr="007B60BF">
        <w:t>médica, seguro de vida, auxílio-</w:t>
      </w:r>
      <w:r w:rsidRPr="007B60BF">
        <w:t xml:space="preserve">alimentação, entre outros, </w:t>
      </w:r>
      <w:r w:rsidR="008E4A95" w:rsidRPr="007B60BF">
        <w:t>sendo r</w:t>
      </w:r>
      <w:r w:rsidRPr="007B60BF">
        <w:t xml:space="preserve">econhecidos no resultado </w:t>
      </w:r>
      <w:r w:rsidR="0081701D" w:rsidRPr="007B60BF">
        <w:t>da competência</w:t>
      </w:r>
      <w:r w:rsidRPr="007B60BF">
        <w:t xml:space="preserve"> em que ocorre a prestação do serviço ao empregado. Como benefício pós-emprego a Instituição oferece plano de aposentadoria complementar</w:t>
      </w:r>
      <w:r w:rsidR="006B231E" w:rsidRPr="007B60BF">
        <w:t>.</w:t>
      </w:r>
      <w:r w:rsidRPr="007B60BF">
        <w:t xml:space="preserve"> </w:t>
      </w:r>
    </w:p>
    <w:p w14:paraId="257AD791" w14:textId="77777777" w:rsidR="00074139" w:rsidRDefault="00074139">
      <w:r>
        <w:rPr>
          <w:b/>
        </w:rPr>
        <w:br w:type="page"/>
      </w:r>
    </w:p>
    <w:p w14:paraId="4C8D078D" w14:textId="02D7A252" w:rsidR="009657C6" w:rsidRPr="007B60BF" w:rsidRDefault="00430580" w:rsidP="00086B22">
      <w:pPr>
        <w:pStyle w:val="Subttulo"/>
        <w:numPr>
          <w:ilvl w:val="1"/>
          <w:numId w:val="1"/>
        </w:numPr>
        <w:ind w:left="0" w:hanging="426"/>
        <w:rPr>
          <w:iCs/>
        </w:rPr>
      </w:pPr>
      <w:r w:rsidRPr="007B60BF">
        <w:rPr>
          <w:iCs/>
        </w:rPr>
        <w:lastRenderedPageBreak/>
        <w:t>Contingências</w:t>
      </w:r>
    </w:p>
    <w:p w14:paraId="596787C9" w14:textId="77777777" w:rsidR="009657C6" w:rsidRPr="007B60BF" w:rsidRDefault="009657C6" w:rsidP="009657C6">
      <w:pPr>
        <w:jc w:val="both"/>
      </w:pPr>
    </w:p>
    <w:p w14:paraId="73D10282" w14:textId="7F0D1903" w:rsidR="009657C6" w:rsidRPr="007B60BF" w:rsidRDefault="009657C6" w:rsidP="009657C6">
      <w:pPr>
        <w:jc w:val="both"/>
      </w:pPr>
      <w:r w:rsidRPr="007B60BF">
        <w:t xml:space="preserve">As provisões para ações </w:t>
      </w:r>
      <w:r w:rsidR="00A909E4" w:rsidRPr="007B60BF">
        <w:t>judiciais (trabalhistas, cíveis,</w:t>
      </w:r>
      <w:r w:rsidRPr="007B60BF">
        <w:t xml:space="preserve"> tributárias</w:t>
      </w:r>
      <w:r w:rsidR="00FF1C60" w:rsidRPr="007B60BF">
        <w:t>, administrativas</w:t>
      </w:r>
      <w:r w:rsidRPr="007B60BF">
        <w:t xml:space="preserve"> e outras) são reconhecidas </w:t>
      </w:r>
      <w:r w:rsidR="00FF1C60" w:rsidRPr="007B60BF">
        <w:t xml:space="preserve">conforme a </w:t>
      </w:r>
      <w:r w:rsidR="00FF1C60" w:rsidRPr="007B60BF">
        <w:rPr>
          <w:color w:val="0A0A0A"/>
          <w:shd w:val="clear" w:color="auto" w:fill="FFFFFF"/>
        </w:rPr>
        <w:t>NBC TG 25</w:t>
      </w:r>
      <w:r w:rsidR="00FF1C60" w:rsidRPr="007B60BF">
        <w:t>, ou seja, quando</w:t>
      </w:r>
      <w:r w:rsidRPr="007B60BF">
        <w:t>: (i) a Instituição tem uma obrigação presente ou não formalizada (</w:t>
      </w:r>
      <w:r w:rsidRPr="007B60BF">
        <w:rPr>
          <w:i/>
        </w:rPr>
        <w:t>constructive obligation</w:t>
      </w:r>
      <w:r w:rsidRPr="007B60BF">
        <w:t xml:space="preserve">) como resultado de eventos já ocorridos; (ii) é provável que uma saída de recursos seja necessária para liquidar a obrigação; e (iii) o valor puder ser estimado com segurança. </w:t>
      </w:r>
    </w:p>
    <w:p w14:paraId="43E9FDCC" w14:textId="77777777" w:rsidR="00F51296" w:rsidRPr="007B60BF" w:rsidRDefault="00F51296" w:rsidP="009657C6">
      <w:pPr>
        <w:jc w:val="both"/>
      </w:pPr>
    </w:p>
    <w:p w14:paraId="58B6D4AA" w14:textId="44301E46" w:rsidR="009657C6" w:rsidRPr="007B60BF" w:rsidRDefault="009657C6" w:rsidP="009657C6">
      <w:pPr>
        <w:jc w:val="both"/>
      </w:pPr>
      <w:r w:rsidRPr="007B60BF">
        <w:t>Quando houver uma série de obrigações similares, a probabilidade de liquidá-las é determinada levando-se em consideração a classe de obrigações como um todo. Uma provisão é reconhecida mesmo que a probabilidade de liquidação relacionada com qualquer item individual incluído na mesma classe de obrigações seja pequena. As provisões são mensuradas pel</w:t>
      </w:r>
      <w:r w:rsidR="009A1BBA" w:rsidRPr="007B60BF">
        <w:t xml:space="preserve">o valor presente dos gastos </w:t>
      </w:r>
      <w:r w:rsidRPr="007B60BF">
        <w:t xml:space="preserve">necessários para liquidar a obrigação, </w:t>
      </w:r>
      <w:r w:rsidR="009A1BBA" w:rsidRPr="007B60BF">
        <w:t>o</w:t>
      </w:r>
      <w:r w:rsidRPr="007B60BF">
        <w:t xml:space="preserve"> qual reflita as avaliações atuais de mercado do valor do dinheiro no tempo e dos riscos específicos da obrigação. </w:t>
      </w:r>
    </w:p>
    <w:p w14:paraId="231410FF" w14:textId="77777777" w:rsidR="005503D1" w:rsidRPr="00A77C10" w:rsidRDefault="005503D1" w:rsidP="009657C6">
      <w:pPr>
        <w:jc w:val="both"/>
        <w:rPr>
          <w:sz w:val="16"/>
          <w:szCs w:val="16"/>
        </w:rPr>
      </w:pPr>
    </w:p>
    <w:p w14:paraId="1A1C8C72" w14:textId="2FD68007" w:rsidR="00801838" w:rsidRPr="007B60BF" w:rsidRDefault="00801838" w:rsidP="00801838">
      <w:pPr>
        <w:jc w:val="both"/>
      </w:pPr>
      <w:r w:rsidRPr="007B60BF">
        <w:t xml:space="preserve">O valor das ações cuja probabilidade de perda, segundo a área jurídica do HCPA, é considerada possível é de: R$ </w:t>
      </w:r>
      <w:r w:rsidR="00434BD7" w:rsidRPr="007B60BF">
        <w:t>13.968</w:t>
      </w:r>
      <w:r w:rsidRPr="007B60BF">
        <w:t xml:space="preserve"> </w:t>
      </w:r>
      <w:r w:rsidR="006D396C" w:rsidRPr="007B60BF">
        <w:t>(c</w:t>
      </w:r>
      <w:r w:rsidRPr="007B60BF">
        <w:t>íveis</w:t>
      </w:r>
      <w:r w:rsidR="006D396C" w:rsidRPr="007B60BF">
        <w:t>)</w:t>
      </w:r>
      <w:r w:rsidR="00757727" w:rsidRPr="007B60BF">
        <w:t xml:space="preserve"> e </w:t>
      </w:r>
      <w:r w:rsidRPr="007B60BF">
        <w:t>R</w:t>
      </w:r>
      <w:r w:rsidR="0060128F" w:rsidRPr="007B60BF">
        <w:t>$</w:t>
      </w:r>
      <w:r w:rsidR="00C63971" w:rsidRPr="007B60BF">
        <w:t xml:space="preserve"> </w:t>
      </w:r>
      <w:r w:rsidR="00CE2B74" w:rsidRPr="007B60BF">
        <w:t>6</w:t>
      </w:r>
      <w:r w:rsidR="00D802C2">
        <w:t>9</w:t>
      </w:r>
      <w:r w:rsidR="00CE2B74" w:rsidRPr="007B60BF">
        <w:t>.</w:t>
      </w:r>
      <w:r w:rsidR="00434BD7" w:rsidRPr="007B60BF">
        <w:t>654</w:t>
      </w:r>
      <w:r w:rsidR="00C63971" w:rsidRPr="007B60BF">
        <w:t xml:space="preserve"> </w:t>
      </w:r>
      <w:r w:rsidR="006D396C" w:rsidRPr="007B60BF">
        <w:t>(t</w:t>
      </w:r>
      <w:r w:rsidR="00757727" w:rsidRPr="007B60BF">
        <w:t>rabalhistas</w:t>
      </w:r>
      <w:r w:rsidR="006D396C" w:rsidRPr="007B60BF">
        <w:t>)</w:t>
      </w:r>
      <w:r w:rsidR="0060128F" w:rsidRPr="007B60BF">
        <w:t xml:space="preserve">, totalizando R$ </w:t>
      </w:r>
      <w:r w:rsidR="00434BD7" w:rsidRPr="007B60BF">
        <w:t>83.622</w:t>
      </w:r>
      <w:r w:rsidRPr="007B60BF">
        <w:t>.</w:t>
      </w:r>
    </w:p>
    <w:p w14:paraId="4173F624" w14:textId="77777777" w:rsidR="0036569A" w:rsidRPr="00A77C10" w:rsidRDefault="0036569A" w:rsidP="00801838">
      <w:pPr>
        <w:jc w:val="both"/>
        <w:rPr>
          <w:sz w:val="16"/>
          <w:szCs w:val="16"/>
        </w:rPr>
      </w:pPr>
    </w:p>
    <w:p w14:paraId="6BEB2EB5" w14:textId="77777777" w:rsidR="009657C6" w:rsidRPr="007B60BF" w:rsidRDefault="009657C6" w:rsidP="00086B22">
      <w:pPr>
        <w:pStyle w:val="Subttulo"/>
        <w:numPr>
          <w:ilvl w:val="1"/>
          <w:numId w:val="1"/>
        </w:numPr>
        <w:ind w:left="0" w:hanging="426"/>
        <w:rPr>
          <w:iCs/>
        </w:rPr>
      </w:pPr>
      <w:r w:rsidRPr="007B60BF">
        <w:rPr>
          <w:iCs/>
        </w:rPr>
        <w:t xml:space="preserve">Reconhecimento da Receita </w:t>
      </w:r>
    </w:p>
    <w:p w14:paraId="386BD3B6" w14:textId="77777777" w:rsidR="009657C6" w:rsidRPr="00A77C10" w:rsidRDefault="009657C6" w:rsidP="009657C6">
      <w:pPr>
        <w:jc w:val="both"/>
        <w:rPr>
          <w:sz w:val="16"/>
          <w:szCs w:val="16"/>
        </w:rPr>
      </w:pPr>
    </w:p>
    <w:p w14:paraId="1BA5ADA2" w14:textId="77777777" w:rsidR="00DC261B" w:rsidRPr="007B60BF" w:rsidRDefault="00DC261B" w:rsidP="00DC261B">
      <w:pPr>
        <w:jc w:val="both"/>
      </w:pPr>
      <w:r w:rsidRPr="007B60BF">
        <w:t xml:space="preserve">A receita compreende o valor justo da contraprestação recebida ou a receber pela prestação dos serviços no curso normal das atividades da Instituição. </w:t>
      </w:r>
    </w:p>
    <w:p w14:paraId="3E02E263" w14:textId="77777777" w:rsidR="00DC261B" w:rsidRPr="00A77C10" w:rsidRDefault="00DC261B" w:rsidP="00DC261B">
      <w:pPr>
        <w:jc w:val="both"/>
        <w:rPr>
          <w:sz w:val="16"/>
          <w:szCs w:val="16"/>
        </w:rPr>
      </w:pPr>
    </w:p>
    <w:p w14:paraId="0FB3D532" w14:textId="77777777" w:rsidR="00F81DC0" w:rsidRPr="007B60BF" w:rsidRDefault="00DC261B" w:rsidP="0042479C">
      <w:pPr>
        <w:jc w:val="both"/>
      </w:pPr>
      <w:r w:rsidRPr="007B60BF">
        <w:t>A receita é apresentada líquida dos impostos, dos abatimentos, dos descontos, dos ajustes da</w:t>
      </w:r>
      <w:r w:rsidR="00116EBB" w:rsidRPr="007B60BF">
        <w:t xml:space="preserve"> receita referentes à dedução dos repasses </w:t>
      </w:r>
      <w:r w:rsidR="007A6887" w:rsidRPr="007B60BF">
        <w:t xml:space="preserve">financeiros </w:t>
      </w:r>
      <w:r w:rsidR="00116EBB" w:rsidRPr="007B60BF">
        <w:t>recebidos da União para investimento</w:t>
      </w:r>
      <w:r w:rsidRPr="007B60BF">
        <w:t xml:space="preserve"> e contabilizada independentemente de seu efetivo recebimento.</w:t>
      </w:r>
    </w:p>
    <w:p w14:paraId="0106A1DB" w14:textId="77777777" w:rsidR="0042479C" w:rsidRPr="00A77C10" w:rsidRDefault="0042479C" w:rsidP="0042479C">
      <w:pPr>
        <w:jc w:val="both"/>
        <w:rPr>
          <w:sz w:val="16"/>
          <w:szCs w:val="16"/>
        </w:rPr>
      </w:pPr>
    </w:p>
    <w:p w14:paraId="767BF4FE" w14:textId="77777777" w:rsidR="009657C6" w:rsidRPr="007B60BF" w:rsidRDefault="009657C6" w:rsidP="00086B22">
      <w:pPr>
        <w:pStyle w:val="Subttulo"/>
        <w:numPr>
          <w:ilvl w:val="1"/>
          <w:numId w:val="1"/>
        </w:numPr>
        <w:ind w:left="0" w:hanging="426"/>
        <w:rPr>
          <w:iCs/>
        </w:rPr>
      </w:pPr>
      <w:r w:rsidRPr="007B60BF">
        <w:rPr>
          <w:iCs/>
        </w:rPr>
        <w:t>Serviços Prestados</w:t>
      </w:r>
    </w:p>
    <w:p w14:paraId="0C72BB73" w14:textId="77777777" w:rsidR="009657C6" w:rsidRPr="00A77C10" w:rsidRDefault="009657C6" w:rsidP="009657C6">
      <w:pPr>
        <w:jc w:val="both"/>
        <w:rPr>
          <w:sz w:val="16"/>
          <w:szCs w:val="16"/>
        </w:rPr>
      </w:pPr>
    </w:p>
    <w:p w14:paraId="288DDD81" w14:textId="77777777" w:rsidR="009657C6" w:rsidRPr="007B60BF" w:rsidRDefault="009657C6" w:rsidP="009657C6">
      <w:pPr>
        <w:jc w:val="both"/>
      </w:pPr>
      <w:r w:rsidRPr="007B60BF">
        <w:t>Todos os serviços prestados pela Instituição, ao Sistema Único de Saúde (SUS), a convênios privados, particulares</w:t>
      </w:r>
      <w:r w:rsidR="00704446" w:rsidRPr="007B60BF">
        <w:t xml:space="preserve">, </w:t>
      </w:r>
      <w:r w:rsidRPr="007B60BF">
        <w:t>pesquisas</w:t>
      </w:r>
      <w:r w:rsidR="00704446" w:rsidRPr="007B60BF">
        <w:t xml:space="preserve"> e ensino</w:t>
      </w:r>
      <w:r w:rsidRPr="007B60BF">
        <w:t xml:space="preserve">, estão contabilizados </w:t>
      </w:r>
      <w:r w:rsidR="00723ADF" w:rsidRPr="007B60BF">
        <w:t>na</w:t>
      </w:r>
      <w:r w:rsidRPr="007B60BF">
        <w:t xml:space="preserve"> competência</w:t>
      </w:r>
      <w:r w:rsidR="00723ADF" w:rsidRPr="007B60BF">
        <w:t xml:space="preserve"> em que o fato gerador ocorreu e </w:t>
      </w:r>
      <w:r w:rsidRPr="007B60BF">
        <w:t>pelo seu valor bruto.</w:t>
      </w:r>
    </w:p>
    <w:p w14:paraId="65777694" w14:textId="77777777" w:rsidR="00F81DC0" w:rsidRPr="00A77C10" w:rsidRDefault="00F81DC0" w:rsidP="009657C6">
      <w:pPr>
        <w:jc w:val="both"/>
        <w:rPr>
          <w:sz w:val="16"/>
          <w:szCs w:val="16"/>
        </w:rPr>
      </w:pPr>
    </w:p>
    <w:p w14:paraId="330CE801" w14:textId="77777777" w:rsidR="009657C6" w:rsidRPr="007B60BF" w:rsidRDefault="009657C6" w:rsidP="00086B22">
      <w:pPr>
        <w:pStyle w:val="Subttulo"/>
        <w:numPr>
          <w:ilvl w:val="1"/>
          <w:numId w:val="1"/>
        </w:numPr>
        <w:ind w:left="0" w:hanging="426"/>
        <w:rPr>
          <w:iCs/>
        </w:rPr>
      </w:pPr>
      <w:r w:rsidRPr="007B60BF">
        <w:rPr>
          <w:iCs/>
        </w:rPr>
        <w:t xml:space="preserve">Repasses </w:t>
      </w:r>
      <w:r w:rsidR="007A6887" w:rsidRPr="007B60BF">
        <w:rPr>
          <w:iCs/>
        </w:rPr>
        <w:t xml:space="preserve">Financeiros </w:t>
      </w:r>
      <w:r w:rsidRPr="007B60BF">
        <w:rPr>
          <w:iCs/>
        </w:rPr>
        <w:t>Recebidos</w:t>
      </w:r>
    </w:p>
    <w:p w14:paraId="112D38D8" w14:textId="77777777" w:rsidR="009657C6" w:rsidRPr="00A77C10" w:rsidRDefault="009657C6" w:rsidP="009657C6">
      <w:pPr>
        <w:jc w:val="both"/>
        <w:rPr>
          <w:sz w:val="16"/>
          <w:szCs w:val="16"/>
        </w:rPr>
      </w:pPr>
    </w:p>
    <w:p w14:paraId="0EEA7F14" w14:textId="21F13FA0" w:rsidR="009657C6" w:rsidRPr="007B60BF" w:rsidRDefault="009657C6" w:rsidP="009657C6">
      <w:pPr>
        <w:jc w:val="both"/>
      </w:pPr>
      <w:r w:rsidRPr="007B60BF">
        <w:t>Esta rubrica representa os valores descentralizados pelo MEC para cobrir despesas com folha de pagamento de pessoal, encargos sociai</w:t>
      </w:r>
      <w:r w:rsidR="00830634" w:rsidRPr="007B60BF">
        <w:t>s, benefícios</w:t>
      </w:r>
      <w:r w:rsidR="0015019A" w:rsidRPr="007B60BF">
        <w:t xml:space="preserve">, </w:t>
      </w:r>
      <w:r w:rsidR="00830634" w:rsidRPr="007B60BF">
        <w:t>i</w:t>
      </w:r>
      <w:r w:rsidR="0015019A" w:rsidRPr="007B60BF">
        <w:t>nvestimentos (Adiantamento para Futuro Aumento de Capital)</w:t>
      </w:r>
      <w:r w:rsidR="00830634" w:rsidRPr="007B60BF">
        <w:t>,</w:t>
      </w:r>
      <w:r w:rsidR="00C9158E" w:rsidRPr="007B60BF">
        <w:t xml:space="preserve"> </w:t>
      </w:r>
      <w:r w:rsidRPr="007B60BF">
        <w:t>e</w:t>
      </w:r>
      <w:r w:rsidR="00293137" w:rsidRPr="007B60BF">
        <w:t>ntre</w:t>
      </w:r>
      <w:r w:rsidRPr="007B60BF">
        <w:t xml:space="preserve"> outras despesas.</w:t>
      </w:r>
      <w:r w:rsidR="00293137" w:rsidRPr="007B60BF">
        <w:t xml:space="preserve"> Inclui, também,</w:t>
      </w:r>
      <w:r w:rsidRPr="007B60BF">
        <w:t xml:space="preserve"> as descentralizações de recursos repassados pelo MEC e por outros órgãos através de convênios para cobri</w:t>
      </w:r>
      <w:r w:rsidR="00293137" w:rsidRPr="007B60BF">
        <w:t>r despesas de capital e custeio e as</w:t>
      </w:r>
      <w:r w:rsidRPr="007B60BF">
        <w:t xml:space="preserve"> transferências de recursos por empresas privadas, para realização de projetos específicos.</w:t>
      </w:r>
    </w:p>
    <w:p w14:paraId="5519D61D" w14:textId="77777777" w:rsidR="00ED5B2D" w:rsidRPr="00A77C10" w:rsidRDefault="00ED5B2D">
      <w:pPr>
        <w:rPr>
          <w:sz w:val="16"/>
          <w:szCs w:val="16"/>
        </w:rPr>
      </w:pPr>
    </w:p>
    <w:p w14:paraId="5B380B0C" w14:textId="77777777" w:rsidR="009657C6" w:rsidRPr="007B60BF" w:rsidRDefault="009657C6" w:rsidP="00086B22">
      <w:pPr>
        <w:pStyle w:val="Subttulo"/>
        <w:numPr>
          <w:ilvl w:val="1"/>
          <w:numId w:val="1"/>
        </w:numPr>
        <w:ind w:left="0" w:hanging="426"/>
        <w:rPr>
          <w:iCs/>
        </w:rPr>
      </w:pPr>
      <w:r w:rsidRPr="007B60BF">
        <w:rPr>
          <w:iCs/>
        </w:rPr>
        <w:t>Receitas Financeiras</w:t>
      </w:r>
    </w:p>
    <w:p w14:paraId="100CB683" w14:textId="77777777" w:rsidR="009657C6" w:rsidRPr="00A77C10" w:rsidRDefault="009657C6" w:rsidP="009657C6">
      <w:pPr>
        <w:jc w:val="both"/>
        <w:rPr>
          <w:sz w:val="16"/>
          <w:szCs w:val="16"/>
        </w:rPr>
      </w:pPr>
    </w:p>
    <w:p w14:paraId="52C26953" w14:textId="77777777" w:rsidR="009657C6" w:rsidRPr="007B60BF" w:rsidRDefault="009657C6" w:rsidP="009657C6">
      <w:pPr>
        <w:jc w:val="both"/>
      </w:pPr>
      <w:r w:rsidRPr="007B60BF">
        <w:t xml:space="preserve">A receita financeira é reconhecida conforme o prazo decorrido pelo regime de competência, usando o método da taxa efetiva de juros. </w:t>
      </w:r>
    </w:p>
    <w:p w14:paraId="074F75AA" w14:textId="77777777" w:rsidR="009657C6" w:rsidRPr="00A77C10" w:rsidRDefault="009657C6" w:rsidP="009657C6">
      <w:pPr>
        <w:jc w:val="both"/>
        <w:rPr>
          <w:sz w:val="16"/>
          <w:szCs w:val="16"/>
        </w:rPr>
      </w:pPr>
    </w:p>
    <w:p w14:paraId="0E61AC70" w14:textId="50EDEF1F" w:rsidR="009657C6" w:rsidRPr="007B60BF" w:rsidRDefault="009657C6" w:rsidP="009657C6">
      <w:pPr>
        <w:jc w:val="both"/>
      </w:pPr>
      <w:r w:rsidRPr="007B60BF">
        <w:t>Quando uma perda (</w:t>
      </w:r>
      <w:r w:rsidRPr="007B60BF">
        <w:rPr>
          <w:i/>
        </w:rPr>
        <w:t>impairment</w:t>
      </w:r>
      <w:r w:rsidRPr="007B60BF">
        <w:t>) é identificada em relação às</w:t>
      </w:r>
      <w:r w:rsidR="00665701" w:rsidRPr="007B60BF">
        <w:t xml:space="preserve"> </w:t>
      </w:r>
      <w:r w:rsidR="00867B4D" w:rsidRPr="007B60BF">
        <w:t xml:space="preserve">contas a receber, a </w:t>
      </w:r>
      <w:r w:rsidR="0055760E" w:rsidRPr="007B60BF">
        <w:t>I</w:t>
      </w:r>
      <w:r w:rsidRPr="007B60BF">
        <w:t>nstituição reduz</w:t>
      </w:r>
      <w:r w:rsidR="00D33697" w:rsidRPr="007B60BF">
        <w:t xml:space="preserve"> </w:t>
      </w:r>
      <w:r w:rsidRPr="007B60BF">
        <w:t>o valor contábil para seu valor recuperável, que corresponde ao fluxo de caixa futuro estimado, descontado à taxa efetiva de juros original do instrumento.</w:t>
      </w:r>
    </w:p>
    <w:p w14:paraId="4C2C7E55" w14:textId="77777777" w:rsidR="00010ADE" w:rsidRPr="00A77C10" w:rsidRDefault="00010ADE" w:rsidP="009657C6">
      <w:pPr>
        <w:jc w:val="both"/>
        <w:rPr>
          <w:sz w:val="16"/>
          <w:szCs w:val="16"/>
        </w:rPr>
      </w:pPr>
    </w:p>
    <w:p w14:paraId="1252B89C" w14:textId="2F97B8CF" w:rsidR="009657C6" w:rsidRPr="007B60BF" w:rsidRDefault="009657C6" w:rsidP="00086B22">
      <w:pPr>
        <w:pStyle w:val="Subttulo"/>
        <w:numPr>
          <w:ilvl w:val="1"/>
          <w:numId w:val="1"/>
        </w:numPr>
        <w:ind w:left="0" w:hanging="426"/>
        <w:rPr>
          <w:iCs/>
        </w:rPr>
      </w:pPr>
      <w:r w:rsidRPr="007B60BF">
        <w:rPr>
          <w:iCs/>
        </w:rPr>
        <w:t>Custos dos Serviços e Despesas Administrativas</w:t>
      </w:r>
    </w:p>
    <w:p w14:paraId="0A80FDE9" w14:textId="77777777" w:rsidR="009657C6" w:rsidRPr="00A77C10" w:rsidRDefault="009657C6" w:rsidP="009657C6">
      <w:pPr>
        <w:jc w:val="both"/>
        <w:rPr>
          <w:sz w:val="16"/>
          <w:szCs w:val="16"/>
        </w:rPr>
      </w:pPr>
    </w:p>
    <w:p w14:paraId="119980D4" w14:textId="0244E280" w:rsidR="00500EEB" w:rsidRPr="007B60BF" w:rsidRDefault="009657C6" w:rsidP="00F106B7">
      <w:pPr>
        <w:jc w:val="both"/>
      </w:pPr>
      <w:r w:rsidRPr="007B60BF">
        <w:t>Os custos dos serviços e despesas administrativas f</w:t>
      </w:r>
      <w:r w:rsidR="00500EEB" w:rsidRPr="007B60BF">
        <w:t>oram apropriados de acordo com sistema de apuração de custos contábeis</w:t>
      </w:r>
      <w:r w:rsidR="00017F1D" w:rsidRPr="007B60BF">
        <w:t>,</w:t>
      </w:r>
      <w:r w:rsidR="00F106B7" w:rsidRPr="007B60BF">
        <w:t xml:space="preserve"> que considera a an</w:t>
      </w:r>
      <w:r w:rsidR="00017F1D" w:rsidRPr="007B60BF">
        <w:t>á</w:t>
      </w:r>
      <w:r w:rsidR="00F51296" w:rsidRPr="007B60BF">
        <w:t xml:space="preserve">lise </w:t>
      </w:r>
      <w:r w:rsidR="00F106B7" w:rsidRPr="007B60BF">
        <w:t>por grupos de centros de c</w:t>
      </w:r>
      <w:r w:rsidR="00500EEB" w:rsidRPr="007B60BF">
        <w:t>ustos agrupados por áreas afins</w:t>
      </w:r>
      <w:r w:rsidR="00F106B7" w:rsidRPr="007B60BF">
        <w:t xml:space="preserve">. </w:t>
      </w:r>
    </w:p>
    <w:p w14:paraId="48F00CCC" w14:textId="77777777" w:rsidR="00500EEB" w:rsidRPr="00A77C10" w:rsidRDefault="00500EEB" w:rsidP="00F106B7">
      <w:pPr>
        <w:jc w:val="both"/>
        <w:rPr>
          <w:sz w:val="16"/>
          <w:szCs w:val="16"/>
        </w:rPr>
      </w:pPr>
    </w:p>
    <w:p w14:paraId="3C27C866" w14:textId="4E406166" w:rsidR="00F106B7" w:rsidRPr="007B60BF" w:rsidRDefault="00F106B7" w:rsidP="00F106B7">
      <w:pPr>
        <w:jc w:val="both"/>
      </w:pPr>
      <w:r w:rsidRPr="007B60BF">
        <w:t>Os valores dos custos diretos</w:t>
      </w:r>
      <w:r w:rsidR="00084779" w:rsidRPr="007B60BF">
        <w:t xml:space="preserve"> e indiretos</w:t>
      </w:r>
      <w:r w:rsidRPr="007B60BF">
        <w:t xml:space="preserve"> são distribuídos em: pessoal, material, depreciação</w:t>
      </w:r>
      <w:r w:rsidR="00191456" w:rsidRPr="007B60BF">
        <w:t xml:space="preserve"> e amortização</w:t>
      </w:r>
      <w:r w:rsidRPr="007B60BF">
        <w:t>, serviços, água, energia e telefone. Não são considerados os grupos de centro de custos referente</w:t>
      </w:r>
      <w:r w:rsidR="00017F1D" w:rsidRPr="007B60BF">
        <w:t>s</w:t>
      </w:r>
      <w:r w:rsidRPr="007B60BF">
        <w:t xml:space="preserve"> </w:t>
      </w:r>
      <w:r w:rsidR="00017F1D" w:rsidRPr="007B60BF">
        <w:t>a</w:t>
      </w:r>
      <w:r w:rsidRPr="007B60BF">
        <w:t>os complementos patrimoniais, custos não operacionais e obras em andamento.</w:t>
      </w:r>
    </w:p>
    <w:p w14:paraId="5D3FC62C" w14:textId="77777777" w:rsidR="003F102B" w:rsidRPr="00A77C10" w:rsidRDefault="003F102B" w:rsidP="00F32D11">
      <w:pPr>
        <w:jc w:val="both"/>
        <w:rPr>
          <w:sz w:val="16"/>
          <w:szCs w:val="16"/>
        </w:rPr>
      </w:pPr>
    </w:p>
    <w:p w14:paraId="72A26D02" w14:textId="121F8CA0" w:rsidR="00595A08" w:rsidRPr="007B60BF" w:rsidRDefault="0081701D" w:rsidP="00F32D11">
      <w:pPr>
        <w:jc w:val="both"/>
      </w:pPr>
      <w:r w:rsidRPr="007B60BF">
        <w:t xml:space="preserve">Na determinação do resultado </w:t>
      </w:r>
      <w:r w:rsidR="009657C6" w:rsidRPr="007B60BF">
        <w:t>foram computados os custos e as despesas pagos ou incorridos correspondente</w:t>
      </w:r>
      <w:r w:rsidR="006C603A" w:rsidRPr="007B60BF">
        <w:t>s</w:t>
      </w:r>
      <w:r w:rsidR="009657C6" w:rsidRPr="007B60BF">
        <w:t xml:space="preserve"> às receitas de serviços reconhecidas no exercício</w:t>
      </w:r>
      <w:r w:rsidR="00181455" w:rsidRPr="007B60BF">
        <w:t>.</w:t>
      </w:r>
    </w:p>
    <w:p w14:paraId="393A2AD1" w14:textId="77777777" w:rsidR="00074139" w:rsidRDefault="00074139">
      <w:pPr>
        <w:rPr>
          <w:sz w:val="16"/>
          <w:szCs w:val="16"/>
        </w:rPr>
      </w:pPr>
      <w:r>
        <w:rPr>
          <w:b/>
          <w:sz w:val="16"/>
          <w:szCs w:val="16"/>
        </w:rPr>
        <w:br w:type="page"/>
      </w:r>
    </w:p>
    <w:p w14:paraId="59706F83" w14:textId="05D78C9E" w:rsidR="007D6754" w:rsidRPr="007B60BF" w:rsidRDefault="007D6754" w:rsidP="00086B22">
      <w:pPr>
        <w:pStyle w:val="Subttulo"/>
        <w:numPr>
          <w:ilvl w:val="1"/>
          <w:numId w:val="1"/>
        </w:numPr>
        <w:ind w:left="0" w:hanging="426"/>
        <w:rPr>
          <w:iCs/>
        </w:rPr>
      </w:pPr>
      <w:r w:rsidRPr="007B60BF">
        <w:rPr>
          <w:iCs/>
        </w:rPr>
        <w:lastRenderedPageBreak/>
        <w:t>Arrendamentos</w:t>
      </w:r>
    </w:p>
    <w:p w14:paraId="1C727C05" w14:textId="15495A34" w:rsidR="007D6754" w:rsidRPr="00A77C10" w:rsidRDefault="007D6754" w:rsidP="00F32D11">
      <w:pPr>
        <w:jc w:val="both"/>
        <w:rPr>
          <w:sz w:val="16"/>
          <w:szCs w:val="16"/>
        </w:rPr>
      </w:pPr>
    </w:p>
    <w:p w14:paraId="46D7428B" w14:textId="7616A56F" w:rsidR="007D6754" w:rsidRPr="007B60BF" w:rsidRDefault="007D6754" w:rsidP="007D6754">
      <w:pPr>
        <w:pStyle w:val="Textodecomentrio"/>
        <w:jc w:val="both"/>
      </w:pPr>
      <w:r w:rsidRPr="007B60BF">
        <w:t>Com relação à NBC TG 06, a qual estabelece princípios para o reconhecimento, mensuração, apresentação e divulgação de arrendamentos, concluiu-se que todas as características que implicariam um arrendamento operacional representam obrigação dos fornecedores nos contratos</w:t>
      </w:r>
      <w:r w:rsidR="00D95F5F" w:rsidRPr="007B60BF">
        <w:t xml:space="preserve"> formalizados com a Instituição. Assim, o</w:t>
      </w:r>
      <w:r w:rsidR="008166AE" w:rsidRPr="007B60BF">
        <w:t xml:space="preserve">s instrumentos de locação de móveis e equipamentos médicos vigentes são </w:t>
      </w:r>
      <w:r w:rsidRPr="007B60BF">
        <w:t>reconheci</w:t>
      </w:r>
      <w:r w:rsidR="008166AE" w:rsidRPr="007B60BF">
        <w:t>dos</w:t>
      </w:r>
      <w:r w:rsidRPr="007B60BF">
        <w:t xml:space="preserve"> fora d</w:t>
      </w:r>
      <w:r w:rsidR="008166AE" w:rsidRPr="007B60BF">
        <w:t>a classificação de arrendamentos</w:t>
      </w:r>
      <w:r w:rsidRPr="007B60BF">
        <w:t xml:space="preserve">. </w:t>
      </w:r>
    </w:p>
    <w:p w14:paraId="2234B93E" w14:textId="77777777" w:rsidR="00E34300" w:rsidRPr="00A77C10" w:rsidRDefault="00E34300" w:rsidP="00F32D11">
      <w:pPr>
        <w:jc w:val="both"/>
        <w:rPr>
          <w:sz w:val="16"/>
          <w:szCs w:val="16"/>
        </w:rPr>
      </w:pPr>
    </w:p>
    <w:p w14:paraId="25E65D73" w14:textId="6282F683" w:rsidR="009657C6" w:rsidRPr="007B60BF" w:rsidRDefault="009657C6" w:rsidP="00086B22">
      <w:pPr>
        <w:pStyle w:val="Subttulo"/>
        <w:numPr>
          <w:ilvl w:val="1"/>
          <w:numId w:val="1"/>
        </w:numPr>
        <w:ind w:left="0" w:hanging="426"/>
        <w:rPr>
          <w:iCs/>
        </w:rPr>
      </w:pPr>
      <w:r w:rsidRPr="007B60BF">
        <w:rPr>
          <w:iCs/>
        </w:rPr>
        <w:t>Publicação da Concessão de Suprimento de Fundos</w:t>
      </w:r>
    </w:p>
    <w:p w14:paraId="119BD627" w14:textId="77777777" w:rsidR="009657C6" w:rsidRPr="00A77C10" w:rsidRDefault="009657C6" w:rsidP="009657C6">
      <w:pPr>
        <w:jc w:val="both"/>
        <w:rPr>
          <w:sz w:val="16"/>
          <w:szCs w:val="16"/>
        </w:rPr>
      </w:pPr>
    </w:p>
    <w:p w14:paraId="2F561182" w14:textId="24C4B62D" w:rsidR="007D6754" w:rsidRDefault="009657C6" w:rsidP="007D6754">
      <w:pPr>
        <w:jc w:val="both"/>
      </w:pPr>
      <w:r w:rsidRPr="007B60BF">
        <w:t xml:space="preserve">Atendendo </w:t>
      </w:r>
      <w:r w:rsidR="00C71E0A" w:rsidRPr="007B60BF">
        <w:t>a</w:t>
      </w:r>
      <w:r w:rsidRPr="007B60BF">
        <w:t xml:space="preserve">o Princípio da Publicidade previsto no art. 37 da Constituição Federal, o ato de concessão de suprimento de fundos é divulgado </w:t>
      </w:r>
      <w:r w:rsidR="0083239C" w:rsidRPr="007B60BF">
        <w:t xml:space="preserve">em meio eletrônico no </w:t>
      </w:r>
      <w:r w:rsidR="00C71E0A" w:rsidRPr="007B60BF">
        <w:t xml:space="preserve">endereço </w:t>
      </w:r>
      <w:hyperlink r:id="rId15" w:history="1">
        <w:r w:rsidRPr="007B60BF">
          <w:t>www.hcpa.edu.br</w:t>
        </w:r>
      </w:hyperlink>
      <w:r w:rsidR="00C71E0A" w:rsidRPr="007B60BF">
        <w:t xml:space="preserve"> e intranet.</w:t>
      </w:r>
    </w:p>
    <w:p w14:paraId="298DA9C0" w14:textId="712795B3" w:rsidR="00074139" w:rsidRDefault="00074139" w:rsidP="007D6754">
      <w:pPr>
        <w:jc w:val="both"/>
      </w:pPr>
    </w:p>
    <w:p w14:paraId="16A6E4DF" w14:textId="77777777" w:rsidR="00074139" w:rsidRPr="007B60BF" w:rsidRDefault="00074139" w:rsidP="007D6754">
      <w:pPr>
        <w:jc w:val="both"/>
      </w:pPr>
    </w:p>
    <w:p w14:paraId="3CE78EFE" w14:textId="5F715CB5" w:rsidR="009657C6" w:rsidRPr="007B60BF" w:rsidRDefault="00E65AC5" w:rsidP="00086B22">
      <w:pPr>
        <w:pStyle w:val="Ttulo1"/>
        <w:numPr>
          <w:ilvl w:val="0"/>
          <w:numId w:val="5"/>
        </w:numPr>
        <w:ind w:left="0" w:hanging="567"/>
        <w:jc w:val="left"/>
      </w:pPr>
      <w:bookmarkStart w:id="20" w:name="_Toc223007852"/>
      <w:r w:rsidRPr="007B60BF">
        <w:t xml:space="preserve">Estimativas e Julgamentos Contábeis </w:t>
      </w:r>
      <w:r w:rsidR="00A97DA4" w:rsidRPr="007B60BF">
        <w:t>Relevante</w:t>
      </w:r>
      <w:r w:rsidRPr="007B60BF">
        <w:t>s</w:t>
      </w:r>
      <w:bookmarkEnd w:id="20"/>
    </w:p>
    <w:p w14:paraId="1A658CDA" w14:textId="77777777" w:rsidR="009657C6" w:rsidRPr="007B60BF" w:rsidRDefault="009657C6" w:rsidP="009657C6">
      <w:pPr>
        <w:jc w:val="both"/>
      </w:pPr>
    </w:p>
    <w:p w14:paraId="4AD3A6A3" w14:textId="554FF3B7" w:rsidR="009657C6" w:rsidRPr="007B60BF" w:rsidRDefault="009657C6" w:rsidP="009657C6">
      <w:pPr>
        <w:jc w:val="both"/>
      </w:pPr>
      <w:r w:rsidRPr="007B60BF">
        <w:t xml:space="preserve">As </w:t>
      </w:r>
      <w:r w:rsidR="00595A08" w:rsidRPr="007B60BF">
        <w:t>e</w:t>
      </w:r>
      <w:r w:rsidRPr="007B60BF">
        <w:t xml:space="preserve">stimativas e os </w:t>
      </w:r>
      <w:r w:rsidR="00595A08" w:rsidRPr="007B60BF">
        <w:t>j</w:t>
      </w:r>
      <w:r w:rsidRPr="007B60BF">
        <w:t xml:space="preserve">ulgamentos </w:t>
      </w:r>
      <w:r w:rsidR="00595A08" w:rsidRPr="007B60BF">
        <w:t>c</w:t>
      </w:r>
      <w:r w:rsidRPr="007B60BF">
        <w:t>ontábeis são continuamente avaliados baseando-se na experiência histórica e em outros</w:t>
      </w:r>
      <w:r w:rsidR="00CB0153" w:rsidRPr="007B60BF">
        <w:t xml:space="preserve"> fatores, incluindo expectativa</w:t>
      </w:r>
      <w:r w:rsidRPr="007B60BF">
        <w:t xml:space="preserve"> de eventos futuros, políticas governamentais, orientações dos Órgãos Setoriais de Controle do M</w:t>
      </w:r>
      <w:r w:rsidR="008B663F" w:rsidRPr="007B60BF">
        <w:t>inistério da Educação (MEC)</w:t>
      </w:r>
      <w:r w:rsidRPr="007B60BF">
        <w:t xml:space="preserve"> e da </w:t>
      </w:r>
      <w:r w:rsidR="008B663F" w:rsidRPr="007B60BF">
        <w:t>Secretaria do Tesouro Nacional (</w:t>
      </w:r>
      <w:r w:rsidRPr="007B60BF">
        <w:t>STN</w:t>
      </w:r>
      <w:r w:rsidR="008B663F" w:rsidRPr="007B60BF">
        <w:t>)</w:t>
      </w:r>
      <w:r w:rsidR="00EC44BE" w:rsidRPr="007B60BF">
        <w:t>,</w:t>
      </w:r>
      <w:r w:rsidR="008B663F" w:rsidRPr="007B60BF">
        <w:t xml:space="preserve"> assim como d</w:t>
      </w:r>
      <w:r w:rsidR="00EC44BE" w:rsidRPr="007B60BF">
        <w:t>a</w:t>
      </w:r>
      <w:r w:rsidR="00497EE9" w:rsidRPr="007B60BF">
        <w:t xml:space="preserve"> </w:t>
      </w:r>
      <w:r w:rsidR="008B663F" w:rsidRPr="007B60BF">
        <w:t>Controladoria</w:t>
      </w:r>
      <w:r w:rsidR="00497EE9" w:rsidRPr="007B60BF">
        <w:t>-</w:t>
      </w:r>
      <w:r w:rsidR="008B663F" w:rsidRPr="007B60BF">
        <w:t>Geral da União (</w:t>
      </w:r>
      <w:r w:rsidRPr="007B60BF">
        <w:t>CGU</w:t>
      </w:r>
      <w:r w:rsidR="008B663F" w:rsidRPr="007B60BF">
        <w:t>)</w:t>
      </w:r>
      <w:r w:rsidR="00CB0153" w:rsidRPr="007B60BF">
        <w:t>,</w:t>
      </w:r>
      <w:r w:rsidRPr="007B60BF">
        <w:t xml:space="preserve"> </w:t>
      </w:r>
      <w:r w:rsidR="008B663F" w:rsidRPr="007B60BF">
        <w:t>do Tribunal de Contas da União (</w:t>
      </w:r>
      <w:r w:rsidRPr="007B60BF">
        <w:t>TCU</w:t>
      </w:r>
      <w:r w:rsidR="008B663F" w:rsidRPr="007B60BF">
        <w:t>)</w:t>
      </w:r>
      <w:r w:rsidR="00BB0E67" w:rsidRPr="007B60BF">
        <w:t>,</w:t>
      </w:r>
      <w:r w:rsidRPr="007B60BF">
        <w:t xml:space="preserve"> e demais fatores considerados razoáveis para as circunstâncias. Com base em diversas premissas, a Instituição faz estimativas c</w:t>
      </w:r>
      <w:r w:rsidR="00977701" w:rsidRPr="007B60BF">
        <w:t>om relação ao futuro, resultante</w:t>
      </w:r>
      <w:r w:rsidRPr="007B60BF">
        <w:t xml:space="preserve"> de um orçamento econômico, continuamente acompanhado pela Coordenadoria </w:t>
      </w:r>
      <w:r w:rsidR="00E87205" w:rsidRPr="007B60BF">
        <w:t xml:space="preserve">de Gestão </w:t>
      </w:r>
      <w:r w:rsidR="000D13A3" w:rsidRPr="007B60BF">
        <w:t>Financeira</w:t>
      </w:r>
      <w:r w:rsidR="00EC44BE" w:rsidRPr="007B60BF">
        <w:t xml:space="preserve"> </w:t>
      </w:r>
      <w:r w:rsidR="00527F6F" w:rsidRPr="007B60BF">
        <w:t xml:space="preserve">e pela </w:t>
      </w:r>
      <w:r w:rsidR="007B2064" w:rsidRPr="007B60BF">
        <w:t>Diretoria Executiva</w:t>
      </w:r>
      <w:r w:rsidR="00527F6F" w:rsidRPr="007B60BF">
        <w:t xml:space="preserve"> do HCPA</w:t>
      </w:r>
      <w:r w:rsidRPr="007B60BF">
        <w:t xml:space="preserve">. As </w:t>
      </w:r>
      <w:r w:rsidR="00823C0E" w:rsidRPr="007B60BF">
        <w:t>d</w:t>
      </w:r>
      <w:r w:rsidRPr="007B60BF">
        <w:t xml:space="preserve">emonstrações </w:t>
      </w:r>
      <w:r w:rsidR="00823C0E" w:rsidRPr="007B60BF">
        <w:t>c</w:t>
      </w:r>
      <w:r w:rsidR="0058514F" w:rsidRPr="007B60BF">
        <w:t>ontábeis</w:t>
      </w:r>
      <w:r w:rsidRPr="007B60BF">
        <w:t xml:space="preserve"> incluem, portanto, várias estimativas, </w:t>
      </w:r>
      <w:r w:rsidR="00AB7073" w:rsidRPr="007B60BF">
        <w:t>dentre elas</w:t>
      </w:r>
      <w:r w:rsidRPr="007B60BF">
        <w:t>: seleção de vida útil dos bens do imobilizado, provisões para créditos de liquidação duvidosa, provisões para contingências tributárias, cíveis e trabalhistas, redução do valor recuperável de ativos</w:t>
      </w:r>
      <w:r w:rsidR="00AB7073" w:rsidRPr="007B60BF">
        <w:t>, entre outras</w:t>
      </w:r>
      <w:r w:rsidRPr="007B60BF">
        <w:t>.</w:t>
      </w:r>
    </w:p>
    <w:p w14:paraId="77458872" w14:textId="77777777" w:rsidR="00D82A27" w:rsidRPr="007B60BF" w:rsidRDefault="00D82A27" w:rsidP="009657C6">
      <w:pPr>
        <w:jc w:val="both"/>
      </w:pPr>
    </w:p>
    <w:p w14:paraId="34AC961B" w14:textId="77777777" w:rsidR="00FF3CFF" w:rsidRPr="007B60BF" w:rsidRDefault="00FF3CFF" w:rsidP="009657C6">
      <w:pPr>
        <w:jc w:val="both"/>
      </w:pPr>
    </w:p>
    <w:p w14:paraId="1EACB556" w14:textId="77777777" w:rsidR="009657C6" w:rsidRPr="007B60BF" w:rsidRDefault="001A2A78" w:rsidP="00086B22">
      <w:pPr>
        <w:pStyle w:val="Ttulo1"/>
        <w:numPr>
          <w:ilvl w:val="0"/>
          <w:numId w:val="5"/>
        </w:numPr>
        <w:ind w:left="0" w:hanging="567"/>
        <w:jc w:val="left"/>
      </w:pPr>
      <w:bookmarkStart w:id="21" w:name="_Toc223007853"/>
      <w:r w:rsidRPr="007B60BF">
        <w:t>G</w:t>
      </w:r>
      <w:r w:rsidR="00E65AC5" w:rsidRPr="007B60BF">
        <w:t>estão de Risco Financeiro</w:t>
      </w:r>
      <w:bookmarkEnd w:id="21"/>
    </w:p>
    <w:p w14:paraId="62B577B6" w14:textId="77777777" w:rsidR="0000204B" w:rsidRPr="007B60BF" w:rsidRDefault="0000204B" w:rsidP="009657C6">
      <w:pPr>
        <w:jc w:val="both"/>
      </w:pPr>
    </w:p>
    <w:p w14:paraId="66BE684B" w14:textId="77777777" w:rsidR="009657C6" w:rsidRPr="007B60BF" w:rsidRDefault="009657C6" w:rsidP="00086B22">
      <w:pPr>
        <w:pStyle w:val="Subttulo"/>
        <w:numPr>
          <w:ilvl w:val="0"/>
          <w:numId w:val="2"/>
        </w:numPr>
        <w:ind w:left="0" w:hanging="426"/>
        <w:rPr>
          <w:iCs/>
        </w:rPr>
      </w:pPr>
      <w:r w:rsidRPr="007B60BF">
        <w:rPr>
          <w:iCs/>
        </w:rPr>
        <w:t>Risco de Liquidez</w:t>
      </w:r>
    </w:p>
    <w:p w14:paraId="31B3E3A8" w14:textId="77777777" w:rsidR="009657C6" w:rsidRPr="007B60BF" w:rsidRDefault="009657C6" w:rsidP="009657C6">
      <w:pPr>
        <w:jc w:val="both"/>
      </w:pPr>
    </w:p>
    <w:p w14:paraId="5D3178C6" w14:textId="54DB4440" w:rsidR="006338C6" w:rsidRPr="007B60BF" w:rsidRDefault="009657C6" w:rsidP="009657C6">
      <w:pPr>
        <w:jc w:val="both"/>
      </w:pPr>
      <w:r w:rsidRPr="007B60BF">
        <w:t>O risco da Instituição</w:t>
      </w:r>
      <w:r w:rsidR="00084779" w:rsidRPr="007B60BF">
        <w:t xml:space="preserve"> de</w:t>
      </w:r>
      <w:r w:rsidRPr="007B60BF">
        <w:t xml:space="preserve"> não dispor de recursos suficientes para honrar seus compromissos financeiros é administrado </w:t>
      </w:r>
      <w:r w:rsidR="00E34300" w:rsidRPr="007B60BF">
        <w:t>com o</w:t>
      </w:r>
      <w:r w:rsidRPr="007B60BF">
        <w:t xml:space="preserve"> monitoramento das previsões de um fluxo orçamentário</w:t>
      </w:r>
      <w:r w:rsidR="003617F5" w:rsidRPr="007B60BF">
        <w:t xml:space="preserve">/financeiro </w:t>
      </w:r>
      <w:r w:rsidRPr="007B60BF">
        <w:t xml:space="preserve">realizado pela Coordenadoria </w:t>
      </w:r>
      <w:r w:rsidR="00AD068B" w:rsidRPr="007B60BF">
        <w:t xml:space="preserve">de Gestão </w:t>
      </w:r>
      <w:r w:rsidRPr="007B60BF">
        <w:t xml:space="preserve">Financeira. A </w:t>
      </w:r>
      <w:r w:rsidR="00A97DA4" w:rsidRPr="007B60BF">
        <w:t>esta Coordenadoria</w:t>
      </w:r>
      <w:r w:rsidRPr="007B60BF">
        <w:t xml:space="preserve"> compete assegurar que haja caixa suficiente para atender as n</w:t>
      </w:r>
      <w:r w:rsidR="00AB7073" w:rsidRPr="007B60BF">
        <w:t xml:space="preserve">ecessidades operacionais, </w:t>
      </w:r>
      <w:r w:rsidRPr="007B60BF">
        <w:t xml:space="preserve">obedecendo às leis vigentes e assegurando que haja empenho prévio para os compromissos assumidos dentro dos recursos orçamentários previstos. A realização de despesas com recursos diretamente arrecadados </w:t>
      </w:r>
      <w:r w:rsidR="00AD068B" w:rsidRPr="007B60BF">
        <w:t>é</w:t>
      </w:r>
      <w:r w:rsidRPr="007B60BF">
        <w:t xml:space="preserve"> efetivada após o recebimento dos mesmos.</w:t>
      </w:r>
    </w:p>
    <w:p w14:paraId="4DF32E7A" w14:textId="77777777" w:rsidR="00407FFA" w:rsidRPr="007B60BF" w:rsidRDefault="00407FFA" w:rsidP="009657C6">
      <w:pPr>
        <w:jc w:val="both"/>
      </w:pPr>
    </w:p>
    <w:p w14:paraId="054AE367" w14:textId="77777777" w:rsidR="009657C6" w:rsidRPr="007B60BF" w:rsidRDefault="009657C6" w:rsidP="00086B22">
      <w:pPr>
        <w:pStyle w:val="Subttulo"/>
        <w:numPr>
          <w:ilvl w:val="0"/>
          <w:numId w:val="2"/>
        </w:numPr>
        <w:ind w:left="0" w:hanging="426"/>
        <w:rPr>
          <w:iCs/>
        </w:rPr>
      </w:pPr>
      <w:r w:rsidRPr="007B60BF">
        <w:rPr>
          <w:iCs/>
        </w:rPr>
        <w:t>Risco de Crédito</w:t>
      </w:r>
    </w:p>
    <w:p w14:paraId="25029B2B" w14:textId="77777777" w:rsidR="009657C6" w:rsidRPr="007B60BF" w:rsidRDefault="009657C6" w:rsidP="009657C6">
      <w:pPr>
        <w:jc w:val="both"/>
      </w:pPr>
    </w:p>
    <w:p w14:paraId="634578AB" w14:textId="5D2AD0F2" w:rsidR="009657C6" w:rsidRPr="007B60BF" w:rsidRDefault="0055760E" w:rsidP="009657C6">
      <w:pPr>
        <w:jc w:val="both"/>
      </w:pPr>
      <w:r w:rsidRPr="007B60BF">
        <w:t>Os riscos de crédito da I</w:t>
      </w:r>
      <w:r w:rsidR="009657C6" w:rsidRPr="007B60BF">
        <w:t>nstituição, decorrentes de caixa e equivalente</w:t>
      </w:r>
      <w:r w:rsidR="00E34300" w:rsidRPr="007B60BF">
        <w:t>s de caixa, depósitos em bancos</w:t>
      </w:r>
      <w:r w:rsidR="009657C6" w:rsidRPr="007B60BF">
        <w:t xml:space="preserve"> e dos clientes de convênios e particulares, são mínimos e administrados corporativamente.</w:t>
      </w:r>
      <w:r w:rsidR="00E34300" w:rsidRPr="007B60BF">
        <w:t xml:space="preserve"> </w:t>
      </w:r>
      <w:r w:rsidR="009657C6" w:rsidRPr="007B60BF">
        <w:t xml:space="preserve">A administração não espera nenhuma perda decorrente </w:t>
      </w:r>
      <w:r w:rsidR="00B1137F" w:rsidRPr="007B60BF">
        <w:t>por</w:t>
      </w:r>
      <w:r w:rsidR="009657C6" w:rsidRPr="007B60BF">
        <w:t xml:space="preserve"> inadimplência</w:t>
      </w:r>
      <w:r w:rsidR="00B1137F" w:rsidRPr="007B60BF">
        <w:t xml:space="preserve"> em valor superior</w:t>
      </w:r>
      <w:r w:rsidR="008E4A95" w:rsidRPr="007B60BF">
        <w:t xml:space="preserve"> ao</w:t>
      </w:r>
      <w:r w:rsidR="00B1137F" w:rsidRPr="007B60BF">
        <w:t xml:space="preserve"> </w:t>
      </w:r>
      <w:r w:rsidR="009657C6" w:rsidRPr="007B60BF">
        <w:t>já provisionado.</w:t>
      </w:r>
    </w:p>
    <w:p w14:paraId="7B3322BE" w14:textId="77777777" w:rsidR="009657C6" w:rsidRPr="007B60BF" w:rsidRDefault="009657C6" w:rsidP="009657C6">
      <w:pPr>
        <w:jc w:val="both"/>
      </w:pPr>
    </w:p>
    <w:p w14:paraId="5CC2B2A4" w14:textId="5A014DBF" w:rsidR="00D128DA" w:rsidRPr="007B60BF" w:rsidRDefault="009657C6" w:rsidP="00D128DA">
      <w:pPr>
        <w:jc w:val="both"/>
      </w:pPr>
      <w:r w:rsidRPr="007B60BF">
        <w:t>Os recursos oriundos do Tesouro Nacional são deliberados pela Lei de Diretrizes Orçamentárias e fixados pela Lei Orçamentária Anual e suas regulamentações.</w:t>
      </w:r>
      <w:r w:rsidR="00E34300" w:rsidRPr="007B60BF">
        <w:t xml:space="preserve"> </w:t>
      </w:r>
      <w:r w:rsidR="003E123B" w:rsidRPr="007B60BF">
        <w:t>Para o</w:t>
      </w:r>
      <w:r w:rsidR="00E14775" w:rsidRPr="007B60BF">
        <w:t xml:space="preserve"> exercício de 202</w:t>
      </w:r>
      <w:r w:rsidR="00C51836" w:rsidRPr="007B60BF">
        <w:t>5</w:t>
      </w:r>
      <w:r w:rsidR="003E123B" w:rsidRPr="007B60BF">
        <w:t>,</w:t>
      </w:r>
      <w:r w:rsidR="00D128DA" w:rsidRPr="007B60BF">
        <w:t xml:space="preserve"> os recursos orçamen</w:t>
      </w:r>
      <w:r w:rsidR="00E14775" w:rsidRPr="007B60BF">
        <w:t>tári</w:t>
      </w:r>
      <w:r w:rsidR="007367FA" w:rsidRPr="007B60BF">
        <w:t xml:space="preserve">os foram fixados pela Lei </w:t>
      </w:r>
      <w:r w:rsidR="00D14986" w:rsidRPr="007B60BF">
        <w:t>15</w:t>
      </w:r>
      <w:r w:rsidR="007367FA" w:rsidRPr="007B60BF">
        <w:t>.</w:t>
      </w:r>
      <w:r w:rsidR="00D14986" w:rsidRPr="007B60BF">
        <w:t>121</w:t>
      </w:r>
      <w:r w:rsidR="00D128DA" w:rsidRPr="007B60BF">
        <w:t>,</w:t>
      </w:r>
      <w:r w:rsidR="007367FA" w:rsidRPr="007B60BF">
        <w:t xml:space="preserve"> de </w:t>
      </w:r>
      <w:r w:rsidR="00D14986" w:rsidRPr="007B60BF">
        <w:t>10</w:t>
      </w:r>
      <w:r w:rsidR="008C0FB4" w:rsidRPr="007B60BF">
        <w:t xml:space="preserve"> </w:t>
      </w:r>
      <w:r w:rsidR="00D128DA" w:rsidRPr="007B60BF">
        <w:t xml:space="preserve">de </w:t>
      </w:r>
      <w:r w:rsidR="00D14986" w:rsidRPr="007B60BF">
        <w:t>abril</w:t>
      </w:r>
      <w:r w:rsidR="00E14775" w:rsidRPr="007B60BF">
        <w:t xml:space="preserve"> de 202</w:t>
      </w:r>
      <w:r w:rsidR="00D14986" w:rsidRPr="007B60BF">
        <w:t>5</w:t>
      </w:r>
      <w:r w:rsidR="00C63971" w:rsidRPr="007B60BF">
        <w:t>.</w:t>
      </w:r>
    </w:p>
    <w:p w14:paraId="26F16444" w14:textId="5E8745A1" w:rsidR="007308BB" w:rsidRPr="007B60BF" w:rsidRDefault="007308BB" w:rsidP="00D128DA">
      <w:pPr>
        <w:jc w:val="both"/>
      </w:pPr>
    </w:p>
    <w:p w14:paraId="6664B2F4" w14:textId="77777777" w:rsidR="009657C6" w:rsidRPr="007B60BF" w:rsidRDefault="009657C6" w:rsidP="00086B22">
      <w:pPr>
        <w:pStyle w:val="Subttulo"/>
        <w:numPr>
          <w:ilvl w:val="0"/>
          <w:numId w:val="2"/>
        </w:numPr>
        <w:ind w:left="0" w:hanging="426"/>
        <w:rPr>
          <w:iCs/>
        </w:rPr>
      </w:pPr>
      <w:r w:rsidRPr="007B60BF">
        <w:rPr>
          <w:iCs/>
        </w:rPr>
        <w:t>Estimativa do Valor Justo</w:t>
      </w:r>
    </w:p>
    <w:p w14:paraId="403234B3" w14:textId="77777777" w:rsidR="009657C6" w:rsidRPr="007B60BF" w:rsidRDefault="009657C6" w:rsidP="009657C6">
      <w:pPr>
        <w:jc w:val="both"/>
      </w:pPr>
    </w:p>
    <w:p w14:paraId="611C8CBE" w14:textId="77777777" w:rsidR="009657C6" w:rsidRPr="007B60BF" w:rsidRDefault="009657C6" w:rsidP="009657C6">
      <w:pPr>
        <w:jc w:val="both"/>
      </w:pPr>
      <w:r w:rsidRPr="007B60BF">
        <w:t>Os saldos das Contas a Receber dos</w:t>
      </w:r>
      <w:r w:rsidR="00A909E4" w:rsidRPr="007B60BF">
        <w:t xml:space="preserve"> Clientes e Contas a Pagar aos F</w:t>
      </w:r>
      <w:r w:rsidRPr="007B60BF">
        <w:t>ornecedores estão próximos de seus valores justos.</w:t>
      </w:r>
    </w:p>
    <w:p w14:paraId="1F504D6F" w14:textId="77777777" w:rsidR="009657C6" w:rsidRPr="007B60BF" w:rsidRDefault="009657C6" w:rsidP="009657C6">
      <w:pPr>
        <w:jc w:val="both"/>
      </w:pPr>
    </w:p>
    <w:p w14:paraId="66B77131" w14:textId="0423A548" w:rsidR="00B457E8" w:rsidRDefault="009657C6" w:rsidP="009657C6">
      <w:pPr>
        <w:jc w:val="both"/>
      </w:pPr>
      <w:r w:rsidRPr="007B60BF">
        <w:t xml:space="preserve">A Instituição aprovou no </w:t>
      </w:r>
      <w:r w:rsidR="005B0555" w:rsidRPr="007B60BF">
        <w:t>Conselho de Administração</w:t>
      </w:r>
      <w:r w:rsidR="006C603A" w:rsidRPr="007B60BF">
        <w:t>,</w:t>
      </w:r>
      <w:r w:rsidR="00214EAD" w:rsidRPr="007B60BF">
        <w:t xml:space="preserve"> </w:t>
      </w:r>
      <w:r w:rsidR="00ED2518" w:rsidRPr="007B60BF">
        <w:rPr>
          <w:shd w:val="clear" w:color="auto" w:fill="FFFFFF" w:themeFill="background1"/>
        </w:rPr>
        <w:t xml:space="preserve">na reunião n° </w:t>
      </w:r>
      <w:r w:rsidR="00985314" w:rsidRPr="007B60BF">
        <w:rPr>
          <w:shd w:val="clear" w:color="auto" w:fill="FFFFFF" w:themeFill="background1"/>
        </w:rPr>
        <w:t>4</w:t>
      </w:r>
      <w:r w:rsidR="00272DDD" w:rsidRPr="007B60BF">
        <w:rPr>
          <w:shd w:val="clear" w:color="auto" w:fill="FFFFFF" w:themeFill="background1"/>
        </w:rPr>
        <w:t>68</w:t>
      </w:r>
      <w:r w:rsidR="00ED2518" w:rsidRPr="007B60BF">
        <w:rPr>
          <w:shd w:val="clear" w:color="auto" w:fill="FFFFFF" w:themeFill="background1"/>
        </w:rPr>
        <w:t xml:space="preserve">, realizada em </w:t>
      </w:r>
      <w:r w:rsidR="00AA61AA" w:rsidRPr="007B60BF">
        <w:rPr>
          <w:shd w:val="clear" w:color="auto" w:fill="FFFFFF" w:themeFill="background1"/>
        </w:rPr>
        <w:t>1</w:t>
      </w:r>
      <w:r w:rsidR="00272DDD" w:rsidRPr="007B60BF">
        <w:rPr>
          <w:shd w:val="clear" w:color="auto" w:fill="FFFFFF" w:themeFill="background1"/>
        </w:rPr>
        <w:t>3</w:t>
      </w:r>
      <w:r w:rsidRPr="007B60BF">
        <w:rPr>
          <w:shd w:val="clear" w:color="auto" w:fill="FFFFFF" w:themeFill="background1"/>
        </w:rPr>
        <w:t xml:space="preserve"> de </w:t>
      </w:r>
      <w:r w:rsidR="00AA61AA" w:rsidRPr="007B60BF">
        <w:rPr>
          <w:shd w:val="clear" w:color="auto" w:fill="FFFFFF" w:themeFill="background1"/>
        </w:rPr>
        <w:t>dezembro</w:t>
      </w:r>
      <w:r w:rsidRPr="007B60BF">
        <w:rPr>
          <w:shd w:val="clear" w:color="auto" w:fill="FFFFFF" w:themeFill="background1"/>
        </w:rPr>
        <w:t xml:space="preserve"> de </w:t>
      </w:r>
      <w:r w:rsidR="004E413F" w:rsidRPr="007B60BF">
        <w:rPr>
          <w:shd w:val="clear" w:color="auto" w:fill="FFFFFF" w:themeFill="background1"/>
        </w:rPr>
        <w:t>20</w:t>
      </w:r>
      <w:r w:rsidR="00985314" w:rsidRPr="007B60BF">
        <w:rPr>
          <w:shd w:val="clear" w:color="auto" w:fill="FFFFFF" w:themeFill="background1"/>
        </w:rPr>
        <w:t>2</w:t>
      </w:r>
      <w:r w:rsidR="00272DDD" w:rsidRPr="007B60BF">
        <w:rPr>
          <w:shd w:val="clear" w:color="auto" w:fill="FFFFFF" w:themeFill="background1"/>
        </w:rPr>
        <w:t>1</w:t>
      </w:r>
      <w:r w:rsidRPr="007B60BF">
        <w:t xml:space="preserve">, </w:t>
      </w:r>
      <w:r w:rsidR="00EA5B0B" w:rsidRPr="007B60BF">
        <w:t>o critério de apuração d</w:t>
      </w:r>
      <w:r w:rsidRPr="007B60BF">
        <w:t>a</w:t>
      </w:r>
      <w:r w:rsidR="00E95153" w:rsidRPr="007B60BF">
        <w:t>s</w:t>
      </w:r>
      <w:r w:rsidRPr="007B60BF">
        <w:t xml:space="preserve"> </w:t>
      </w:r>
      <w:r w:rsidR="003C7B56" w:rsidRPr="007B60BF">
        <w:t>p</w:t>
      </w:r>
      <w:r w:rsidR="003B5EE2" w:rsidRPr="007B60BF">
        <w:t>erdas</w:t>
      </w:r>
      <w:r w:rsidRPr="007B60BF">
        <w:t xml:space="preserve"> </w:t>
      </w:r>
      <w:r w:rsidR="003C7B56" w:rsidRPr="007B60BF">
        <w:t>e</w:t>
      </w:r>
      <w:r w:rsidR="003B5EE2" w:rsidRPr="007B60BF">
        <w:t xml:space="preserve">stimadas </w:t>
      </w:r>
      <w:r w:rsidRPr="007B60BF">
        <w:t xml:space="preserve">para </w:t>
      </w:r>
      <w:r w:rsidR="003C7B56" w:rsidRPr="007B60BF">
        <w:t>c</w:t>
      </w:r>
      <w:r w:rsidR="003B5EE2" w:rsidRPr="007B60BF">
        <w:t xml:space="preserve">réditos de </w:t>
      </w:r>
      <w:r w:rsidR="003C7B56" w:rsidRPr="007B60BF">
        <w:t>l</w:t>
      </w:r>
      <w:r w:rsidR="003B5EE2" w:rsidRPr="007B60BF">
        <w:t>iquidação</w:t>
      </w:r>
      <w:r w:rsidRPr="007B60BF">
        <w:t xml:space="preserve"> </w:t>
      </w:r>
      <w:r w:rsidR="003C7B56" w:rsidRPr="007B60BF">
        <w:t>d</w:t>
      </w:r>
      <w:r w:rsidRPr="007B60BF">
        <w:t>uvidos</w:t>
      </w:r>
      <w:r w:rsidR="003B5EE2" w:rsidRPr="007B60BF">
        <w:t>a</w:t>
      </w:r>
      <w:r w:rsidR="00EB37E3" w:rsidRPr="007B60BF">
        <w:t xml:space="preserve"> (</w:t>
      </w:r>
      <w:r w:rsidR="00E95153" w:rsidRPr="007B60BF">
        <w:t>PECLD</w:t>
      </w:r>
      <w:r w:rsidR="00EB37E3" w:rsidRPr="007B60BF">
        <w:t>)</w:t>
      </w:r>
      <w:r w:rsidR="003B5EE2" w:rsidRPr="007B60BF">
        <w:t xml:space="preserve"> </w:t>
      </w:r>
      <w:r w:rsidRPr="007B60BF">
        <w:t>relativ</w:t>
      </w:r>
      <w:r w:rsidR="003C7B56" w:rsidRPr="007B60BF">
        <w:t>a</w:t>
      </w:r>
      <w:r w:rsidRPr="007B60BF">
        <w:t xml:space="preserve">s a perdas prováveis </w:t>
      </w:r>
      <w:r w:rsidRPr="007B60BF">
        <w:rPr>
          <w:i/>
        </w:rPr>
        <w:t>(impairment</w:t>
      </w:r>
      <w:r w:rsidRPr="007B60BF">
        <w:t xml:space="preserve">) de </w:t>
      </w:r>
      <w:r w:rsidR="003C7B56" w:rsidRPr="007B60BF">
        <w:t>c</w:t>
      </w:r>
      <w:r w:rsidRPr="007B60BF">
        <w:t xml:space="preserve">ontas a </w:t>
      </w:r>
      <w:r w:rsidR="003C7B56" w:rsidRPr="007B60BF">
        <w:t>r</w:t>
      </w:r>
      <w:r w:rsidRPr="007B60BF">
        <w:t xml:space="preserve">eceber de </w:t>
      </w:r>
      <w:r w:rsidR="003C7B56" w:rsidRPr="007B60BF">
        <w:t>c</w:t>
      </w:r>
      <w:r w:rsidRPr="007B60BF">
        <w:t>lientes, utilizando como critério as contas vencidas há pelo menos seis (6) meses, acrescido</w:t>
      </w:r>
      <w:r w:rsidR="003C7B56" w:rsidRPr="007B60BF">
        <w:t xml:space="preserve"> da totalidade de títulos em glosa ou protestados</w:t>
      </w:r>
      <w:r w:rsidR="008F1108">
        <w:t>.</w:t>
      </w:r>
    </w:p>
    <w:p w14:paraId="7E9E6AD8" w14:textId="50CA1348" w:rsidR="00196D9E" w:rsidRPr="007B60BF" w:rsidRDefault="00196D9E" w:rsidP="00086B22">
      <w:pPr>
        <w:pStyle w:val="Ttulo1"/>
        <w:numPr>
          <w:ilvl w:val="0"/>
          <w:numId w:val="5"/>
        </w:numPr>
        <w:ind w:left="0" w:hanging="567"/>
        <w:jc w:val="left"/>
      </w:pPr>
      <w:bookmarkStart w:id="22" w:name="_Ref457927830"/>
      <w:bookmarkStart w:id="23" w:name="_Toc223007854"/>
      <w:r w:rsidRPr="007B60BF">
        <w:lastRenderedPageBreak/>
        <w:t>Caixa e Equivalentes de Caixa</w:t>
      </w:r>
      <w:bookmarkEnd w:id="22"/>
      <w:bookmarkEnd w:id="23"/>
    </w:p>
    <w:tbl>
      <w:tblPr>
        <w:tblW w:w="5000" w:type="pct"/>
        <w:tblCellMar>
          <w:left w:w="70" w:type="dxa"/>
          <w:right w:w="70" w:type="dxa"/>
        </w:tblCellMar>
        <w:tblLook w:val="04A0" w:firstRow="1" w:lastRow="0" w:firstColumn="1" w:lastColumn="0" w:noHBand="0" w:noVBand="1"/>
      </w:tblPr>
      <w:tblGrid>
        <w:gridCol w:w="4760"/>
        <w:gridCol w:w="2097"/>
        <w:gridCol w:w="198"/>
        <w:gridCol w:w="2016"/>
      </w:tblGrid>
      <w:tr w:rsidR="007722B4" w:rsidRPr="007B60BF" w14:paraId="77B32A9A" w14:textId="77777777" w:rsidTr="007722B4">
        <w:tc>
          <w:tcPr>
            <w:tcW w:w="2624" w:type="pct"/>
            <w:tcBorders>
              <w:top w:val="nil"/>
              <w:left w:val="nil"/>
              <w:bottom w:val="nil"/>
              <w:right w:val="nil"/>
            </w:tcBorders>
            <w:shd w:val="clear" w:color="000000" w:fill="FFFFFF"/>
            <w:noWrap/>
            <w:vAlign w:val="center"/>
            <w:hideMark/>
          </w:tcPr>
          <w:p w14:paraId="28E5F2EE" w14:textId="77777777" w:rsidR="007722B4" w:rsidRPr="007B60BF" w:rsidRDefault="007722B4" w:rsidP="007722B4">
            <w:pPr>
              <w:rPr>
                <w:b/>
              </w:rPr>
            </w:pPr>
            <w:bookmarkStart w:id="24" w:name="OLE_LINK2"/>
            <w:r w:rsidRPr="007B60BF">
              <w:rPr>
                <w:b/>
              </w:rPr>
              <w:t> </w:t>
            </w:r>
          </w:p>
        </w:tc>
        <w:tc>
          <w:tcPr>
            <w:tcW w:w="1156" w:type="pct"/>
            <w:tcBorders>
              <w:top w:val="nil"/>
              <w:left w:val="nil"/>
              <w:bottom w:val="single" w:sz="8" w:space="0" w:color="auto"/>
              <w:right w:val="nil"/>
            </w:tcBorders>
            <w:shd w:val="clear" w:color="000000" w:fill="FFFFFF"/>
            <w:vAlign w:val="center"/>
            <w:hideMark/>
          </w:tcPr>
          <w:p w14:paraId="18A5508E" w14:textId="61C85218" w:rsidR="007722B4" w:rsidRPr="007B60BF" w:rsidRDefault="00C87279" w:rsidP="00590EEE">
            <w:pPr>
              <w:jc w:val="right"/>
              <w:rPr>
                <w:b/>
                <w:bCs/>
              </w:rPr>
            </w:pPr>
            <w:r w:rsidRPr="007B60BF">
              <w:rPr>
                <w:b/>
                <w:bCs/>
              </w:rPr>
              <w:t>31/12/2025</w:t>
            </w:r>
          </w:p>
        </w:tc>
        <w:tc>
          <w:tcPr>
            <w:tcW w:w="109" w:type="pct"/>
            <w:tcBorders>
              <w:top w:val="nil"/>
              <w:left w:val="nil"/>
              <w:bottom w:val="nil"/>
              <w:right w:val="nil"/>
            </w:tcBorders>
            <w:shd w:val="clear" w:color="000000" w:fill="FFFFFF"/>
            <w:vAlign w:val="center"/>
            <w:hideMark/>
          </w:tcPr>
          <w:p w14:paraId="191024FD" w14:textId="77777777" w:rsidR="007722B4" w:rsidRPr="007B60BF" w:rsidRDefault="007722B4" w:rsidP="007722B4">
            <w:pPr>
              <w:rPr>
                <w:b/>
                <w:bCs/>
              </w:rPr>
            </w:pPr>
            <w:r w:rsidRPr="007B60BF">
              <w:rPr>
                <w:b/>
                <w:bCs/>
              </w:rPr>
              <w:t> </w:t>
            </w:r>
          </w:p>
        </w:tc>
        <w:tc>
          <w:tcPr>
            <w:tcW w:w="1111" w:type="pct"/>
            <w:tcBorders>
              <w:top w:val="nil"/>
              <w:left w:val="nil"/>
              <w:bottom w:val="single" w:sz="8" w:space="0" w:color="auto"/>
              <w:right w:val="nil"/>
            </w:tcBorders>
            <w:shd w:val="clear" w:color="000000" w:fill="FFFFFF"/>
            <w:vAlign w:val="center"/>
          </w:tcPr>
          <w:p w14:paraId="2A383FFE" w14:textId="3B35BCFB" w:rsidR="007722B4" w:rsidRPr="007B60BF" w:rsidRDefault="007722B4" w:rsidP="007722B4">
            <w:pPr>
              <w:jc w:val="right"/>
              <w:rPr>
                <w:b/>
              </w:rPr>
            </w:pPr>
            <w:r w:rsidRPr="007B60BF">
              <w:rPr>
                <w:b/>
                <w:bCs/>
              </w:rPr>
              <w:t>31/12/2024</w:t>
            </w:r>
          </w:p>
        </w:tc>
      </w:tr>
      <w:tr w:rsidR="00983ABB" w:rsidRPr="007B60BF" w14:paraId="6D735D84" w14:textId="77777777" w:rsidTr="007722B4">
        <w:tc>
          <w:tcPr>
            <w:tcW w:w="2624" w:type="pct"/>
            <w:tcBorders>
              <w:top w:val="nil"/>
              <w:left w:val="nil"/>
              <w:bottom w:val="nil"/>
              <w:right w:val="nil"/>
            </w:tcBorders>
            <w:shd w:val="clear" w:color="000000" w:fill="FFFFFF"/>
            <w:noWrap/>
            <w:vAlign w:val="center"/>
            <w:hideMark/>
          </w:tcPr>
          <w:p w14:paraId="2F765912" w14:textId="77777777" w:rsidR="00983ABB" w:rsidRPr="007B60BF" w:rsidRDefault="00983ABB" w:rsidP="00983ABB">
            <w:r w:rsidRPr="007B60BF">
              <w:t>Caixa</w:t>
            </w:r>
          </w:p>
        </w:tc>
        <w:tc>
          <w:tcPr>
            <w:tcW w:w="1156" w:type="pct"/>
            <w:tcBorders>
              <w:top w:val="nil"/>
              <w:left w:val="nil"/>
              <w:bottom w:val="nil"/>
              <w:right w:val="nil"/>
            </w:tcBorders>
            <w:shd w:val="clear" w:color="000000" w:fill="FFFFFF"/>
            <w:noWrap/>
          </w:tcPr>
          <w:p w14:paraId="6A43DC95" w14:textId="6BF8A4B8" w:rsidR="00983ABB" w:rsidRPr="007B60BF" w:rsidRDefault="006843DF" w:rsidP="00983ABB">
            <w:pPr>
              <w:jc w:val="right"/>
            </w:pPr>
            <w:r w:rsidRPr="007B60BF">
              <w:t>15</w:t>
            </w:r>
          </w:p>
        </w:tc>
        <w:tc>
          <w:tcPr>
            <w:tcW w:w="109" w:type="pct"/>
            <w:tcBorders>
              <w:top w:val="nil"/>
              <w:left w:val="nil"/>
              <w:bottom w:val="nil"/>
              <w:right w:val="nil"/>
            </w:tcBorders>
            <w:shd w:val="clear" w:color="000000" w:fill="FFFFFF"/>
            <w:vAlign w:val="center"/>
            <w:hideMark/>
          </w:tcPr>
          <w:p w14:paraId="48722030" w14:textId="77777777" w:rsidR="00983ABB" w:rsidRPr="007B60BF" w:rsidRDefault="00983ABB" w:rsidP="00983ABB">
            <w:r w:rsidRPr="007B60BF">
              <w:t> </w:t>
            </w:r>
          </w:p>
        </w:tc>
        <w:tc>
          <w:tcPr>
            <w:tcW w:w="1111" w:type="pct"/>
            <w:tcBorders>
              <w:top w:val="nil"/>
              <w:left w:val="nil"/>
              <w:bottom w:val="nil"/>
              <w:right w:val="nil"/>
            </w:tcBorders>
            <w:shd w:val="clear" w:color="000000" w:fill="FFFFFF"/>
          </w:tcPr>
          <w:p w14:paraId="34ABB4BD" w14:textId="179FCC9E" w:rsidR="00983ABB" w:rsidRPr="007B60BF" w:rsidRDefault="00983ABB" w:rsidP="00983ABB">
            <w:pPr>
              <w:jc w:val="right"/>
            </w:pPr>
            <w:r w:rsidRPr="007B60BF">
              <w:t xml:space="preserve"> 24 </w:t>
            </w:r>
          </w:p>
        </w:tc>
      </w:tr>
      <w:tr w:rsidR="00983ABB" w:rsidRPr="007B60BF" w14:paraId="7CF7A175" w14:textId="77777777" w:rsidTr="007722B4">
        <w:tc>
          <w:tcPr>
            <w:tcW w:w="2624" w:type="pct"/>
            <w:tcBorders>
              <w:top w:val="nil"/>
              <w:left w:val="nil"/>
              <w:bottom w:val="nil"/>
              <w:right w:val="nil"/>
            </w:tcBorders>
            <w:shd w:val="clear" w:color="000000" w:fill="FFFFFF"/>
            <w:noWrap/>
            <w:vAlign w:val="center"/>
            <w:hideMark/>
          </w:tcPr>
          <w:p w14:paraId="7DD77E45" w14:textId="77777777" w:rsidR="00983ABB" w:rsidRPr="007B60BF" w:rsidRDefault="00983ABB" w:rsidP="00983ABB">
            <w:r w:rsidRPr="007B60BF">
              <w:t>Bancos – Conta Corrente</w:t>
            </w:r>
          </w:p>
        </w:tc>
        <w:tc>
          <w:tcPr>
            <w:tcW w:w="1156" w:type="pct"/>
            <w:tcBorders>
              <w:top w:val="nil"/>
              <w:left w:val="nil"/>
              <w:bottom w:val="nil"/>
              <w:right w:val="nil"/>
            </w:tcBorders>
            <w:shd w:val="clear" w:color="000000" w:fill="FFFFFF"/>
            <w:noWrap/>
          </w:tcPr>
          <w:p w14:paraId="4F141DDE" w14:textId="77C3CD14" w:rsidR="00983ABB" w:rsidRPr="007B60BF" w:rsidRDefault="005F3E5D" w:rsidP="00983ABB">
            <w:pPr>
              <w:jc w:val="right"/>
            </w:pPr>
            <w:r w:rsidRPr="007B60BF">
              <w:t>1.915</w:t>
            </w:r>
          </w:p>
        </w:tc>
        <w:tc>
          <w:tcPr>
            <w:tcW w:w="109" w:type="pct"/>
            <w:tcBorders>
              <w:top w:val="nil"/>
              <w:left w:val="nil"/>
              <w:bottom w:val="nil"/>
              <w:right w:val="nil"/>
            </w:tcBorders>
            <w:shd w:val="clear" w:color="000000" w:fill="FFFFFF"/>
            <w:vAlign w:val="center"/>
            <w:hideMark/>
          </w:tcPr>
          <w:p w14:paraId="51CAB0C7" w14:textId="77777777" w:rsidR="00983ABB" w:rsidRPr="007B60BF" w:rsidRDefault="00983ABB" w:rsidP="00983ABB">
            <w:r w:rsidRPr="007B60BF">
              <w:t> </w:t>
            </w:r>
          </w:p>
        </w:tc>
        <w:tc>
          <w:tcPr>
            <w:tcW w:w="1111" w:type="pct"/>
            <w:tcBorders>
              <w:top w:val="nil"/>
              <w:left w:val="nil"/>
              <w:bottom w:val="nil"/>
              <w:right w:val="nil"/>
            </w:tcBorders>
            <w:shd w:val="clear" w:color="000000" w:fill="FFFFFF"/>
          </w:tcPr>
          <w:p w14:paraId="0111E783" w14:textId="68797E4C" w:rsidR="00983ABB" w:rsidRPr="007B60BF" w:rsidRDefault="00983ABB" w:rsidP="00983ABB">
            <w:pPr>
              <w:jc w:val="right"/>
            </w:pPr>
            <w:r w:rsidRPr="007B60BF">
              <w:t xml:space="preserve"> -   </w:t>
            </w:r>
          </w:p>
        </w:tc>
      </w:tr>
      <w:tr w:rsidR="00983ABB" w:rsidRPr="007B60BF" w14:paraId="38574020" w14:textId="77777777" w:rsidTr="00184F1B">
        <w:tc>
          <w:tcPr>
            <w:tcW w:w="2624" w:type="pct"/>
            <w:tcBorders>
              <w:top w:val="nil"/>
              <w:left w:val="nil"/>
              <w:bottom w:val="nil"/>
              <w:right w:val="nil"/>
            </w:tcBorders>
            <w:shd w:val="clear" w:color="000000" w:fill="FFFFFF"/>
            <w:noWrap/>
            <w:vAlign w:val="center"/>
            <w:hideMark/>
          </w:tcPr>
          <w:p w14:paraId="42FA022F" w14:textId="373678BC" w:rsidR="00983ABB" w:rsidRPr="007B60BF" w:rsidRDefault="00983ABB" w:rsidP="00983ABB">
            <w:r w:rsidRPr="007B60BF">
              <w:t>De</w:t>
            </w:r>
            <w:r w:rsidR="00184F1B" w:rsidRPr="007B60BF">
              <w:t>pósitos Bancários – Poupança</w:t>
            </w:r>
          </w:p>
        </w:tc>
        <w:tc>
          <w:tcPr>
            <w:tcW w:w="1156" w:type="pct"/>
            <w:tcBorders>
              <w:top w:val="nil"/>
              <w:left w:val="nil"/>
              <w:right w:val="nil"/>
            </w:tcBorders>
            <w:shd w:val="clear" w:color="000000" w:fill="FFFFFF"/>
            <w:noWrap/>
          </w:tcPr>
          <w:p w14:paraId="0C32A882" w14:textId="1AAB3608" w:rsidR="00983ABB" w:rsidRPr="007B60BF" w:rsidRDefault="006843DF" w:rsidP="005F3E5D">
            <w:pPr>
              <w:jc w:val="right"/>
            </w:pPr>
            <w:r w:rsidRPr="007B60BF">
              <w:t>4</w:t>
            </w:r>
            <w:r w:rsidR="005F3E5D" w:rsidRPr="007B60BF">
              <w:t>35</w:t>
            </w:r>
          </w:p>
        </w:tc>
        <w:tc>
          <w:tcPr>
            <w:tcW w:w="109" w:type="pct"/>
            <w:tcBorders>
              <w:top w:val="nil"/>
              <w:left w:val="nil"/>
              <w:right w:val="nil"/>
            </w:tcBorders>
            <w:shd w:val="clear" w:color="000000" w:fill="FFFFFF"/>
            <w:vAlign w:val="center"/>
            <w:hideMark/>
          </w:tcPr>
          <w:p w14:paraId="0E773821" w14:textId="77777777" w:rsidR="00983ABB" w:rsidRPr="007B60BF" w:rsidRDefault="00983ABB" w:rsidP="00983ABB">
            <w:r w:rsidRPr="007B60BF">
              <w:t> </w:t>
            </w:r>
          </w:p>
        </w:tc>
        <w:tc>
          <w:tcPr>
            <w:tcW w:w="1111" w:type="pct"/>
            <w:tcBorders>
              <w:top w:val="nil"/>
              <w:left w:val="nil"/>
              <w:right w:val="nil"/>
            </w:tcBorders>
            <w:shd w:val="clear" w:color="000000" w:fill="FFFFFF"/>
          </w:tcPr>
          <w:p w14:paraId="28D20BB0" w14:textId="17EF0C98" w:rsidR="00983ABB" w:rsidRPr="007B60BF" w:rsidRDefault="00983ABB" w:rsidP="00983ABB">
            <w:pPr>
              <w:jc w:val="right"/>
            </w:pPr>
            <w:r w:rsidRPr="007B60BF">
              <w:t xml:space="preserve"> 451 </w:t>
            </w:r>
          </w:p>
        </w:tc>
      </w:tr>
      <w:tr w:rsidR="00184F1B" w:rsidRPr="007B60BF" w14:paraId="38146352" w14:textId="77777777" w:rsidTr="00184F1B">
        <w:tc>
          <w:tcPr>
            <w:tcW w:w="2624" w:type="pct"/>
            <w:tcBorders>
              <w:top w:val="nil"/>
              <w:left w:val="nil"/>
              <w:bottom w:val="nil"/>
              <w:right w:val="nil"/>
            </w:tcBorders>
            <w:shd w:val="clear" w:color="000000" w:fill="FFFFFF"/>
            <w:noWrap/>
            <w:vAlign w:val="center"/>
          </w:tcPr>
          <w:p w14:paraId="71835982" w14:textId="52C0E43C" w:rsidR="00184F1B" w:rsidRPr="007B60BF" w:rsidRDefault="00184F1B" w:rsidP="00184F1B">
            <w:r w:rsidRPr="007B60BF">
              <w:t>Limite de Saque – Conta Única do Tesouro Nacional</w:t>
            </w:r>
          </w:p>
        </w:tc>
        <w:tc>
          <w:tcPr>
            <w:tcW w:w="1156" w:type="pct"/>
            <w:tcBorders>
              <w:top w:val="nil"/>
              <w:left w:val="nil"/>
              <w:right w:val="nil"/>
            </w:tcBorders>
            <w:shd w:val="clear" w:color="000000" w:fill="FFFFFF"/>
            <w:noWrap/>
          </w:tcPr>
          <w:p w14:paraId="570DC543" w14:textId="4F129EB0" w:rsidR="00184F1B" w:rsidRPr="007B60BF" w:rsidRDefault="007E73CE" w:rsidP="00DC0306">
            <w:pPr>
              <w:jc w:val="right"/>
            </w:pPr>
            <w:r w:rsidRPr="007B60BF">
              <w:t>188.66</w:t>
            </w:r>
            <w:r w:rsidR="00DC0306" w:rsidRPr="007B60BF">
              <w:t>9</w:t>
            </w:r>
          </w:p>
        </w:tc>
        <w:tc>
          <w:tcPr>
            <w:tcW w:w="109" w:type="pct"/>
            <w:tcBorders>
              <w:top w:val="nil"/>
              <w:left w:val="nil"/>
              <w:right w:val="nil"/>
            </w:tcBorders>
            <w:shd w:val="clear" w:color="000000" w:fill="FFFFFF"/>
            <w:vAlign w:val="center"/>
          </w:tcPr>
          <w:p w14:paraId="4655910D" w14:textId="02663BBF" w:rsidR="00184F1B" w:rsidRPr="007B60BF" w:rsidRDefault="00184F1B" w:rsidP="00184F1B">
            <w:r w:rsidRPr="007B60BF">
              <w:t> </w:t>
            </w:r>
          </w:p>
        </w:tc>
        <w:tc>
          <w:tcPr>
            <w:tcW w:w="1111" w:type="pct"/>
            <w:tcBorders>
              <w:top w:val="nil"/>
              <w:left w:val="nil"/>
              <w:right w:val="nil"/>
            </w:tcBorders>
            <w:shd w:val="clear" w:color="000000" w:fill="FFFFFF"/>
          </w:tcPr>
          <w:p w14:paraId="5BAA8746" w14:textId="79775622" w:rsidR="00184F1B" w:rsidRPr="007B60BF" w:rsidRDefault="007E73CE" w:rsidP="00184F1B">
            <w:pPr>
              <w:jc w:val="right"/>
            </w:pPr>
            <w:r w:rsidRPr="007B60BF">
              <w:t xml:space="preserve"> 163.686</w:t>
            </w:r>
            <w:r w:rsidR="00184F1B" w:rsidRPr="007B60BF">
              <w:t xml:space="preserve"> </w:t>
            </w:r>
          </w:p>
        </w:tc>
      </w:tr>
      <w:tr w:rsidR="00184F1B" w:rsidRPr="007B60BF" w14:paraId="13C5EB96" w14:textId="77777777" w:rsidTr="00184F1B">
        <w:tc>
          <w:tcPr>
            <w:tcW w:w="2624" w:type="pct"/>
            <w:tcBorders>
              <w:top w:val="nil"/>
              <w:left w:val="nil"/>
              <w:bottom w:val="nil"/>
              <w:right w:val="nil"/>
            </w:tcBorders>
            <w:shd w:val="clear" w:color="000000" w:fill="FFFFFF"/>
            <w:noWrap/>
            <w:vAlign w:val="center"/>
            <w:hideMark/>
          </w:tcPr>
          <w:p w14:paraId="0643E0F9" w14:textId="50E2DF9E" w:rsidR="00184F1B" w:rsidRPr="007B60BF" w:rsidRDefault="00184F1B" w:rsidP="00184F1B">
            <w:r w:rsidRPr="007B60BF">
              <w:t>Recursos da Conta Única Aplicados</w:t>
            </w:r>
          </w:p>
        </w:tc>
        <w:tc>
          <w:tcPr>
            <w:tcW w:w="1156" w:type="pct"/>
            <w:tcBorders>
              <w:left w:val="nil"/>
              <w:bottom w:val="single" w:sz="8" w:space="0" w:color="auto"/>
              <w:right w:val="nil"/>
            </w:tcBorders>
            <w:shd w:val="clear" w:color="000000" w:fill="FFFFFF"/>
            <w:noWrap/>
          </w:tcPr>
          <w:p w14:paraId="751A5FA9" w14:textId="4B6A6E6C" w:rsidR="00184F1B" w:rsidRPr="007B60BF" w:rsidRDefault="00184F1B" w:rsidP="00184F1B">
            <w:pPr>
              <w:jc w:val="right"/>
            </w:pPr>
            <w:r w:rsidRPr="007B60BF">
              <w:t>85.458</w:t>
            </w:r>
          </w:p>
        </w:tc>
        <w:tc>
          <w:tcPr>
            <w:tcW w:w="109" w:type="pct"/>
            <w:tcBorders>
              <w:left w:val="nil"/>
              <w:bottom w:val="nil"/>
              <w:right w:val="nil"/>
            </w:tcBorders>
            <w:shd w:val="clear" w:color="000000" w:fill="FFFFFF"/>
            <w:vAlign w:val="center"/>
          </w:tcPr>
          <w:p w14:paraId="0FD4C0DF" w14:textId="1A503830" w:rsidR="00184F1B" w:rsidRPr="007B60BF" w:rsidRDefault="00184F1B" w:rsidP="00184F1B"/>
        </w:tc>
        <w:tc>
          <w:tcPr>
            <w:tcW w:w="1111" w:type="pct"/>
            <w:tcBorders>
              <w:left w:val="nil"/>
              <w:bottom w:val="single" w:sz="8" w:space="0" w:color="auto"/>
              <w:right w:val="nil"/>
            </w:tcBorders>
            <w:shd w:val="clear" w:color="000000" w:fill="FFFFFF"/>
          </w:tcPr>
          <w:p w14:paraId="1DA97A63" w14:textId="15AAF078" w:rsidR="00184F1B" w:rsidRPr="007B60BF" w:rsidRDefault="007E73CE" w:rsidP="00184F1B">
            <w:pPr>
              <w:jc w:val="right"/>
            </w:pPr>
            <w:r w:rsidRPr="007B60BF">
              <w:t>72.876</w:t>
            </w:r>
          </w:p>
        </w:tc>
      </w:tr>
      <w:tr w:rsidR="00184F1B" w:rsidRPr="007B60BF" w14:paraId="1571DB6A" w14:textId="77777777" w:rsidTr="007722B4">
        <w:tc>
          <w:tcPr>
            <w:tcW w:w="2624" w:type="pct"/>
            <w:tcBorders>
              <w:top w:val="nil"/>
              <w:left w:val="nil"/>
              <w:bottom w:val="nil"/>
              <w:right w:val="nil"/>
            </w:tcBorders>
            <w:shd w:val="clear" w:color="000000" w:fill="FFFFFF"/>
            <w:noWrap/>
            <w:vAlign w:val="center"/>
            <w:hideMark/>
          </w:tcPr>
          <w:p w14:paraId="2AEB83AE" w14:textId="77777777" w:rsidR="00184F1B" w:rsidRPr="007B60BF" w:rsidRDefault="00184F1B" w:rsidP="00184F1B">
            <w:pPr>
              <w:rPr>
                <w:b/>
                <w:bCs/>
              </w:rPr>
            </w:pPr>
            <w:r w:rsidRPr="007B60BF">
              <w:rPr>
                <w:b/>
                <w:bCs/>
              </w:rPr>
              <w:t>Saldo Contábil</w:t>
            </w:r>
          </w:p>
        </w:tc>
        <w:tc>
          <w:tcPr>
            <w:tcW w:w="1156" w:type="pct"/>
            <w:tcBorders>
              <w:top w:val="nil"/>
              <w:left w:val="nil"/>
              <w:bottom w:val="double" w:sz="6" w:space="0" w:color="auto"/>
              <w:right w:val="nil"/>
            </w:tcBorders>
            <w:shd w:val="clear" w:color="000000" w:fill="FFFFFF"/>
            <w:noWrap/>
          </w:tcPr>
          <w:p w14:paraId="282767CE" w14:textId="247E0916" w:rsidR="00184F1B" w:rsidRPr="007B60BF" w:rsidRDefault="00184F1B" w:rsidP="00184F1B">
            <w:pPr>
              <w:jc w:val="right"/>
              <w:rPr>
                <w:b/>
              </w:rPr>
            </w:pPr>
            <w:r w:rsidRPr="007B60BF">
              <w:rPr>
                <w:b/>
              </w:rPr>
              <w:t>276.492</w:t>
            </w:r>
          </w:p>
        </w:tc>
        <w:tc>
          <w:tcPr>
            <w:tcW w:w="109" w:type="pct"/>
            <w:tcBorders>
              <w:top w:val="nil"/>
              <w:left w:val="nil"/>
              <w:bottom w:val="nil"/>
              <w:right w:val="nil"/>
            </w:tcBorders>
            <w:shd w:val="clear" w:color="000000" w:fill="FFFFFF"/>
            <w:vAlign w:val="center"/>
            <w:hideMark/>
          </w:tcPr>
          <w:p w14:paraId="0AC60927" w14:textId="77777777" w:rsidR="00184F1B" w:rsidRPr="007B60BF" w:rsidRDefault="00184F1B" w:rsidP="00184F1B">
            <w:pPr>
              <w:rPr>
                <w:b/>
                <w:bCs/>
              </w:rPr>
            </w:pPr>
            <w:r w:rsidRPr="007B60BF">
              <w:rPr>
                <w:b/>
                <w:bCs/>
              </w:rPr>
              <w:t> </w:t>
            </w:r>
          </w:p>
        </w:tc>
        <w:tc>
          <w:tcPr>
            <w:tcW w:w="1111" w:type="pct"/>
            <w:tcBorders>
              <w:top w:val="nil"/>
              <w:left w:val="nil"/>
              <w:bottom w:val="double" w:sz="6" w:space="0" w:color="auto"/>
              <w:right w:val="nil"/>
            </w:tcBorders>
            <w:shd w:val="clear" w:color="000000" w:fill="FFFFFF"/>
          </w:tcPr>
          <w:p w14:paraId="7C44E0E0" w14:textId="75659FD3" w:rsidR="00184F1B" w:rsidRPr="007B60BF" w:rsidRDefault="00184F1B" w:rsidP="00184F1B">
            <w:pPr>
              <w:jc w:val="right"/>
              <w:rPr>
                <w:b/>
              </w:rPr>
            </w:pPr>
            <w:r w:rsidRPr="007B60BF">
              <w:rPr>
                <w:b/>
              </w:rPr>
              <w:t>237.037</w:t>
            </w:r>
          </w:p>
        </w:tc>
      </w:tr>
      <w:bookmarkEnd w:id="24"/>
    </w:tbl>
    <w:p w14:paraId="5B67B7D5" w14:textId="77777777" w:rsidR="0036569A" w:rsidRPr="007B60BF" w:rsidRDefault="0036569A" w:rsidP="002A2DA7">
      <w:pPr>
        <w:jc w:val="both"/>
      </w:pPr>
    </w:p>
    <w:p w14:paraId="05822CAF" w14:textId="2A3A8001" w:rsidR="00115BDC" w:rsidRPr="007B60BF" w:rsidRDefault="00115BDC" w:rsidP="00115BDC">
      <w:pPr>
        <w:jc w:val="both"/>
      </w:pPr>
      <w:r w:rsidRPr="007B60BF">
        <w:t>A conta banco</w:t>
      </w:r>
      <w:r w:rsidR="008922FA" w:rsidRPr="007B60BF">
        <w:t>s – conta corrente – é composta</w:t>
      </w:r>
      <w:r w:rsidRPr="007B60BF">
        <w:t>, desde janeiro de 2025, por depósitos re</w:t>
      </w:r>
      <w:r w:rsidR="00983ABB" w:rsidRPr="007B60BF">
        <w:t>cebidos da Secretaria da Saúde</w:t>
      </w:r>
      <w:r w:rsidR="00184F1B" w:rsidRPr="007B60BF">
        <w:t xml:space="preserve"> no Banrisul</w:t>
      </w:r>
      <w:r w:rsidRPr="007B60BF">
        <w:t xml:space="preserve">, conforme Termo FPE nº 4857/2024 - Processo nº 24/2000-0051889-5 e Termo FPE nº 5703/2024 - Processo 24/2000-0025583-5 respectivamente. O recurso é destinado ao projeto </w:t>
      </w:r>
      <w:r w:rsidR="00B87310" w:rsidRPr="007B60BF">
        <w:t xml:space="preserve">do Centro Integrado de Oncologia – </w:t>
      </w:r>
      <w:r w:rsidRPr="007B60BF">
        <w:t>CIONCO. </w:t>
      </w:r>
    </w:p>
    <w:p w14:paraId="7853AFDC" w14:textId="77777777" w:rsidR="00115BDC" w:rsidRPr="007B60BF" w:rsidRDefault="00115BDC" w:rsidP="00115BDC">
      <w:pPr>
        <w:jc w:val="both"/>
      </w:pPr>
    </w:p>
    <w:p w14:paraId="7E28394F" w14:textId="0BE1D80F" w:rsidR="002A2DA7" w:rsidRPr="007B60BF" w:rsidRDefault="00B87310" w:rsidP="002A2DA7">
      <w:pPr>
        <w:jc w:val="both"/>
        <w:rPr>
          <w:color w:val="FF0000"/>
        </w:rPr>
      </w:pPr>
      <w:r w:rsidRPr="007B60BF">
        <w:t>Já a</w:t>
      </w:r>
      <w:r w:rsidR="00744C61" w:rsidRPr="007B60BF">
        <w:t xml:space="preserve"> conta limite de saque é composta pelo saldo dos recursos públicos vinculados a convênios ou recursos especiais que não podem ser aplicados em Fundos de Curto Prazo. Estes recurs</w:t>
      </w:r>
      <w:r w:rsidR="00EC3FA0" w:rsidRPr="007B60BF">
        <w:t>os estão disponíveis para pagar</w:t>
      </w:r>
      <w:r w:rsidR="00744C61" w:rsidRPr="007B60BF">
        <w:t xml:space="preserve"> despesas de capital ou </w:t>
      </w:r>
      <w:r w:rsidR="00443B0B" w:rsidRPr="007B60BF">
        <w:t xml:space="preserve">de </w:t>
      </w:r>
      <w:r w:rsidR="00744C61" w:rsidRPr="007B60BF">
        <w:t>custeio.</w:t>
      </w:r>
      <w:r w:rsidR="002364ED" w:rsidRPr="007B60BF">
        <w:t xml:space="preserve"> </w:t>
      </w:r>
      <w:r w:rsidR="008922FA" w:rsidRPr="007B60BF">
        <w:t>A variação dos saldos de 2024 para 2025 ocorre parcialmente pelo aumento dos recursos recebidos do SUS, destinados a pagar despesas com vencimentos em 2026, pelo aumento de recursos recebidos destinados para a folha de pagamento, a ser paga no primeiro dia útil de janeiro de 2026, e a recursos aplicados oriundos dos termos FPE com a Secretaria da Saúde</w:t>
      </w:r>
      <w:r w:rsidR="00EF6914" w:rsidRPr="007B60BF">
        <w:t xml:space="preserve"> citada no parágrafo anterior</w:t>
      </w:r>
      <w:r w:rsidR="008922FA" w:rsidRPr="007B60BF">
        <w:t>, destinados a despesas de capital com vencimentos em 2026.</w:t>
      </w:r>
    </w:p>
    <w:p w14:paraId="2A4C55B7" w14:textId="47D139E2" w:rsidR="00EC3527" w:rsidRPr="007B60BF" w:rsidRDefault="00EC3527" w:rsidP="002A2DA7">
      <w:pPr>
        <w:jc w:val="both"/>
        <w:rPr>
          <w:rFonts w:ascii="Arial" w:hAnsi="Arial" w:cs="Arial"/>
          <w:color w:val="FF0000"/>
          <w:shd w:val="clear" w:color="auto" w:fill="FFFFFF"/>
        </w:rPr>
      </w:pPr>
    </w:p>
    <w:p w14:paraId="62C8F512" w14:textId="77777777" w:rsidR="00EC3527" w:rsidRPr="007B60BF" w:rsidRDefault="00EC3527" w:rsidP="002A2DA7">
      <w:pPr>
        <w:jc w:val="both"/>
        <w:rPr>
          <w:color w:val="FF0000"/>
        </w:rPr>
      </w:pPr>
    </w:p>
    <w:p w14:paraId="21065ED2" w14:textId="19AF7F63" w:rsidR="00B20F98" w:rsidRPr="007B60BF" w:rsidRDefault="005963AE" w:rsidP="00086B22">
      <w:pPr>
        <w:pStyle w:val="Ttulo1"/>
        <w:numPr>
          <w:ilvl w:val="0"/>
          <w:numId w:val="5"/>
        </w:numPr>
        <w:ind w:left="0" w:hanging="567"/>
        <w:jc w:val="left"/>
      </w:pPr>
      <w:bookmarkStart w:id="25" w:name="_Ref457927885"/>
      <w:bookmarkStart w:id="26" w:name="_Toc223007855"/>
      <w:r w:rsidRPr="007B60BF">
        <w:t>Créditos de Fornecimento de Serviços</w:t>
      </w:r>
      <w:bookmarkEnd w:id="25"/>
      <w:bookmarkEnd w:id="26"/>
    </w:p>
    <w:p w14:paraId="7F8F392B" w14:textId="77777777" w:rsidR="00BC2E1B" w:rsidRPr="007B60BF" w:rsidRDefault="00BC2E1B" w:rsidP="00BC2E1B"/>
    <w:tbl>
      <w:tblPr>
        <w:tblW w:w="5001" w:type="pct"/>
        <w:tblCellMar>
          <w:left w:w="70" w:type="dxa"/>
          <w:right w:w="70" w:type="dxa"/>
        </w:tblCellMar>
        <w:tblLook w:val="04A0" w:firstRow="1" w:lastRow="0" w:firstColumn="1" w:lastColumn="0" w:noHBand="0" w:noVBand="1"/>
      </w:tblPr>
      <w:tblGrid>
        <w:gridCol w:w="4820"/>
        <w:gridCol w:w="2069"/>
        <w:gridCol w:w="250"/>
        <w:gridCol w:w="1934"/>
      </w:tblGrid>
      <w:tr w:rsidR="007722B4" w:rsidRPr="007B60BF" w14:paraId="5A0C7974" w14:textId="77777777" w:rsidTr="00A40719">
        <w:tc>
          <w:tcPr>
            <w:tcW w:w="2656" w:type="pct"/>
            <w:tcBorders>
              <w:top w:val="nil"/>
              <w:left w:val="nil"/>
              <w:bottom w:val="nil"/>
              <w:right w:val="nil"/>
            </w:tcBorders>
            <w:shd w:val="clear" w:color="000000" w:fill="FFFFFF"/>
            <w:vAlign w:val="center"/>
            <w:hideMark/>
          </w:tcPr>
          <w:p w14:paraId="4F4AB7DA" w14:textId="77777777" w:rsidR="007722B4" w:rsidRPr="007B60BF" w:rsidRDefault="007722B4" w:rsidP="007722B4">
            <w:pPr>
              <w:rPr>
                <w:b/>
              </w:rPr>
            </w:pPr>
            <w:r w:rsidRPr="007B60BF">
              <w:rPr>
                <w:b/>
              </w:rPr>
              <w:t> </w:t>
            </w:r>
          </w:p>
        </w:tc>
        <w:tc>
          <w:tcPr>
            <w:tcW w:w="1140" w:type="pct"/>
            <w:tcBorders>
              <w:top w:val="nil"/>
              <w:left w:val="nil"/>
              <w:bottom w:val="single" w:sz="8" w:space="0" w:color="auto"/>
              <w:right w:val="nil"/>
            </w:tcBorders>
            <w:shd w:val="clear" w:color="000000" w:fill="FFFFFF"/>
            <w:vAlign w:val="center"/>
            <w:hideMark/>
          </w:tcPr>
          <w:p w14:paraId="007C0FA0" w14:textId="4538DA20" w:rsidR="007722B4" w:rsidRPr="007B60BF" w:rsidRDefault="00F85C9A" w:rsidP="00590EEE">
            <w:pPr>
              <w:jc w:val="right"/>
              <w:rPr>
                <w:b/>
                <w:bCs/>
              </w:rPr>
            </w:pPr>
            <w:r w:rsidRPr="007B60BF">
              <w:rPr>
                <w:b/>
                <w:bCs/>
              </w:rPr>
              <w:t>31/12/2025</w:t>
            </w:r>
          </w:p>
        </w:tc>
        <w:tc>
          <w:tcPr>
            <w:tcW w:w="138" w:type="pct"/>
            <w:tcBorders>
              <w:top w:val="nil"/>
              <w:left w:val="nil"/>
              <w:bottom w:val="nil"/>
              <w:right w:val="nil"/>
            </w:tcBorders>
            <w:shd w:val="clear" w:color="000000" w:fill="FFFFFF"/>
            <w:vAlign w:val="center"/>
            <w:hideMark/>
          </w:tcPr>
          <w:p w14:paraId="3270100B" w14:textId="77777777" w:rsidR="007722B4" w:rsidRPr="007B60BF" w:rsidRDefault="007722B4" w:rsidP="007722B4">
            <w:pPr>
              <w:jc w:val="right"/>
              <w:rPr>
                <w:b/>
                <w:bCs/>
              </w:rPr>
            </w:pPr>
            <w:r w:rsidRPr="007B60BF">
              <w:rPr>
                <w:b/>
                <w:bCs/>
              </w:rPr>
              <w:t> </w:t>
            </w:r>
          </w:p>
        </w:tc>
        <w:tc>
          <w:tcPr>
            <w:tcW w:w="1066" w:type="pct"/>
            <w:tcBorders>
              <w:top w:val="nil"/>
              <w:left w:val="nil"/>
              <w:bottom w:val="single" w:sz="8" w:space="0" w:color="auto"/>
              <w:right w:val="nil"/>
            </w:tcBorders>
            <w:vAlign w:val="center"/>
          </w:tcPr>
          <w:p w14:paraId="3B78037D" w14:textId="75AAB7F4" w:rsidR="007722B4" w:rsidRPr="007B60BF" w:rsidRDefault="007722B4" w:rsidP="007722B4">
            <w:pPr>
              <w:jc w:val="right"/>
              <w:rPr>
                <w:b/>
              </w:rPr>
            </w:pPr>
            <w:r w:rsidRPr="007B60BF">
              <w:rPr>
                <w:b/>
                <w:bCs/>
              </w:rPr>
              <w:t>31/12/2024</w:t>
            </w:r>
          </w:p>
        </w:tc>
      </w:tr>
      <w:tr w:rsidR="00983ABB" w:rsidRPr="007B60BF" w14:paraId="6CA15E45" w14:textId="77777777" w:rsidTr="00A40719">
        <w:tc>
          <w:tcPr>
            <w:tcW w:w="2656" w:type="pct"/>
            <w:tcBorders>
              <w:top w:val="nil"/>
              <w:left w:val="nil"/>
              <w:bottom w:val="nil"/>
              <w:right w:val="nil"/>
            </w:tcBorders>
            <w:shd w:val="clear" w:color="000000" w:fill="FFFFFF"/>
            <w:vAlign w:val="center"/>
            <w:hideMark/>
          </w:tcPr>
          <w:p w14:paraId="2B9C2DF2" w14:textId="77777777" w:rsidR="00983ABB" w:rsidRPr="007B60BF" w:rsidRDefault="00983ABB" w:rsidP="00983ABB">
            <w:r w:rsidRPr="007B60BF">
              <w:t>Sistema Único de Saúde (SUS)</w:t>
            </w:r>
          </w:p>
        </w:tc>
        <w:tc>
          <w:tcPr>
            <w:tcW w:w="1140" w:type="pct"/>
            <w:tcBorders>
              <w:top w:val="nil"/>
              <w:left w:val="nil"/>
              <w:bottom w:val="nil"/>
              <w:right w:val="nil"/>
            </w:tcBorders>
            <w:shd w:val="clear" w:color="auto" w:fill="auto"/>
          </w:tcPr>
          <w:p w14:paraId="219B7422" w14:textId="1EA48984" w:rsidR="00983ABB" w:rsidRPr="007B60BF" w:rsidRDefault="00B65718" w:rsidP="00983ABB">
            <w:pPr>
              <w:jc w:val="right"/>
            </w:pPr>
            <w:r w:rsidRPr="007B60BF">
              <w:t>57.558</w:t>
            </w:r>
          </w:p>
        </w:tc>
        <w:tc>
          <w:tcPr>
            <w:tcW w:w="138" w:type="pct"/>
            <w:tcBorders>
              <w:top w:val="nil"/>
              <w:left w:val="nil"/>
              <w:bottom w:val="nil"/>
              <w:right w:val="nil"/>
            </w:tcBorders>
            <w:shd w:val="clear" w:color="000000" w:fill="FFFFFF"/>
            <w:vAlign w:val="center"/>
            <w:hideMark/>
          </w:tcPr>
          <w:p w14:paraId="63C3004F" w14:textId="77777777" w:rsidR="00983ABB" w:rsidRPr="007B60BF" w:rsidRDefault="00983ABB" w:rsidP="00983ABB">
            <w:pPr>
              <w:jc w:val="right"/>
            </w:pPr>
            <w:r w:rsidRPr="007B60BF">
              <w:t> </w:t>
            </w:r>
          </w:p>
        </w:tc>
        <w:tc>
          <w:tcPr>
            <w:tcW w:w="1066" w:type="pct"/>
            <w:tcBorders>
              <w:top w:val="nil"/>
              <w:left w:val="nil"/>
              <w:bottom w:val="nil"/>
              <w:right w:val="nil"/>
            </w:tcBorders>
          </w:tcPr>
          <w:p w14:paraId="2E4CE2DB" w14:textId="316013A3" w:rsidR="00983ABB" w:rsidRPr="007B60BF" w:rsidRDefault="00983ABB" w:rsidP="00983ABB">
            <w:pPr>
              <w:jc w:val="right"/>
            </w:pPr>
            <w:r w:rsidRPr="007B60BF">
              <w:t>42.318</w:t>
            </w:r>
          </w:p>
        </w:tc>
      </w:tr>
      <w:tr w:rsidR="00983ABB" w:rsidRPr="007B60BF" w14:paraId="106EA0B3" w14:textId="77777777" w:rsidTr="00A40719">
        <w:tc>
          <w:tcPr>
            <w:tcW w:w="2656" w:type="pct"/>
            <w:tcBorders>
              <w:top w:val="nil"/>
              <w:left w:val="nil"/>
              <w:bottom w:val="nil"/>
              <w:right w:val="nil"/>
            </w:tcBorders>
            <w:shd w:val="clear" w:color="000000" w:fill="FFFFFF"/>
            <w:vAlign w:val="center"/>
            <w:hideMark/>
          </w:tcPr>
          <w:p w14:paraId="05AA775A" w14:textId="77777777" w:rsidR="00983ABB" w:rsidRPr="007B60BF" w:rsidRDefault="00983ABB" w:rsidP="00983ABB">
            <w:r w:rsidRPr="007B60BF">
              <w:t>Convênios Privados</w:t>
            </w:r>
          </w:p>
        </w:tc>
        <w:tc>
          <w:tcPr>
            <w:tcW w:w="1140" w:type="pct"/>
            <w:tcBorders>
              <w:top w:val="nil"/>
              <w:left w:val="nil"/>
              <w:bottom w:val="nil"/>
              <w:right w:val="nil"/>
            </w:tcBorders>
            <w:shd w:val="clear" w:color="auto" w:fill="auto"/>
          </w:tcPr>
          <w:p w14:paraId="77B17BF4" w14:textId="0429D078" w:rsidR="00983ABB" w:rsidRPr="007B60BF" w:rsidRDefault="00B65718" w:rsidP="00983ABB">
            <w:pPr>
              <w:jc w:val="right"/>
            </w:pPr>
            <w:r w:rsidRPr="007B60BF">
              <w:t>13.131</w:t>
            </w:r>
          </w:p>
        </w:tc>
        <w:tc>
          <w:tcPr>
            <w:tcW w:w="138" w:type="pct"/>
            <w:tcBorders>
              <w:top w:val="nil"/>
              <w:left w:val="nil"/>
              <w:bottom w:val="nil"/>
              <w:right w:val="nil"/>
            </w:tcBorders>
            <w:shd w:val="clear" w:color="000000" w:fill="FFFFFF"/>
            <w:vAlign w:val="center"/>
            <w:hideMark/>
          </w:tcPr>
          <w:p w14:paraId="6EED2BAF" w14:textId="77777777" w:rsidR="00983ABB" w:rsidRPr="007B60BF" w:rsidRDefault="00983ABB" w:rsidP="00983ABB">
            <w:pPr>
              <w:jc w:val="right"/>
            </w:pPr>
            <w:r w:rsidRPr="007B60BF">
              <w:t> </w:t>
            </w:r>
          </w:p>
        </w:tc>
        <w:tc>
          <w:tcPr>
            <w:tcW w:w="1066" w:type="pct"/>
            <w:tcBorders>
              <w:top w:val="nil"/>
              <w:left w:val="nil"/>
              <w:bottom w:val="nil"/>
              <w:right w:val="nil"/>
            </w:tcBorders>
          </w:tcPr>
          <w:p w14:paraId="79199C17" w14:textId="4DDE21C4" w:rsidR="00983ABB" w:rsidRPr="007B60BF" w:rsidRDefault="00983ABB" w:rsidP="00983ABB">
            <w:pPr>
              <w:jc w:val="right"/>
            </w:pPr>
            <w:r w:rsidRPr="007B60BF">
              <w:t>14.980</w:t>
            </w:r>
          </w:p>
        </w:tc>
      </w:tr>
      <w:tr w:rsidR="00983ABB" w:rsidRPr="007B60BF" w14:paraId="7B778AEA" w14:textId="77777777" w:rsidTr="00A40719">
        <w:tc>
          <w:tcPr>
            <w:tcW w:w="2656" w:type="pct"/>
            <w:tcBorders>
              <w:top w:val="nil"/>
              <w:left w:val="nil"/>
              <w:bottom w:val="nil"/>
              <w:right w:val="nil"/>
            </w:tcBorders>
            <w:shd w:val="clear" w:color="000000" w:fill="FFFFFF"/>
            <w:vAlign w:val="center"/>
            <w:hideMark/>
          </w:tcPr>
          <w:p w14:paraId="7F17A7EC" w14:textId="77777777" w:rsidR="00983ABB" w:rsidRPr="007B60BF" w:rsidRDefault="00983ABB" w:rsidP="00983ABB">
            <w:r w:rsidRPr="007B60BF">
              <w:t>Clientes Particulares</w:t>
            </w:r>
          </w:p>
        </w:tc>
        <w:tc>
          <w:tcPr>
            <w:tcW w:w="1140" w:type="pct"/>
            <w:tcBorders>
              <w:top w:val="nil"/>
              <w:left w:val="nil"/>
              <w:bottom w:val="nil"/>
              <w:right w:val="nil"/>
            </w:tcBorders>
            <w:shd w:val="clear" w:color="auto" w:fill="auto"/>
          </w:tcPr>
          <w:p w14:paraId="49921214" w14:textId="3E18FCEE" w:rsidR="00983ABB" w:rsidRPr="007B60BF" w:rsidRDefault="00B65718" w:rsidP="00983ABB">
            <w:pPr>
              <w:jc w:val="right"/>
            </w:pPr>
            <w:r w:rsidRPr="007B60BF">
              <w:t>8.390</w:t>
            </w:r>
          </w:p>
        </w:tc>
        <w:tc>
          <w:tcPr>
            <w:tcW w:w="138" w:type="pct"/>
            <w:tcBorders>
              <w:top w:val="nil"/>
              <w:left w:val="nil"/>
              <w:bottom w:val="nil"/>
              <w:right w:val="nil"/>
            </w:tcBorders>
            <w:shd w:val="clear" w:color="000000" w:fill="FFFFFF"/>
            <w:vAlign w:val="center"/>
            <w:hideMark/>
          </w:tcPr>
          <w:p w14:paraId="03CC6129" w14:textId="77777777" w:rsidR="00983ABB" w:rsidRPr="007B60BF" w:rsidRDefault="00983ABB" w:rsidP="00983ABB">
            <w:pPr>
              <w:jc w:val="right"/>
            </w:pPr>
            <w:r w:rsidRPr="007B60BF">
              <w:t> </w:t>
            </w:r>
          </w:p>
        </w:tc>
        <w:tc>
          <w:tcPr>
            <w:tcW w:w="1066" w:type="pct"/>
            <w:tcBorders>
              <w:top w:val="nil"/>
              <w:left w:val="nil"/>
              <w:bottom w:val="nil"/>
              <w:right w:val="nil"/>
            </w:tcBorders>
          </w:tcPr>
          <w:p w14:paraId="43409AD5" w14:textId="5DC235F7" w:rsidR="00983ABB" w:rsidRPr="007B60BF" w:rsidRDefault="00983ABB" w:rsidP="00983ABB">
            <w:pPr>
              <w:jc w:val="right"/>
            </w:pPr>
            <w:r w:rsidRPr="007B60BF">
              <w:t>6.549</w:t>
            </w:r>
          </w:p>
        </w:tc>
      </w:tr>
      <w:tr w:rsidR="007829F9" w:rsidRPr="007B60BF" w14:paraId="136A14F7" w14:textId="77777777" w:rsidTr="00A40719">
        <w:tc>
          <w:tcPr>
            <w:tcW w:w="2656" w:type="pct"/>
            <w:tcBorders>
              <w:top w:val="nil"/>
              <w:left w:val="nil"/>
              <w:bottom w:val="nil"/>
              <w:right w:val="nil"/>
            </w:tcBorders>
            <w:shd w:val="clear" w:color="000000" w:fill="FFFFFF"/>
            <w:vAlign w:val="center"/>
          </w:tcPr>
          <w:p w14:paraId="147CC735" w14:textId="51F48496" w:rsidR="007829F9" w:rsidRPr="007B60BF" w:rsidRDefault="00961657" w:rsidP="00983ABB">
            <w:r w:rsidRPr="007B60BF">
              <w:t>Pesquisa</w:t>
            </w:r>
          </w:p>
        </w:tc>
        <w:tc>
          <w:tcPr>
            <w:tcW w:w="1140" w:type="pct"/>
            <w:tcBorders>
              <w:top w:val="nil"/>
              <w:left w:val="nil"/>
              <w:bottom w:val="nil"/>
              <w:right w:val="nil"/>
            </w:tcBorders>
            <w:shd w:val="clear" w:color="auto" w:fill="auto"/>
          </w:tcPr>
          <w:p w14:paraId="11F30862" w14:textId="5CC7C8CD" w:rsidR="007829F9" w:rsidRPr="007B60BF" w:rsidRDefault="00961657" w:rsidP="00983ABB">
            <w:pPr>
              <w:jc w:val="right"/>
            </w:pPr>
            <w:r w:rsidRPr="007B60BF">
              <w:t>2.650</w:t>
            </w:r>
          </w:p>
        </w:tc>
        <w:tc>
          <w:tcPr>
            <w:tcW w:w="138" w:type="pct"/>
            <w:tcBorders>
              <w:top w:val="nil"/>
              <w:left w:val="nil"/>
              <w:bottom w:val="nil"/>
              <w:right w:val="nil"/>
            </w:tcBorders>
            <w:shd w:val="clear" w:color="000000" w:fill="FFFFFF"/>
            <w:vAlign w:val="center"/>
          </w:tcPr>
          <w:p w14:paraId="3395600F" w14:textId="77777777" w:rsidR="007829F9" w:rsidRPr="007B60BF" w:rsidRDefault="007829F9" w:rsidP="00983ABB">
            <w:pPr>
              <w:jc w:val="right"/>
            </w:pPr>
          </w:p>
        </w:tc>
        <w:tc>
          <w:tcPr>
            <w:tcW w:w="1066" w:type="pct"/>
            <w:tcBorders>
              <w:top w:val="nil"/>
              <w:left w:val="nil"/>
              <w:bottom w:val="nil"/>
              <w:right w:val="nil"/>
            </w:tcBorders>
          </w:tcPr>
          <w:p w14:paraId="0492EBBB" w14:textId="57C36190" w:rsidR="007829F9" w:rsidRPr="007B60BF" w:rsidRDefault="00B61EDA" w:rsidP="00983ABB">
            <w:pPr>
              <w:jc w:val="right"/>
            </w:pPr>
            <w:r w:rsidRPr="007B60BF">
              <w:t>352</w:t>
            </w:r>
          </w:p>
        </w:tc>
      </w:tr>
      <w:tr w:rsidR="007829F9" w:rsidRPr="007B60BF" w14:paraId="16CE9C99" w14:textId="77777777" w:rsidTr="00A40719">
        <w:tc>
          <w:tcPr>
            <w:tcW w:w="2656" w:type="pct"/>
            <w:tcBorders>
              <w:top w:val="nil"/>
              <w:left w:val="nil"/>
              <w:bottom w:val="nil"/>
              <w:right w:val="nil"/>
            </w:tcBorders>
            <w:shd w:val="clear" w:color="000000" w:fill="FFFFFF"/>
            <w:vAlign w:val="center"/>
          </w:tcPr>
          <w:p w14:paraId="4A7B6175" w14:textId="29236E71" w:rsidR="007829F9" w:rsidRPr="007B60BF" w:rsidRDefault="00555B80" w:rsidP="00983ABB">
            <w:r w:rsidRPr="007B60BF">
              <w:t>Fundação Médica do Rio Grande do Sul - PDIs</w:t>
            </w:r>
          </w:p>
        </w:tc>
        <w:tc>
          <w:tcPr>
            <w:tcW w:w="1140" w:type="pct"/>
            <w:tcBorders>
              <w:top w:val="nil"/>
              <w:left w:val="nil"/>
              <w:bottom w:val="nil"/>
              <w:right w:val="nil"/>
            </w:tcBorders>
            <w:shd w:val="clear" w:color="auto" w:fill="auto"/>
          </w:tcPr>
          <w:p w14:paraId="7A568F3B" w14:textId="11112402" w:rsidR="007829F9" w:rsidRPr="007B60BF" w:rsidRDefault="00B61EDA" w:rsidP="00983ABB">
            <w:pPr>
              <w:jc w:val="right"/>
            </w:pPr>
            <w:r w:rsidRPr="007B60BF">
              <w:t>4.284</w:t>
            </w:r>
          </w:p>
        </w:tc>
        <w:tc>
          <w:tcPr>
            <w:tcW w:w="138" w:type="pct"/>
            <w:tcBorders>
              <w:top w:val="nil"/>
              <w:left w:val="nil"/>
              <w:bottom w:val="nil"/>
              <w:right w:val="nil"/>
            </w:tcBorders>
            <w:shd w:val="clear" w:color="000000" w:fill="FFFFFF"/>
            <w:vAlign w:val="center"/>
          </w:tcPr>
          <w:p w14:paraId="65C1C072" w14:textId="77777777" w:rsidR="007829F9" w:rsidRPr="007B60BF" w:rsidRDefault="007829F9" w:rsidP="00983ABB">
            <w:pPr>
              <w:jc w:val="right"/>
            </w:pPr>
          </w:p>
        </w:tc>
        <w:tc>
          <w:tcPr>
            <w:tcW w:w="1066" w:type="pct"/>
            <w:tcBorders>
              <w:top w:val="nil"/>
              <w:left w:val="nil"/>
              <w:bottom w:val="nil"/>
              <w:right w:val="nil"/>
            </w:tcBorders>
          </w:tcPr>
          <w:p w14:paraId="5500B28D" w14:textId="3A6BAB52" w:rsidR="007829F9" w:rsidRPr="007B60BF" w:rsidRDefault="00184F1B" w:rsidP="00983ABB">
            <w:pPr>
              <w:jc w:val="right"/>
            </w:pPr>
            <w:r w:rsidRPr="007B60BF">
              <w:t>3.241</w:t>
            </w:r>
          </w:p>
        </w:tc>
      </w:tr>
      <w:tr w:rsidR="00A40719" w:rsidRPr="007B60BF" w14:paraId="03CAB408" w14:textId="77777777" w:rsidTr="00A40719">
        <w:tc>
          <w:tcPr>
            <w:tcW w:w="2656" w:type="pct"/>
            <w:tcBorders>
              <w:top w:val="nil"/>
              <w:left w:val="nil"/>
              <w:bottom w:val="nil"/>
              <w:right w:val="nil"/>
            </w:tcBorders>
            <w:shd w:val="clear" w:color="000000" w:fill="FFFFFF"/>
            <w:vAlign w:val="center"/>
            <w:hideMark/>
          </w:tcPr>
          <w:p w14:paraId="34191DDB" w14:textId="77777777" w:rsidR="00A40719" w:rsidRPr="007B60BF" w:rsidRDefault="00A40719" w:rsidP="00A40719">
            <w:r w:rsidRPr="007B60BF">
              <w:t>Créditos Diversos</w:t>
            </w:r>
          </w:p>
        </w:tc>
        <w:tc>
          <w:tcPr>
            <w:tcW w:w="1140" w:type="pct"/>
            <w:tcBorders>
              <w:top w:val="nil"/>
              <w:left w:val="nil"/>
              <w:bottom w:val="single" w:sz="8" w:space="0" w:color="auto"/>
              <w:right w:val="nil"/>
            </w:tcBorders>
            <w:shd w:val="clear" w:color="000000" w:fill="FFFFFF"/>
          </w:tcPr>
          <w:p w14:paraId="429B354C" w14:textId="471B64C4" w:rsidR="00A40719" w:rsidRPr="007B60BF" w:rsidRDefault="00A40719" w:rsidP="00A40719">
            <w:pPr>
              <w:jc w:val="right"/>
              <w:rPr>
                <w:color w:val="FF0000"/>
              </w:rPr>
            </w:pPr>
            <w:r w:rsidRPr="007B60BF">
              <w:t>806</w:t>
            </w:r>
          </w:p>
        </w:tc>
        <w:tc>
          <w:tcPr>
            <w:tcW w:w="138" w:type="pct"/>
            <w:tcBorders>
              <w:top w:val="nil"/>
              <w:left w:val="nil"/>
              <w:bottom w:val="nil"/>
              <w:right w:val="nil"/>
            </w:tcBorders>
            <w:shd w:val="clear" w:color="000000" w:fill="FFFFFF"/>
          </w:tcPr>
          <w:p w14:paraId="57587D2C" w14:textId="695A7259" w:rsidR="00A40719" w:rsidRPr="007B60BF" w:rsidRDefault="00A40719" w:rsidP="00A40719">
            <w:pPr>
              <w:jc w:val="right"/>
              <w:rPr>
                <w:color w:val="FF0000"/>
              </w:rPr>
            </w:pPr>
          </w:p>
        </w:tc>
        <w:tc>
          <w:tcPr>
            <w:tcW w:w="1066" w:type="pct"/>
            <w:tcBorders>
              <w:top w:val="nil"/>
              <w:left w:val="nil"/>
              <w:bottom w:val="single" w:sz="8" w:space="0" w:color="auto"/>
              <w:right w:val="nil"/>
            </w:tcBorders>
          </w:tcPr>
          <w:p w14:paraId="05D94752" w14:textId="00F59164" w:rsidR="00A40719" w:rsidRPr="007B60BF" w:rsidRDefault="00A40719" w:rsidP="00A40719">
            <w:pPr>
              <w:jc w:val="right"/>
            </w:pPr>
            <w:r w:rsidRPr="007B60BF">
              <w:t>1.045</w:t>
            </w:r>
          </w:p>
        </w:tc>
      </w:tr>
      <w:tr w:rsidR="007722B4" w:rsidRPr="007B60BF" w14:paraId="7BAD8E25" w14:textId="77777777" w:rsidTr="00A40719">
        <w:tc>
          <w:tcPr>
            <w:tcW w:w="2656" w:type="pct"/>
            <w:tcBorders>
              <w:top w:val="nil"/>
              <w:left w:val="nil"/>
              <w:bottom w:val="nil"/>
              <w:right w:val="nil"/>
            </w:tcBorders>
            <w:shd w:val="clear" w:color="000000" w:fill="FFFFFF"/>
            <w:vAlign w:val="center"/>
            <w:hideMark/>
          </w:tcPr>
          <w:p w14:paraId="12693867" w14:textId="77777777" w:rsidR="007722B4" w:rsidRPr="007B60BF" w:rsidRDefault="007722B4" w:rsidP="007722B4">
            <w:pPr>
              <w:rPr>
                <w:b/>
                <w:bCs/>
              </w:rPr>
            </w:pPr>
            <w:r w:rsidRPr="007B60BF">
              <w:rPr>
                <w:b/>
                <w:bCs/>
              </w:rPr>
              <w:t>Subtotal</w:t>
            </w:r>
          </w:p>
        </w:tc>
        <w:tc>
          <w:tcPr>
            <w:tcW w:w="1140" w:type="pct"/>
            <w:tcBorders>
              <w:top w:val="nil"/>
              <w:left w:val="nil"/>
              <w:bottom w:val="single" w:sz="8" w:space="0" w:color="auto"/>
              <w:right w:val="nil"/>
            </w:tcBorders>
            <w:shd w:val="clear" w:color="000000" w:fill="FFFFFF"/>
          </w:tcPr>
          <w:p w14:paraId="69A5824F" w14:textId="691935F4" w:rsidR="007722B4" w:rsidRPr="007B60BF" w:rsidRDefault="00670850" w:rsidP="00983ABB">
            <w:pPr>
              <w:jc w:val="right"/>
              <w:rPr>
                <w:b/>
              </w:rPr>
            </w:pPr>
            <w:r w:rsidRPr="007B60BF">
              <w:rPr>
                <w:b/>
              </w:rPr>
              <w:t>86.819</w:t>
            </w:r>
          </w:p>
        </w:tc>
        <w:tc>
          <w:tcPr>
            <w:tcW w:w="138" w:type="pct"/>
            <w:tcBorders>
              <w:top w:val="nil"/>
              <w:left w:val="nil"/>
              <w:bottom w:val="nil"/>
              <w:right w:val="nil"/>
            </w:tcBorders>
            <w:shd w:val="clear" w:color="000000" w:fill="FFFFFF"/>
            <w:vAlign w:val="center"/>
            <w:hideMark/>
          </w:tcPr>
          <w:p w14:paraId="0D850810" w14:textId="77777777" w:rsidR="007722B4" w:rsidRPr="007B60BF" w:rsidRDefault="007722B4" w:rsidP="007722B4">
            <w:pPr>
              <w:jc w:val="right"/>
              <w:rPr>
                <w:b/>
                <w:bCs/>
              </w:rPr>
            </w:pPr>
            <w:r w:rsidRPr="007B60BF">
              <w:rPr>
                <w:b/>
                <w:bCs/>
              </w:rPr>
              <w:t> </w:t>
            </w:r>
          </w:p>
        </w:tc>
        <w:tc>
          <w:tcPr>
            <w:tcW w:w="1066" w:type="pct"/>
            <w:tcBorders>
              <w:top w:val="nil"/>
              <w:left w:val="nil"/>
              <w:bottom w:val="single" w:sz="8" w:space="0" w:color="auto"/>
              <w:right w:val="nil"/>
            </w:tcBorders>
          </w:tcPr>
          <w:p w14:paraId="22580EE7" w14:textId="7025B09E" w:rsidR="007722B4" w:rsidRPr="007B60BF" w:rsidRDefault="007722B4" w:rsidP="007722B4">
            <w:pPr>
              <w:jc w:val="right"/>
              <w:rPr>
                <w:b/>
              </w:rPr>
            </w:pPr>
            <w:r w:rsidRPr="007B60BF">
              <w:rPr>
                <w:b/>
              </w:rPr>
              <w:t>68.485</w:t>
            </w:r>
          </w:p>
        </w:tc>
      </w:tr>
      <w:tr w:rsidR="007722B4" w:rsidRPr="007B60BF" w14:paraId="65F0C4D5" w14:textId="77777777" w:rsidTr="00A40719">
        <w:tc>
          <w:tcPr>
            <w:tcW w:w="2656" w:type="pct"/>
            <w:tcBorders>
              <w:top w:val="nil"/>
              <w:left w:val="nil"/>
              <w:bottom w:val="nil"/>
              <w:right w:val="nil"/>
            </w:tcBorders>
            <w:shd w:val="clear" w:color="000000" w:fill="FFFFFF"/>
            <w:vAlign w:val="center"/>
            <w:hideMark/>
          </w:tcPr>
          <w:p w14:paraId="4C33102F" w14:textId="77777777" w:rsidR="007722B4" w:rsidRPr="007B60BF" w:rsidRDefault="007722B4" w:rsidP="007722B4">
            <w:pPr>
              <w:jc w:val="both"/>
            </w:pPr>
            <w:r w:rsidRPr="007B60BF">
              <w:t>Perdas Estimadas com Créditos de Liquidação Duvidosa</w:t>
            </w:r>
          </w:p>
        </w:tc>
        <w:tc>
          <w:tcPr>
            <w:tcW w:w="1140" w:type="pct"/>
            <w:tcBorders>
              <w:top w:val="nil"/>
              <w:left w:val="nil"/>
              <w:bottom w:val="single" w:sz="8" w:space="0" w:color="auto"/>
              <w:right w:val="nil"/>
            </w:tcBorders>
            <w:shd w:val="clear" w:color="000000" w:fill="FFFFFF"/>
            <w:vAlign w:val="bottom"/>
          </w:tcPr>
          <w:p w14:paraId="5E00C6E5" w14:textId="09432111" w:rsidR="007722B4" w:rsidRPr="007B60BF" w:rsidRDefault="00B65718" w:rsidP="00983ABB">
            <w:pPr>
              <w:jc w:val="right"/>
            </w:pPr>
            <w:r w:rsidRPr="007B60BF">
              <w:t>(9.</w:t>
            </w:r>
            <w:r w:rsidR="00670850" w:rsidRPr="007B60BF">
              <w:t>944)</w:t>
            </w:r>
          </w:p>
        </w:tc>
        <w:tc>
          <w:tcPr>
            <w:tcW w:w="138" w:type="pct"/>
            <w:tcBorders>
              <w:top w:val="nil"/>
              <w:left w:val="nil"/>
              <w:bottom w:val="nil"/>
              <w:right w:val="nil"/>
            </w:tcBorders>
            <w:shd w:val="clear" w:color="000000" w:fill="FFFFFF"/>
            <w:vAlign w:val="center"/>
            <w:hideMark/>
          </w:tcPr>
          <w:p w14:paraId="5EDB27A4" w14:textId="77777777" w:rsidR="007722B4" w:rsidRPr="007B60BF" w:rsidRDefault="007722B4" w:rsidP="007722B4">
            <w:pPr>
              <w:jc w:val="center"/>
            </w:pPr>
            <w:r w:rsidRPr="007B60BF">
              <w:t> </w:t>
            </w:r>
          </w:p>
        </w:tc>
        <w:tc>
          <w:tcPr>
            <w:tcW w:w="1066" w:type="pct"/>
            <w:tcBorders>
              <w:top w:val="nil"/>
              <w:left w:val="nil"/>
              <w:bottom w:val="single" w:sz="8" w:space="0" w:color="auto"/>
              <w:right w:val="nil"/>
            </w:tcBorders>
            <w:vAlign w:val="bottom"/>
          </w:tcPr>
          <w:p w14:paraId="711B2DB3" w14:textId="70F5919C" w:rsidR="007722B4" w:rsidRPr="007B60BF" w:rsidRDefault="007722B4" w:rsidP="007722B4">
            <w:pPr>
              <w:jc w:val="right"/>
            </w:pPr>
            <w:r w:rsidRPr="007B60BF">
              <w:t>(10.273)</w:t>
            </w:r>
          </w:p>
        </w:tc>
      </w:tr>
      <w:tr w:rsidR="007722B4" w:rsidRPr="007B60BF" w14:paraId="37936B11" w14:textId="77777777" w:rsidTr="00A40719">
        <w:tc>
          <w:tcPr>
            <w:tcW w:w="2656" w:type="pct"/>
            <w:tcBorders>
              <w:top w:val="nil"/>
              <w:left w:val="nil"/>
              <w:bottom w:val="nil"/>
              <w:right w:val="nil"/>
            </w:tcBorders>
            <w:shd w:val="clear" w:color="000000" w:fill="FFFFFF"/>
            <w:vAlign w:val="center"/>
            <w:hideMark/>
          </w:tcPr>
          <w:p w14:paraId="60BC104B" w14:textId="77777777" w:rsidR="007722B4" w:rsidRPr="007B60BF" w:rsidRDefault="007722B4" w:rsidP="007722B4">
            <w:pPr>
              <w:rPr>
                <w:b/>
                <w:bCs/>
              </w:rPr>
            </w:pPr>
            <w:r w:rsidRPr="007B60BF">
              <w:rPr>
                <w:b/>
                <w:bCs/>
              </w:rPr>
              <w:t>Valor Líquido a Receber</w:t>
            </w:r>
          </w:p>
        </w:tc>
        <w:tc>
          <w:tcPr>
            <w:tcW w:w="1140" w:type="pct"/>
            <w:tcBorders>
              <w:top w:val="single" w:sz="8" w:space="0" w:color="auto"/>
              <w:left w:val="nil"/>
              <w:bottom w:val="double" w:sz="4" w:space="0" w:color="auto"/>
              <w:right w:val="nil"/>
            </w:tcBorders>
            <w:shd w:val="clear" w:color="000000" w:fill="FFFFFF"/>
            <w:vAlign w:val="bottom"/>
          </w:tcPr>
          <w:p w14:paraId="29CA032F" w14:textId="2F3FB751" w:rsidR="007722B4" w:rsidRPr="007B60BF" w:rsidRDefault="00B65718" w:rsidP="002877BF">
            <w:pPr>
              <w:jc w:val="right"/>
              <w:rPr>
                <w:b/>
              </w:rPr>
            </w:pPr>
            <w:r w:rsidRPr="007B60BF">
              <w:rPr>
                <w:b/>
              </w:rPr>
              <w:t>76.875</w:t>
            </w:r>
          </w:p>
        </w:tc>
        <w:tc>
          <w:tcPr>
            <w:tcW w:w="138" w:type="pct"/>
            <w:tcBorders>
              <w:top w:val="nil"/>
              <w:left w:val="nil"/>
              <w:bottom w:val="nil"/>
              <w:right w:val="nil"/>
            </w:tcBorders>
            <w:shd w:val="clear" w:color="000000" w:fill="FFFFFF"/>
            <w:vAlign w:val="center"/>
            <w:hideMark/>
          </w:tcPr>
          <w:p w14:paraId="45E8F82B" w14:textId="77777777" w:rsidR="007722B4" w:rsidRPr="007B60BF" w:rsidRDefault="007722B4" w:rsidP="007722B4">
            <w:pPr>
              <w:jc w:val="right"/>
              <w:rPr>
                <w:b/>
                <w:bCs/>
              </w:rPr>
            </w:pPr>
            <w:r w:rsidRPr="007B60BF">
              <w:rPr>
                <w:b/>
                <w:bCs/>
              </w:rPr>
              <w:t> </w:t>
            </w:r>
          </w:p>
        </w:tc>
        <w:tc>
          <w:tcPr>
            <w:tcW w:w="1066" w:type="pct"/>
            <w:tcBorders>
              <w:top w:val="nil"/>
              <w:left w:val="nil"/>
              <w:bottom w:val="double" w:sz="4" w:space="0" w:color="auto"/>
              <w:right w:val="nil"/>
            </w:tcBorders>
            <w:vAlign w:val="bottom"/>
          </w:tcPr>
          <w:p w14:paraId="51ED7682" w14:textId="17E00363" w:rsidR="007722B4" w:rsidRPr="007B60BF" w:rsidRDefault="007722B4" w:rsidP="007722B4">
            <w:pPr>
              <w:jc w:val="right"/>
              <w:rPr>
                <w:b/>
              </w:rPr>
            </w:pPr>
            <w:r w:rsidRPr="007B60BF">
              <w:rPr>
                <w:b/>
              </w:rPr>
              <w:t>58.212</w:t>
            </w:r>
          </w:p>
        </w:tc>
      </w:tr>
    </w:tbl>
    <w:p w14:paraId="6CBAC722" w14:textId="77777777" w:rsidR="004C46D7" w:rsidRPr="007B60BF" w:rsidRDefault="004C46D7" w:rsidP="008B0DEB">
      <w:pPr>
        <w:jc w:val="both"/>
      </w:pPr>
    </w:p>
    <w:p w14:paraId="2D7F4D09" w14:textId="04FF5415" w:rsidR="005641A2" w:rsidRPr="007B60BF" w:rsidRDefault="00ED5B2D" w:rsidP="008B0DEB">
      <w:pPr>
        <w:jc w:val="both"/>
      </w:pPr>
      <w:r w:rsidRPr="007B60BF">
        <w:t>Estes créditos</w:t>
      </w:r>
      <w:r w:rsidR="00B20F98" w:rsidRPr="007B60BF">
        <w:t xml:space="preserve"> correspondem aos valores a receber de clientes pela prestação de serviços no curso normal das atividades da Instituição.</w:t>
      </w:r>
      <w:r w:rsidRPr="007B60BF">
        <w:t xml:space="preserve"> </w:t>
      </w:r>
      <w:r w:rsidR="008B0DEB" w:rsidRPr="007B60BF">
        <w:t>As contas a receber são, inicialmente, reconhecidas pelo valor justo e, subsequentemente, mensuradas pelo custo menos a</w:t>
      </w:r>
      <w:r w:rsidR="00E56B52" w:rsidRPr="007B60BF">
        <w:t>s</w:t>
      </w:r>
      <w:r w:rsidR="008B0DEB" w:rsidRPr="007B60BF">
        <w:t xml:space="preserve"> </w:t>
      </w:r>
      <w:r w:rsidR="00B73948" w:rsidRPr="007B60BF">
        <w:t xml:space="preserve">Perdas Estimadas para </w:t>
      </w:r>
      <w:r w:rsidR="008B0DEB" w:rsidRPr="007B60BF">
        <w:t>Créditos de Liquidação Duvidosa (“P</w:t>
      </w:r>
      <w:r w:rsidR="00B73948" w:rsidRPr="007B60BF">
        <w:t>E</w:t>
      </w:r>
      <w:r w:rsidR="008B0DEB" w:rsidRPr="007B60BF">
        <w:t>CLD” ou “</w:t>
      </w:r>
      <w:r w:rsidR="008B0DEB" w:rsidRPr="007B60BF">
        <w:rPr>
          <w:i/>
        </w:rPr>
        <w:t>Impairment</w:t>
      </w:r>
      <w:r w:rsidR="008B0DEB" w:rsidRPr="007B60BF">
        <w:t>”).</w:t>
      </w:r>
    </w:p>
    <w:p w14:paraId="52495250" w14:textId="00C7D126" w:rsidR="00EE327F" w:rsidRPr="007B60BF" w:rsidRDefault="00EE327F" w:rsidP="008B0DEB">
      <w:pPr>
        <w:jc w:val="both"/>
      </w:pPr>
    </w:p>
    <w:p w14:paraId="0CAF5308" w14:textId="3DDEDC85" w:rsidR="00EE327F" w:rsidRPr="007B60BF" w:rsidRDefault="00EE327F" w:rsidP="008B0DEB">
      <w:pPr>
        <w:jc w:val="both"/>
      </w:pPr>
      <w:r w:rsidRPr="007B60BF">
        <w:t>O aumento do valor a receber do Sistema Único de Saúde deve-se a incentivos</w:t>
      </w:r>
      <w:r w:rsidR="00E62BDC" w:rsidRPr="007B60BF">
        <w:t xml:space="preserve"> referentes</w:t>
      </w:r>
      <w:r w:rsidR="00C41A5C" w:rsidRPr="007B60BF">
        <w:t xml:space="preserve"> a portarias</w:t>
      </w:r>
      <w:r w:rsidRPr="007B60BF">
        <w:t xml:space="preserve"> </w:t>
      </w:r>
      <w:r w:rsidR="00E62BDC" w:rsidRPr="007B60BF">
        <w:t>formalizadas</w:t>
      </w:r>
      <w:r w:rsidRPr="007B60BF">
        <w:t xml:space="preserve"> durante o ano de 2025, </w:t>
      </w:r>
      <w:r w:rsidR="00E62BDC" w:rsidRPr="007B60BF">
        <w:t xml:space="preserve">os quais foram </w:t>
      </w:r>
      <w:r w:rsidRPr="007B60BF">
        <w:t xml:space="preserve">faturados, mas ainda </w:t>
      </w:r>
      <w:r w:rsidR="00E62BDC" w:rsidRPr="007B60BF">
        <w:t xml:space="preserve">estão </w:t>
      </w:r>
      <w:r w:rsidRPr="007B60BF">
        <w:t xml:space="preserve">pendentes de recebimento. </w:t>
      </w:r>
      <w:r w:rsidR="00E62BDC" w:rsidRPr="007B60BF">
        <w:t>Parte do</w:t>
      </w:r>
      <w:r w:rsidRPr="007B60BF">
        <w:t xml:space="preserve"> valor a receber </w:t>
      </w:r>
      <w:r w:rsidR="00E62BDC" w:rsidRPr="007B60BF">
        <w:t>refere-se</w:t>
      </w:r>
      <w:r w:rsidRPr="007B60BF">
        <w:t xml:space="preserve"> a</w:t>
      </w:r>
      <w:r w:rsidR="00E62BDC" w:rsidRPr="007B60BF">
        <w:t>o</w:t>
      </w:r>
      <w:r w:rsidR="00EC668E">
        <w:t xml:space="preserve"> faturament</w:t>
      </w:r>
      <w:r w:rsidRPr="007B60BF">
        <w:t>o do mês de dezembro d</w:t>
      </w:r>
      <w:r w:rsidR="00E62BDC" w:rsidRPr="007B60BF">
        <w:t>e 2025, o qual totalizou</w:t>
      </w:r>
      <w:r w:rsidRPr="007B60BF">
        <w:t xml:space="preserve"> R$ 25.140.</w:t>
      </w:r>
    </w:p>
    <w:p w14:paraId="44271947" w14:textId="08FB1905" w:rsidR="000C4665" w:rsidRPr="007B60BF" w:rsidRDefault="000C4665" w:rsidP="008B0DEB">
      <w:pPr>
        <w:jc w:val="both"/>
      </w:pPr>
    </w:p>
    <w:p w14:paraId="3B32E586" w14:textId="68C991F9" w:rsidR="002F3935" w:rsidRPr="007B60BF" w:rsidRDefault="00555B80" w:rsidP="003E54B7">
      <w:pPr>
        <w:shd w:val="clear" w:color="auto" w:fill="FFFFFF" w:themeFill="background1"/>
        <w:autoSpaceDE w:val="0"/>
        <w:autoSpaceDN w:val="0"/>
        <w:adjustRightInd w:val="0"/>
        <w:jc w:val="both"/>
      </w:pPr>
      <w:r w:rsidRPr="007B60BF">
        <w:t xml:space="preserve">Os valores a receber </w:t>
      </w:r>
      <w:r w:rsidR="000C4665" w:rsidRPr="007B60BF">
        <w:t xml:space="preserve">da Fundação Médica do Rio Grande do Sul, fundação de apoio ao HCPA nos projetos de </w:t>
      </w:r>
      <w:r w:rsidR="004B5B45" w:rsidRPr="007B60BF">
        <w:t xml:space="preserve">pesquisa, ensino e extensão, </w:t>
      </w:r>
      <w:r w:rsidR="000C4665" w:rsidRPr="007B60BF">
        <w:t>desenvolvimento institucional, científico e tecnol</w:t>
      </w:r>
      <w:r w:rsidRPr="007B60BF">
        <w:t>ógico e de estímulo à inovação, estão amparados em acordos de cooperação, cujos objetos são ações conjuntas para a execução de projetos de desenvolvimento institucionais (PDIs).</w:t>
      </w:r>
      <w:r w:rsidR="002F3935" w:rsidRPr="007B60BF">
        <w:t xml:space="preserve"> </w:t>
      </w:r>
    </w:p>
    <w:p w14:paraId="4CB168E8" w14:textId="4A7C21C4" w:rsidR="002F3935" w:rsidRDefault="002F3935" w:rsidP="003E54B7">
      <w:bookmarkStart w:id="27" w:name="_Ref457927920"/>
    </w:p>
    <w:p w14:paraId="4B4F7D5A" w14:textId="77777777" w:rsidR="00074139" w:rsidRDefault="00074139">
      <w:bookmarkStart w:id="28" w:name="_Toc223007856"/>
      <w:bookmarkEnd w:id="27"/>
      <w:r>
        <w:rPr>
          <w:b/>
        </w:rPr>
        <w:br w:type="page"/>
      </w:r>
    </w:p>
    <w:p w14:paraId="1AC63A60" w14:textId="1B209060" w:rsidR="00B8764F" w:rsidRPr="007B60BF" w:rsidRDefault="00B8764F" w:rsidP="00086B22">
      <w:pPr>
        <w:pStyle w:val="Ttulo1"/>
        <w:numPr>
          <w:ilvl w:val="0"/>
          <w:numId w:val="5"/>
        </w:numPr>
        <w:ind w:left="0" w:hanging="567"/>
        <w:jc w:val="left"/>
      </w:pPr>
      <w:r w:rsidRPr="007B60BF">
        <w:lastRenderedPageBreak/>
        <w:t>Adiantamentos de Pessoal</w:t>
      </w:r>
      <w:bookmarkEnd w:id="28"/>
      <w:r w:rsidRPr="007B60BF">
        <w:t xml:space="preserve"> </w:t>
      </w:r>
    </w:p>
    <w:tbl>
      <w:tblPr>
        <w:tblW w:w="4963" w:type="pct"/>
        <w:tblCellMar>
          <w:left w:w="70" w:type="dxa"/>
          <w:right w:w="70" w:type="dxa"/>
        </w:tblCellMar>
        <w:tblLook w:val="04A0" w:firstRow="1" w:lastRow="0" w:firstColumn="1" w:lastColumn="0" w:noHBand="0" w:noVBand="1"/>
      </w:tblPr>
      <w:tblGrid>
        <w:gridCol w:w="4675"/>
        <w:gridCol w:w="2154"/>
        <w:gridCol w:w="214"/>
        <w:gridCol w:w="1961"/>
      </w:tblGrid>
      <w:tr w:rsidR="007722B4" w:rsidRPr="007B60BF" w14:paraId="16889850" w14:textId="77777777" w:rsidTr="003E3716">
        <w:tc>
          <w:tcPr>
            <w:tcW w:w="2596" w:type="pct"/>
            <w:tcBorders>
              <w:top w:val="nil"/>
              <w:left w:val="nil"/>
              <w:bottom w:val="nil"/>
              <w:right w:val="nil"/>
            </w:tcBorders>
            <w:shd w:val="clear" w:color="auto" w:fill="auto"/>
            <w:noWrap/>
            <w:vAlign w:val="center"/>
            <w:hideMark/>
          </w:tcPr>
          <w:p w14:paraId="41BA4772" w14:textId="77777777" w:rsidR="007722B4" w:rsidRPr="007B60BF" w:rsidRDefault="007722B4" w:rsidP="007722B4">
            <w:pPr>
              <w:rPr>
                <w:b/>
              </w:rPr>
            </w:pPr>
          </w:p>
        </w:tc>
        <w:tc>
          <w:tcPr>
            <w:tcW w:w="1196" w:type="pct"/>
            <w:tcBorders>
              <w:top w:val="nil"/>
              <w:left w:val="nil"/>
              <w:bottom w:val="single" w:sz="8" w:space="0" w:color="auto"/>
              <w:right w:val="nil"/>
            </w:tcBorders>
            <w:shd w:val="clear" w:color="auto" w:fill="auto"/>
            <w:vAlign w:val="center"/>
            <w:hideMark/>
          </w:tcPr>
          <w:p w14:paraId="2253C0B3" w14:textId="287E82BF" w:rsidR="007722B4" w:rsidRPr="007B60BF" w:rsidRDefault="00F85C9A" w:rsidP="00590EEE">
            <w:pPr>
              <w:jc w:val="right"/>
              <w:rPr>
                <w:b/>
                <w:bCs/>
              </w:rPr>
            </w:pPr>
            <w:r w:rsidRPr="007B60BF">
              <w:rPr>
                <w:b/>
                <w:bCs/>
              </w:rPr>
              <w:t>31/12/2025</w:t>
            </w:r>
          </w:p>
        </w:tc>
        <w:tc>
          <w:tcPr>
            <w:tcW w:w="119" w:type="pct"/>
            <w:tcBorders>
              <w:top w:val="nil"/>
              <w:left w:val="nil"/>
              <w:bottom w:val="nil"/>
              <w:right w:val="nil"/>
            </w:tcBorders>
            <w:shd w:val="clear" w:color="auto" w:fill="auto"/>
            <w:vAlign w:val="center"/>
            <w:hideMark/>
          </w:tcPr>
          <w:p w14:paraId="0214562B" w14:textId="77777777" w:rsidR="007722B4" w:rsidRPr="007B60BF" w:rsidRDefault="007722B4" w:rsidP="007722B4">
            <w:pPr>
              <w:rPr>
                <w:b/>
                <w:bCs/>
              </w:rPr>
            </w:pPr>
          </w:p>
        </w:tc>
        <w:tc>
          <w:tcPr>
            <w:tcW w:w="1089" w:type="pct"/>
            <w:tcBorders>
              <w:top w:val="nil"/>
              <w:left w:val="nil"/>
              <w:bottom w:val="single" w:sz="8" w:space="0" w:color="auto"/>
              <w:right w:val="nil"/>
            </w:tcBorders>
          </w:tcPr>
          <w:p w14:paraId="5C52F8A1" w14:textId="2C6EF5A1" w:rsidR="007722B4" w:rsidRPr="007B60BF" w:rsidRDefault="007722B4" w:rsidP="007722B4">
            <w:pPr>
              <w:jc w:val="right"/>
              <w:rPr>
                <w:b/>
                <w:bCs/>
              </w:rPr>
            </w:pPr>
            <w:r w:rsidRPr="007B60BF">
              <w:rPr>
                <w:b/>
              </w:rPr>
              <w:t>31/12/2024</w:t>
            </w:r>
          </w:p>
        </w:tc>
      </w:tr>
      <w:tr w:rsidR="007F0E0F" w:rsidRPr="007B60BF" w14:paraId="6B8A3832" w14:textId="77777777" w:rsidTr="00BC4C67">
        <w:tc>
          <w:tcPr>
            <w:tcW w:w="2596" w:type="pct"/>
            <w:tcBorders>
              <w:top w:val="nil"/>
              <w:left w:val="nil"/>
              <w:bottom w:val="nil"/>
              <w:right w:val="nil"/>
            </w:tcBorders>
            <w:shd w:val="clear" w:color="auto" w:fill="auto"/>
            <w:noWrap/>
            <w:vAlign w:val="center"/>
            <w:hideMark/>
          </w:tcPr>
          <w:p w14:paraId="1147F581" w14:textId="77777777" w:rsidR="007F0E0F" w:rsidRPr="007B60BF" w:rsidRDefault="007F0E0F" w:rsidP="007F0E0F">
            <w:r w:rsidRPr="007B60BF">
              <w:t>Décimo Terceiro Salário</w:t>
            </w:r>
          </w:p>
        </w:tc>
        <w:tc>
          <w:tcPr>
            <w:tcW w:w="1196" w:type="pct"/>
            <w:tcBorders>
              <w:top w:val="nil"/>
              <w:left w:val="nil"/>
              <w:bottom w:val="nil"/>
              <w:right w:val="nil"/>
            </w:tcBorders>
            <w:shd w:val="clear" w:color="auto" w:fill="auto"/>
          </w:tcPr>
          <w:p w14:paraId="10A2116F" w14:textId="7DB1F65C" w:rsidR="007F0E0F" w:rsidRPr="007B60BF" w:rsidRDefault="00670850" w:rsidP="007F0E0F">
            <w:pPr>
              <w:jc w:val="right"/>
            </w:pPr>
            <w:r w:rsidRPr="007B60BF">
              <w:t>13.485</w:t>
            </w:r>
          </w:p>
        </w:tc>
        <w:tc>
          <w:tcPr>
            <w:tcW w:w="119" w:type="pct"/>
            <w:tcBorders>
              <w:top w:val="nil"/>
              <w:left w:val="nil"/>
              <w:bottom w:val="nil"/>
              <w:right w:val="nil"/>
            </w:tcBorders>
            <w:shd w:val="clear" w:color="auto" w:fill="auto"/>
            <w:vAlign w:val="center"/>
            <w:hideMark/>
          </w:tcPr>
          <w:p w14:paraId="34839250" w14:textId="77777777" w:rsidR="007F0E0F" w:rsidRPr="007B60BF" w:rsidRDefault="007F0E0F" w:rsidP="007F0E0F"/>
        </w:tc>
        <w:tc>
          <w:tcPr>
            <w:tcW w:w="1089" w:type="pct"/>
            <w:tcBorders>
              <w:top w:val="nil"/>
              <w:left w:val="nil"/>
              <w:bottom w:val="nil"/>
              <w:right w:val="nil"/>
            </w:tcBorders>
          </w:tcPr>
          <w:p w14:paraId="3ABB93DF" w14:textId="0B2E1383" w:rsidR="007F0E0F" w:rsidRPr="007B60BF" w:rsidRDefault="007F0E0F" w:rsidP="007F0E0F">
            <w:pPr>
              <w:jc w:val="right"/>
            </w:pPr>
            <w:r w:rsidRPr="007B60BF">
              <w:t>10.921</w:t>
            </w:r>
          </w:p>
        </w:tc>
      </w:tr>
      <w:tr w:rsidR="007F0E0F" w:rsidRPr="007B60BF" w14:paraId="2E904E82" w14:textId="77777777" w:rsidTr="00BC4C67">
        <w:tc>
          <w:tcPr>
            <w:tcW w:w="2596" w:type="pct"/>
            <w:tcBorders>
              <w:top w:val="nil"/>
              <w:left w:val="nil"/>
              <w:bottom w:val="nil"/>
              <w:right w:val="nil"/>
            </w:tcBorders>
            <w:shd w:val="clear" w:color="auto" w:fill="auto"/>
            <w:noWrap/>
            <w:vAlign w:val="center"/>
            <w:hideMark/>
          </w:tcPr>
          <w:p w14:paraId="309ACB94" w14:textId="77777777" w:rsidR="007F0E0F" w:rsidRPr="007B60BF" w:rsidRDefault="007F0E0F" w:rsidP="007F0E0F">
            <w:r w:rsidRPr="007B60BF">
              <w:t>Férias</w:t>
            </w:r>
          </w:p>
        </w:tc>
        <w:tc>
          <w:tcPr>
            <w:tcW w:w="1196" w:type="pct"/>
            <w:tcBorders>
              <w:top w:val="nil"/>
              <w:left w:val="nil"/>
              <w:bottom w:val="nil"/>
              <w:right w:val="nil"/>
            </w:tcBorders>
            <w:shd w:val="clear" w:color="auto" w:fill="auto"/>
          </w:tcPr>
          <w:p w14:paraId="3D80B885" w14:textId="033AF2F4" w:rsidR="007F0E0F" w:rsidRPr="007B60BF" w:rsidRDefault="00670850" w:rsidP="007F0E0F">
            <w:pPr>
              <w:jc w:val="right"/>
            </w:pPr>
            <w:r w:rsidRPr="007B60BF">
              <w:t>13.459</w:t>
            </w:r>
          </w:p>
        </w:tc>
        <w:tc>
          <w:tcPr>
            <w:tcW w:w="119" w:type="pct"/>
            <w:tcBorders>
              <w:top w:val="nil"/>
              <w:left w:val="nil"/>
              <w:bottom w:val="nil"/>
              <w:right w:val="nil"/>
            </w:tcBorders>
            <w:shd w:val="clear" w:color="auto" w:fill="auto"/>
            <w:vAlign w:val="center"/>
            <w:hideMark/>
          </w:tcPr>
          <w:p w14:paraId="0E33924C" w14:textId="77777777" w:rsidR="007F0E0F" w:rsidRPr="007B60BF" w:rsidRDefault="007F0E0F" w:rsidP="007F0E0F"/>
        </w:tc>
        <w:tc>
          <w:tcPr>
            <w:tcW w:w="1089" w:type="pct"/>
            <w:tcBorders>
              <w:top w:val="nil"/>
              <w:left w:val="nil"/>
              <w:bottom w:val="nil"/>
              <w:right w:val="nil"/>
            </w:tcBorders>
          </w:tcPr>
          <w:p w14:paraId="1B5B047A" w14:textId="3D9427D6" w:rsidR="007F0E0F" w:rsidRPr="007B60BF" w:rsidRDefault="007F0E0F" w:rsidP="007F0E0F">
            <w:pPr>
              <w:jc w:val="right"/>
            </w:pPr>
            <w:r w:rsidRPr="007B60BF">
              <w:t>10.932</w:t>
            </w:r>
          </w:p>
        </w:tc>
      </w:tr>
      <w:tr w:rsidR="00B30F89" w:rsidRPr="007B60BF" w14:paraId="0CD185B3" w14:textId="77777777" w:rsidTr="00BC4C67">
        <w:tc>
          <w:tcPr>
            <w:tcW w:w="2596" w:type="pct"/>
            <w:tcBorders>
              <w:top w:val="nil"/>
              <w:left w:val="nil"/>
              <w:bottom w:val="nil"/>
              <w:right w:val="nil"/>
            </w:tcBorders>
            <w:shd w:val="clear" w:color="auto" w:fill="auto"/>
            <w:noWrap/>
            <w:vAlign w:val="center"/>
            <w:hideMark/>
          </w:tcPr>
          <w:p w14:paraId="7120A6DE" w14:textId="77777777" w:rsidR="00B30F89" w:rsidRPr="007B60BF" w:rsidRDefault="00B30F89" w:rsidP="00B30F89">
            <w:r w:rsidRPr="007B60BF">
              <w:t>Outros Adiantamentos Concedidos a Pessoal</w:t>
            </w:r>
          </w:p>
        </w:tc>
        <w:tc>
          <w:tcPr>
            <w:tcW w:w="1196" w:type="pct"/>
            <w:tcBorders>
              <w:top w:val="nil"/>
              <w:left w:val="nil"/>
              <w:bottom w:val="single" w:sz="8" w:space="0" w:color="auto"/>
              <w:right w:val="nil"/>
            </w:tcBorders>
            <w:shd w:val="clear" w:color="auto" w:fill="auto"/>
          </w:tcPr>
          <w:p w14:paraId="0CAE8418" w14:textId="2C3C7710" w:rsidR="00B30F89" w:rsidRPr="007B60BF" w:rsidRDefault="00670850" w:rsidP="00B30F89">
            <w:pPr>
              <w:jc w:val="right"/>
            </w:pPr>
            <w:r w:rsidRPr="007B60BF">
              <w:t>7</w:t>
            </w:r>
          </w:p>
        </w:tc>
        <w:tc>
          <w:tcPr>
            <w:tcW w:w="119" w:type="pct"/>
            <w:tcBorders>
              <w:top w:val="nil"/>
              <w:left w:val="nil"/>
              <w:bottom w:val="nil"/>
              <w:right w:val="nil"/>
            </w:tcBorders>
            <w:shd w:val="clear" w:color="auto" w:fill="auto"/>
            <w:vAlign w:val="center"/>
            <w:hideMark/>
          </w:tcPr>
          <w:p w14:paraId="1E0E407F" w14:textId="77777777" w:rsidR="00B30F89" w:rsidRPr="007B60BF" w:rsidRDefault="00B30F89" w:rsidP="00B30F89"/>
        </w:tc>
        <w:tc>
          <w:tcPr>
            <w:tcW w:w="1089" w:type="pct"/>
            <w:tcBorders>
              <w:top w:val="nil"/>
              <w:left w:val="nil"/>
              <w:bottom w:val="single" w:sz="8" w:space="0" w:color="auto"/>
              <w:right w:val="nil"/>
            </w:tcBorders>
          </w:tcPr>
          <w:p w14:paraId="3B3A8731" w14:textId="76F02C42" w:rsidR="00B30F89" w:rsidRPr="007B60BF" w:rsidRDefault="00B30F89" w:rsidP="00B30F89">
            <w:pPr>
              <w:jc w:val="right"/>
            </w:pPr>
            <w:r w:rsidRPr="007B60BF">
              <w:t>6</w:t>
            </w:r>
          </w:p>
        </w:tc>
      </w:tr>
      <w:tr w:rsidR="00B30F89" w:rsidRPr="007B60BF" w14:paraId="7E299332" w14:textId="77777777" w:rsidTr="00BC4C67">
        <w:tc>
          <w:tcPr>
            <w:tcW w:w="2596" w:type="pct"/>
            <w:tcBorders>
              <w:top w:val="nil"/>
              <w:left w:val="nil"/>
              <w:bottom w:val="nil"/>
              <w:right w:val="nil"/>
            </w:tcBorders>
            <w:shd w:val="clear" w:color="auto" w:fill="auto"/>
            <w:noWrap/>
            <w:vAlign w:val="center"/>
            <w:hideMark/>
          </w:tcPr>
          <w:p w14:paraId="5D02CD63" w14:textId="77777777" w:rsidR="00B30F89" w:rsidRPr="007B60BF" w:rsidRDefault="00B30F89" w:rsidP="00B30F89">
            <w:pPr>
              <w:rPr>
                <w:b/>
              </w:rPr>
            </w:pPr>
            <w:r w:rsidRPr="007B60BF">
              <w:rPr>
                <w:b/>
                <w:bCs/>
              </w:rPr>
              <w:t>Saldo Contábil</w:t>
            </w:r>
          </w:p>
        </w:tc>
        <w:tc>
          <w:tcPr>
            <w:tcW w:w="1196" w:type="pct"/>
            <w:tcBorders>
              <w:top w:val="nil"/>
              <w:left w:val="nil"/>
              <w:bottom w:val="double" w:sz="6" w:space="0" w:color="auto"/>
              <w:right w:val="nil"/>
            </w:tcBorders>
            <w:shd w:val="clear" w:color="auto" w:fill="auto"/>
          </w:tcPr>
          <w:p w14:paraId="4F8E32FE" w14:textId="67F41CB0" w:rsidR="00B30F89" w:rsidRPr="007B60BF" w:rsidRDefault="00670850" w:rsidP="00B30F89">
            <w:pPr>
              <w:jc w:val="right"/>
              <w:rPr>
                <w:b/>
              </w:rPr>
            </w:pPr>
            <w:r w:rsidRPr="007B60BF">
              <w:rPr>
                <w:b/>
              </w:rPr>
              <w:t>26.951</w:t>
            </w:r>
          </w:p>
        </w:tc>
        <w:tc>
          <w:tcPr>
            <w:tcW w:w="119" w:type="pct"/>
            <w:tcBorders>
              <w:top w:val="nil"/>
              <w:left w:val="nil"/>
              <w:bottom w:val="nil"/>
              <w:right w:val="nil"/>
            </w:tcBorders>
            <w:shd w:val="clear" w:color="auto" w:fill="auto"/>
            <w:vAlign w:val="center"/>
            <w:hideMark/>
          </w:tcPr>
          <w:p w14:paraId="1D4726EC" w14:textId="77777777" w:rsidR="00B30F89" w:rsidRPr="007B60BF" w:rsidRDefault="00B30F89" w:rsidP="00B30F89">
            <w:pPr>
              <w:rPr>
                <w:b/>
                <w:bCs/>
              </w:rPr>
            </w:pPr>
          </w:p>
        </w:tc>
        <w:tc>
          <w:tcPr>
            <w:tcW w:w="1089" w:type="pct"/>
            <w:tcBorders>
              <w:top w:val="nil"/>
              <w:left w:val="nil"/>
              <w:bottom w:val="double" w:sz="6" w:space="0" w:color="auto"/>
              <w:right w:val="nil"/>
            </w:tcBorders>
          </w:tcPr>
          <w:p w14:paraId="5D411533" w14:textId="60C68563" w:rsidR="00B30F89" w:rsidRPr="007B60BF" w:rsidRDefault="00B30F89" w:rsidP="00B30F89">
            <w:pPr>
              <w:jc w:val="right"/>
              <w:rPr>
                <w:b/>
                <w:bCs/>
              </w:rPr>
            </w:pPr>
            <w:r w:rsidRPr="007B60BF">
              <w:rPr>
                <w:b/>
              </w:rPr>
              <w:t>21.859</w:t>
            </w:r>
          </w:p>
        </w:tc>
      </w:tr>
    </w:tbl>
    <w:p w14:paraId="1C00EB10" w14:textId="77777777" w:rsidR="00B8764F" w:rsidRPr="007B60BF" w:rsidRDefault="00B8764F" w:rsidP="00B8764F">
      <w:pPr>
        <w:tabs>
          <w:tab w:val="left" w:pos="993"/>
        </w:tabs>
        <w:jc w:val="both"/>
      </w:pPr>
    </w:p>
    <w:p w14:paraId="2A860319" w14:textId="3F25CEDE" w:rsidR="00616077" w:rsidRPr="007B60BF" w:rsidRDefault="00B8764F" w:rsidP="00B8764F">
      <w:pPr>
        <w:tabs>
          <w:tab w:val="left" w:pos="993"/>
        </w:tabs>
        <w:jc w:val="both"/>
      </w:pPr>
      <w:r w:rsidRPr="007B60BF">
        <w:t>Por ocasião do pagamento das férias de pessoal, é norma da Instituição adiantar 50% do décimo terceiro salário do exercício de competência. O saldo do adiantamento de décimo terceiro salári</w:t>
      </w:r>
      <w:r w:rsidR="00806183" w:rsidRPr="007B60BF">
        <w:t>o refere-se ao exercício de 20</w:t>
      </w:r>
      <w:r w:rsidR="004602BA" w:rsidRPr="007B60BF">
        <w:t>26</w:t>
      </w:r>
      <w:r w:rsidRPr="007B60BF">
        <w:t xml:space="preserve">, enquanto que o saldo de férias </w:t>
      </w:r>
      <w:r w:rsidR="00D41D14" w:rsidRPr="007B60BF">
        <w:t>se refere</w:t>
      </w:r>
      <w:r w:rsidRPr="007B60BF">
        <w:t xml:space="preserve"> ao pagamento em </w:t>
      </w:r>
      <w:r w:rsidR="004602BA" w:rsidRPr="007B60BF">
        <w:t>dezembro</w:t>
      </w:r>
      <w:r w:rsidR="007722B4" w:rsidRPr="007B60BF">
        <w:t xml:space="preserve"> </w:t>
      </w:r>
      <w:r w:rsidRPr="007B60BF">
        <w:t xml:space="preserve">relativo à competência </w:t>
      </w:r>
      <w:r w:rsidR="004602BA" w:rsidRPr="007B60BF">
        <w:t>janeiro de 2026</w:t>
      </w:r>
      <w:r w:rsidR="00806183" w:rsidRPr="007B60BF">
        <w:t>.</w:t>
      </w:r>
    </w:p>
    <w:p w14:paraId="6A468F10" w14:textId="5F832626" w:rsidR="00B8764F" w:rsidRDefault="00B8764F" w:rsidP="00B8764F">
      <w:pPr>
        <w:tabs>
          <w:tab w:val="left" w:pos="993"/>
        </w:tabs>
        <w:jc w:val="both"/>
      </w:pPr>
    </w:p>
    <w:p w14:paraId="455B78F7" w14:textId="77777777" w:rsidR="00074139" w:rsidRPr="007B60BF" w:rsidRDefault="00074139" w:rsidP="00B8764F">
      <w:pPr>
        <w:tabs>
          <w:tab w:val="left" w:pos="993"/>
        </w:tabs>
        <w:jc w:val="both"/>
      </w:pPr>
    </w:p>
    <w:p w14:paraId="7F24A2AF" w14:textId="3088CC4F" w:rsidR="00E96EF1" w:rsidRPr="007B60BF" w:rsidRDefault="00E96EF1" w:rsidP="00086B22">
      <w:pPr>
        <w:pStyle w:val="Ttulo1"/>
        <w:numPr>
          <w:ilvl w:val="0"/>
          <w:numId w:val="5"/>
        </w:numPr>
        <w:ind w:left="0" w:hanging="567"/>
        <w:jc w:val="left"/>
      </w:pPr>
      <w:bookmarkStart w:id="29" w:name="_Ref457927938"/>
      <w:bookmarkStart w:id="30" w:name="_Toc223007857"/>
      <w:r w:rsidRPr="007B60BF">
        <w:t xml:space="preserve">Estoques </w:t>
      </w:r>
      <w:r w:rsidR="002010E3" w:rsidRPr="007B60BF">
        <w:t>de Materiais</w:t>
      </w:r>
      <w:r w:rsidRPr="007B60BF">
        <w:t xml:space="preserve"> de Consumo</w:t>
      </w:r>
      <w:bookmarkEnd w:id="29"/>
      <w:bookmarkEnd w:id="30"/>
    </w:p>
    <w:tbl>
      <w:tblPr>
        <w:tblW w:w="4963" w:type="pct"/>
        <w:tblCellMar>
          <w:left w:w="70" w:type="dxa"/>
          <w:right w:w="70" w:type="dxa"/>
        </w:tblCellMar>
        <w:tblLook w:val="04A0" w:firstRow="1" w:lastRow="0" w:firstColumn="1" w:lastColumn="0" w:noHBand="0" w:noVBand="1"/>
      </w:tblPr>
      <w:tblGrid>
        <w:gridCol w:w="4675"/>
        <w:gridCol w:w="2071"/>
        <w:gridCol w:w="191"/>
        <w:gridCol w:w="2067"/>
      </w:tblGrid>
      <w:tr w:rsidR="007722B4" w:rsidRPr="007B60BF" w14:paraId="73320DC7" w14:textId="77777777" w:rsidTr="008133C7">
        <w:tc>
          <w:tcPr>
            <w:tcW w:w="2596" w:type="pct"/>
            <w:tcBorders>
              <w:top w:val="nil"/>
              <w:left w:val="nil"/>
              <w:bottom w:val="nil"/>
              <w:right w:val="nil"/>
            </w:tcBorders>
            <w:shd w:val="clear" w:color="auto" w:fill="FFFFFF" w:themeFill="background1"/>
            <w:noWrap/>
            <w:vAlign w:val="center"/>
            <w:hideMark/>
          </w:tcPr>
          <w:p w14:paraId="3B82094A" w14:textId="77777777" w:rsidR="007722B4" w:rsidRPr="007B60BF" w:rsidRDefault="007722B4" w:rsidP="007722B4">
            <w:pPr>
              <w:rPr>
                <w:b/>
              </w:rPr>
            </w:pPr>
            <w:r w:rsidRPr="007B60BF">
              <w:rPr>
                <w:b/>
              </w:rPr>
              <w:t> </w:t>
            </w:r>
          </w:p>
        </w:tc>
        <w:tc>
          <w:tcPr>
            <w:tcW w:w="1150" w:type="pct"/>
            <w:tcBorders>
              <w:top w:val="nil"/>
              <w:left w:val="nil"/>
              <w:bottom w:val="single" w:sz="8" w:space="0" w:color="auto"/>
              <w:right w:val="nil"/>
            </w:tcBorders>
            <w:shd w:val="clear" w:color="auto" w:fill="auto"/>
            <w:vAlign w:val="center"/>
            <w:hideMark/>
          </w:tcPr>
          <w:p w14:paraId="06AB1D26" w14:textId="1C88A930" w:rsidR="007722B4" w:rsidRPr="007B60BF" w:rsidRDefault="000A41C4" w:rsidP="00590EEE">
            <w:pPr>
              <w:jc w:val="right"/>
              <w:rPr>
                <w:b/>
                <w:bCs/>
              </w:rPr>
            </w:pPr>
            <w:r w:rsidRPr="007B60BF">
              <w:rPr>
                <w:b/>
                <w:bCs/>
              </w:rPr>
              <w:t>31/12</w:t>
            </w:r>
            <w:r w:rsidR="007722B4" w:rsidRPr="007B60BF">
              <w:rPr>
                <w:b/>
                <w:bCs/>
              </w:rPr>
              <w:t>/2025</w:t>
            </w:r>
          </w:p>
        </w:tc>
        <w:tc>
          <w:tcPr>
            <w:tcW w:w="106" w:type="pct"/>
            <w:tcBorders>
              <w:top w:val="nil"/>
              <w:left w:val="nil"/>
              <w:bottom w:val="nil"/>
              <w:right w:val="nil"/>
            </w:tcBorders>
            <w:shd w:val="clear" w:color="auto" w:fill="auto"/>
            <w:vAlign w:val="center"/>
            <w:hideMark/>
          </w:tcPr>
          <w:p w14:paraId="6D89F64C" w14:textId="77777777" w:rsidR="007722B4" w:rsidRPr="007B60BF" w:rsidRDefault="007722B4" w:rsidP="007722B4">
            <w:pPr>
              <w:jc w:val="right"/>
              <w:rPr>
                <w:b/>
                <w:bCs/>
              </w:rPr>
            </w:pPr>
            <w:r w:rsidRPr="007B60BF">
              <w:rPr>
                <w:b/>
                <w:bCs/>
              </w:rPr>
              <w:t> </w:t>
            </w:r>
          </w:p>
        </w:tc>
        <w:tc>
          <w:tcPr>
            <w:tcW w:w="1148" w:type="pct"/>
            <w:tcBorders>
              <w:top w:val="nil"/>
              <w:left w:val="nil"/>
              <w:bottom w:val="single" w:sz="8" w:space="0" w:color="auto"/>
              <w:right w:val="nil"/>
            </w:tcBorders>
            <w:vAlign w:val="center"/>
          </w:tcPr>
          <w:p w14:paraId="6C6EDEEE" w14:textId="619387D3" w:rsidR="007722B4" w:rsidRPr="007B60BF" w:rsidRDefault="007722B4" w:rsidP="007722B4">
            <w:pPr>
              <w:jc w:val="right"/>
              <w:rPr>
                <w:b/>
              </w:rPr>
            </w:pPr>
            <w:r w:rsidRPr="007B60BF">
              <w:rPr>
                <w:b/>
                <w:bCs/>
              </w:rPr>
              <w:t>31/12/2024</w:t>
            </w:r>
          </w:p>
        </w:tc>
      </w:tr>
      <w:tr w:rsidR="000A41C4" w:rsidRPr="007B60BF" w14:paraId="3AC23ABC" w14:textId="77777777" w:rsidTr="008133C7">
        <w:tc>
          <w:tcPr>
            <w:tcW w:w="2596" w:type="pct"/>
            <w:tcBorders>
              <w:top w:val="nil"/>
              <w:left w:val="nil"/>
              <w:bottom w:val="nil"/>
              <w:right w:val="nil"/>
            </w:tcBorders>
            <w:shd w:val="clear" w:color="auto" w:fill="FFFFFF" w:themeFill="background1"/>
            <w:noWrap/>
            <w:vAlign w:val="center"/>
            <w:hideMark/>
          </w:tcPr>
          <w:p w14:paraId="62478892" w14:textId="77777777" w:rsidR="000A41C4" w:rsidRPr="007B60BF" w:rsidRDefault="000A41C4" w:rsidP="000A41C4">
            <w:r w:rsidRPr="007B60BF">
              <w:t>Medicamentos</w:t>
            </w:r>
          </w:p>
        </w:tc>
        <w:tc>
          <w:tcPr>
            <w:tcW w:w="1150" w:type="pct"/>
            <w:tcBorders>
              <w:top w:val="nil"/>
              <w:left w:val="nil"/>
              <w:bottom w:val="nil"/>
              <w:right w:val="nil"/>
            </w:tcBorders>
            <w:shd w:val="clear" w:color="000000" w:fill="FFFFFF"/>
          </w:tcPr>
          <w:p w14:paraId="6D4F3DDA" w14:textId="602621F8" w:rsidR="000A41C4" w:rsidRPr="007B60BF" w:rsidRDefault="000A41C4" w:rsidP="000A41C4">
            <w:pPr>
              <w:jc w:val="right"/>
            </w:pPr>
            <w:r w:rsidRPr="007B60BF">
              <w:t>8.818</w:t>
            </w:r>
          </w:p>
        </w:tc>
        <w:tc>
          <w:tcPr>
            <w:tcW w:w="106" w:type="pct"/>
            <w:tcBorders>
              <w:top w:val="nil"/>
              <w:left w:val="nil"/>
              <w:bottom w:val="nil"/>
              <w:right w:val="nil"/>
            </w:tcBorders>
            <w:shd w:val="clear" w:color="auto" w:fill="auto"/>
            <w:vAlign w:val="center"/>
            <w:hideMark/>
          </w:tcPr>
          <w:p w14:paraId="1404B4DB" w14:textId="77777777" w:rsidR="000A41C4" w:rsidRPr="007B60BF" w:rsidRDefault="000A41C4" w:rsidP="000A41C4">
            <w:pPr>
              <w:jc w:val="right"/>
            </w:pPr>
            <w:r w:rsidRPr="007B60BF">
              <w:t> </w:t>
            </w:r>
          </w:p>
        </w:tc>
        <w:tc>
          <w:tcPr>
            <w:tcW w:w="1148" w:type="pct"/>
            <w:tcBorders>
              <w:top w:val="nil"/>
              <w:left w:val="nil"/>
              <w:bottom w:val="nil"/>
              <w:right w:val="nil"/>
            </w:tcBorders>
          </w:tcPr>
          <w:p w14:paraId="52B20AB6" w14:textId="73CE84FD" w:rsidR="000A41C4" w:rsidRPr="007B60BF" w:rsidRDefault="000A41C4" w:rsidP="000A41C4">
            <w:pPr>
              <w:jc w:val="right"/>
            </w:pPr>
            <w:r w:rsidRPr="007B60BF">
              <w:t>9.373</w:t>
            </w:r>
          </w:p>
        </w:tc>
      </w:tr>
      <w:tr w:rsidR="000A41C4" w:rsidRPr="007B60BF" w14:paraId="0A433376" w14:textId="77777777" w:rsidTr="008133C7">
        <w:tc>
          <w:tcPr>
            <w:tcW w:w="2596" w:type="pct"/>
            <w:tcBorders>
              <w:top w:val="nil"/>
              <w:left w:val="nil"/>
              <w:bottom w:val="nil"/>
              <w:right w:val="nil"/>
            </w:tcBorders>
            <w:shd w:val="clear" w:color="auto" w:fill="FFFFFF" w:themeFill="background1"/>
            <w:noWrap/>
            <w:vAlign w:val="center"/>
            <w:hideMark/>
          </w:tcPr>
          <w:p w14:paraId="48540002" w14:textId="77777777" w:rsidR="000A41C4" w:rsidRPr="007B60BF" w:rsidRDefault="000A41C4" w:rsidP="000A41C4">
            <w:r w:rsidRPr="007B60BF">
              <w:t>Material Médico, Hospitalar e Laboratorial</w:t>
            </w:r>
          </w:p>
        </w:tc>
        <w:tc>
          <w:tcPr>
            <w:tcW w:w="1150" w:type="pct"/>
            <w:tcBorders>
              <w:top w:val="nil"/>
              <w:left w:val="nil"/>
              <w:bottom w:val="nil"/>
              <w:right w:val="nil"/>
            </w:tcBorders>
            <w:shd w:val="clear" w:color="000000" w:fill="FFFFFF"/>
          </w:tcPr>
          <w:p w14:paraId="59913207" w14:textId="2DB88FE0" w:rsidR="000A41C4" w:rsidRPr="007B60BF" w:rsidRDefault="000A41C4" w:rsidP="000A41C4">
            <w:pPr>
              <w:jc w:val="right"/>
            </w:pPr>
            <w:r w:rsidRPr="007B60BF">
              <w:t>10.602</w:t>
            </w:r>
          </w:p>
        </w:tc>
        <w:tc>
          <w:tcPr>
            <w:tcW w:w="106" w:type="pct"/>
            <w:tcBorders>
              <w:top w:val="nil"/>
              <w:left w:val="nil"/>
              <w:bottom w:val="nil"/>
              <w:right w:val="nil"/>
            </w:tcBorders>
            <w:shd w:val="clear" w:color="auto" w:fill="auto"/>
            <w:vAlign w:val="center"/>
            <w:hideMark/>
          </w:tcPr>
          <w:p w14:paraId="32392690" w14:textId="77777777" w:rsidR="000A41C4" w:rsidRPr="007B60BF" w:rsidRDefault="000A41C4" w:rsidP="000A41C4">
            <w:pPr>
              <w:jc w:val="right"/>
            </w:pPr>
            <w:r w:rsidRPr="007B60BF">
              <w:t> </w:t>
            </w:r>
          </w:p>
        </w:tc>
        <w:tc>
          <w:tcPr>
            <w:tcW w:w="1148" w:type="pct"/>
            <w:tcBorders>
              <w:top w:val="nil"/>
              <w:left w:val="nil"/>
              <w:bottom w:val="nil"/>
              <w:right w:val="nil"/>
            </w:tcBorders>
          </w:tcPr>
          <w:p w14:paraId="4217AAD9" w14:textId="54D0C7DC" w:rsidR="000A41C4" w:rsidRPr="007B60BF" w:rsidRDefault="000A41C4" w:rsidP="000A41C4">
            <w:pPr>
              <w:jc w:val="right"/>
            </w:pPr>
            <w:r w:rsidRPr="007B60BF">
              <w:t>10.223</w:t>
            </w:r>
          </w:p>
        </w:tc>
      </w:tr>
      <w:tr w:rsidR="000A41C4" w:rsidRPr="007B60BF" w14:paraId="41CCB4C2" w14:textId="77777777" w:rsidTr="008133C7">
        <w:tc>
          <w:tcPr>
            <w:tcW w:w="2596" w:type="pct"/>
            <w:tcBorders>
              <w:top w:val="nil"/>
              <w:left w:val="nil"/>
              <w:bottom w:val="nil"/>
              <w:right w:val="nil"/>
            </w:tcBorders>
            <w:shd w:val="clear" w:color="auto" w:fill="FFFFFF" w:themeFill="background1"/>
            <w:noWrap/>
            <w:vAlign w:val="center"/>
            <w:hideMark/>
          </w:tcPr>
          <w:p w14:paraId="4F19D988" w14:textId="77777777" w:rsidR="000A41C4" w:rsidRPr="007B60BF" w:rsidRDefault="000A41C4" w:rsidP="000A41C4">
            <w:r w:rsidRPr="007B60BF">
              <w:t>Material de Órtese e Prótese</w:t>
            </w:r>
          </w:p>
        </w:tc>
        <w:tc>
          <w:tcPr>
            <w:tcW w:w="1150" w:type="pct"/>
            <w:tcBorders>
              <w:top w:val="nil"/>
              <w:left w:val="nil"/>
              <w:bottom w:val="nil"/>
              <w:right w:val="nil"/>
            </w:tcBorders>
            <w:shd w:val="clear" w:color="000000" w:fill="FFFFFF"/>
          </w:tcPr>
          <w:p w14:paraId="2DBB21EE" w14:textId="348C1578" w:rsidR="000A41C4" w:rsidRPr="007B60BF" w:rsidRDefault="000A41C4" w:rsidP="000A41C4">
            <w:pPr>
              <w:jc w:val="right"/>
            </w:pPr>
            <w:r w:rsidRPr="007B60BF">
              <w:t>3.424</w:t>
            </w:r>
          </w:p>
        </w:tc>
        <w:tc>
          <w:tcPr>
            <w:tcW w:w="106" w:type="pct"/>
            <w:tcBorders>
              <w:top w:val="nil"/>
              <w:left w:val="nil"/>
              <w:bottom w:val="nil"/>
              <w:right w:val="nil"/>
            </w:tcBorders>
            <w:shd w:val="clear" w:color="auto" w:fill="auto"/>
            <w:vAlign w:val="center"/>
            <w:hideMark/>
          </w:tcPr>
          <w:p w14:paraId="7F117409" w14:textId="77777777" w:rsidR="000A41C4" w:rsidRPr="007B60BF" w:rsidRDefault="000A41C4" w:rsidP="000A41C4">
            <w:pPr>
              <w:jc w:val="right"/>
            </w:pPr>
            <w:r w:rsidRPr="007B60BF">
              <w:t> </w:t>
            </w:r>
          </w:p>
        </w:tc>
        <w:tc>
          <w:tcPr>
            <w:tcW w:w="1148" w:type="pct"/>
            <w:tcBorders>
              <w:top w:val="nil"/>
              <w:left w:val="nil"/>
              <w:bottom w:val="nil"/>
              <w:right w:val="nil"/>
            </w:tcBorders>
          </w:tcPr>
          <w:p w14:paraId="6B4FE546" w14:textId="689016C4" w:rsidR="000A41C4" w:rsidRPr="007B60BF" w:rsidRDefault="000A41C4" w:rsidP="000A41C4">
            <w:pPr>
              <w:jc w:val="right"/>
            </w:pPr>
            <w:r w:rsidRPr="007B60BF">
              <w:t>2.571</w:t>
            </w:r>
          </w:p>
        </w:tc>
      </w:tr>
      <w:tr w:rsidR="000A41C4" w:rsidRPr="007B60BF" w14:paraId="0B563F3E" w14:textId="77777777" w:rsidTr="008133C7">
        <w:tc>
          <w:tcPr>
            <w:tcW w:w="2596" w:type="pct"/>
            <w:tcBorders>
              <w:top w:val="nil"/>
              <w:left w:val="nil"/>
              <w:bottom w:val="nil"/>
              <w:right w:val="nil"/>
            </w:tcBorders>
            <w:shd w:val="clear" w:color="auto" w:fill="FFFFFF" w:themeFill="background1"/>
            <w:noWrap/>
            <w:vAlign w:val="center"/>
            <w:hideMark/>
          </w:tcPr>
          <w:p w14:paraId="653F5615" w14:textId="77777777" w:rsidR="000A41C4" w:rsidRPr="007B60BF" w:rsidRDefault="000A41C4" w:rsidP="000A41C4">
            <w:r w:rsidRPr="007B60BF">
              <w:t>Materiais e Utensílios</w:t>
            </w:r>
          </w:p>
        </w:tc>
        <w:tc>
          <w:tcPr>
            <w:tcW w:w="1150" w:type="pct"/>
            <w:tcBorders>
              <w:top w:val="nil"/>
              <w:left w:val="nil"/>
              <w:bottom w:val="nil"/>
              <w:right w:val="nil"/>
            </w:tcBorders>
            <w:shd w:val="clear" w:color="000000" w:fill="FFFFFF"/>
          </w:tcPr>
          <w:p w14:paraId="49D65B24" w14:textId="5E0DF8CB" w:rsidR="000A41C4" w:rsidRPr="007B60BF" w:rsidRDefault="000A41C4" w:rsidP="000A41C4">
            <w:pPr>
              <w:jc w:val="right"/>
            </w:pPr>
            <w:r w:rsidRPr="007B60BF">
              <w:t>819</w:t>
            </w:r>
          </w:p>
        </w:tc>
        <w:tc>
          <w:tcPr>
            <w:tcW w:w="106" w:type="pct"/>
            <w:tcBorders>
              <w:top w:val="nil"/>
              <w:left w:val="nil"/>
              <w:bottom w:val="nil"/>
              <w:right w:val="nil"/>
            </w:tcBorders>
            <w:shd w:val="clear" w:color="auto" w:fill="auto"/>
            <w:vAlign w:val="center"/>
            <w:hideMark/>
          </w:tcPr>
          <w:p w14:paraId="3F73430E" w14:textId="77777777" w:rsidR="000A41C4" w:rsidRPr="007B60BF" w:rsidRDefault="000A41C4" w:rsidP="000A41C4">
            <w:pPr>
              <w:jc w:val="right"/>
            </w:pPr>
            <w:r w:rsidRPr="007B60BF">
              <w:t> </w:t>
            </w:r>
          </w:p>
        </w:tc>
        <w:tc>
          <w:tcPr>
            <w:tcW w:w="1148" w:type="pct"/>
            <w:tcBorders>
              <w:top w:val="nil"/>
              <w:left w:val="nil"/>
              <w:bottom w:val="nil"/>
              <w:right w:val="nil"/>
            </w:tcBorders>
          </w:tcPr>
          <w:p w14:paraId="0407FCA4" w14:textId="7AC640DB" w:rsidR="000A41C4" w:rsidRPr="007B60BF" w:rsidRDefault="000A41C4" w:rsidP="000A41C4">
            <w:pPr>
              <w:jc w:val="right"/>
            </w:pPr>
            <w:r w:rsidRPr="007B60BF">
              <w:t>674</w:t>
            </w:r>
          </w:p>
        </w:tc>
      </w:tr>
      <w:tr w:rsidR="000A41C4" w:rsidRPr="007B60BF" w14:paraId="381024D6" w14:textId="77777777" w:rsidTr="008133C7">
        <w:tc>
          <w:tcPr>
            <w:tcW w:w="2596" w:type="pct"/>
            <w:tcBorders>
              <w:top w:val="nil"/>
              <w:left w:val="nil"/>
              <w:bottom w:val="nil"/>
              <w:right w:val="nil"/>
            </w:tcBorders>
            <w:shd w:val="clear" w:color="auto" w:fill="FFFFFF" w:themeFill="background1"/>
            <w:noWrap/>
            <w:vAlign w:val="center"/>
            <w:hideMark/>
          </w:tcPr>
          <w:p w14:paraId="06C4EBCB" w14:textId="77777777" w:rsidR="000A41C4" w:rsidRPr="007B60BF" w:rsidRDefault="000A41C4" w:rsidP="000A41C4">
            <w:r w:rsidRPr="007B60BF">
              <w:t>Rouparia (uniformes)</w:t>
            </w:r>
          </w:p>
        </w:tc>
        <w:tc>
          <w:tcPr>
            <w:tcW w:w="1150" w:type="pct"/>
            <w:tcBorders>
              <w:top w:val="nil"/>
              <w:left w:val="nil"/>
              <w:bottom w:val="nil"/>
              <w:right w:val="nil"/>
            </w:tcBorders>
            <w:shd w:val="clear" w:color="000000" w:fill="FFFFFF"/>
          </w:tcPr>
          <w:p w14:paraId="4B967C0C" w14:textId="186B06AF" w:rsidR="000A41C4" w:rsidRPr="007B60BF" w:rsidRDefault="000A41C4" w:rsidP="000A41C4">
            <w:pPr>
              <w:jc w:val="right"/>
            </w:pPr>
            <w:r w:rsidRPr="007B60BF">
              <w:t>1.555</w:t>
            </w:r>
          </w:p>
        </w:tc>
        <w:tc>
          <w:tcPr>
            <w:tcW w:w="106" w:type="pct"/>
            <w:tcBorders>
              <w:top w:val="nil"/>
              <w:left w:val="nil"/>
              <w:bottom w:val="nil"/>
              <w:right w:val="nil"/>
            </w:tcBorders>
            <w:shd w:val="clear" w:color="auto" w:fill="auto"/>
            <w:vAlign w:val="center"/>
            <w:hideMark/>
          </w:tcPr>
          <w:p w14:paraId="6721C621" w14:textId="77777777" w:rsidR="000A41C4" w:rsidRPr="007B60BF" w:rsidRDefault="000A41C4" w:rsidP="000A41C4">
            <w:pPr>
              <w:jc w:val="right"/>
            </w:pPr>
            <w:r w:rsidRPr="007B60BF">
              <w:t> </w:t>
            </w:r>
          </w:p>
        </w:tc>
        <w:tc>
          <w:tcPr>
            <w:tcW w:w="1148" w:type="pct"/>
            <w:tcBorders>
              <w:top w:val="nil"/>
              <w:left w:val="nil"/>
              <w:bottom w:val="nil"/>
              <w:right w:val="nil"/>
            </w:tcBorders>
          </w:tcPr>
          <w:p w14:paraId="15D5F658" w14:textId="22B301BA" w:rsidR="000A41C4" w:rsidRPr="007B60BF" w:rsidRDefault="000A41C4" w:rsidP="000A41C4">
            <w:pPr>
              <w:jc w:val="right"/>
            </w:pPr>
            <w:r w:rsidRPr="007B60BF">
              <w:t>837</w:t>
            </w:r>
          </w:p>
        </w:tc>
      </w:tr>
      <w:tr w:rsidR="000A41C4" w:rsidRPr="007B60BF" w14:paraId="787B3622" w14:textId="77777777" w:rsidTr="008133C7">
        <w:tc>
          <w:tcPr>
            <w:tcW w:w="2596" w:type="pct"/>
            <w:tcBorders>
              <w:top w:val="nil"/>
              <w:left w:val="nil"/>
              <w:bottom w:val="nil"/>
              <w:right w:val="nil"/>
            </w:tcBorders>
            <w:shd w:val="clear" w:color="auto" w:fill="FFFFFF" w:themeFill="background1"/>
            <w:noWrap/>
            <w:vAlign w:val="center"/>
            <w:hideMark/>
          </w:tcPr>
          <w:p w14:paraId="5E61E488" w14:textId="77777777" w:rsidR="000A41C4" w:rsidRPr="007B60BF" w:rsidRDefault="000A41C4" w:rsidP="000A41C4">
            <w:r w:rsidRPr="007B60BF">
              <w:t>Higiene, Limpeza, Segurança, Proteção</w:t>
            </w:r>
          </w:p>
        </w:tc>
        <w:tc>
          <w:tcPr>
            <w:tcW w:w="1150" w:type="pct"/>
            <w:tcBorders>
              <w:top w:val="nil"/>
              <w:left w:val="nil"/>
              <w:bottom w:val="nil"/>
              <w:right w:val="nil"/>
            </w:tcBorders>
            <w:shd w:val="clear" w:color="000000" w:fill="FFFFFF"/>
          </w:tcPr>
          <w:p w14:paraId="6C89177C" w14:textId="6897563D" w:rsidR="000A41C4" w:rsidRPr="007B60BF" w:rsidRDefault="000A41C4" w:rsidP="000A41C4">
            <w:pPr>
              <w:jc w:val="right"/>
            </w:pPr>
            <w:r w:rsidRPr="007B60BF">
              <w:t>330</w:t>
            </w:r>
          </w:p>
        </w:tc>
        <w:tc>
          <w:tcPr>
            <w:tcW w:w="106" w:type="pct"/>
            <w:tcBorders>
              <w:top w:val="nil"/>
              <w:left w:val="nil"/>
              <w:bottom w:val="nil"/>
              <w:right w:val="nil"/>
            </w:tcBorders>
            <w:shd w:val="clear" w:color="auto" w:fill="auto"/>
            <w:vAlign w:val="center"/>
            <w:hideMark/>
          </w:tcPr>
          <w:p w14:paraId="6256E755" w14:textId="77777777" w:rsidR="000A41C4" w:rsidRPr="007B60BF" w:rsidRDefault="000A41C4" w:rsidP="000A41C4">
            <w:pPr>
              <w:jc w:val="right"/>
            </w:pPr>
            <w:r w:rsidRPr="007B60BF">
              <w:t> </w:t>
            </w:r>
          </w:p>
        </w:tc>
        <w:tc>
          <w:tcPr>
            <w:tcW w:w="1148" w:type="pct"/>
            <w:tcBorders>
              <w:top w:val="nil"/>
              <w:left w:val="nil"/>
              <w:bottom w:val="nil"/>
              <w:right w:val="nil"/>
            </w:tcBorders>
          </w:tcPr>
          <w:p w14:paraId="720FB5DB" w14:textId="48561343" w:rsidR="000A41C4" w:rsidRPr="007B60BF" w:rsidRDefault="000A41C4" w:rsidP="000A41C4">
            <w:pPr>
              <w:jc w:val="right"/>
            </w:pPr>
            <w:r w:rsidRPr="007B60BF">
              <w:t>304</w:t>
            </w:r>
          </w:p>
        </w:tc>
      </w:tr>
      <w:tr w:rsidR="000A41C4" w:rsidRPr="007B60BF" w14:paraId="3E389102" w14:textId="77777777" w:rsidTr="008133C7">
        <w:tc>
          <w:tcPr>
            <w:tcW w:w="2596" w:type="pct"/>
            <w:tcBorders>
              <w:top w:val="nil"/>
              <w:left w:val="nil"/>
              <w:bottom w:val="nil"/>
              <w:right w:val="nil"/>
            </w:tcBorders>
            <w:shd w:val="clear" w:color="auto" w:fill="FFFFFF" w:themeFill="background1"/>
            <w:noWrap/>
            <w:vAlign w:val="center"/>
            <w:hideMark/>
          </w:tcPr>
          <w:p w14:paraId="29D8A4B9" w14:textId="77777777" w:rsidR="000A41C4" w:rsidRPr="007B60BF" w:rsidRDefault="000A41C4" w:rsidP="000A41C4">
            <w:r w:rsidRPr="007B60BF">
              <w:t>Material de Expediente, Informática e Gráfico</w:t>
            </w:r>
          </w:p>
        </w:tc>
        <w:tc>
          <w:tcPr>
            <w:tcW w:w="1150" w:type="pct"/>
            <w:tcBorders>
              <w:top w:val="nil"/>
              <w:left w:val="nil"/>
              <w:bottom w:val="nil"/>
              <w:right w:val="nil"/>
            </w:tcBorders>
            <w:shd w:val="clear" w:color="000000" w:fill="FFFFFF"/>
          </w:tcPr>
          <w:p w14:paraId="7734161C" w14:textId="3B140665" w:rsidR="000A41C4" w:rsidRPr="007B60BF" w:rsidRDefault="000A41C4" w:rsidP="000A41C4">
            <w:pPr>
              <w:jc w:val="right"/>
            </w:pPr>
            <w:r w:rsidRPr="007B60BF">
              <w:t>127</w:t>
            </w:r>
          </w:p>
        </w:tc>
        <w:tc>
          <w:tcPr>
            <w:tcW w:w="106" w:type="pct"/>
            <w:tcBorders>
              <w:top w:val="nil"/>
              <w:left w:val="nil"/>
              <w:bottom w:val="nil"/>
              <w:right w:val="nil"/>
            </w:tcBorders>
            <w:shd w:val="clear" w:color="auto" w:fill="auto"/>
            <w:vAlign w:val="center"/>
            <w:hideMark/>
          </w:tcPr>
          <w:p w14:paraId="24412643" w14:textId="77777777" w:rsidR="000A41C4" w:rsidRPr="007B60BF" w:rsidRDefault="000A41C4" w:rsidP="000A41C4">
            <w:pPr>
              <w:jc w:val="right"/>
            </w:pPr>
            <w:r w:rsidRPr="007B60BF">
              <w:t> </w:t>
            </w:r>
          </w:p>
        </w:tc>
        <w:tc>
          <w:tcPr>
            <w:tcW w:w="1148" w:type="pct"/>
            <w:tcBorders>
              <w:top w:val="nil"/>
              <w:left w:val="nil"/>
              <w:bottom w:val="nil"/>
              <w:right w:val="nil"/>
            </w:tcBorders>
          </w:tcPr>
          <w:p w14:paraId="7AC80934" w14:textId="292DD140" w:rsidR="000A41C4" w:rsidRPr="007B60BF" w:rsidRDefault="000A41C4" w:rsidP="000A41C4">
            <w:pPr>
              <w:jc w:val="right"/>
            </w:pPr>
            <w:r w:rsidRPr="007B60BF">
              <w:t>158</w:t>
            </w:r>
          </w:p>
        </w:tc>
      </w:tr>
      <w:tr w:rsidR="000A41C4" w:rsidRPr="007B60BF" w14:paraId="79344366" w14:textId="77777777" w:rsidTr="008133C7">
        <w:tc>
          <w:tcPr>
            <w:tcW w:w="2596" w:type="pct"/>
            <w:tcBorders>
              <w:top w:val="nil"/>
              <w:left w:val="nil"/>
              <w:bottom w:val="nil"/>
              <w:right w:val="nil"/>
            </w:tcBorders>
            <w:shd w:val="clear" w:color="auto" w:fill="FFFFFF" w:themeFill="background1"/>
            <w:noWrap/>
            <w:vAlign w:val="center"/>
            <w:hideMark/>
          </w:tcPr>
          <w:p w14:paraId="1B1FE241" w14:textId="77777777" w:rsidR="000A41C4" w:rsidRPr="007B60BF" w:rsidRDefault="000A41C4" w:rsidP="000A41C4">
            <w:r w:rsidRPr="007B60BF">
              <w:t>Combustíveis, Lubrificantes e Gases</w:t>
            </w:r>
          </w:p>
        </w:tc>
        <w:tc>
          <w:tcPr>
            <w:tcW w:w="1150" w:type="pct"/>
            <w:tcBorders>
              <w:top w:val="nil"/>
              <w:left w:val="nil"/>
              <w:bottom w:val="nil"/>
              <w:right w:val="nil"/>
            </w:tcBorders>
            <w:shd w:val="clear" w:color="000000" w:fill="FFFFFF"/>
          </w:tcPr>
          <w:p w14:paraId="31379A00" w14:textId="3EDACC19" w:rsidR="000A41C4" w:rsidRPr="007B60BF" w:rsidRDefault="000A41C4" w:rsidP="000A41C4">
            <w:pPr>
              <w:jc w:val="right"/>
            </w:pPr>
            <w:r w:rsidRPr="007B60BF">
              <w:t>62</w:t>
            </w:r>
          </w:p>
        </w:tc>
        <w:tc>
          <w:tcPr>
            <w:tcW w:w="106" w:type="pct"/>
            <w:tcBorders>
              <w:top w:val="nil"/>
              <w:left w:val="nil"/>
              <w:bottom w:val="nil"/>
              <w:right w:val="nil"/>
            </w:tcBorders>
            <w:shd w:val="clear" w:color="auto" w:fill="auto"/>
            <w:vAlign w:val="center"/>
            <w:hideMark/>
          </w:tcPr>
          <w:p w14:paraId="3D1BC94B" w14:textId="77777777" w:rsidR="000A41C4" w:rsidRPr="007B60BF" w:rsidRDefault="000A41C4" w:rsidP="000A41C4">
            <w:pPr>
              <w:jc w:val="right"/>
            </w:pPr>
            <w:r w:rsidRPr="007B60BF">
              <w:t> </w:t>
            </w:r>
          </w:p>
        </w:tc>
        <w:tc>
          <w:tcPr>
            <w:tcW w:w="1148" w:type="pct"/>
            <w:tcBorders>
              <w:top w:val="nil"/>
              <w:left w:val="nil"/>
              <w:bottom w:val="nil"/>
              <w:right w:val="nil"/>
            </w:tcBorders>
          </w:tcPr>
          <w:p w14:paraId="52D36D4B" w14:textId="5DC14AE8" w:rsidR="000A41C4" w:rsidRPr="007B60BF" w:rsidRDefault="000A41C4" w:rsidP="000A41C4">
            <w:pPr>
              <w:jc w:val="right"/>
            </w:pPr>
            <w:r w:rsidRPr="007B60BF">
              <w:t>51</w:t>
            </w:r>
          </w:p>
        </w:tc>
      </w:tr>
      <w:tr w:rsidR="000A41C4" w:rsidRPr="007B60BF" w14:paraId="5D776F3A" w14:textId="77777777" w:rsidTr="008133C7">
        <w:tc>
          <w:tcPr>
            <w:tcW w:w="2596" w:type="pct"/>
            <w:tcBorders>
              <w:top w:val="nil"/>
              <w:left w:val="nil"/>
              <w:bottom w:val="nil"/>
              <w:right w:val="nil"/>
            </w:tcBorders>
            <w:shd w:val="clear" w:color="auto" w:fill="FFFFFF" w:themeFill="background1"/>
            <w:noWrap/>
            <w:vAlign w:val="center"/>
            <w:hideMark/>
          </w:tcPr>
          <w:p w14:paraId="650A87FA" w14:textId="786ACF58" w:rsidR="000A41C4" w:rsidRPr="007B60BF" w:rsidRDefault="000A41C4" w:rsidP="000A41C4">
            <w:r w:rsidRPr="007B60BF">
              <w:t>Materiais de Engenharia e Ferramentas</w:t>
            </w:r>
          </w:p>
        </w:tc>
        <w:tc>
          <w:tcPr>
            <w:tcW w:w="1150" w:type="pct"/>
            <w:tcBorders>
              <w:top w:val="nil"/>
              <w:left w:val="nil"/>
              <w:bottom w:val="nil"/>
              <w:right w:val="nil"/>
            </w:tcBorders>
            <w:shd w:val="clear" w:color="000000" w:fill="FFFFFF"/>
            <w:noWrap/>
          </w:tcPr>
          <w:p w14:paraId="600F7FA0" w14:textId="7DCE8C29" w:rsidR="000A41C4" w:rsidRPr="007B60BF" w:rsidRDefault="000A41C4" w:rsidP="000A41C4">
            <w:pPr>
              <w:jc w:val="right"/>
            </w:pPr>
            <w:r w:rsidRPr="007B60BF">
              <w:t>4.413</w:t>
            </w:r>
          </w:p>
        </w:tc>
        <w:tc>
          <w:tcPr>
            <w:tcW w:w="106" w:type="pct"/>
            <w:tcBorders>
              <w:top w:val="nil"/>
              <w:left w:val="nil"/>
              <w:bottom w:val="nil"/>
              <w:right w:val="nil"/>
            </w:tcBorders>
            <w:shd w:val="clear" w:color="auto" w:fill="auto"/>
            <w:noWrap/>
            <w:vAlign w:val="center"/>
            <w:hideMark/>
          </w:tcPr>
          <w:p w14:paraId="4D9FF5FD" w14:textId="77777777" w:rsidR="000A41C4" w:rsidRPr="007B60BF" w:rsidRDefault="000A41C4" w:rsidP="000A41C4">
            <w:pPr>
              <w:jc w:val="right"/>
            </w:pPr>
            <w:r w:rsidRPr="007B60BF">
              <w:t> </w:t>
            </w:r>
          </w:p>
        </w:tc>
        <w:tc>
          <w:tcPr>
            <w:tcW w:w="1148" w:type="pct"/>
            <w:tcBorders>
              <w:top w:val="nil"/>
              <w:left w:val="nil"/>
              <w:bottom w:val="single" w:sz="8" w:space="0" w:color="auto"/>
              <w:right w:val="nil"/>
            </w:tcBorders>
          </w:tcPr>
          <w:p w14:paraId="7849B272" w14:textId="5B638B22" w:rsidR="000A41C4" w:rsidRPr="007B60BF" w:rsidRDefault="000A41C4" w:rsidP="000A41C4">
            <w:pPr>
              <w:jc w:val="right"/>
            </w:pPr>
            <w:r w:rsidRPr="007B60BF">
              <w:t>3.805</w:t>
            </w:r>
          </w:p>
        </w:tc>
      </w:tr>
      <w:tr w:rsidR="000A41C4" w:rsidRPr="007B60BF" w14:paraId="4FF9E0AB" w14:textId="77777777" w:rsidTr="008133C7">
        <w:tc>
          <w:tcPr>
            <w:tcW w:w="2596" w:type="pct"/>
            <w:tcBorders>
              <w:top w:val="nil"/>
              <w:left w:val="nil"/>
              <w:bottom w:val="nil"/>
              <w:right w:val="nil"/>
            </w:tcBorders>
            <w:shd w:val="clear" w:color="auto" w:fill="FFFFFF" w:themeFill="background1"/>
            <w:noWrap/>
            <w:vAlign w:val="center"/>
            <w:hideMark/>
          </w:tcPr>
          <w:p w14:paraId="49F2F3CA" w14:textId="77777777" w:rsidR="000A41C4" w:rsidRPr="007B60BF" w:rsidRDefault="000A41C4" w:rsidP="000A41C4">
            <w:pPr>
              <w:rPr>
                <w:b/>
                <w:bCs/>
              </w:rPr>
            </w:pPr>
            <w:r w:rsidRPr="007B60BF">
              <w:rPr>
                <w:b/>
                <w:bCs/>
              </w:rPr>
              <w:t>Saldo Contábil</w:t>
            </w:r>
          </w:p>
        </w:tc>
        <w:tc>
          <w:tcPr>
            <w:tcW w:w="1150" w:type="pct"/>
            <w:tcBorders>
              <w:top w:val="single" w:sz="4" w:space="0" w:color="auto"/>
              <w:left w:val="nil"/>
              <w:bottom w:val="double" w:sz="6" w:space="0" w:color="auto"/>
              <w:right w:val="nil"/>
            </w:tcBorders>
            <w:shd w:val="clear" w:color="auto" w:fill="auto"/>
            <w:noWrap/>
          </w:tcPr>
          <w:p w14:paraId="087F5F8F" w14:textId="00E86F63" w:rsidR="000A41C4" w:rsidRPr="007B60BF" w:rsidRDefault="000A41C4" w:rsidP="000A41C4">
            <w:pPr>
              <w:jc w:val="right"/>
              <w:rPr>
                <w:b/>
              </w:rPr>
            </w:pPr>
            <w:r w:rsidRPr="007B60BF">
              <w:rPr>
                <w:b/>
              </w:rPr>
              <w:t>30.150</w:t>
            </w:r>
          </w:p>
        </w:tc>
        <w:tc>
          <w:tcPr>
            <w:tcW w:w="106" w:type="pct"/>
            <w:tcBorders>
              <w:top w:val="nil"/>
              <w:left w:val="nil"/>
              <w:bottom w:val="nil"/>
              <w:right w:val="nil"/>
            </w:tcBorders>
            <w:shd w:val="clear" w:color="auto" w:fill="auto"/>
            <w:noWrap/>
            <w:vAlign w:val="center"/>
            <w:hideMark/>
          </w:tcPr>
          <w:p w14:paraId="198195E4" w14:textId="77777777" w:rsidR="000A41C4" w:rsidRPr="007B60BF" w:rsidRDefault="000A41C4" w:rsidP="000A41C4">
            <w:pPr>
              <w:jc w:val="right"/>
              <w:rPr>
                <w:b/>
                <w:bCs/>
              </w:rPr>
            </w:pPr>
            <w:r w:rsidRPr="007B60BF">
              <w:rPr>
                <w:b/>
                <w:bCs/>
              </w:rPr>
              <w:t> </w:t>
            </w:r>
          </w:p>
        </w:tc>
        <w:tc>
          <w:tcPr>
            <w:tcW w:w="1148" w:type="pct"/>
            <w:tcBorders>
              <w:top w:val="nil"/>
              <w:left w:val="nil"/>
              <w:bottom w:val="double" w:sz="6" w:space="0" w:color="auto"/>
              <w:right w:val="nil"/>
            </w:tcBorders>
          </w:tcPr>
          <w:p w14:paraId="14404488" w14:textId="14DD83ED" w:rsidR="000A41C4" w:rsidRPr="007B60BF" w:rsidRDefault="000A41C4" w:rsidP="000A41C4">
            <w:pPr>
              <w:jc w:val="right"/>
              <w:rPr>
                <w:b/>
              </w:rPr>
            </w:pPr>
            <w:r w:rsidRPr="007B60BF">
              <w:rPr>
                <w:b/>
              </w:rPr>
              <w:t>27.996</w:t>
            </w:r>
          </w:p>
        </w:tc>
      </w:tr>
    </w:tbl>
    <w:p w14:paraId="18F55C0C" w14:textId="739D0F47" w:rsidR="00CB0153" w:rsidRPr="007B60BF" w:rsidRDefault="008602D8" w:rsidP="00CB0153">
      <w:pPr>
        <w:jc w:val="both"/>
      </w:pPr>
      <w:r w:rsidRPr="007B60BF">
        <w:t xml:space="preserve">Os estoques representam os materiais em almoxarifado a serem consumidos na prestação de serviços e no curso normal das atividades da Instituição. São avaliados pelo custo médio ponderado de aquisição e não excedem o </w:t>
      </w:r>
      <w:bookmarkStart w:id="31" w:name="_Ref466465931"/>
      <w:bookmarkStart w:id="32" w:name="_Ref466472128"/>
      <w:r w:rsidR="00081C72" w:rsidRPr="007B60BF">
        <w:t>valor de mercado.</w:t>
      </w:r>
      <w:r w:rsidR="00CB0153" w:rsidRPr="007B60BF">
        <w:t xml:space="preserve"> Em </w:t>
      </w:r>
      <w:r w:rsidR="007722B4" w:rsidRPr="007B60BF">
        <w:t>3</w:t>
      </w:r>
      <w:r w:rsidR="004602BA" w:rsidRPr="007B60BF">
        <w:t>1</w:t>
      </w:r>
      <w:r w:rsidR="007722B4" w:rsidRPr="007B60BF">
        <w:t xml:space="preserve"> de </w:t>
      </w:r>
      <w:r w:rsidR="004602BA" w:rsidRPr="007B60BF">
        <w:t>dez</w:t>
      </w:r>
      <w:r w:rsidR="00590EEE" w:rsidRPr="007B60BF">
        <w:t>embro</w:t>
      </w:r>
      <w:r w:rsidR="00CB0153" w:rsidRPr="007B60BF">
        <w:t xml:space="preserve"> de 202</w:t>
      </w:r>
      <w:r w:rsidR="007722B4" w:rsidRPr="007B60BF">
        <w:t>5</w:t>
      </w:r>
      <w:r w:rsidR="00CB0153" w:rsidRPr="007B60BF">
        <w:t xml:space="preserve"> os estoques garantiam </w:t>
      </w:r>
      <w:r w:rsidR="00A717E6" w:rsidRPr="007B60BF">
        <w:t>37</w:t>
      </w:r>
      <w:r w:rsidR="00CB0153" w:rsidRPr="007B60BF">
        <w:t xml:space="preserve"> dias de utilização.</w:t>
      </w:r>
    </w:p>
    <w:p w14:paraId="1290311B" w14:textId="7727B1A3" w:rsidR="00E14EFC" w:rsidRPr="007B60BF" w:rsidRDefault="00E14EFC" w:rsidP="00081C72">
      <w:pPr>
        <w:tabs>
          <w:tab w:val="left" w:pos="993"/>
        </w:tabs>
        <w:jc w:val="both"/>
      </w:pPr>
    </w:p>
    <w:p w14:paraId="759710DB" w14:textId="4FC336E6" w:rsidR="005D2782" w:rsidRPr="007B60BF" w:rsidRDefault="005D2782">
      <w:bookmarkStart w:id="33" w:name="_Ref476905400"/>
    </w:p>
    <w:p w14:paraId="3CEF4244" w14:textId="304581F3" w:rsidR="00D92A4D" w:rsidRPr="007B60BF" w:rsidRDefault="00D92A4D" w:rsidP="00086B22">
      <w:pPr>
        <w:pStyle w:val="Ttulo1"/>
        <w:numPr>
          <w:ilvl w:val="0"/>
          <w:numId w:val="5"/>
        </w:numPr>
        <w:ind w:left="0" w:hanging="567"/>
        <w:jc w:val="left"/>
      </w:pPr>
      <w:bookmarkStart w:id="34" w:name="_Toc223007858"/>
      <w:r w:rsidRPr="007B60BF">
        <w:t>Imobilizado</w:t>
      </w:r>
      <w:bookmarkEnd w:id="31"/>
      <w:bookmarkEnd w:id="32"/>
      <w:bookmarkEnd w:id="33"/>
      <w:bookmarkEnd w:id="34"/>
    </w:p>
    <w:p w14:paraId="41CE0033" w14:textId="77777777" w:rsidR="0066161E" w:rsidRPr="007B60BF" w:rsidRDefault="0066161E" w:rsidP="00534053">
      <w:pPr>
        <w:tabs>
          <w:tab w:val="left" w:pos="851"/>
        </w:tabs>
        <w:jc w:val="both"/>
      </w:pPr>
    </w:p>
    <w:tbl>
      <w:tblPr>
        <w:tblW w:w="5000" w:type="pct"/>
        <w:tblCellMar>
          <w:left w:w="70" w:type="dxa"/>
          <w:right w:w="70" w:type="dxa"/>
        </w:tblCellMar>
        <w:tblLook w:val="04A0" w:firstRow="1" w:lastRow="0" w:firstColumn="1" w:lastColumn="0" w:noHBand="0" w:noVBand="1"/>
      </w:tblPr>
      <w:tblGrid>
        <w:gridCol w:w="3137"/>
        <w:gridCol w:w="190"/>
        <w:gridCol w:w="744"/>
        <w:gridCol w:w="190"/>
        <w:gridCol w:w="940"/>
        <w:gridCol w:w="190"/>
        <w:gridCol w:w="1196"/>
        <w:gridCol w:w="190"/>
        <w:gridCol w:w="1052"/>
        <w:gridCol w:w="190"/>
        <w:gridCol w:w="1052"/>
      </w:tblGrid>
      <w:tr w:rsidR="004B2E4F" w:rsidRPr="007B60BF" w14:paraId="09865812" w14:textId="77777777" w:rsidTr="00306FD3">
        <w:tc>
          <w:tcPr>
            <w:tcW w:w="1729" w:type="pct"/>
            <w:tcBorders>
              <w:top w:val="nil"/>
              <w:left w:val="nil"/>
              <w:bottom w:val="nil"/>
              <w:right w:val="nil"/>
            </w:tcBorders>
            <w:shd w:val="clear" w:color="000000" w:fill="FFFFFF"/>
            <w:vAlign w:val="center"/>
            <w:hideMark/>
          </w:tcPr>
          <w:p w14:paraId="16EA78AD" w14:textId="77777777" w:rsidR="004B2E4F" w:rsidRPr="007B60BF" w:rsidRDefault="004B2E4F" w:rsidP="004B2E4F">
            <w:r w:rsidRPr="007B60BF">
              <w:t> </w:t>
            </w:r>
          </w:p>
        </w:tc>
        <w:tc>
          <w:tcPr>
            <w:tcW w:w="105" w:type="pct"/>
            <w:tcBorders>
              <w:top w:val="nil"/>
              <w:left w:val="nil"/>
              <w:bottom w:val="nil"/>
              <w:right w:val="nil"/>
            </w:tcBorders>
            <w:shd w:val="clear" w:color="000000" w:fill="FFFFFF"/>
            <w:vAlign w:val="center"/>
            <w:hideMark/>
          </w:tcPr>
          <w:p w14:paraId="3C2437A6" w14:textId="77777777" w:rsidR="004B2E4F" w:rsidRPr="007B60BF" w:rsidRDefault="004B2E4F" w:rsidP="004B2E4F">
            <w:pPr>
              <w:jc w:val="right"/>
            </w:pPr>
            <w:r w:rsidRPr="007B60BF">
              <w:t> </w:t>
            </w:r>
          </w:p>
        </w:tc>
        <w:tc>
          <w:tcPr>
            <w:tcW w:w="410" w:type="pct"/>
            <w:tcBorders>
              <w:top w:val="nil"/>
              <w:left w:val="nil"/>
              <w:bottom w:val="single" w:sz="8" w:space="0" w:color="auto"/>
              <w:right w:val="nil"/>
            </w:tcBorders>
            <w:shd w:val="clear" w:color="000000" w:fill="FFFFFF"/>
            <w:vAlign w:val="center"/>
            <w:hideMark/>
          </w:tcPr>
          <w:p w14:paraId="5477BAFD" w14:textId="7F55E787" w:rsidR="004B2E4F" w:rsidRPr="007B60BF" w:rsidRDefault="004B2E4F" w:rsidP="004B2E4F">
            <w:pPr>
              <w:jc w:val="center"/>
              <w:rPr>
                <w:b/>
                <w:bCs/>
              </w:rPr>
            </w:pPr>
            <w:r w:rsidRPr="007B60BF">
              <w:rPr>
                <w:b/>
                <w:bCs/>
              </w:rPr>
              <w:t>Tx.%</w:t>
            </w:r>
          </w:p>
        </w:tc>
        <w:tc>
          <w:tcPr>
            <w:tcW w:w="105" w:type="pct"/>
            <w:tcBorders>
              <w:top w:val="nil"/>
              <w:left w:val="nil"/>
              <w:bottom w:val="nil"/>
              <w:right w:val="nil"/>
            </w:tcBorders>
            <w:shd w:val="clear" w:color="000000" w:fill="FFFFFF"/>
            <w:vAlign w:val="center"/>
            <w:hideMark/>
          </w:tcPr>
          <w:p w14:paraId="104D5407" w14:textId="77777777" w:rsidR="004B2E4F" w:rsidRPr="007B60BF" w:rsidRDefault="004B2E4F" w:rsidP="004B2E4F">
            <w:pPr>
              <w:jc w:val="right"/>
              <w:rPr>
                <w:b/>
                <w:bCs/>
              </w:rPr>
            </w:pPr>
            <w:r w:rsidRPr="007B60BF">
              <w:rPr>
                <w:b/>
                <w:bCs/>
              </w:rPr>
              <w:t> </w:t>
            </w:r>
          </w:p>
        </w:tc>
        <w:tc>
          <w:tcPr>
            <w:tcW w:w="518" w:type="pct"/>
            <w:tcBorders>
              <w:top w:val="nil"/>
              <w:left w:val="nil"/>
              <w:bottom w:val="single" w:sz="8" w:space="0" w:color="auto"/>
              <w:right w:val="nil"/>
            </w:tcBorders>
            <w:shd w:val="clear" w:color="auto" w:fill="auto"/>
            <w:vAlign w:val="center"/>
            <w:hideMark/>
          </w:tcPr>
          <w:p w14:paraId="019D5B67" w14:textId="77777777" w:rsidR="004B2E4F" w:rsidRPr="007B60BF" w:rsidRDefault="004B2E4F" w:rsidP="004B2E4F">
            <w:pPr>
              <w:jc w:val="right"/>
              <w:rPr>
                <w:b/>
                <w:bCs/>
              </w:rPr>
            </w:pPr>
            <w:r w:rsidRPr="007B60BF">
              <w:rPr>
                <w:b/>
                <w:bCs/>
              </w:rPr>
              <w:t>Custo</w:t>
            </w:r>
          </w:p>
        </w:tc>
        <w:tc>
          <w:tcPr>
            <w:tcW w:w="105" w:type="pct"/>
            <w:tcBorders>
              <w:top w:val="nil"/>
              <w:left w:val="nil"/>
              <w:bottom w:val="nil"/>
              <w:right w:val="nil"/>
            </w:tcBorders>
            <w:shd w:val="clear" w:color="auto" w:fill="auto"/>
            <w:vAlign w:val="center"/>
            <w:hideMark/>
          </w:tcPr>
          <w:p w14:paraId="0CC81D24" w14:textId="77777777" w:rsidR="004B2E4F" w:rsidRPr="007B60BF" w:rsidRDefault="004B2E4F" w:rsidP="004B2E4F">
            <w:pPr>
              <w:jc w:val="right"/>
              <w:rPr>
                <w:b/>
                <w:bCs/>
              </w:rPr>
            </w:pPr>
            <w:r w:rsidRPr="007B60BF">
              <w:rPr>
                <w:b/>
                <w:bCs/>
              </w:rPr>
              <w:t> </w:t>
            </w:r>
          </w:p>
        </w:tc>
        <w:tc>
          <w:tcPr>
            <w:tcW w:w="659" w:type="pct"/>
            <w:tcBorders>
              <w:top w:val="nil"/>
              <w:left w:val="nil"/>
              <w:bottom w:val="single" w:sz="8" w:space="0" w:color="auto"/>
              <w:right w:val="nil"/>
            </w:tcBorders>
            <w:shd w:val="clear" w:color="auto" w:fill="auto"/>
            <w:vAlign w:val="center"/>
            <w:hideMark/>
          </w:tcPr>
          <w:p w14:paraId="7412B3AF" w14:textId="77777777" w:rsidR="004B2E4F" w:rsidRPr="007B60BF" w:rsidRDefault="004B2E4F" w:rsidP="004B2E4F">
            <w:pPr>
              <w:jc w:val="right"/>
              <w:rPr>
                <w:b/>
                <w:bCs/>
              </w:rPr>
            </w:pPr>
            <w:r w:rsidRPr="007B60BF">
              <w:rPr>
                <w:b/>
                <w:bCs/>
              </w:rPr>
              <w:t>Depreciação</w:t>
            </w:r>
          </w:p>
        </w:tc>
        <w:tc>
          <w:tcPr>
            <w:tcW w:w="105" w:type="pct"/>
            <w:tcBorders>
              <w:top w:val="nil"/>
              <w:left w:val="nil"/>
              <w:bottom w:val="nil"/>
              <w:right w:val="nil"/>
            </w:tcBorders>
            <w:shd w:val="clear" w:color="auto" w:fill="auto"/>
            <w:vAlign w:val="center"/>
            <w:hideMark/>
          </w:tcPr>
          <w:p w14:paraId="0C844277" w14:textId="77777777" w:rsidR="004B2E4F" w:rsidRPr="007B60BF" w:rsidRDefault="004B2E4F" w:rsidP="004B2E4F">
            <w:pPr>
              <w:jc w:val="right"/>
              <w:rPr>
                <w:b/>
                <w:bCs/>
              </w:rPr>
            </w:pPr>
            <w:r w:rsidRPr="007B60BF">
              <w:rPr>
                <w:b/>
                <w:bCs/>
              </w:rPr>
              <w:t> </w:t>
            </w:r>
          </w:p>
        </w:tc>
        <w:tc>
          <w:tcPr>
            <w:tcW w:w="580" w:type="pct"/>
            <w:tcBorders>
              <w:top w:val="nil"/>
              <w:left w:val="nil"/>
              <w:bottom w:val="single" w:sz="8" w:space="0" w:color="auto"/>
              <w:right w:val="nil"/>
            </w:tcBorders>
            <w:shd w:val="clear" w:color="auto" w:fill="auto"/>
            <w:vAlign w:val="center"/>
            <w:hideMark/>
          </w:tcPr>
          <w:p w14:paraId="48F69118" w14:textId="3D11F6F0" w:rsidR="004B2E4F" w:rsidRPr="007B60BF" w:rsidRDefault="005E1F9B" w:rsidP="00590EEE">
            <w:pPr>
              <w:jc w:val="right"/>
              <w:rPr>
                <w:b/>
                <w:bCs/>
              </w:rPr>
            </w:pPr>
            <w:r w:rsidRPr="007B60BF">
              <w:rPr>
                <w:b/>
                <w:bCs/>
              </w:rPr>
              <w:t>31/12/2025</w:t>
            </w:r>
          </w:p>
        </w:tc>
        <w:tc>
          <w:tcPr>
            <w:tcW w:w="105" w:type="pct"/>
            <w:tcBorders>
              <w:top w:val="nil"/>
              <w:left w:val="nil"/>
              <w:bottom w:val="nil"/>
              <w:right w:val="nil"/>
            </w:tcBorders>
            <w:shd w:val="clear" w:color="000000" w:fill="FFFFFF"/>
            <w:vAlign w:val="center"/>
            <w:hideMark/>
          </w:tcPr>
          <w:p w14:paraId="36291299" w14:textId="77777777" w:rsidR="004B2E4F" w:rsidRPr="007B60BF" w:rsidRDefault="004B2E4F" w:rsidP="004B2E4F">
            <w:pPr>
              <w:jc w:val="right"/>
              <w:rPr>
                <w:b/>
                <w:bCs/>
              </w:rPr>
            </w:pPr>
            <w:r w:rsidRPr="007B60BF">
              <w:rPr>
                <w:b/>
                <w:bCs/>
              </w:rPr>
              <w:t> </w:t>
            </w:r>
          </w:p>
        </w:tc>
        <w:tc>
          <w:tcPr>
            <w:tcW w:w="580" w:type="pct"/>
            <w:tcBorders>
              <w:top w:val="nil"/>
              <w:left w:val="nil"/>
              <w:bottom w:val="single" w:sz="8" w:space="0" w:color="auto"/>
              <w:right w:val="nil"/>
            </w:tcBorders>
            <w:shd w:val="clear" w:color="000000" w:fill="FFFFFF"/>
            <w:vAlign w:val="center"/>
          </w:tcPr>
          <w:p w14:paraId="13FEF24A" w14:textId="7ACFBA0D" w:rsidR="004B2E4F" w:rsidRPr="007B60BF" w:rsidRDefault="004B2E4F" w:rsidP="004B2E4F">
            <w:pPr>
              <w:rPr>
                <w:b/>
              </w:rPr>
            </w:pPr>
            <w:r w:rsidRPr="007B60BF">
              <w:rPr>
                <w:b/>
                <w:bCs/>
              </w:rPr>
              <w:t>31/12/2024</w:t>
            </w:r>
          </w:p>
        </w:tc>
      </w:tr>
      <w:tr w:rsidR="005E1F9B" w:rsidRPr="007B60BF" w14:paraId="2323DF35" w14:textId="77777777" w:rsidTr="00306FD3">
        <w:tc>
          <w:tcPr>
            <w:tcW w:w="1729" w:type="pct"/>
            <w:tcBorders>
              <w:top w:val="nil"/>
              <w:left w:val="nil"/>
              <w:bottom w:val="nil"/>
              <w:right w:val="nil"/>
            </w:tcBorders>
            <w:shd w:val="clear" w:color="000000" w:fill="FFFFFF"/>
            <w:vAlign w:val="center"/>
            <w:hideMark/>
          </w:tcPr>
          <w:p w14:paraId="01ED5E52" w14:textId="77777777" w:rsidR="005E1F9B" w:rsidRPr="007B60BF" w:rsidRDefault="005E1F9B" w:rsidP="005E1F9B">
            <w:r w:rsidRPr="007B60BF">
              <w:t>Edifícios</w:t>
            </w:r>
          </w:p>
        </w:tc>
        <w:tc>
          <w:tcPr>
            <w:tcW w:w="105" w:type="pct"/>
            <w:tcBorders>
              <w:top w:val="nil"/>
              <w:left w:val="nil"/>
              <w:bottom w:val="nil"/>
              <w:right w:val="nil"/>
            </w:tcBorders>
            <w:shd w:val="clear" w:color="000000" w:fill="FFFFFF"/>
            <w:vAlign w:val="center"/>
            <w:hideMark/>
          </w:tcPr>
          <w:p w14:paraId="0A48109C" w14:textId="77777777" w:rsidR="005E1F9B" w:rsidRPr="007B60BF" w:rsidRDefault="005E1F9B" w:rsidP="005E1F9B">
            <w:pPr>
              <w:jc w:val="right"/>
            </w:pPr>
            <w:r w:rsidRPr="007B60BF">
              <w:t> </w:t>
            </w:r>
          </w:p>
        </w:tc>
        <w:tc>
          <w:tcPr>
            <w:tcW w:w="410" w:type="pct"/>
            <w:tcBorders>
              <w:top w:val="nil"/>
              <w:left w:val="nil"/>
              <w:bottom w:val="nil"/>
              <w:right w:val="nil"/>
            </w:tcBorders>
            <w:shd w:val="clear" w:color="000000" w:fill="FFFFFF"/>
            <w:vAlign w:val="center"/>
            <w:hideMark/>
          </w:tcPr>
          <w:p w14:paraId="09B1F995" w14:textId="77777777" w:rsidR="005E1F9B" w:rsidRPr="007B60BF" w:rsidRDefault="005E1F9B" w:rsidP="005E1F9B">
            <w:pPr>
              <w:jc w:val="center"/>
            </w:pPr>
            <w:r w:rsidRPr="007B60BF">
              <w:t>1</w:t>
            </w:r>
          </w:p>
        </w:tc>
        <w:tc>
          <w:tcPr>
            <w:tcW w:w="105" w:type="pct"/>
            <w:tcBorders>
              <w:top w:val="nil"/>
              <w:left w:val="nil"/>
              <w:bottom w:val="nil"/>
              <w:right w:val="nil"/>
            </w:tcBorders>
            <w:shd w:val="clear" w:color="000000" w:fill="FFFFFF"/>
            <w:vAlign w:val="center"/>
            <w:hideMark/>
          </w:tcPr>
          <w:p w14:paraId="0BC0897D" w14:textId="77777777" w:rsidR="005E1F9B" w:rsidRPr="007B60BF" w:rsidRDefault="005E1F9B" w:rsidP="005E1F9B">
            <w:pPr>
              <w:jc w:val="right"/>
            </w:pPr>
            <w:r w:rsidRPr="007B60BF">
              <w:t> </w:t>
            </w:r>
          </w:p>
        </w:tc>
        <w:tc>
          <w:tcPr>
            <w:tcW w:w="518" w:type="pct"/>
            <w:tcBorders>
              <w:top w:val="nil"/>
              <w:left w:val="nil"/>
              <w:bottom w:val="nil"/>
              <w:right w:val="nil"/>
            </w:tcBorders>
            <w:shd w:val="clear" w:color="auto" w:fill="auto"/>
          </w:tcPr>
          <w:p w14:paraId="746725C0" w14:textId="2C02AD7C" w:rsidR="005E1F9B" w:rsidRPr="007B60BF" w:rsidRDefault="005E1F9B" w:rsidP="005E1F9B">
            <w:pPr>
              <w:jc w:val="right"/>
            </w:pPr>
            <w:r w:rsidRPr="007B60BF">
              <w:t>811.520</w:t>
            </w:r>
          </w:p>
        </w:tc>
        <w:tc>
          <w:tcPr>
            <w:tcW w:w="105" w:type="pct"/>
            <w:tcBorders>
              <w:top w:val="nil"/>
              <w:left w:val="nil"/>
              <w:bottom w:val="nil"/>
              <w:right w:val="nil"/>
            </w:tcBorders>
            <w:shd w:val="clear" w:color="auto" w:fill="auto"/>
          </w:tcPr>
          <w:p w14:paraId="34202988" w14:textId="77777777" w:rsidR="005E1F9B" w:rsidRPr="007B60BF" w:rsidRDefault="005E1F9B" w:rsidP="005E1F9B">
            <w:pPr>
              <w:jc w:val="right"/>
            </w:pPr>
          </w:p>
        </w:tc>
        <w:tc>
          <w:tcPr>
            <w:tcW w:w="659" w:type="pct"/>
          </w:tcPr>
          <w:p w14:paraId="50E61B99" w14:textId="155266CB" w:rsidR="005E1F9B" w:rsidRPr="007B60BF" w:rsidRDefault="005E1F9B" w:rsidP="005E1F9B">
            <w:pPr>
              <w:jc w:val="right"/>
            </w:pPr>
            <w:r w:rsidRPr="007B60BF">
              <w:t>(124.914)</w:t>
            </w:r>
          </w:p>
        </w:tc>
        <w:tc>
          <w:tcPr>
            <w:tcW w:w="105" w:type="pct"/>
            <w:tcBorders>
              <w:top w:val="nil"/>
              <w:left w:val="nil"/>
              <w:bottom w:val="nil"/>
              <w:right w:val="nil"/>
            </w:tcBorders>
            <w:shd w:val="clear" w:color="auto" w:fill="auto"/>
          </w:tcPr>
          <w:p w14:paraId="26BDAA94" w14:textId="21533DEE" w:rsidR="005E1F9B" w:rsidRPr="007B60BF" w:rsidRDefault="005E1F9B" w:rsidP="005E1F9B">
            <w:pPr>
              <w:jc w:val="right"/>
            </w:pPr>
            <w:r w:rsidRPr="007B60BF">
              <w:t xml:space="preserve"> </w:t>
            </w:r>
          </w:p>
        </w:tc>
        <w:tc>
          <w:tcPr>
            <w:tcW w:w="580" w:type="pct"/>
            <w:tcBorders>
              <w:top w:val="nil"/>
              <w:left w:val="nil"/>
              <w:bottom w:val="nil"/>
              <w:right w:val="nil"/>
            </w:tcBorders>
          </w:tcPr>
          <w:p w14:paraId="5545BC1E" w14:textId="74CEDED3" w:rsidR="005E1F9B" w:rsidRPr="007B60BF" w:rsidRDefault="005E1F9B" w:rsidP="005E1F9B">
            <w:pPr>
              <w:jc w:val="right"/>
            </w:pPr>
            <w:r w:rsidRPr="007B60BF">
              <w:t>686.606</w:t>
            </w:r>
          </w:p>
        </w:tc>
        <w:tc>
          <w:tcPr>
            <w:tcW w:w="105" w:type="pct"/>
            <w:tcBorders>
              <w:top w:val="nil"/>
              <w:left w:val="nil"/>
              <w:bottom w:val="nil"/>
              <w:right w:val="nil"/>
            </w:tcBorders>
            <w:shd w:val="clear" w:color="000000" w:fill="FFFFFF"/>
            <w:hideMark/>
          </w:tcPr>
          <w:p w14:paraId="6F4EA842" w14:textId="7BF1194C" w:rsidR="005E1F9B" w:rsidRPr="007B60BF" w:rsidRDefault="005E1F9B" w:rsidP="005E1F9B">
            <w:pPr>
              <w:jc w:val="right"/>
            </w:pPr>
          </w:p>
        </w:tc>
        <w:tc>
          <w:tcPr>
            <w:tcW w:w="580" w:type="pct"/>
            <w:tcBorders>
              <w:top w:val="nil"/>
              <w:left w:val="nil"/>
              <w:bottom w:val="nil"/>
              <w:right w:val="nil"/>
            </w:tcBorders>
            <w:shd w:val="clear" w:color="000000" w:fill="FFFFFF"/>
          </w:tcPr>
          <w:p w14:paraId="758DF3B6" w14:textId="0E21709F" w:rsidR="005E1F9B" w:rsidRPr="007B60BF" w:rsidRDefault="005E1F9B" w:rsidP="005E1F9B">
            <w:pPr>
              <w:jc w:val="right"/>
            </w:pPr>
            <w:r w:rsidRPr="007B60BF">
              <w:t xml:space="preserve"> 695.850 </w:t>
            </w:r>
          </w:p>
        </w:tc>
      </w:tr>
      <w:tr w:rsidR="005E1F9B" w:rsidRPr="007B60BF" w14:paraId="43F8BE5C" w14:textId="77777777" w:rsidTr="00306FD3">
        <w:tc>
          <w:tcPr>
            <w:tcW w:w="1729" w:type="pct"/>
            <w:tcBorders>
              <w:top w:val="nil"/>
              <w:left w:val="nil"/>
              <w:bottom w:val="nil"/>
              <w:right w:val="nil"/>
            </w:tcBorders>
            <w:shd w:val="clear" w:color="000000" w:fill="FFFFFF"/>
            <w:vAlign w:val="center"/>
            <w:hideMark/>
          </w:tcPr>
          <w:p w14:paraId="3236B4B2" w14:textId="77777777" w:rsidR="005E1F9B" w:rsidRPr="007B60BF" w:rsidRDefault="005E1F9B" w:rsidP="005E1F9B">
            <w:r w:rsidRPr="007B60BF">
              <w:t>Terrenos</w:t>
            </w:r>
          </w:p>
        </w:tc>
        <w:tc>
          <w:tcPr>
            <w:tcW w:w="105" w:type="pct"/>
            <w:tcBorders>
              <w:top w:val="nil"/>
              <w:left w:val="nil"/>
              <w:bottom w:val="nil"/>
              <w:right w:val="nil"/>
            </w:tcBorders>
            <w:shd w:val="clear" w:color="000000" w:fill="FFFFFF"/>
            <w:vAlign w:val="center"/>
            <w:hideMark/>
          </w:tcPr>
          <w:p w14:paraId="77BECC3B" w14:textId="77777777" w:rsidR="005E1F9B" w:rsidRPr="007B60BF" w:rsidRDefault="005E1F9B" w:rsidP="005E1F9B">
            <w:pPr>
              <w:jc w:val="right"/>
            </w:pPr>
            <w:r w:rsidRPr="007B60BF">
              <w:t> </w:t>
            </w:r>
          </w:p>
        </w:tc>
        <w:tc>
          <w:tcPr>
            <w:tcW w:w="410" w:type="pct"/>
            <w:tcBorders>
              <w:top w:val="nil"/>
              <w:left w:val="nil"/>
              <w:bottom w:val="nil"/>
              <w:right w:val="nil"/>
            </w:tcBorders>
            <w:shd w:val="clear" w:color="000000" w:fill="FFFFFF"/>
            <w:vAlign w:val="center"/>
            <w:hideMark/>
          </w:tcPr>
          <w:p w14:paraId="6DADDCC8" w14:textId="15DFC79F" w:rsidR="005E1F9B" w:rsidRPr="007B60BF" w:rsidRDefault="005E1F9B" w:rsidP="005E1F9B">
            <w:pPr>
              <w:jc w:val="center"/>
            </w:pPr>
            <w:r w:rsidRPr="007B60BF">
              <w:t>-</w:t>
            </w:r>
          </w:p>
        </w:tc>
        <w:tc>
          <w:tcPr>
            <w:tcW w:w="105" w:type="pct"/>
            <w:tcBorders>
              <w:top w:val="nil"/>
              <w:left w:val="nil"/>
              <w:bottom w:val="nil"/>
              <w:right w:val="nil"/>
            </w:tcBorders>
            <w:shd w:val="clear" w:color="000000" w:fill="FFFFFF"/>
            <w:vAlign w:val="center"/>
            <w:hideMark/>
          </w:tcPr>
          <w:p w14:paraId="41FBCD7B" w14:textId="77777777" w:rsidR="005E1F9B" w:rsidRPr="007B60BF" w:rsidRDefault="005E1F9B" w:rsidP="005E1F9B">
            <w:pPr>
              <w:jc w:val="right"/>
            </w:pPr>
            <w:r w:rsidRPr="007B60BF">
              <w:t> </w:t>
            </w:r>
          </w:p>
        </w:tc>
        <w:tc>
          <w:tcPr>
            <w:tcW w:w="518" w:type="pct"/>
          </w:tcPr>
          <w:p w14:paraId="7406C604" w14:textId="3ACF007E" w:rsidR="005E1F9B" w:rsidRPr="007B60BF" w:rsidRDefault="005E1F9B" w:rsidP="005E1F9B">
            <w:pPr>
              <w:jc w:val="right"/>
            </w:pPr>
            <w:r w:rsidRPr="007B60BF">
              <w:t>67.406</w:t>
            </w:r>
          </w:p>
        </w:tc>
        <w:tc>
          <w:tcPr>
            <w:tcW w:w="105" w:type="pct"/>
            <w:tcBorders>
              <w:top w:val="nil"/>
              <w:left w:val="nil"/>
              <w:bottom w:val="nil"/>
              <w:right w:val="nil"/>
            </w:tcBorders>
            <w:shd w:val="clear" w:color="auto" w:fill="auto"/>
          </w:tcPr>
          <w:p w14:paraId="42E77B98" w14:textId="7A8FCDC8" w:rsidR="005E1F9B" w:rsidRPr="007B60BF" w:rsidRDefault="005E1F9B" w:rsidP="005E1F9B">
            <w:pPr>
              <w:jc w:val="right"/>
            </w:pPr>
            <w:r w:rsidRPr="007B60BF">
              <w:t xml:space="preserve"> </w:t>
            </w:r>
          </w:p>
        </w:tc>
        <w:tc>
          <w:tcPr>
            <w:tcW w:w="659" w:type="pct"/>
          </w:tcPr>
          <w:p w14:paraId="457D3EAD" w14:textId="1156D5A0" w:rsidR="005E1F9B" w:rsidRPr="007B60BF" w:rsidRDefault="005E1F9B" w:rsidP="005E1F9B">
            <w:pPr>
              <w:jc w:val="right"/>
            </w:pPr>
            <w:r w:rsidRPr="007B60BF">
              <w:t xml:space="preserve">- </w:t>
            </w:r>
          </w:p>
        </w:tc>
        <w:tc>
          <w:tcPr>
            <w:tcW w:w="105" w:type="pct"/>
            <w:tcBorders>
              <w:top w:val="nil"/>
              <w:left w:val="nil"/>
              <w:bottom w:val="nil"/>
              <w:right w:val="nil"/>
            </w:tcBorders>
            <w:shd w:val="clear" w:color="auto" w:fill="auto"/>
          </w:tcPr>
          <w:p w14:paraId="70DA3F1F" w14:textId="20E89B0C" w:rsidR="005E1F9B" w:rsidRPr="007B60BF" w:rsidRDefault="005E1F9B" w:rsidP="005E1F9B">
            <w:pPr>
              <w:jc w:val="right"/>
            </w:pPr>
            <w:r w:rsidRPr="007B60BF">
              <w:t xml:space="preserve"> </w:t>
            </w:r>
          </w:p>
        </w:tc>
        <w:tc>
          <w:tcPr>
            <w:tcW w:w="580" w:type="pct"/>
          </w:tcPr>
          <w:p w14:paraId="7FB48504" w14:textId="2AC2078C" w:rsidR="005E1F9B" w:rsidRPr="007B60BF" w:rsidRDefault="005E1F9B" w:rsidP="005E1F9B">
            <w:pPr>
              <w:jc w:val="right"/>
            </w:pPr>
            <w:r w:rsidRPr="007B60BF">
              <w:t>67.406</w:t>
            </w:r>
          </w:p>
        </w:tc>
        <w:tc>
          <w:tcPr>
            <w:tcW w:w="105" w:type="pct"/>
            <w:tcBorders>
              <w:top w:val="nil"/>
              <w:left w:val="nil"/>
              <w:bottom w:val="nil"/>
              <w:right w:val="nil"/>
            </w:tcBorders>
            <w:shd w:val="clear" w:color="000000" w:fill="FFFFFF"/>
            <w:hideMark/>
          </w:tcPr>
          <w:p w14:paraId="4B5FD4ED" w14:textId="5ACAAFEC" w:rsidR="005E1F9B" w:rsidRPr="007B60BF" w:rsidRDefault="005E1F9B" w:rsidP="005E1F9B">
            <w:pPr>
              <w:jc w:val="right"/>
            </w:pPr>
          </w:p>
        </w:tc>
        <w:tc>
          <w:tcPr>
            <w:tcW w:w="580" w:type="pct"/>
            <w:tcBorders>
              <w:top w:val="nil"/>
              <w:left w:val="nil"/>
              <w:bottom w:val="nil"/>
              <w:right w:val="nil"/>
            </w:tcBorders>
            <w:shd w:val="clear" w:color="000000" w:fill="FFFFFF"/>
          </w:tcPr>
          <w:p w14:paraId="564D3350" w14:textId="33EA4CD1" w:rsidR="005E1F9B" w:rsidRPr="007B60BF" w:rsidRDefault="005E1F9B" w:rsidP="005E1F9B">
            <w:pPr>
              <w:jc w:val="right"/>
            </w:pPr>
            <w:r w:rsidRPr="007B60BF">
              <w:t xml:space="preserve"> 67.406 </w:t>
            </w:r>
          </w:p>
        </w:tc>
      </w:tr>
      <w:tr w:rsidR="005E1F9B" w:rsidRPr="007B60BF" w14:paraId="08D01996" w14:textId="77777777" w:rsidTr="00306FD3">
        <w:tc>
          <w:tcPr>
            <w:tcW w:w="1729" w:type="pct"/>
            <w:tcBorders>
              <w:top w:val="nil"/>
              <w:left w:val="nil"/>
              <w:bottom w:val="nil"/>
              <w:right w:val="nil"/>
            </w:tcBorders>
            <w:shd w:val="clear" w:color="auto" w:fill="auto"/>
            <w:noWrap/>
            <w:vAlign w:val="bottom"/>
            <w:hideMark/>
          </w:tcPr>
          <w:p w14:paraId="38AB9FF8" w14:textId="1E1CCAD0" w:rsidR="005E1F9B" w:rsidRPr="007B60BF" w:rsidRDefault="005E1F9B" w:rsidP="005E1F9B">
            <w:r w:rsidRPr="007B60BF">
              <w:t>Obras Andamento/Estudos e Projetos</w:t>
            </w:r>
          </w:p>
        </w:tc>
        <w:tc>
          <w:tcPr>
            <w:tcW w:w="105" w:type="pct"/>
            <w:tcBorders>
              <w:top w:val="nil"/>
              <w:left w:val="nil"/>
              <w:bottom w:val="nil"/>
              <w:right w:val="nil"/>
            </w:tcBorders>
            <w:shd w:val="clear" w:color="auto" w:fill="auto"/>
            <w:vAlign w:val="center"/>
            <w:hideMark/>
          </w:tcPr>
          <w:p w14:paraId="2B24D10D" w14:textId="77777777" w:rsidR="005E1F9B" w:rsidRPr="007B60BF" w:rsidRDefault="005E1F9B" w:rsidP="005E1F9B">
            <w:r w:rsidRPr="007B60BF">
              <w:t> </w:t>
            </w:r>
          </w:p>
        </w:tc>
        <w:tc>
          <w:tcPr>
            <w:tcW w:w="410" w:type="pct"/>
            <w:tcBorders>
              <w:top w:val="nil"/>
              <w:left w:val="nil"/>
              <w:bottom w:val="nil"/>
              <w:right w:val="nil"/>
            </w:tcBorders>
            <w:shd w:val="clear" w:color="auto" w:fill="auto"/>
            <w:vAlign w:val="center"/>
            <w:hideMark/>
          </w:tcPr>
          <w:p w14:paraId="3E749F0A" w14:textId="44F9E86B" w:rsidR="005E1F9B" w:rsidRPr="007B60BF" w:rsidRDefault="005E1F9B" w:rsidP="005E1F9B">
            <w:pPr>
              <w:jc w:val="center"/>
            </w:pPr>
            <w:r w:rsidRPr="007B60BF">
              <w:t>-</w:t>
            </w:r>
          </w:p>
        </w:tc>
        <w:tc>
          <w:tcPr>
            <w:tcW w:w="105" w:type="pct"/>
            <w:tcBorders>
              <w:top w:val="nil"/>
              <w:left w:val="nil"/>
              <w:bottom w:val="nil"/>
              <w:right w:val="nil"/>
            </w:tcBorders>
            <w:shd w:val="clear" w:color="auto" w:fill="auto"/>
            <w:vAlign w:val="center"/>
            <w:hideMark/>
          </w:tcPr>
          <w:p w14:paraId="1B0608C5" w14:textId="77777777" w:rsidR="005E1F9B" w:rsidRPr="007B60BF" w:rsidRDefault="005E1F9B" w:rsidP="005E1F9B">
            <w:r w:rsidRPr="007B60BF">
              <w:t> </w:t>
            </w:r>
          </w:p>
        </w:tc>
        <w:tc>
          <w:tcPr>
            <w:tcW w:w="518" w:type="pct"/>
          </w:tcPr>
          <w:p w14:paraId="518B21A4" w14:textId="3F3ADD0F" w:rsidR="005E1F9B" w:rsidRPr="007B60BF" w:rsidRDefault="005E1F9B" w:rsidP="005E1F9B">
            <w:pPr>
              <w:jc w:val="right"/>
            </w:pPr>
            <w:r w:rsidRPr="007B60BF">
              <w:t>55.334</w:t>
            </w:r>
          </w:p>
        </w:tc>
        <w:tc>
          <w:tcPr>
            <w:tcW w:w="105" w:type="pct"/>
            <w:tcBorders>
              <w:top w:val="nil"/>
              <w:left w:val="nil"/>
              <w:bottom w:val="nil"/>
              <w:right w:val="nil"/>
            </w:tcBorders>
            <w:shd w:val="clear" w:color="auto" w:fill="auto"/>
          </w:tcPr>
          <w:p w14:paraId="619673A2" w14:textId="5F7DFA0F" w:rsidR="005E1F9B" w:rsidRPr="007B60BF" w:rsidRDefault="005E1F9B" w:rsidP="005E1F9B">
            <w:pPr>
              <w:jc w:val="right"/>
            </w:pPr>
            <w:r w:rsidRPr="007B60BF">
              <w:t xml:space="preserve"> </w:t>
            </w:r>
          </w:p>
        </w:tc>
        <w:tc>
          <w:tcPr>
            <w:tcW w:w="659" w:type="pct"/>
          </w:tcPr>
          <w:p w14:paraId="63DEECA2" w14:textId="5F4A0692" w:rsidR="005E1F9B" w:rsidRPr="007B60BF" w:rsidRDefault="005E1F9B" w:rsidP="005E1F9B">
            <w:pPr>
              <w:jc w:val="right"/>
            </w:pPr>
            <w:r w:rsidRPr="007B60BF">
              <w:t>-</w:t>
            </w:r>
          </w:p>
        </w:tc>
        <w:tc>
          <w:tcPr>
            <w:tcW w:w="105" w:type="pct"/>
            <w:tcBorders>
              <w:top w:val="nil"/>
              <w:left w:val="nil"/>
              <w:bottom w:val="nil"/>
              <w:right w:val="nil"/>
            </w:tcBorders>
            <w:shd w:val="clear" w:color="auto" w:fill="auto"/>
          </w:tcPr>
          <w:p w14:paraId="7A28FA6F" w14:textId="6F0346E3" w:rsidR="005E1F9B" w:rsidRPr="007B60BF" w:rsidRDefault="005E1F9B" w:rsidP="005E1F9B">
            <w:pPr>
              <w:jc w:val="right"/>
            </w:pPr>
            <w:r w:rsidRPr="007B60BF">
              <w:t xml:space="preserve"> </w:t>
            </w:r>
          </w:p>
        </w:tc>
        <w:tc>
          <w:tcPr>
            <w:tcW w:w="580" w:type="pct"/>
          </w:tcPr>
          <w:p w14:paraId="111C70A2" w14:textId="05275651" w:rsidR="005E1F9B" w:rsidRPr="007B60BF" w:rsidRDefault="005E1F9B" w:rsidP="005E1F9B">
            <w:pPr>
              <w:jc w:val="right"/>
            </w:pPr>
            <w:r w:rsidRPr="007B60BF">
              <w:t>55.334</w:t>
            </w:r>
          </w:p>
        </w:tc>
        <w:tc>
          <w:tcPr>
            <w:tcW w:w="105" w:type="pct"/>
            <w:tcBorders>
              <w:top w:val="nil"/>
              <w:left w:val="nil"/>
              <w:bottom w:val="nil"/>
              <w:right w:val="nil"/>
            </w:tcBorders>
            <w:shd w:val="clear" w:color="000000" w:fill="FFFFFF"/>
            <w:vAlign w:val="center"/>
            <w:hideMark/>
          </w:tcPr>
          <w:p w14:paraId="0B19B785" w14:textId="5DB66491" w:rsidR="005E1F9B" w:rsidRPr="007B60BF" w:rsidRDefault="005E1F9B" w:rsidP="005E1F9B">
            <w:pPr>
              <w:jc w:val="right"/>
            </w:pPr>
          </w:p>
        </w:tc>
        <w:tc>
          <w:tcPr>
            <w:tcW w:w="580" w:type="pct"/>
            <w:tcBorders>
              <w:top w:val="nil"/>
              <w:left w:val="nil"/>
              <w:bottom w:val="nil"/>
              <w:right w:val="nil"/>
            </w:tcBorders>
            <w:shd w:val="clear" w:color="000000" w:fill="FFFFFF"/>
          </w:tcPr>
          <w:p w14:paraId="7578E7D5" w14:textId="3E91CB96" w:rsidR="005E1F9B" w:rsidRPr="007B60BF" w:rsidRDefault="005E1F9B" w:rsidP="005E1F9B">
            <w:pPr>
              <w:jc w:val="right"/>
            </w:pPr>
            <w:r w:rsidRPr="007B60BF">
              <w:t xml:space="preserve"> 37.021 </w:t>
            </w:r>
          </w:p>
        </w:tc>
      </w:tr>
      <w:tr w:rsidR="005E1F9B" w:rsidRPr="007B60BF" w14:paraId="5D4BE4E9" w14:textId="77777777" w:rsidTr="00306FD3">
        <w:tc>
          <w:tcPr>
            <w:tcW w:w="1729" w:type="pct"/>
            <w:tcBorders>
              <w:top w:val="nil"/>
              <w:left w:val="nil"/>
              <w:bottom w:val="nil"/>
              <w:right w:val="nil"/>
            </w:tcBorders>
            <w:shd w:val="clear" w:color="auto" w:fill="auto"/>
            <w:vAlign w:val="center"/>
          </w:tcPr>
          <w:p w14:paraId="318092EE" w14:textId="17EC08E0" w:rsidR="005E1F9B" w:rsidRPr="007B60BF" w:rsidRDefault="005E1F9B" w:rsidP="005E1F9B">
            <w:r w:rsidRPr="007B60BF">
              <w:t>Instalações</w:t>
            </w:r>
          </w:p>
        </w:tc>
        <w:tc>
          <w:tcPr>
            <w:tcW w:w="105" w:type="pct"/>
            <w:tcBorders>
              <w:top w:val="nil"/>
              <w:left w:val="nil"/>
              <w:bottom w:val="nil"/>
              <w:right w:val="nil"/>
            </w:tcBorders>
            <w:shd w:val="clear" w:color="auto" w:fill="auto"/>
            <w:vAlign w:val="center"/>
          </w:tcPr>
          <w:p w14:paraId="2C916FBB" w14:textId="77777777" w:rsidR="005E1F9B" w:rsidRPr="007B60BF" w:rsidRDefault="005E1F9B" w:rsidP="005E1F9B">
            <w:pPr>
              <w:jc w:val="right"/>
            </w:pPr>
          </w:p>
        </w:tc>
        <w:tc>
          <w:tcPr>
            <w:tcW w:w="410" w:type="pct"/>
            <w:tcBorders>
              <w:top w:val="nil"/>
              <w:left w:val="nil"/>
              <w:bottom w:val="nil"/>
              <w:right w:val="nil"/>
            </w:tcBorders>
            <w:shd w:val="clear" w:color="auto" w:fill="auto"/>
            <w:vAlign w:val="center"/>
          </w:tcPr>
          <w:p w14:paraId="62782668" w14:textId="605E5EC9" w:rsidR="005E1F9B" w:rsidRPr="007B60BF" w:rsidRDefault="005E1F9B" w:rsidP="005E1F9B">
            <w:pPr>
              <w:jc w:val="center"/>
            </w:pPr>
            <w:r w:rsidRPr="007B60BF">
              <w:t>10</w:t>
            </w:r>
          </w:p>
        </w:tc>
        <w:tc>
          <w:tcPr>
            <w:tcW w:w="105" w:type="pct"/>
            <w:tcBorders>
              <w:top w:val="nil"/>
              <w:left w:val="nil"/>
              <w:bottom w:val="nil"/>
              <w:right w:val="nil"/>
            </w:tcBorders>
            <w:shd w:val="clear" w:color="auto" w:fill="auto"/>
            <w:vAlign w:val="center"/>
          </w:tcPr>
          <w:p w14:paraId="36665CF1" w14:textId="77777777" w:rsidR="005E1F9B" w:rsidRPr="007B60BF" w:rsidRDefault="005E1F9B" w:rsidP="005E1F9B">
            <w:pPr>
              <w:jc w:val="right"/>
            </w:pPr>
          </w:p>
        </w:tc>
        <w:tc>
          <w:tcPr>
            <w:tcW w:w="518" w:type="pct"/>
          </w:tcPr>
          <w:p w14:paraId="10085861" w14:textId="574CD4E4" w:rsidR="005E1F9B" w:rsidRPr="007B60BF" w:rsidRDefault="005E1F9B" w:rsidP="005E1F9B">
            <w:pPr>
              <w:jc w:val="right"/>
            </w:pPr>
            <w:r w:rsidRPr="007B60BF">
              <w:t>25.776</w:t>
            </w:r>
          </w:p>
        </w:tc>
        <w:tc>
          <w:tcPr>
            <w:tcW w:w="105" w:type="pct"/>
            <w:tcBorders>
              <w:top w:val="nil"/>
              <w:left w:val="nil"/>
              <w:bottom w:val="nil"/>
              <w:right w:val="nil"/>
            </w:tcBorders>
            <w:shd w:val="clear" w:color="auto" w:fill="auto"/>
          </w:tcPr>
          <w:p w14:paraId="2B333803" w14:textId="7B15FA7D" w:rsidR="005E1F9B" w:rsidRPr="007B60BF" w:rsidRDefault="005E1F9B" w:rsidP="005E1F9B">
            <w:pPr>
              <w:jc w:val="right"/>
            </w:pPr>
          </w:p>
        </w:tc>
        <w:tc>
          <w:tcPr>
            <w:tcW w:w="659" w:type="pct"/>
          </w:tcPr>
          <w:p w14:paraId="66F89C76" w14:textId="40CB811C" w:rsidR="005E1F9B" w:rsidRPr="007B60BF" w:rsidRDefault="005E1F9B" w:rsidP="005E1F9B">
            <w:pPr>
              <w:jc w:val="right"/>
            </w:pPr>
            <w:r w:rsidRPr="007B60BF">
              <w:t>(16.953)</w:t>
            </w:r>
          </w:p>
        </w:tc>
        <w:tc>
          <w:tcPr>
            <w:tcW w:w="105" w:type="pct"/>
            <w:tcBorders>
              <w:top w:val="nil"/>
              <w:left w:val="nil"/>
              <w:bottom w:val="nil"/>
              <w:right w:val="nil"/>
            </w:tcBorders>
            <w:shd w:val="clear" w:color="auto" w:fill="auto"/>
          </w:tcPr>
          <w:p w14:paraId="6A973EBF" w14:textId="56BEA3FC" w:rsidR="005E1F9B" w:rsidRPr="007B60BF" w:rsidRDefault="005E1F9B" w:rsidP="005E1F9B">
            <w:pPr>
              <w:jc w:val="right"/>
            </w:pPr>
          </w:p>
        </w:tc>
        <w:tc>
          <w:tcPr>
            <w:tcW w:w="580" w:type="pct"/>
          </w:tcPr>
          <w:p w14:paraId="474F0419" w14:textId="64176B0D" w:rsidR="005E1F9B" w:rsidRPr="007B60BF" w:rsidRDefault="005E1F9B" w:rsidP="005E1F9B">
            <w:pPr>
              <w:jc w:val="right"/>
            </w:pPr>
            <w:r w:rsidRPr="007B60BF">
              <w:t>8.823</w:t>
            </w:r>
          </w:p>
        </w:tc>
        <w:tc>
          <w:tcPr>
            <w:tcW w:w="105" w:type="pct"/>
            <w:tcBorders>
              <w:top w:val="nil"/>
              <w:left w:val="nil"/>
              <w:bottom w:val="nil"/>
              <w:right w:val="nil"/>
            </w:tcBorders>
            <w:shd w:val="clear" w:color="000000" w:fill="FFFFFF"/>
          </w:tcPr>
          <w:p w14:paraId="3D5CFD56" w14:textId="77777777" w:rsidR="005E1F9B" w:rsidRPr="007B60BF" w:rsidRDefault="005E1F9B" w:rsidP="005E1F9B">
            <w:pPr>
              <w:jc w:val="right"/>
            </w:pPr>
          </w:p>
        </w:tc>
        <w:tc>
          <w:tcPr>
            <w:tcW w:w="580" w:type="pct"/>
            <w:tcBorders>
              <w:top w:val="nil"/>
              <w:left w:val="nil"/>
              <w:bottom w:val="nil"/>
              <w:right w:val="nil"/>
            </w:tcBorders>
            <w:shd w:val="clear" w:color="000000" w:fill="FFFFFF"/>
          </w:tcPr>
          <w:p w14:paraId="79E0A5B4" w14:textId="7A3C1547" w:rsidR="005E1F9B" w:rsidRPr="007B60BF" w:rsidRDefault="005E1F9B" w:rsidP="005E1F9B">
            <w:pPr>
              <w:jc w:val="right"/>
            </w:pPr>
            <w:r w:rsidRPr="007B60BF">
              <w:t>10.317</w:t>
            </w:r>
          </w:p>
        </w:tc>
      </w:tr>
      <w:tr w:rsidR="005E1F9B" w:rsidRPr="007B60BF" w14:paraId="290FBA76" w14:textId="77777777" w:rsidTr="00306FD3">
        <w:tc>
          <w:tcPr>
            <w:tcW w:w="1729" w:type="pct"/>
            <w:tcBorders>
              <w:top w:val="nil"/>
              <w:left w:val="nil"/>
              <w:bottom w:val="nil"/>
              <w:right w:val="nil"/>
            </w:tcBorders>
            <w:shd w:val="clear" w:color="auto" w:fill="auto"/>
            <w:vAlign w:val="center"/>
            <w:hideMark/>
          </w:tcPr>
          <w:p w14:paraId="32725301" w14:textId="77777777" w:rsidR="005E1F9B" w:rsidRPr="007B60BF" w:rsidRDefault="005E1F9B" w:rsidP="005E1F9B">
            <w:r w:rsidRPr="007B60BF">
              <w:t>Bens Móveis e Máquinas</w:t>
            </w:r>
          </w:p>
        </w:tc>
        <w:tc>
          <w:tcPr>
            <w:tcW w:w="105" w:type="pct"/>
            <w:tcBorders>
              <w:top w:val="nil"/>
              <w:left w:val="nil"/>
              <w:bottom w:val="nil"/>
              <w:right w:val="nil"/>
            </w:tcBorders>
            <w:shd w:val="clear" w:color="auto" w:fill="auto"/>
            <w:vAlign w:val="center"/>
            <w:hideMark/>
          </w:tcPr>
          <w:p w14:paraId="66E71A16" w14:textId="77777777" w:rsidR="005E1F9B" w:rsidRPr="007B60BF" w:rsidRDefault="005E1F9B" w:rsidP="005E1F9B">
            <w:pPr>
              <w:jc w:val="right"/>
            </w:pPr>
            <w:r w:rsidRPr="007B60BF">
              <w:t> </w:t>
            </w:r>
          </w:p>
        </w:tc>
        <w:tc>
          <w:tcPr>
            <w:tcW w:w="410" w:type="pct"/>
            <w:tcBorders>
              <w:top w:val="nil"/>
              <w:left w:val="nil"/>
              <w:bottom w:val="nil"/>
              <w:right w:val="nil"/>
            </w:tcBorders>
            <w:shd w:val="clear" w:color="auto" w:fill="auto"/>
            <w:vAlign w:val="center"/>
            <w:hideMark/>
          </w:tcPr>
          <w:p w14:paraId="4AE0BE32" w14:textId="77777777" w:rsidR="005E1F9B" w:rsidRPr="007B60BF" w:rsidRDefault="005E1F9B" w:rsidP="005E1F9B">
            <w:pPr>
              <w:jc w:val="center"/>
            </w:pPr>
            <w:r w:rsidRPr="007B60BF">
              <w:t>10 a 20</w:t>
            </w:r>
          </w:p>
        </w:tc>
        <w:tc>
          <w:tcPr>
            <w:tcW w:w="105" w:type="pct"/>
            <w:tcBorders>
              <w:top w:val="nil"/>
              <w:left w:val="nil"/>
              <w:bottom w:val="nil"/>
              <w:right w:val="nil"/>
            </w:tcBorders>
            <w:shd w:val="clear" w:color="auto" w:fill="auto"/>
            <w:vAlign w:val="center"/>
            <w:hideMark/>
          </w:tcPr>
          <w:p w14:paraId="2AED55D6" w14:textId="77777777" w:rsidR="005E1F9B" w:rsidRPr="007B60BF" w:rsidRDefault="005E1F9B" w:rsidP="005E1F9B">
            <w:pPr>
              <w:jc w:val="right"/>
            </w:pPr>
            <w:r w:rsidRPr="007B60BF">
              <w:t> </w:t>
            </w:r>
          </w:p>
        </w:tc>
        <w:tc>
          <w:tcPr>
            <w:tcW w:w="518" w:type="pct"/>
          </w:tcPr>
          <w:p w14:paraId="6E02CC21" w14:textId="51953367" w:rsidR="005E1F9B" w:rsidRPr="007B60BF" w:rsidRDefault="005E1F9B" w:rsidP="005E1F9B">
            <w:pPr>
              <w:jc w:val="right"/>
            </w:pPr>
            <w:r w:rsidRPr="007B60BF">
              <w:t>364.236</w:t>
            </w:r>
          </w:p>
        </w:tc>
        <w:tc>
          <w:tcPr>
            <w:tcW w:w="105" w:type="pct"/>
            <w:tcBorders>
              <w:top w:val="nil"/>
              <w:left w:val="nil"/>
              <w:bottom w:val="nil"/>
              <w:right w:val="nil"/>
            </w:tcBorders>
            <w:shd w:val="clear" w:color="auto" w:fill="auto"/>
          </w:tcPr>
          <w:p w14:paraId="7C5E0293" w14:textId="2C055C36" w:rsidR="005E1F9B" w:rsidRPr="007B60BF" w:rsidRDefault="005E1F9B" w:rsidP="005E1F9B">
            <w:pPr>
              <w:jc w:val="right"/>
            </w:pPr>
            <w:r w:rsidRPr="007B60BF">
              <w:t xml:space="preserve"> </w:t>
            </w:r>
          </w:p>
        </w:tc>
        <w:tc>
          <w:tcPr>
            <w:tcW w:w="659" w:type="pct"/>
          </w:tcPr>
          <w:p w14:paraId="3D95B385" w14:textId="56C0D61A" w:rsidR="005E1F9B" w:rsidRPr="007B60BF" w:rsidRDefault="005E1F9B" w:rsidP="005E1F9B">
            <w:pPr>
              <w:jc w:val="right"/>
            </w:pPr>
            <w:r w:rsidRPr="007B60BF">
              <w:t>(236.289)</w:t>
            </w:r>
          </w:p>
        </w:tc>
        <w:tc>
          <w:tcPr>
            <w:tcW w:w="105" w:type="pct"/>
            <w:tcBorders>
              <w:top w:val="nil"/>
              <w:left w:val="nil"/>
              <w:bottom w:val="nil"/>
              <w:right w:val="nil"/>
            </w:tcBorders>
            <w:shd w:val="clear" w:color="auto" w:fill="auto"/>
          </w:tcPr>
          <w:p w14:paraId="3314C15F" w14:textId="446F947D" w:rsidR="005E1F9B" w:rsidRPr="007B60BF" w:rsidRDefault="005E1F9B" w:rsidP="005E1F9B">
            <w:pPr>
              <w:jc w:val="right"/>
            </w:pPr>
            <w:r w:rsidRPr="007B60BF">
              <w:t xml:space="preserve"> </w:t>
            </w:r>
          </w:p>
        </w:tc>
        <w:tc>
          <w:tcPr>
            <w:tcW w:w="580" w:type="pct"/>
          </w:tcPr>
          <w:p w14:paraId="3E4B1B00" w14:textId="5C56C97E" w:rsidR="005E1F9B" w:rsidRPr="007B60BF" w:rsidRDefault="005E1F9B" w:rsidP="005E1F9B">
            <w:pPr>
              <w:jc w:val="right"/>
            </w:pPr>
            <w:r w:rsidRPr="007B60BF">
              <w:t>127.947</w:t>
            </w:r>
          </w:p>
        </w:tc>
        <w:tc>
          <w:tcPr>
            <w:tcW w:w="105" w:type="pct"/>
            <w:tcBorders>
              <w:top w:val="nil"/>
              <w:left w:val="nil"/>
              <w:bottom w:val="nil"/>
              <w:right w:val="nil"/>
            </w:tcBorders>
            <w:shd w:val="clear" w:color="000000" w:fill="FFFFFF"/>
            <w:hideMark/>
          </w:tcPr>
          <w:p w14:paraId="62579F65" w14:textId="266EB270" w:rsidR="005E1F9B" w:rsidRPr="007B60BF" w:rsidRDefault="005E1F9B" w:rsidP="005E1F9B">
            <w:pPr>
              <w:jc w:val="right"/>
            </w:pPr>
            <w:r w:rsidRPr="007B60BF">
              <w:t xml:space="preserve">   </w:t>
            </w:r>
          </w:p>
        </w:tc>
        <w:tc>
          <w:tcPr>
            <w:tcW w:w="580" w:type="pct"/>
            <w:tcBorders>
              <w:top w:val="nil"/>
              <w:left w:val="nil"/>
              <w:bottom w:val="nil"/>
              <w:right w:val="nil"/>
            </w:tcBorders>
            <w:shd w:val="clear" w:color="000000" w:fill="FFFFFF"/>
          </w:tcPr>
          <w:p w14:paraId="0A4DE386" w14:textId="6E093230" w:rsidR="005E1F9B" w:rsidRPr="007B60BF" w:rsidRDefault="005E1F9B" w:rsidP="005E1F9B">
            <w:pPr>
              <w:jc w:val="right"/>
            </w:pPr>
            <w:r w:rsidRPr="007B60BF">
              <w:t xml:space="preserve"> 110.766 </w:t>
            </w:r>
          </w:p>
        </w:tc>
      </w:tr>
      <w:tr w:rsidR="005E1F9B" w:rsidRPr="007B60BF" w14:paraId="61A8C67E" w14:textId="77777777" w:rsidTr="00306FD3">
        <w:tc>
          <w:tcPr>
            <w:tcW w:w="1729" w:type="pct"/>
            <w:tcBorders>
              <w:top w:val="nil"/>
              <w:left w:val="nil"/>
              <w:bottom w:val="nil"/>
              <w:right w:val="nil"/>
            </w:tcBorders>
            <w:shd w:val="clear" w:color="auto" w:fill="auto"/>
            <w:vAlign w:val="center"/>
            <w:hideMark/>
          </w:tcPr>
          <w:p w14:paraId="5B710640" w14:textId="77777777" w:rsidR="005E1F9B" w:rsidRPr="007B60BF" w:rsidRDefault="005E1F9B" w:rsidP="005E1F9B">
            <w:r w:rsidRPr="007B60BF">
              <w:t>Informática</w:t>
            </w:r>
          </w:p>
        </w:tc>
        <w:tc>
          <w:tcPr>
            <w:tcW w:w="105" w:type="pct"/>
            <w:tcBorders>
              <w:top w:val="nil"/>
              <w:left w:val="nil"/>
              <w:bottom w:val="nil"/>
              <w:right w:val="nil"/>
            </w:tcBorders>
            <w:shd w:val="clear" w:color="auto" w:fill="auto"/>
            <w:vAlign w:val="center"/>
            <w:hideMark/>
          </w:tcPr>
          <w:p w14:paraId="1A09A6BC" w14:textId="77777777" w:rsidR="005E1F9B" w:rsidRPr="007B60BF" w:rsidRDefault="005E1F9B" w:rsidP="005E1F9B">
            <w:pPr>
              <w:jc w:val="right"/>
            </w:pPr>
            <w:r w:rsidRPr="007B60BF">
              <w:t> </w:t>
            </w:r>
          </w:p>
        </w:tc>
        <w:tc>
          <w:tcPr>
            <w:tcW w:w="410" w:type="pct"/>
            <w:tcBorders>
              <w:top w:val="nil"/>
              <w:left w:val="nil"/>
              <w:bottom w:val="nil"/>
              <w:right w:val="nil"/>
            </w:tcBorders>
            <w:shd w:val="clear" w:color="auto" w:fill="auto"/>
            <w:vAlign w:val="center"/>
            <w:hideMark/>
          </w:tcPr>
          <w:p w14:paraId="7F4E39D5" w14:textId="77777777" w:rsidR="005E1F9B" w:rsidRPr="007B60BF" w:rsidRDefault="005E1F9B" w:rsidP="005E1F9B">
            <w:pPr>
              <w:jc w:val="center"/>
            </w:pPr>
            <w:r w:rsidRPr="007B60BF">
              <w:t>20 a 50</w:t>
            </w:r>
          </w:p>
        </w:tc>
        <w:tc>
          <w:tcPr>
            <w:tcW w:w="105" w:type="pct"/>
            <w:tcBorders>
              <w:top w:val="nil"/>
              <w:left w:val="nil"/>
              <w:bottom w:val="nil"/>
              <w:right w:val="nil"/>
            </w:tcBorders>
            <w:shd w:val="clear" w:color="auto" w:fill="auto"/>
            <w:vAlign w:val="center"/>
            <w:hideMark/>
          </w:tcPr>
          <w:p w14:paraId="770DA1C7" w14:textId="77777777" w:rsidR="005E1F9B" w:rsidRPr="007B60BF" w:rsidRDefault="005E1F9B" w:rsidP="005E1F9B">
            <w:pPr>
              <w:jc w:val="right"/>
            </w:pPr>
            <w:r w:rsidRPr="007B60BF">
              <w:t> </w:t>
            </w:r>
          </w:p>
        </w:tc>
        <w:tc>
          <w:tcPr>
            <w:tcW w:w="518" w:type="pct"/>
          </w:tcPr>
          <w:p w14:paraId="610443CE" w14:textId="3D4F70F6" w:rsidR="005E1F9B" w:rsidRPr="007B60BF" w:rsidRDefault="005E1F9B" w:rsidP="005E1F9B">
            <w:pPr>
              <w:jc w:val="right"/>
            </w:pPr>
            <w:r w:rsidRPr="007B60BF">
              <w:t>40.472</w:t>
            </w:r>
          </w:p>
        </w:tc>
        <w:tc>
          <w:tcPr>
            <w:tcW w:w="105" w:type="pct"/>
            <w:tcBorders>
              <w:top w:val="nil"/>
              <w:left w:val="nil"/>
              <w:bottom w:val="nil"/>
              <w:right w:val="nil"/>
            </w:tcBorders>
            <w:shd w:val="clear" w:color="auto" w:fill="auto"/>
          </w:tcPr>
          <w:p w14:paraId="7BAA210E" w14:textId="5CB30893" w:rsidR="005E1F9B" w:rsidRPr="007B60BF" w:rsidRDefault="005E1F9B" w:rsidP="005E1F9B">
            <w:pPr>
              <w:jc w:val="right"/>
            </w:pPr>
            <w:r w:rsidRPr="007B60BF">
              <w:t xml:space="preserve"> </w:t>
            </w:r>
          </w:p>
        </w:tc>
        <w:tc>
          <w:tcPr>
            <w:tcW w:w="659" w:type="pct"/>
          </w:tcPr>
          <w:p w14:paraId="48C31384" w14:textId="15B8BF7B" w:rsidR="005E1F9B" w:rsidRPr="007B60BF" w:rsidRDefault="005E1F9B" w:rsidP="005E1F9B">
            <w:pPr>
              <w:jc w:val="right"/>
            </w:pPr>
            <w:r w:rsidRPr="007B60BF">
              <w:t>(25.749)</w:t>
            </w:r>
          </w:p>
        </w:tc>
        <w:tc>
          <w:tcPr>
            <w:tcW w:w="105" w:type="pct"/>
            <w:tcBorders>
              <w:top w:val="nil"/>
              <w:left w:val="nil"/>
              <w:bottom w:val="nil"/>
              <w:right w:val="nil"/>
            </w:tcBorders>
            <w:shd w:val="clear" w:color="auto" w:fill="auto"/>
          </w:tcPr>
          <w:p w14:paraId="7ED08B7C" w14:textId="3972A0E2" w:rsidR="005E1F9B" w:rsidRPr="007B60BF" w:rsidRDefault="005E1F9B" w:rsidP="005E1F9B">
            <w:pPr>
              <w:jc w:val="right"/>
            </w:pPr>
            <w:r w:rsidRPr="007B60BF">
              <w:t xml:space="preserve"> </w:t>
            </w:r>
          </w:p>
        </w:tc>
        <w:tc>
          <w:tcPr>
            <w:tcW w:w="580" w:type="pct"/>
          </w:tcPr>
          <w:p w14:paraId="218420C4" w14:textId="3848F26D" w:rsidR="005E1F9B" w:rsidRPr="007B60BF" w:rsidRDefault="005E1F9B" w:rsidP="005E1F9B">
            <w:pPr>
              <w:jc w:val="right"/>
            </w:pPr>
            <w:r w:rsidRPr="007B60BF">
              <w:t>14.723</w:t>
            </w:r>
          </w:p>
        </w:tc>
        <w:tc>
          <w:tcPr>
            <w:tcW w:w="105" w:type="pct"/>
            <w:tcBorders>
              <w:top w:val="nil"/>
              <w:left w:val="nil"/>
              <w:bottom w:val="nil"/>
              <w:right w:val="nil"/>
            </w:tcBorders>
            <w:shd w:val="clear" w:color="000000" w:fill="FFFFFF"/>
            <w:hideMark/>
          </w:tcPr>
          <w:p w14:paraId="64E9B779" w14:textId="0816B3E7" w:rsidR="005E1F9B" w:rsidRPr="007B60BF" w:rsidRDefault="005E1F9B" w:rsidP="005E1F9B">
            <w:pPr>
              <w:jc w:val="right"/>
            </w:pPr>
            <w:r w:rsidRPr="007B60BF">
              <w:t xml:space="preserve">   </w:t>
            </w:r>
          </w:p>
        </w:tc>
        <w:tc>
          <w:tcPr>
            <w:tcW w:w="580" w:type="pct"/>
            <w:tcBorders>
              <w:top w:val="nil"/>
              <w:left w:val="nil"/>
              <w:right w:val="nil"/>
            </w:tcBorders>
            <w:shd w:val="clear" w:color="000000" w:fill="FFFFFF"/>
          </w:tcPr>
          <w:p w14:paraId="484454E2" w14:textId="71D73CC4" w:rsidR="005E1F9B" w:rsidRPr="007B60BF" w:rsidRDefault="005E1F9B" w:rsidP="005E1F9B">
            <w:pPr>
              <w:jc w:val="right"/>
            </w:pPr>
            <w:r w:rsidRPr="007B60BF">
              <w:t xml:space="preserve"> 15.291 </w:t>
            </w:r>
          </w:p>
        </w:tc>
      </w:tr>
      <w:tr w:rsidR="005E1F9B" w:rsidRPr="007B60BF" w14:paraId="37E568B6" w14:textId="77777777" w:rsidTr="00306FD3">
        <w:tc>
          <w:tcPr>
            <w:tcW w:w="1729" w:type="pct"/>
            <w:tcBorders>
              <w:top w:val="nil"/>
              <w:left w:val="nil"/>
              <w:bottom w:val="nil"/>
              <w:right w:val="nil"/>
            </w:tcBorders>
            <w:shd w:val="clear" w:color="auto" w:fill="auto"/>
            <w:vAlign w:val="center"/>
            <w:hideMark/>
          </w:tcPr>
          <w:p w14:paraId="22D3B60D" w14:textId="77777777" w:rsidR="005E1F9B" w:rsidRPr="007B60BF" w:rsidRDefault="005E1F9B" w:rsidP="005E1F9B">
            <w:r w:rsidRPr="007B60BF">
              <w:t>Veículos Diversos</w:t>
            </w:r>
          </w:p>
        </w:tc>
        <w:tc>
          <w:tcPr>
            <w:tcW w:w="105" w:type="pct"/>
            <w:tcBorders>
              <w:top w:val="nil"/>
              <w:left w:val="nil"/>
              <w:bottom w:val="nil"/>
              <w:right w:val="nil"/>
            </w:tcBorders>
            <w:shd w:val="clear" w:color="auto" w:fill="auto"/>
            <w:vAlign w:val="center"/>
            <w:hideMark/>
          </w:tcPr>
          <w:p w14:paraId="2EFBE83E" w14:textId="77777777" w:rsidR="005E1F9B" w:rsidRPr="007B60BF" w:rsidRDefault="005E1F9B" w:rsidP="005E1F9B">
            <w:pPr>
              <w:jc w:val="right"/>
            </w:pPr>
            <w:r w:rsidRPr="007B60BF">
              <w:t> </w:t>
            </w:r>
          </w:p>
        </w:tc>
        <w:tc>
          <w:tcPr>
            <w:tcW w:w="410" w:type="pct"/>
            <w:tcBorders>
              <w:top w:val="nil"/>
              <w:left w:val="nil"/>
              <w:bottom w:val="nil"/>
              <w:right w:val="nil"/>
            </w:tcBorders>
            <w:shd w:val="clear" w:color="auto" w:fill="auto"/>
            <w:vAlign w:val="center"/>
            <w:hideMark/>
          </w:tcPr>
          <w:p w14:paraId="11094BFF" w14:textId="77777777" w:rsidR="005E1F9B" w:rsidRPr="007B60BF" w:rsidRDefault="005E1F9B" w:rsidP="005E1F9B">
            <w:pPr>
              <w:jc w:val="center"/>
            </w:pPr>
            <w:r w:rsidRPr="007B60BF">
              <w:t>10 a 20</w:t>
            </w:r>
          </w:p>
        </w:tc>
        <w:tc>
          <w:tcPr>
            <w:tcW w:w="105" w:type="pct"/>
            <w:tcBorders>
              <w:top w:val="nil"/>
              <w:left w:val="nil"/>
              <w:bottom w:val="nil"/>
              <w:right w:val="nil"/>
            </w:tcBorders>
            <w:shd w:val="clear" w:color="auto" w:fill="auto"/>
            <w:vAlign w:val="center"/>
            <w:hideMark/>
          </w:tcPr>
          <w:p w14:paraId="2CB53554" w14:textId="77777777" w:rsidR="005E1F9B" w:rsidRPr="007B60BF" w:rsidRDefault="005E1F9B" w:rsidP="005E1F9B">
            <w:pPr>
              <w:jc w:val="right"/>
            </w:pPr>
            <w:r w:rsidRPr="007B60BF">
              <w:t> </w:t>
            </w:r>
          </w:p>
        </w:tc>
        <w:tc>
          <w:tcPr>
            <w:tcW w:w="518" w:type="pct"/>
            <w:tcBorders>
              <w:top w:val="nil"/>
              <w:left w:val="nil"/>
              <w:bottom w:val="single" w:sz="8" w:space="0" w:color="auto"/>
              <w:right w:val="nil"/>
            </w:tcBorders>
          </w:tcPr>
          <w:p w14:paraId="3ECB9A21" w14:textId="62008338" w:rsidR="005E1F9B" w:rsidRPr="007B60BF" w:rsidRDefault="005E1F9B" w:rsidP="005E1F9B">
            <w:pPr>
              <w:jc w:val="right"/>
            </w:pPr>
            <w:r w:rsidRPr="007B60BF">
              <w:t>946</w:t>
            </w:r>
          </w:p>
        </w:tc>
        <w:tc>
          <w:tcPr>
            <w:tcW w:w="105" w:type="pct"/>
            <w:tcBorders>
              <w:top w:val="nil"/>
              <w:left w:val="nil"/>
              <w:bottom w:val="nil"/>
              <w:right w:val="nil"/>
            </w:tcBorders>
            <w:shd w:val="clear" w:color="auto" w:fill="auto"/>
          </w:tcPr>
          <w:p w14:paraId="23E4A9D3" w14:textId="7BF02A46" w:rsidR="005E1F9B" w:rsidRPr="007B60BF" w:rsidRDefault="005E1F9B" w:rsidP="005E1F9B">
            <w:pPr>
              <w:jc w:val="right"/>
            </w:pPr>
            <w:r w:rsidRPr="007B60BF">
              <w:t xml:space="preserve"> </w:t>
            </w:r>
          </w:p>
        </w:tc>
        <w:tc>
          <w:tcPr>
            <w:tcW w:w="659" w:type="pct"/>
            <w:tcBorders>
              <w:top w:val="nil"/>
              <w:left w:val="nil"/>
              <w:bottom w:val="single" w:sz="8" w:space="0" w:color="auto"/>
              <w:right w:val="nil"/>
            </w:tcBorders>
          </w:tcPr>
          <w:p w14:paraId="1653C238" w14:textId="0C679A91" w:rsidR="005E1F9B" w:rsidRPr="007B60BF" w:rsidRDefault="005E1F9B" w:rsidP="005E1F9B">
            <w:pPr>
              <w:jc w:val="right"/>
            </w:pPr>
            <w:r w:rsidRPr="007B60BF">
              <w:t>(831)</w:t>
            </w:r>
          </w:p>
        </w:tc>
        <w:tc>
          <w:tcPr>
            <w:tcW w:w="105" w:type="pct"/>
            <w:tcBorders>
              <w:top w:val="nil"/>
              <w:left w:val="nil"/>
              <w:bottom w:val="nil"/>
              <w:right w:val="nil"/>
            </w:tcBorders>
            <w:shd w:val="clear" w:color="auto" w:fill="auto"/>
          </w:tcPr>
          <w:p w14:paraId="264EAB86" w14:textId="001C372C" w:rsidR="005E1F9B" w:rsidRPr="007B60BF" w:rsidRDefault="005E1F9B" w:rsidP="005E1F9B">
            <w:pPr>
              <w:jc w:val="right"/>
            </w:pPr>
            <w:r w:rsidRPr="007B60BF">
              <w:t xml:space="preserve"> </w:t>
            </w:r>
          </w:p>
        </w:tc>
        <w:tc>
          <w:tcPr>
            <w:tcW w:w="580" w:type="pct"/>
            <w:tcBorders>
              <w:top w:val="nil"/>
              <w:left w:val="nil"/>
              <w:bottom w:val="single" w:sz="8" w:space="0" w:color="auto"/>
              <w:right w:val="nil"/>
            </w:tcBorders>
          </w:tcPr>
          <w:p w14:paraId="3316EA9A" w14:textId="64BB62AF" w:rsidR="005E1F9B" w:rsidRPr="007B60BF" w:rsidRDefault="005E1F9B" w:rsidP="005E1F9B">
            <w:pPr>
              <w:jc w:val="right"/>
            </w:pPr>
            <w:r w:rsidRPr="007B60BF">
              <w:t>115</w:t>
            </w:r>
          </w:p>
        </w:tc>
        <w:tc>
          <w:tcPr>
            <w:tcW w:w="105" w:type="pct"/>
            <w:tcBorders>
              <w:top w:val="nil"/>
              <w:left w:val="nil"/>
              <w:bottom w:val="nil"/>
              <w:right w:val="nil"/>
            </w:tcBorders>
            <w:shd w:val="clear" w:color="000000" w:fill="FFFFFF"/>
            <w:hideMark/>
          </w:tcPr>
          <w:p w14:paraId="1132F542" w14:textId="7F49E5AD" w:rsidR="005E1F9B" w:rsidRPr="007B60BF" w:rsidRDefault="005E1F9B" w:rsidP="005E1F9B">
            <w:pPr>
              <w:jc w:val="right"/>
            </w:pPr>
            <w:r w:rsidRPr="007B60BF">
              <w:t xml:space="preserve">   </w:t>
            </w:r>
          </w:p>
        </w:tc>
        <w:tc>
          <w:tcPr>
            <w:tcW w:w="580" w:type="pct"/>
            <w:tcBorders>
              <w:top w:val="nil"/>
              <w:left w:val="nil"/>
              <w:bottom w:val="single" w:sz="4" w:space="0" w:color="auto"/>
              <w:right w:val="nil"/>
            </w:tcBorders>
            <w:shd w:val="clear" w:color="000000" w:fill="FFFFFF"/>
          </w:tcPr>
          <w:p w14:paraId="4833A4BF" w14:textId="6943299B" w:rsidR="005E1F9B" w:rsidRPr="007B60BF" w:rsidRDefault="005E1F9B" w:rsidP="005E1F9B">
            <w:pPr>
              <w:jc w:val="right"/>
            </w:pPr>
            <w:r w:rsidRPr="007B60BF">
              <w:t xml:space="preserve"> 145 </w:t>
            </w:r>
          </w:p>
        </w:tc>
      </w:tr>
      <w:tr w:rsidR="005E1F9B" w:rsidRPr="007B60BF" w14:paraId="6112AE1A" w14:textId="77777777" w:rsidTr="00306FD3">
        <w:tc>
          <w:tcPr>
            <w:tcW w:w="1729" w:type="pct"/>
            <w:tcBorders>
              <w:top w:val="nil"/>
              <w:left w:val="nil"/>
              <w:right w:val="nil"/>
            </w:tcBorders>
            <w:shd w:val="clear" w:color="auto" w:fill="auto"/>
            <w:vAlign w:val="center"/>
            <w:hideMark/>
          </w:tcPr>
          <w:p w14:paraId="76EED17A" w14:textId="77777777" w:rsidR="005E1F9B" w:rsidRPr="007B60BF" w:rsidRDefault="005E1F9B" w:rsidP="005E1F9B">
            <w:pPr>
              <w:rPr>
                <w:b/>
              </w:rPr>
            </w:pPr>
            <w:r w:rsidRPr="007B60BF">
              <w:rPr>
                <w:b/>
              </w:rPr>
              <w:t>Subtotal Imobilizado</w:t>
            </w:r>
          </w:p>
        </w:tc>
        <w:tc>
          <w:tcPr>
            <w:tcW w:w="105" w:type="pct"/>
            <w:tcBorders>
              <w:top w:val="nil"/>
              <w:left w:val="nil"/>
              <w:bottom w:val="nil"/>
              <w:right w:val="nil"/>
            </w:tcBorders>
            <w:shd w:val="clear" w:color="auto" w:fill="auto"/>
            <w:vAlign w:val="center"/>
            <w:hideMark/>
          </w:tcPr>
          <w:p w14:paraId="42E71A79" w14:textId="77777777" w:rsidR="005E1F9B" w:rsidRPr="007B60BF" w:rsidRDefault="005E1F9B" w:rsidP="005E1F9B">
            <w:pPr>
              <w:jc w:val="right"/>
              <w:rPr>
                <w:b/>
              </w:rPr>
            </w:pPr>
            <w:r w:rsidRPr="007B60BF">
              <w:rPr>
                <w:b/>
              </w:rPr>
              <w:t> </w:t>
            </w:r>
          </w:p>
        </w:tc>
        <w:tc>
          <w:tcPr>
            <w:tcW w:w="410" w:type="pct"/>
            <w:tcBorders>
              <w:top w:val="nil"/>
              <w:left w:val="nil"/>
              <w:bottom w:val="nil"/>
              <w:right w:val="nil"/>
            </w:tcBorders>
            <w:shd w:val="clear" w:color="auto" w:fill="auto"/>
            <w:vAlign w:val="center"/>
            <w:hideMark/>
          </w:tcPr>
          <w:p w14:paraId="36EF7630" w14:textId="77777777" w:rsidR="005E1F9B" w:rsidRPr="007B60BF" w:rsidRDefault="005E1F9B" w:rsidP="005E1F9B">
            <w:pPr>
              <w:jc w:val="center"/>
              <w:rPr>
                <w:b/>
              </w:rPr>
            </w:pPr>
            <w:r w:rsidRPr="007B60BF">
              <w:rPr>
                <w:b/>
              </w:rPr>
              <w:t> </w:t>
            </w:r>
          </w:p>
        </w:tc>
        <w:tc>
          <w:tcPr>
            <w:tcW w:w="105" w:type="pct"/>
            <w:tcBorders>
              <w:top w:val="nil"/>
              <w:left w:val="nil"/>
              <w:bottom w:val="nil"/>
              <w:right w:val="nil"/>
            </w:tcBorders>
            <w:shd w:val="clear" w:color="auto" w:fill="auto"/>
            <w:vAlign w:val="center"/>
            <w:hideMark/>
          </w:tcPr>
          <w:p w14:paraId="1B95EE4D" w14:textId="77777777" w:rsidR="005E1F9B" w:rsidRPr="007B60BF" w:rsidRDefault="005E1F9B" w:rsidP="005E1F9B">
            <w:pPr>
              <w:jc w:val="right"/>
              <w:rPr>
                <w:b/>
              </w:rPr>
            </w:pPr>
            <w:r w:rsidRPr="007B60BF">
              <w:rPr>
                <w:b/>
              </w:rPr>
              <w:t> </w:t>
            </w:r>
          </w:p>
        </w:tc>
        <w:tc>
          <w:tcPr>
            <w:tcW w:w="518" w:type="pct"/>
            <w:tcBorders>
              <w:top w:val="nil"/>
              <w:left w:val="nil"/>
              <w:bottom w:val="single" w:sz="8" w:space="0" w:color="auto"/>
              <w:right w:val="nil"/>
            </w:tcBorders>
            <w:shd w:val="clear" w:color="auto" w:fill="auto"/>
          </w:tcPr>
          <w:p w14:paraId="61E3B1CC" w14:textId="026DCDC9" w:rsidR="005E1F9B" w:rsidRPr="007B60BF" w:rsidRDefault="005E1F9B" w:rsidP="005E1F9B">
            <w:pPr>
              <w:jc w:val="right"/>
              <w:rPr>
                <w:b/>
              </w:rPr>
            </w:pPr>
            <w:r w:rsidRPr="007B60BF">
              <w:rPr>
                <w:b/>
              </w:rPr>
              <w:t>1.365.690</w:t>
            </w:r>
          </w:p>
        </w:tc>
        <w:tc>
          <w:tcPr>
            <w:tcW w:w="105" w:type="pct"/>
            <w:tcBorders>
              <w:top w:val="nil"/>
              <w:left w:val="nil"/>
              <w:bottom w:val="nil"/>
              <w:right w:val="nil"/>
            </w:tcBorders>
            <w:shd w:val="clear" w:color="auto" w:fill="auto"/>
          </w:tcPr>
          <w:p w14:paraId="7728D74B" w14:textId="1C756AC7" w:rsidR="005E1F9B" w:rsidRPr="007B60BF" w:rsidRDefault="005E1F9B" w:rsidP="005E1F9B">
            <w:pPr>
              <w:jc w:val="right"/>
              <w:rPr>
                <w:b/>
              </w:rPr>
            </w:pPr>
            <w:r w:rsidRPr="007B60BF">
              <w:rPr>
                <w:b/>
              </w:rPr>
              <w:t xml:space="preserve"> </w:t>
            </w:r>
          </w:p>
        </w:tc>
        <w:tc>
          <w:tcPr>
            <w:tcW w:w="659" w:type="pct"/>
            <w:tcBorders>
              <w:top w:val="single" w:sz="8" w:space="0" w:color="auto"/>
              <w:left w:val="nil"/>
              <w:bottom w:val="single" w:sz="4" w:space="0" w:color="auto"/>
              <w:right w:val="nil"/>
            </w:tcBorders>
          </w:tcPr>
          <w:p w14:paraId="74D83F92" w14:textId="063F5C2B" w:rsidR="005E1F9B" w:rsidRPr="007B60BF" w:rsidRDefault="005E1F9B" w:rsidP="005E1F9B">
            <w:pPr>
              <w:jc w:val="right"/>
              <w:rPr>
                <w:b/>
              </w:rPr>
            </w:pPr>
            <w:r w:rsidRPr="007B60BF">
              <w:rPr>
                <w:b/>
              </w:rPr>
              <w:t>(404.736)</w:t>
            </w:r>
          </w:p>
        </w:tc>
        <w:tc>
          <w:tcPr>
            <w:tcW w:w="105" w:type="pct"/>
            <w:tcBorders>
              <w:top w:val="nil"/>
              <w:left w:val="nil"/>
              <w:bottom w:val="nil"/>
              <w:right w:val="nil"/>
            </w:tcBorders>
            <w:shd w:val="clear" w:color="auto" w:fill="auto"/>
          </w:tcPr>
          <w:p w14:paraId="270BB076" w14:textId="2B9BDF9E" w:rsidR="005E1F9B" w:rsidRPr="007B60BF" w:rsidRDefault="005E1F9B" w:rsidP="005E1F9B">
            <w:pPr>
              <w:jc w:val="right"/>
              <w:rPr>
                <w:b/>
              </w:rPr>
            </w:pPr>
            <w:r w:rsidRPr="007B60BF">
              <w:rPr>
                <w:b/>
              </w:rPr>
              <w:t xml:space="preserve"> </w:t>
            </w:r>
          </w:p>
        </w:tc>
        <w:tc>
          <w:tcPr>
            <w:tcW w:w="580" w:type="pct"/>
            <w:tcBorders>
              <w:top w:val="nil"/>
              <w:left w:val="nil"/>
              <w:bottom w:val="single" w:sz="8" w:space="0" w:color="auto"/>
              <w:right w:val="nil"/>
            </w:tcBorders>
            <w:shd w:val="clear" w:color="auto" w:fill="auto"/>
          </w:tcPr>
          <w:p w14:paraId="067D726B" w14:textId="0FFD334F" w:rsidR="005E1F9B" w:rsidRPr="007B60BF" w:rsidRDefault="005E1F9B" w:rsidP="005E1F9B">
            <w:pPr>
              <w:jc w:val="right"/>
              <w:rPr>
                <w:b/>
              </w:rPr>
            </w:pPr>
            <w:r w:rsidRPr="007B60BF">
              <w:rPr>
                <w:b/>
              </w:rPr>
              <w:t>960.954</w:t>
            </w:r>
          </w:p>
        </w:tc>
        <w:tc>
          <w:tcPr>
            <w:tcW w:w="105" w:type="pct"/>
            <w:tcBorders>
              <w:top w:val="nil"/>
              <w:left w:val="nil"/>
              <w:bottom w:val="nil"/>
              <w:right w:val="nil"/>
            </w:tcBorders>
            <w:shd w:val="clear" w:color="000000" w:fill="FFFFFF"/>
            <w:hideMark/>
          </w:tcPr>
          <w:p w14:paraId="159B144B" w14:textId="6736607B" w:rsidR="005E1F9B" w:rsidRPr="007B60BF" w:rsidRDefault="005E1F9B" w:rsidP="005E1F9B">
            <w:pPr>
              <w:jc w:val="right"/>
              <w:rPr>
                <w:b/>
              </w:rPr>
            </w:pPr>
          </w:p>
        </w:tc>
        <w:tc>
          <w:tcPr>
            <w:tcW w:w="580" w:type="pct"/>
            <w:tcBorders>
              <w:top w:val="nil"/>
              <w:left w:val="nil"/>
              <w:bottom w:val="single" w:sz="8" w:space="0" w:color="auto"/>
              <w:right w:val="nil"/>
            </w:tcBorders>
            <w:shd w:val="clear" w:color="000000" w:fill="FFFFFF"/>
          </w:tcPr>
          <w:p w14:paraId="4CBC72B7" w14:textId="50A009A2" w:rsidR="005E1F9B" w:rsidRPr="007B60BF" w:rsidRDefault="005E1F9B" w:rsidP="005E1F9B">
            <w:pPr>
              <w:jc w:val="right"/>
              <w:rPr>
                <w:b/>
              </w:rPr>
            </w:pPr>
            <w:r w:rsidRPr="007B60BF">
              <w:rPr>
                <w:b/>
              </w:rPr>
              <w:t>936.796</w:t>
            </w:r>
          </w:p>
        </w:tc>
      </w:tr>
      <w:tr w:rsidR="005E1F9B" w:rsidRPr="007B60BF" w14:paraId="3FDB73A2" w14:textId="77777777" w:rsidTr="00306FD3">
        <w:tc>
          <w:tcPr>
            <w:tcW w:w="1729" w:type="pct"/>
            <w:tcBorders>
              <w:top w:val="nil"/>
              <w:bottom w:val="nil"/>
              <w:right w:val="nil"/>
            </w:tcBorders>
            <w:shd w:val="clear" w:color="auto" w:fill="auto"/>
            <w:vAlign w:val="center"/>
            <w:hideMark/>
          </w:tcPr>
          <w:p w14:paraId="24AE0279" w14:textId="77777777" w:rsidR="005E1F9B" w:rsidRPr="007B60BF" w:rsidRDefault="005E1F9B" w:rsidP="005E1F9B">
            <w:r w:rsidRPr="007B60BF">
              <w:t>Bens Móveis em Andamento</w:t>
            </w:r>
          </w:p>
        </w:tc>
        <w:tc>
          <w:tcPr>
            <w:tcW w:w="105" w:type="pct"/>
            <w:tcBorders>
              <w:top w:val="nil"/>
              <w:left w:val="nil"/>
              <w:bottom w:val="nil"/>
              <w:right w:val="nil"/>
            </w:tcBorders>
            <w:shd w:val="clear" w:color="auto" w:fill="auto"/>
            <w:vAlign w:val="center"/>
            <w:hideMark/>
          </w:tcPr>
          <w:p w14:paraId="42A1AC6E" w14:textId="77777777" w:rsidR="005E1F9B" w:rsidRPr="007B60BF" w:rsidRDefault="005E1F9B" w:rsidP="005E1F9B">
            <w:pPr>
              <w:jc w:val="right"/>
            </w:pPr>
            <w:r w:rsidRPr="007B60BF">
              <w:t> </w:t>
            </w:r>
          </w:p>
        </w:tc>
        <w:tc>
          <w:tcPr>
            <w:tcW w:w="410" w:type="pct"/>
            <w:tcBorders>
              <w:top w:val="nil"/>
              <w:left w:val="nil"/>
              <w:bottom w:val="nil"/>
              <w:right w:val="nil"/>
            </w:tcBorders>
            <w:shd w:val="clear" w:color="auto" w:fill="auto"/>
            <w:vAlign w:val="center"/>
            <w:hideMark/>
          </w:tcPr>
          <w:p w14:paraId="4F60D4F2" w14:textId="77777777" w:rsidR="005E1F9B" w:rsidRPr="007B60BF" w:rsidRDefault="005E1F9B" w:rsidP="005E1F9B">
            <w:pPr>
              <w:jc w:val="center"/>
            </w:pPr>
            <w:r w:rsidRPr="007B60BF">
              <w:t> </w:t>
            </w:r>
          </w:p>
        </w:tc>
        <w:tc>
          <w:tcPr>
            <w:tcW w:w="105" w:type="pct"/>
            <w:tcBorders>
              <w:top w:val="nil"/>
              <w:left w:val="nil"/>
              <w:bottom w:val="nil"/>
              <w:right w:val="nil"/>
            </w:tcBorders>
            <w:shd w:val="clear" w:color="auto" w:fill="auto"/>
            <w:vAlign w:val="center"/>
            <w:hideMark/>
          </w:tcPr>
          <w:p w14:paraId="50D631B6" w14:textId="77777777" w:rsidR="005E1F9B" w:rsidRPr="007B60BF" w:rsidRDefault="005E1F9B" w:rsidP="005E1F9B">
            <w:pPr>
              <w:jc w:val="right"/>
            </w:pPr>
            <w:r w:rsidRPr="007B60BF">
              <w:t> </w:t>
            </w:r>
          </w:p>
        </w:tc>
        <w:tc>
          <w:tcPr>
            <w:tcW w:w="518" w:type="pct"/>
            <w:tcBorders>
              <w:top w:val="nil"/>
              <w:left w:val="nil"/>
              <w:bottom w:val="single" w:sz="8" w:space="0" w:color="auto"/>
              <w:right w:val="nil"/>
            </w:tcBorders>
            <w:shd w:val="clear" w:color="auto" w:fill="auto"/>
          </w:tcPr>
          <w:p w14:paraId="443DFF3D" w14:textId="41438EFB" w:rsidR="005E1F9B" w:rsidRPr="007B60BF" w:rsidRDefault="005E1F9B" w:rsidP="005E1F9B">
            <w:pPr>
              <w:jc w:val="right"/>
            </w:pPr>
            <w:r w:rsidRPr="007B60BF">
              <w:t>860</w:t>
            </w:r>
          </w:p>
        </w:tc>
        <w:tc>
          <w:tcPr>
            <w:tcW w:w="105" w:type="pct"/>
            <w:tcBorders>
              <w:top w:val="nil"/>
              <w:left w:val="nil"/>
              <w:bottom w:val="nil"/>
              <w:right w:val="nil"/>
            </w:tcBorders>
            <w:shd w:val="clear" w:color="auto" w:fill="auto"/>
          </w:tcPr>
          <w:p w14:paraId="1975A51F" w14:textId="77777777" w:rsidR="005E1F9B" w:rsidRPr="007B60BF" w:rsidRDefault="005E1F9B" w:rsidP="005E1F9B">
            <w:pPr>
              <w:jc w:val="right"/>
            </w:pPr>
          </w:p>
        </w:tc>
        <w:tc>
          <w:tcPr>
            <w:tcW w:w="659" w:type="pct"/>
            <w:tcBorders>
              <w:top w:val="single" w:sz="4" w:space="0" w:color="auto"/>
              <w:left w:val="nil"/>
              <w:bottom w:val="single" w:sz="8" w:space="0" w:color="auto"/>
              <w:right w:val="nil"/>
            </w:tcBorders>
            <w:shd w:val="clear" w:color="auto" w:fill="auto"/>
          </w:tcPr>
          <w:p w14:paraId="514C678F" w14:textId="512B9709" w:rsidR="005E1F9B" w:rsidRPr="007B60BF" w:rsidRDefault="005E1F9B" w:rsidP="005E1F9B">
            <w:pPr>
              <w:jc w:val="right"/>
            </w:pPr>
            <w:r w:rsidRPr="007B60BF">
              <w:t>-</w:t>
            </w:r>
          </w:p>
        </w:tc>
        <w:tc>
          <w:tcPr>
            <w:tcW w:w="105" w:type="pct"/>
            <w:tcBorders>
              <w:top w:val="nil"/>
              <w:left w:val="nil"/>
              <w:bottom w:val="nil"/>
              <w:right w:val="nil"/>
            </w:tcBorders>
            <w:shd w:val="clear" w:color="auto" w:fill="auto"/>
          </w:tcPr>
          <w:p w14:paraId="7B2DB5DB" w14:textId="77777777" w:rsidR="005E1F9B" w:rsidRPr="007B60BF" w:rsidRDefault="005E1F9B" w:rsidP="005E1F9B">
            <w:pPr>
              <w:jc w:val="right"/>
            </w:pPr>
          </w:p>
        </w:tc>
        <w:tc>
          <w:tcPr>
            <w:tcW w:w="580" w:type="pct"/>
            <w:tcBorders>
              <w:top w:val="nil"/>
              <w:left w:val="nil"/>
              <w:bottom w:val="single" w:sz="8" w:space="0" w:color="auto"/>
              <w:right w:val="nil"/>
            </w:tcBorders>
            <w:shd w:val="clear" w:color="auto" w:fill="auto"/>
          </w:tcPr>
          <w:p w14:paraId="23A69BC1" w14:textId="2257ECBA" w:rsidR="005E1F9B" w:rsidRPr="007B60BF" w:rsidRDefault="005E1F9B" w:rsidP="005E1F9B">
            <w:pPr>
              <w:jc w:val="right"/>
            </w:pPr>
            <w:r w:rsidRPr="007B60BF">
              <w:t>860</w:t>
            </w:r>
          </w:p>
        </w:tc>
        <w:tc>
          <w:tcPr>
            <w:tcW w:w="105" w:type="pct"/>
            <w:tcBorders>
              <w:top w:val="nil"/>
              <w:left w:val="nil"/>
              <w:bottom w:val="nil"/>
              <w:right w:val="nil"/>
            </w:tcBorders>
            <w:shd w:val="clear" w:color="000000" w:fill="FFFFFF"/>
            <w:hideMark/>
          </w:tcPr>
          <w:p w14:paraId="49B20511" w14:textId="04C01FCB" w:rsidR="005E1F9B" w:rsidRPr="007B60BF" w:rsidRDefault="005E1F9B" w:rsidP="005E1F9B">
            <w:pPr>
              <w:jc w:val="right"/>
            </w:pPr>
          </w:p>
        </w:tc>
        <w:tc>
          <w:tcPr>
            <w:tcW w:w="580" w:type="pct"/>
            <w:tcBorders>
              <w:top w:val="nil"/>
              <w:left w:val="nil"/>
              <w:bottom w:val="single" w:sz="8" w:space="0" w:color="auto"/>
              <w:right w:val="nil"/>
            </w:tcBorders>
            <w:shd w:val="clear" w:color="000000" w:fill="FFFFFF"/>
          </w:tcPr>
          <w:p w14:paraId="63324358" w14:textId="269E5C07" w:rsidR="005E1F9B" w:rsidRPr="007B60BF" w:rsidRDefault="005E1F9B" w:rsidP="005E1F9B">
            <w:pPr>
              <w:jc w:val="right"/>
            </w:pPr>
            <w:r w:rsidRPr="007B60BF">
              <w:t>14.206</w:t>
            </w:r>
          </w:p>
        </w:tc>
      </w:tr>
      <w:tr w:rsidR="005E1F9B" w:rsidRPr="007B60BF" w14:paraId="4E84433D" w14:textId="77777777" w:rsidTr="00306FD3">
        <w:tc>
          <w:tcPr>
            <w:tcW w:w="1729" w:type="pct"/>
            <w:tcBorders>
              <w:top w:val="nil"/>
              <w:left w:val="nil"/>
              <w:bottom w:val="nil"/>
              <w:right w:val="nil"/>
            </w:tcBorders>
            <w:shd w:val="clear" w:color="auto" w:fill="auto"/>
            <w:vAlign w:val="center"/>
            <w:hideMark/>
          </w:tcPr>
          <w:p w14:paraId="60EFD961" w14:textId="77777777" w:rsidR="005E1F9B" w:rsidRPr="007B60BF" w:rsidRDefault="005E1F9B" w:rsidP="005E1F9B">
            <w:pPr>
              <w:rPr>
                <w:b/>
                <w:bCs/>
              </w:rPr>
            </w:pPr>
            <w:r w:rsidRPr="007B60BF">
              <w:rPr>
                <w:b/>
                <w:bCs/>
              </w:rPr>
              <w:t>Saldo Contábil</w:t>
            </w:r>
          </w:p>
        </w:tc>
        <w:tc>
          <w:tcPr>
            <w:tcW w:w="105" w:type="pct"/>
            <w:tcBorders>
              <w:top w:val="nil"/>
              <w:left w:val="nil"/>
              <w:bottom w:val="nil"/>
              <w:right w:val="nil"/>
            </w:tcBorders>
            <w:shd w:val="clear" w:color="auto" w:fill="auto"/>
            <w:vAlign w:val="center"/>
            <w:hideMark/>
          </w:tcPr>
          <w:p w14:paraId="6C733BAC" w14:textId="77777777" w:rsidR="005E1F9B" w:rsidRPr="007B60BF" w:rsidRDefault="005E1F9B" w:rsidP="005E1F9B">
            <w:pPr>
              <w:jc w:val="right"/>
              <w:rPr>
                <w:b/>
                <w:bCs/>
              </w:rPr>
            </w:pPr>
            <w:r w:rsidRPr="007B60BF">
              <w:rPr>
                <w:b/>
                <w:bCs/>
              </w:rPr>
              <w:t> </w:t>
            </w:r>
          </w:p>
        </w:tc>
        <w:tc>
          <w:tcPr>
            <w:tcW w:w="410" w:type="pct"/>
            <w:tcBorders>
              <w:top w:val="nil"/>
              <w:left w:val="nil"/>
              <w:bottom w:val="nil"/>
              <w:right w:val="nil"/>
            </w:tcBorders>
            <w:shd w:val="clear" w:color="auto" w:fill="auto"/>
            <w:vAlign w:val="center"/>
            <w:hideMark/>
          </w:tcPr>
          <w:p w14:paraId="1BC522BB" w14:textId="77777777" w:rsidR="005E1F9B" w:rsidRPr="007B60BF" w:rsidRDefault="005E1F9B" w:rsidP="005E1F9B">
            <w:pPr>
              <w:jc w:val="center"/>
              <w:rPr>
                <w:b/>
                <w:bCs/>
              </w:rPr>
            </w:pPr>
            <w:r w:rsidRPr="007B60BF">
              <w:rPr>
                <w:b/>
                <w:bCs/>
              </w:rPr>
              <w:t> </w:t>
            </w:r>
          </w:p>
        </w:tc>
        <w:tc>
          <w:tcPr>
            <w:tcW w:w="105" w:type="pct"/>
            <w:tcBorders>
              <w:top w:val="nil"/>
              <w:left w:val="nil"/>
              <w:bottom w:val="nil"/>
              <w:right w:val="nil"/>
            </w:tcBorders>
            <w:shd w:val="clear" w:color="auto" w:fill="auto"/>
            <w:vAlign w:val="center"/>
            <w:hideMark/>
          </w:tcPr>
          <w:p w14:paraId="74D2337A" w14:textId="77777777" w:rsidR="005E1F9B" w:rsidRPr="007B60BF" w:rsidRDefault="005E1F9B" w:rsidP="005E1F9B">
            <w:pPr>
              <w:jc w:val="right"/>
              <w:rPr>
                <w:b/>
                <w:bCs/>
              </w:rPr>
            </w:pPr>
            <w:r w:rsidRPr="007B60BF">
              <w:rPr>
                <w:b/>
                <w:bCs/>
              </w:rPr>
              <w:t> </w:t>
            </w:r>
          </w:p>
        </w:tc>
        <w:tc>
          <w:tcPr>
            <w:tcW w:w="518" w:type="pct"/>
            <w:tcBorders>
              <w:top w:val="nil"/>
              <w:left w:val="nil"/>
              <w:bottom w:val="double" w:sz="6" w:space="0" w:color="auto"/>
              <w:right w:val="nil"/>
            </w:tcBorders>
            <w:shd w:val="clear" w:color="auto" w:fill="auto"/>
          </w:tcPr>
          <w:p w14:paraId="3F0DBD77" w14:textId="0C5D34CB" w:rsidR="005E1F9B" w:rsidRPr="007B60BF" w:rsidRDefault="005E1F9B" w:rsidP="005E1F9B">
            <w:pPr>
              <w:jc w:val="right"/>
              <w:rPr>
                <w:b/>
              </w:rPr>
            </w:pPr>
            <w:r w:rsidRPr="007B60BF">
              <w:rPr>
                <w:b/>
              </w:rPr>
              <w:t>1.366.550</w:t>
            </w:r>
          </w:p>
        </w:tc>
        <w:tc>
          <w:tcPr>
            <w:tcW w:w="105" w:type="pct"/>
            <w:tcBorders>
              <w:top w:val="nil"/>
              <w:left w:val="nil"/>
              <w:bottom w:val="nil"/>
              <w:right w:val="nil"/>
            </w:tcBorders>
            <w:shd w:val="clear" w:color="auto" w:fill="auto"/>
          </w:tcPr>
          <w:p w14:paraId="0D2A58AC" w14:textId="360416DB" w:rsidR="005E1F9B" w:rsidRPr="007B60BF" w:rsidRDefault="005E1F9B" w:rsidP="005E1F9B">
            <w:pPr>
              <w:jc w:val="right"/>
              <w:rPr>
                <w:b/>
              </w:rPr>
            </w:pPr>
          </w:p>
        </w:tc>
        <w:tc>
          <w:tcPr>
            <w:tcW w:w="659" w:type="pct"/>
            <w:tcBorders>
              <w:top w:val="nil"/>
              <w:left w:val="nil"/>
              <w:bottom w:val="double" w:sz="6" w:space="0" w:color="auto"/>
              <w:right w:val="nil"/>
            </w:tcBorders>
            <w:shd w:val="clear" w:color="auto" w:fill="auto"/>
          </w:tcPr>
          <w:p w14:paraId="2C987B2E" w14:textId="79B3B09B" w:rsidR="005E1F9B" w:rsidRPr="007B60BF" w:rsidRDefault="005E1F9B" w:rsidP="005E1F9B">
            <w:pPr>
              <w:jc w:val="right"/>
              <w:rPr>
                <w:b/>
              </w:rPr>
            </w:pPr>
            <w:r w:rsidRPr="007B60BF">
              <w:rPr>
                <w:b/>
              </w:rPr>
              <w:t>(404.736)</w:t>
            </w:r>
          </w:p>
        </w:tc>
        <w:tc>
          <w:tcPr>
            <w:tcW w:w="105" w:type="pct"/>
            <w:tcBorders>
              <w:top w:val="nil"/>
              <w:left w:val="nil"/>
              <w:bottom w:val="nil"/>
              <w:right w:val="nil"/>
            </w:tcBorders>
            <w:shd w:val="clear" w:color="auto" w:fill="auto"/>
          </w:tcPr>
          <w:p w14:paraId="70BA4C21" w14:textId="24CBD539" w:rsidR="005E1F9B" w:rsidRPr="007B60BF" w:rsidRDefault="005E1F9B" w:rsidP="005E1F9B">
            <w:pPr>
              <w:jc w:val="right"/>
              <w:rPr>
                <w:b/>
              </w:rPr>
            </w:pPr>
          </w:p>
        </w:tc>
        <w:tc>
          <w:tcPr>
            <w:tcW w:w="580" w:type="pct"/>
            <w:tcBorders>
              <w:top w:val="nil"/>
              <w:left w:val="nil"/>
              <w:bottom w:val="double" w:sz="6" w:space="0" w:color="auto"/>
              <w:right w:val="nil"/>
            </w:tcBorders>
            <w:shd w:val="clear" w:color="auto" w:fill="auto"/>
          </w:tcPr>
          <w:p w14:paraId="36078593" w14:textId="757D3306" w:rsidR="005E1F9B" w:rsidRPr="007B60BF" w:rsidRDefault="005E1F9B" w:rsidP="005E1F9B">
            <w:pPr>
              <w:jc w:val="right"/>
              <w:rPr>
                <w:b/>
              </w:rPr>
            </w:pPr>
            <w:r w:rsidRPr="007B60BF">
              <w:rPr>
                <w:b/>
              </w:rPr>
              <w:t>961.814</w:t>
            </w:r>
          </w:p>
        </w:tc>
        <w:tc>
          <w:tcPr>
            <w:tcW w:w="105" w:type="pct"/>
            <w:tcBorders>
              <w:top w:val="nil"/>
              <w:left w:val="nil"/>
              <w:bottom w:val="nil"/>
              <w:right w:val="nil"/>
            </w:tcBorders>
            <w:shd w:val="clear" w:color="000000" w:fill="FFFFFF"/>
            <w:hideMark/>
          </w:tcPr>
          <w:p w14:paraId="599C2E58" w14:textId="7A088BA6" w:rsidR="005E1F9B" w:rsidRPr="007B60BF" w:rsidRDefault="005E1F9B" w:rsidP="005E1F9B">
            <w:pPr>
              <w:jc w:val="right"/>
              <w:rPr>
                <w:b/>
                <w:bCs/>
              </w:rPr>
            </w:pPr>
          </w:p>
        </w:tc>
        <w:tc>
          <w:tcPr>
            <w:tcW w:w="580" w:type="pct"/>
            <w:tcBorders>
              <w:top w:val="nil"/>
              <w:left w:val="nil"/>
              <w:bottom w:val="double" w:sz="6" w:space="0" w:color="auto"/>
              <w:right w:val="nil"/>
            </w:tcBorders>
            <w:shd w:val="clear" w:color="000000" w:fill="FFFFFF"/>
          </w:tcPr>
          <w:p w14:paraId="4CE1AB7D" w14:textId="243D39A8" w:rsidR="005E1F9B" w:rsidRPr="007B60BF" w:rsidRDefault="005E1F9B" w:rsidP="005E1F9B">
            <w:pPr>
              <w:jc w:val="right"/>
              <w:rPr>
                <w:b/>
              </w:rPr>
            </w:pPr>
            <w:r w:rsidRPr="007B60BF">
              <w:rPr>
                <w:b/>
              </w:rPr>
              <w:t>951.002</w:t>
            </w:r>
          </w:p>
        </w:tc>
      </w:tr>
    </w:tbl>
    <w:p w14:paraId="7EEB3EFD" w14:textId="45215BBA" w:rsidR="00E2129A" w:rsidRPr="007B60BF" w:rsidRDefault="001C069A" w:rsidP="00534053">
      <w:pPr>
        <w:tabs>
          <w:tab w:val="left" w:pos="851"/>
        </w:tabs>
        <w:jc w:val="both"/>
      </w:pPr>
      <w:r w:rsidRPr="007B60BF">
        <w:t xml:space="preserve"> </w:t>
      </w:r>
    </w:p>
    <w:p w14:paraId="35180E3C" w14:textId="79A6593A" w:rsidR="00534053" w:rsidRPr="007B60BF" w:rsidRDefault="00534053" w:rsidP="00C00515">
      <w:pPr>
        <w:tabs>
          <w:tab w:val="left" w:pos="851"/>
        </w:tabs>
        <w:jc w:val="both"/>
      </w:pPr>
      <w:r w:rsidRPr="007B60BF">
        <w:t xml:space="preserve">O Imobilizado </w:t>
      </w:r>
      <w:r w:rsidR="00C00515" w:rsidRPr="007B60BF">
        <w:t>é</w:t>
      </w:r>
      <w:r w:rsidRPr="007B60BF">
        <w:t xml:space="preserve"> </w:t>
      </w:r>
      <w:r w:rsidR="00C00515" w:rsidRPr="007B60BF">
        <w:t>mensurado</w:t>
      </w:r>
      <w:r w:rsidRPr="007B60BF">
        <w:t xml:space="preserve"> pelo seu custo histórico, menos depreciação acumulada. </w:t>
      </w:r>
      <w:r w:rsidR="00232EA0" w:rsidRPr="007B60BF">
        <w:t>A depreciação</w:t>
      </w:r>
      <w:r w:rsidRPr="007B60BF">
        <w:t xml:space="preserve"> está demonstrada pelo valor acumulado da data do início d</w:t>
      </w:r>
      <w:r w:rsidR="00C762F4" w:rsidRPr="007B60BF">
        <w:t>a</w:t>
      </w:r>
      <w:r w:rsidRPr="007B60BF">
        <w:t xml:space="preserve"> operação na Instituição</w:t>
      </w:r>
      <w:r w:rsidR="00655B1A" w:rsidRPr="007B60BF">
        <w:t>,</w:t>
      </w:r>
      <w:r w:rsidRPr="007B60BF">
        <w:t xml:space="preserve"> acrescido da depreciação do custo atribuído</w:t>
      </w:r>
      <w:r w:rsidR="00DE2C92" w:rsidRPr="007B60BF">
        <w:t xml:space="preserve"> a partir do exercício de 2010. </w:t>
      </w:r>
      <w:r w:rsidR="00C00515" w:rsidRPr="007B60BF">
        <w:t>A</w:t>
      </w:r>
      <w:r w:rsidRPr="007B60BF">
        <w:t>s depreciações são calculadas usando o método linear, considerando</w:t>
      </w:r>
      <w:r w:rsidR="005F4F1E" w:rsidRPr="007B60BF">
        <w:t xml:space="preserve"> o valor residual e </w:t>
      </w:r>
      <w:r w:rsidRPr="007B60BF">
        <w:t xml:space="preserve">os custos </w:t>
      </w:r>
      <w:r w:rsidR="002010E3" w:rsidRPr="007B60BF">
        <w:t xml:space="preserve">dos ativos </w:t>
      </w:r>
      <w:r w:rsidRPr="007B60BF">
        <w:t>durante a vida útil estimada</w:t>
      </w:r>
      <w:r w:rsidR="002010E3" w:rsidRPr="007B60BF">
        <w:t xml:space="preserve"> dos mesmos</w:t>
      </w:r>
      <w:r w:rsidRPr="007B60BF">
        <w:t>.</w:t>
      </w:r>
    </w:p>
    <w:p w14:paraId="671B1F15" w14:textId="77777777" w:rsidR="00074139" w:rsidRDefault="00074139">
      <w:pPr>
        <w:rPr>
          <w:b/>
        </w:rPr>
      </w:pPr>
      <w:r>
        <w:rPr>
          <w:b/>
        </w:rPr>
        <w:br w:type="page"/>
      </w:r>
    </w:p>
    <w:p w14:paraId="360C237F" w14:textId="4049B7C0" w:rsidR="00C07681" w:rsidRPr="007B60BF" w:rsidRDefault="00C07681" w:rsidP="00C00515">
      <w:pPr>
        <w:tabs>
          <w:tab w:val="left" w:pos="851"/>
        </w:tabs>
        <w:jc w:val="both"/>
        <w:rPr>
          <w:b/>
        </w:rPr>
      </w:pPr>
      <w:r w:rsidRPr="007B60BF">
        <w:rPr>
          <w:b/>
        </w:rPr>
        <w:lastRenderedPageBreak/>
        <w:t>Movimentação do Ativo Imobilizado</w:t>
      </w:r>
    </w:p>
    <w:p w14:paraId="76E6D3B5" w14:textId="77777777" w:rsidR="00CF6F87" w:rsidRPr="007B60BF" w:rsidRDefault="00CF6F87" w:rsidP="00C00515">
      <w:pPr>
        <w:tabs>
          <w:tab w:val="left" w:pos="851"/>
        </w:tabs>
        <w:jc w:val="both"/>
        <w:rPr>
          <w:sz w:val="16"/>
          <w:szCs w:val="16"/>
        </w:rPr>
      </w:pPr>
    </w:p>
    <w:tbl>
      <w:tblPr>
        <w:tblW w:w="5000" w:type="pct"/>
        <w:tblCellMar>
          <w:left w:w="0" w:type="dxa"/>
          <w:right w:w="0" w:type="dxa"/>
        </w:tblCellMar>
        <w:tblLook w:val="04A0" w:firstRow="1" w:lastRow="0" w:firstColumn="1" w:lastColumn="0" w:noHBand="0" w:noVBand="1"/>
      </w:tblPr>
      <w:tblGrid>
        <w:gridCol w:w="2303"/>
        <w:gridCol w:w="190"/>
        <w:gridCol w:w="1156"/>
        <w:gridCol w:w="190"/>
        <w:gridCol w:w="1141"/>
        <w:gridCol w:w="190"/>
        <w:gridCol w:w="1419"/>
        <w:gridCol w:w="190"/>
        <w:gridCol w:w="1050"/>
        <w:gridCol w:w="190"/>
        <w:gridCol w:w="1052"/>
      </w:tblGrid>
      <w:tr w:rsidR="00C07681" w:rsidRPr="007B60BF" w14:paraId="61C1581E" w14:textId="77777777" w:rsidTr="00E83317">
        <w:tc>
          <w:tcPr>
            <w:tcW w:w="1269" w:type="pct"/>
            <w:noWrap/>
            <w:tcMar>
              <w:top w:w="0" w:type="dxa"/>
              <w:left w:w="70" w:type="dxa"/>
              <w:bottom w:w="0" w:type="dxa"/>
              <w:right w:w="70" w:type="dxa"/>
            </w:tcMar>
            <w:vAlign w:val="bottom"/>
            <w:hideMark/>
          </w:tcPr>
          <w:p w14:paraId="627DA94B" w14:textId="77777777" w:rsidR="00C07681" w:rsidRPr="007B60BF" w:rsidRDefault="00C07681" w:rsidP="00C07681">
            <w:pPr>
              <w:rPr>
                <w:rFonts w:ascii="Arial" w:hAnsi="Arial" w:cs="Arial"/>
              </w:rPr>
            </w:pPr>
          </w:p>
        </w:tc>
        <w:tc>
          <w:tcPr>
            <w:tcW w:w="105" w:type="pct"/>
            <w:noWrap/>
            <w:tcMar>
              <w:top w:w="0" w:type="dxa"/>
              <w:left w:w="70" w:type="dxa"/>
              <w:bottom w:w="0" w:type="dxa"/>
              <w:right w:w="70" w:type="dxa"/>
            </w:tcMar>
            <w:vAlign w:val="bottom"/>
            <w:hideMark/>
          </w:tcPr>
          <w:p w14:paraId="09D48B73" w14:textId="77777777" w:rsidR="00C07681" w:rsidRPr="007B60BF" w:rsidRDefault="00C07681" w:rsidP="00C07681">
            <w:pPr>
              <w:rPr>
                <w:rFonts w:ascii="Arial" w:hAnsi="Arial" w:cs="Arial"/>
              </w:rPr>
            </w:pPr>
          </w:p>
        </w:tc>
        <w:tc>
          <w:tcPr>
            <w:tcW w:w="637" w:type="pct"/>
            <w:tcBorders>
              <w:top w:val="nil"/>
              <w:left w:val="nil"/>
              <w:bottom w:val="single" w:sz="8" w:space="0" w:color="auto"/>
              <w:right w:val="nil"/>
            </w:tcBorders>
            <w:tcMar>
              <w:top w:w="0" w:type="dxa"/>
              <w:left w:w="70" w:type="dxa"/>
              <w:bottom w:w="0" w:type="dxa"/>
              <w:right w:w="70" w:type="dxa"/>
            </w:tcMar>
            <w:vAlign w:val="center"/>
            <w:hideMark/>
          </w:tcPr>
          <w:p w14:paraId="39F66F27" w14:textId="5F66C3A3" w:rsidR="00C07681" w:rsidRPr="007B60BF" w:rsidRDefault="00C07681" w:rsidP="002E313A">
            <w:pPr>
              <w:jc w:val="center"/>
            </w:pPr>
            <w:r w:rsidRPr="007B60BF">
              <w:rPr>
                <w:b/>
                <w:bCs/>
              </w:rPr>
              <w:t>Custo 01/01/202</w:t>
            </w:r>
            <w:r w:rsidR="002E313A" w:rsidRPr="007B60BF">
              <w:rPr>
                <w:b/>
                <w:bCs/>
              </w:rPr>
              <w:t>5</w:t>
            </w:r>
          </w:p>
        </w:tc>
        <w:tc>
          <w:tcPr>
            <w:tcW w:w="105" w:type="pct"/>
            <w:tcMar>
              <w:top w:w="0" w:type="dxa"/>
              <w:left w:w="70" w:type="dxa"/>
              <w:bottom w:w="0" w:type="dxa"/>
              <w:right w:w="70" w:type="dxa"/>
            </w:tcMar>
            <w:vAlign w:val="center"/>
            <w:hideMark/>
          </w:tcPr>
          <w:p w14:paraId="3E1303BC" w14:textId="77777777" w:rsidR="00C07681" w:rsidRPr="007B60BF" w:rsidRDefault="00C07681" w:rsidP="00C07681">
            <w:pPr>
              <w:rPr>
                <w:rFonts w:ascii="Arial" w:hAnsi="Arial" w:cs="Arial"/>
              </w:rPr>
            </w:pPr>
          </w:p>
        </w:tc>
        <w:tc>
          <w:tcPr>
            <w:tcW w:w="629" w:type="pct"/>
            <w:tcBorders>
              <w:top w:val="nil"/>
              <w:left w:val="nil"/>
              <w:bottom w:val="single" w:sz="8" w:space="0" w:color="auto"/>
              <w:right w:val="nil"/>
            </w:tcBorders>
            <w:tcMar>
              <w:top w:w="0" w:type="dxa"/>
              <w:left w:w="70" w:type="dxa"/>
              <w:bottom w:w="0" w:type="dxa"/>
              <w:right w:w="70" w:type="dxa"/>
            </w:tcMar>
            <w:vAlign w:val="center"/>
            <w:hideMark/>
          </w:tcPr>
          <w:p w14:paraId="7A831198" w14:textId="77777777" w:rsidR="00C07681" w:rsidRPr="007B60BF" w:rsidRDefault="00C07681" w:rsidP="00C07681">
            <w:pPr>
              <w:jc w:val="center"/>
            </w:pPr>
            <w:r w:rsidRPr="007B60BF">
              <w:rPr>
                <w:b/>
                <w:bCs/>
              </w:rPr>
              <w:t>Aquisições</w:t>
            </w:r>
          </w:p>
        </w:tc>
        <w:tc>
          <w:tcPr>
            <w:tcW w:w="105" w:type="pct"/>
            <w:tcMar>
              <w:top w:w="0" w:type="dxa"/>
              <w:left w:w="70" w:type="dxa"/>
              <w:bottom w:w="0" w:type="dxa"/>
              <w:right w:w="70" w:type="dxa"/>
            </w:tcMar>
            <w:vAlign w:val="center"/>
            <w:hideMark/>
          </w:tcPr>
          <w:p w14:paraId="1146ED4E" w14:textId="77777777" w:rsidR="00C07681" w:rsidRPr="007B60BF" w:rsidRDefault="00C07681" w:rsidP="00C07681">
            <w:pPr>
              <w:rPr>
                <w:rFonts w:ascii="Arial" w:hAnsi="Arial" w:cs="Arial"/>
              </w:rPr>
            </w:pPr>
          </w:p>
        </w:tc>
        <w:tc>
          <w:tcPr>
            <w:tcW w:w="782" w:type="pct"/>
            <w:tcBorders>
              <w:top w:val="nil"/>
              <w:left w:val="nil"/>
              <w:bottom w:val="single" w:sz="8" w:space="0" w:color="auto"/>
              <w:right w:val="nil"/>
            </w:tcBorders>
            <w:tcMar>
              <w:top w:w="0" w:type="dxa"/>
              <w:left w:w="70" w:type="dxa"/>
              <w:bottom w:w="0" w:type="dxa"/>
              <w:right w:w="70" w:type="dxa"/>
            </w:tcMar>
            <w:vAlign w:val="center"/>
            <w:hideMark/>
          </w:tcPr>
          <w:p w14:paraId="690A9131" w14:textId="77777777" w:rsidR="00C07681" w:rsidRPr="007B60BF" w:rsidRDefault="00C07681" w:rsidP="00C07681">
            <w:pPr>
              <w:jc w:val="center"/>
            </w:pPr>
            <w:r w:rsidRPr="007B60BF">
              <w:rPr>
                <w:b/>
                <w:bCs/>
              </w:rPr>
              <w:t>Transferências</w:t>
            </w:r>
          </w:p>
        </w:tc>
        <w:tc>
          <w:tcPr>
            <w:tcW w:w="105" w:type="pct"/>
            <w:tcMar>
              <w:top w:w="0" w:type="dxa"/>
              <w:left w:w="70" w:type="dxa"/>
              <w:bottom w:w="0" w:type="dxa"/>
              <w:right w:w="70" w:type="dxa"/>
            </w:tcMar>
            <w:hideMark/>
          </w:tcPr>
          <w:p w14:paraId="5570E60F" w14:textId="77777777" w:rsidR="00C07681" w:rsidRPr="007B60BF" w:rsidRDefault="00C07681" w:rsidP="00C07681">
            <w:pPr>
              <w:jc w:val="center"/>
            </w:pPr>
            <w:r w:rsidRPr="007B60BF">
              <w:rPr>
                <w:b/>
                <w:bCs/>
              </w:rPr>
              <w:t> </w:t>
            </w:r>
          </w:p>
        </w:tc>
        <w:tc>
          <w:tcPr>
            <w:tcW w:w="579" w:type="pct"/>
            <w:tcBorders>
              <w:top w:val="nil"/>
              <w:left w:val="nil"/>
              <w:bottom w:val="single" w:sz="8" w:space="0" w:color="auto"/>
              <w:right w:val="nil"/>
            </w:tcBorders>
            <w:tcMar>
              <w:top w:w="0" w:type="dxa"/>
              <w:left w:w="70" w:type="dxa"/>
              <w:bottom w:w="0" w:type="dxa"/>
              <w:right w:w="70" w:type="dxa"/>
            </w:tcMar>
            <w:vAlign w:val="center"/>
            <w:hideMark/>
          </w:tcPr>
          <w:p w14:paraId="67369E72" w14:textId="11DE8D7C" w:rsidR="00C07681" w:rsidRPr="007B60BF" w:rsidRDefault="00C07681" w:rsidP="00B47E36">
            <w:pPr>
              <w:jc w:val="center"/>
              <w:rPr>
                <w:b/>
              </w:rPr>
            </w:pPr>
            <w:r w:rsidRPr="007B60BF">
              <w:rPr>
                <w:b/>
                <w:bCs/>
              </w:rPr>
              <w:t>Baixas</w:t>
            </w:r>
            <w:r w:rsidR="00B47E36" w:rsidRPr="007B60BF">
              <w:rPr>
                <w:b/>
                <w:bCs/>
              </w:rPr>
              <w:t xml:space="preserve"> </w:t>
            </w:r>
            <w:r w:rsidR="00B47E36" w:rsidRPr="007B60BF">
              <w:rPr>
                <w:b/>
                <w:sz w:val="18"/>
                <w:szCs w:val="18"/>
              </w:rPr>
              <w:t>[2]</w:t>
            </w:r>
          </w:p>
        </w:tc>
        <w:tc>
          <w:tcPr>
            <w:tcW w:w="105" w:type="pct"/>
            <w:tcMar>
              <w:top w:w="0" w:type="dxa"/>
              <w:left w:w="70" w:type="dxa"/>
              <w:bottom w:w="0" w:type="dxa"/>
              <w:right w:w="70" w:type="dxa"/>
            </w:tcMar>
            <w:vAlign w:val="center"/>
            <w:hideMark/>
          </w:tcPr>
          <w:p w14:paraId="356962D1" w14:textId="77777777" w:rsidR="00C07681" w:rsidRPr="007B60BF" w:rsidRDefault="00C07681" w:rsidP="00C07681">
            <w:pPr>
              <w:rPr>
                <w:rFonts w:ascii="Arial" w:hAnsi="Arial" w:cs="Arial"/>
              </w:rPr>
            </w:pPr>
          </w:p>
        </w:tc>
        <w:tc>
          <w:tcPr>
            <w:tcW w:w="580" w:type="pct"/>
            <w:tcBorders>
              <w:top w:val="nil"/>
              <w:left w:val="nil"/>
              <w:bottom w:val="single" w:sz="8" w:space="0" w:color="auto"/>
              <w:right w:val="nil"/>
            </w:tcBorders>
            <w:tcMar>
              <w:top w:w="0" w:type="dxa"/>
              <w:left w:w="70" w:type="dxa"/>
              <w:bottom w:w="0" w:type="dxa"/>
              <w:right w:w="70" w:type="dxa"/>
            </w:tcMar>
            <w:vAlign w:val="center"/>
            <w:hideMark/>
          </w:tcPr>
          <w:p w14:paraId="2700B8E1" w14:textId="47DB7210" w:rsidR="00C07681" w:rsidRPr="007B60BF" w:rsidRDefault="00C07681" w:rsidP="00C22639">
            <w:pPr>
              <w:jc w:val="center"/>
            </w:pPr>
            <w:r w:rsidRPr="007B60BF">
              <w:rPr>
                <w:b/>
                <w:bCs/>
              </w:rPr>
              <w:t xml:space="preserve">Custo </w:t>
            </w:r>
            <w:r w:rsidR="00C22639" w:rsidRPr="007B60BF">
              <w:rPr>
                <w:b/>
                <w:bCs/>
              </w:rPr>
              <w:t>31/12</w:t>
            </w:r>
            <w:r w:rsidR="00F4151C" w:rsidRPr="007B60BF">
              <w:rPr>
                <w:b/>
                <w:bCs/>
              </w:rPr>
              <w:t>/202</w:t>
            </w:r>
            <w:r w:rsidR="002E313A" w:rsidRPr="007B60BF">
              <w:rPr>
                <w:b/>
                <w:bCs/>
              </w:rPr>
              <w:t>5</w:t>
            </w:r>
          </w:p>
        </w:tc>
      </w:tr>
      <w:tr w:rsidR="005E1F9B" w:rsidRPr="007B60BF" w14:paraId="2475CF2E" w14:textId="77777777" w:rsidTr="00BF48C0">
        <w:tc>
          <w:tcPr>
            <w:tcW w:w="1269" w:type="pct"/>
            <w:tcMar>
              <w:top w:w="0" w:type="dxa"/>
              <w:left w:w="70" w:type="dxa"/>
              <w:bottom w:w="0" w:type="dxa"/>
              <w:right w:w="70" w:type="dxa"/>
            </w:tcMar>
            <w:vAlign w:val="center"/>
            <w:hideMark/>
          </w:tcPr>
          <w:p w14:paraId="515E6292" w14:textId="77777777" w:rsidR="005E1F9B" w:rsidRPr="007B60BF" w:rsidRDefault="005E1F9B" w:rsidP="005E1F9B">
            <w:r w:rsidRPr="007B60BF">
              <w:t xml:space="preserve">Edifícios </w:t>
            </w:r>
          </w:p>
        </w:tc>
        <w:tc>
          <w:tcPr>
            <w:tcW w:w="105" w:type="pct"/>
            <w:tcMar>
              <w:top w:w="0" w:type="dxa"/>
              <w:left w:w="70" w:type="dxa"/>
              <w:bottom w:w="0" w:type="dxa"/>
              <w:right w:w="70" w:type="dxa"/>
            </w:tcMar>
            <w:vAlign w:val="center"/>
            <w:hideMark/>
          </w:tcPr>
          <w:p w14:paraId="2CF8558E" w14:textId="77777777" w:rsidR="005E1F9B" w:rsidRPr="007B60BF" w:rsidRDefault="005E1F9B" w:rsidP="005E1F9B">
            <w:pPr>
              <w:jc w:val="right"/>
            </w:pPr>
            <w:r w:rsidRPr="007B60BF">
              <w:t> </w:t>
            </w:r>
          </w:p>
        </w:tc>
        <w:tc>
          <w:tcPr>
            <w:tcW w:w="637" w:type="pct"/>
            <w:shd w:val="clear" w:color="auto" w:fill="auto"/>
            <w:tcMar>
              <w:top w:w="0" w:type="dxa"/>
              <w:left w:w="70" w:type="dxa"/>
              <w:bottom w:w="0" w:type="dxa"/>
              <w:right w:w="70" w:type="dxa"/>
            </w:tcMar>
            <w:hideMark/>
          </w:tcPr>
          <w:p w14:paraId="4DF6EC3F" w14:textId="7986F703" w:rsidR="005E1F9B" w:rsidRPr="007B60BF" w:rsidRDefault="005E1F9B" w:rsidP="005E1F9B">
            <w:pPr>
              <w:jc w:val="right"/>
            </w:pPr>
            <w:r w:rsidRPr="007B60BF">
              <w:t>808.806</w:t>
            </w:r>
          </w:p>
        </w:tc>
        <w:tc>
          <w:tcPr>
            <w:tcW w:w="105" w:type="pct"/>
            <w:shd w:val="clear" w:color="auto" w:fill="auto"/>
            <w:tcMar>
              <w:top w:w="0" w:type="dxa"/>
              <w:left w:w="70" w:type="dxa"/>
              <w:bottom w:w="0" w:type="dxa"/>
              <w:right w:w="70" w:type="dxa"/>
            </w:tcMar>
            <w:vAlign w:val="center"/>
            <w:hideMark/>
          </w:tcPr>
          <w:p w14:paraId="14D2078E" w14:textId="77777777" w:rsidR="005E1F9B" w:rsidRPr="007B60BF" w:rsidRDefault="005E1F9B" w:rsidP="005E1F9B">
            <w:pPr>
              <w:jc w:val="right"/>
              <w:rPr>
                <w:rFonts w:ascii="Arial" w:hAnsi="Arial" w:cs="Arial"/>
              </w:rPr>
            </w:pPr>
          </w:p>
        </w:tc>
        <w:tc>
          <w:tcPr>
            <w:tcW w:w="629" w:type="pct"/>
            <w:shd w:val="clear" w:color="auto" w:fill="auto"/>
            <w:tcMar>
              <w:top w:w="0" w:type="dxa"/>
              <w:left w:w="70" w:type="dxa"/>
              <w:bottom w:w="0" w:type="dxa"/>
              <w:right w:w="70" w:type="dxa"/>
            </w:tcMar>
          </w:tcPr>
          <w:p w14:paraId="58787DD2" w14:textId="0BC65F9D" w:rsidR="005E1F9B" w:rsidRPr="007B60BF" w:rsidRDefault="005E1F9B" w:rsidP="005E1F9B">
            <w:pPr>
              <w:jc w:val="right"/>
            </w:pPr>
            <w:r w:rsidRPr="007B60BF">
              <w:t xml:space="preserve">- </w:t>
            </w:r>
          </w:p>
        </w:tc>
        <w:tc>
          <w:tcPr>
            <w:tcW w:w="105" w:type="pct"/>
            <w:shd w:val="clear" w:color="auto" w:fill="auto"/>
            <w:tcMar>
              <w:top w:w="0" w:type="dxa"/>
              <w:left w:w="70" w:type="dxa"/>
              <w:bottom w:w="0" w:type="dxa"/>
              <w:right w:w="70" w:type="dxa"/>
            </w:tcMar>
          </w:tcPr>
          <w:p w14:paraId="217FB3B6" w14:textId="76041725" w:rsidR="005E1F9B" w:rsidRPr="007B60BF" w:rsidRDefault="005E1F9B" w:rsidP="005E1F9B">
            <w:pPr>
              <w:jc w:val="right"/>
            </w:pPr>
            <w:r w:rsidRPr="007B60BF">
              <w:t xml:space="preserve"> </w:t>
            </w:r>
          </w:p>
        </w:tc>
        <w:tc>
          <w:tcPr>
            <w:tcW w:w="782" w:type="pct"/>
            <w:tcBorders>
              <w:top w:val="nil"/>
              <w:left w:val="nil"/>
              <w:bottom w:val="nil"/>
              <w:right w:val="nil"/>
            </w:tcBorders>
            <w:shd w:val="clear" w:color="auto" w:fill="auto"/>
            <w:tcMar>
              <w:top w:w="0" w:type="dxa"/>
              <w:left w:w="70" w:type="dxa"/>
              <w:bottom w:w="0" w:type="dxa"/>
              <w:right w:w="70" w:type="dxa"/>
            </w:tcMar>
          </w:tcPr>
          <w:p w14:paraId="3B1E1F77" w14:textId="001C04D7" w:rsidR="005E1F9B" w:rsidRPr="007B60BF" w:rsidRDefault="005E1F9B" w:rsidP="005E1F9B">
            <w:pPr>
              <w:jc w:val="right"/>
            </w:pPr>
            <w:r w:rsidRPr="007B60BF">
              <w:t>2.714</w:t>
            </w:r>
          </w:p>
        </w:tc>
        <w:tc>
          <w:tcPr>
            <w:tcW w:w="105" w:type="pct"/>
            <w:shd w:val="clear" w:color="auto" w:fill="auto"/>
            <w:tcMar>
              <w:top w:w="0" w:type="dxa"/>
              <w:left w:w="70" w:type="dxa"/>
              <w:bottom w:w="0" w:type="dxa"/>
              <w:right w:w="70" w:type="dxa"/>
            </w:tcMar>
          </w:tcPr>
          <w:p w14:paraId="0DA9E39D" w14:textId="15F8EFA3" w:rsidR="005E1F9B" w:rsidRPr="007B60BF" w:rsidRDefault="005E1F9B" w:rsidP="005E1F9B">
            <w:pPr>
              <w:jc w:val="right"/>
            </w:pPr>
            <w:r w:rsidRPr="007B60BF">
              <w:t xml:space="preserve"> </w:t>
            </w:r>
          </w:p>
        </w:tc>
        <w:tc>
          <w:tcPr>
            <w:tcW w:w="579" w:type="pct"/>
            <w:shd w:val="clear" w:color="auto" w:fill="auto"/>
            <w:tcMar>
              <w:top w:w="0" w:type="dxa"/>
              <w:left w:w="70" w:type="dxa"/>
              <w:bottom w:w="0" w:type="dxa"/>
              <w:right w:w="70" w:type="dxa"/>
            </w:tcMar>
          </w:tcPr>
          <w:p w14:paraId="498DA72C" w14:textId="3F2970E7" w:rsidR="005E1F9B" w:rsidRPr="007B60BF" w:rsidRDefault="005E1F9B" w:rsidP="005E1F9B">
            <w:pPr>
              <w:jc w:val="right"/>
            </w:pPr>
            <w:r w:rsidRPr="007B60BF">
              <w:t xml:space="preserve">- </w:t>
            </w:r>
          </w:p>
        </w:tc>
        <w:tc>
          <w:tcPr>
            <w:tcW w:w="105" w:type="pct"/>
            <w:shd w:val="clear" w:color="auto" w:fill="auto"/>
            <w:tcMar>
              <w:top w:w="0" w:type="dxa"/>
              <w:left w:w="70" w:type="dxa"/>
              <w:bottom w:w="0" w:type="dxa"/>
              <w:right w:w="70" w:type="dxa"/>
            </w:tcMar>
            <w:hideMark/>
          </w:tcPr>
          <w:p w14:paraId="5A53121B" w14:textId="57A8F82C" w:rsidR="005E1F9B" w:rsidRPr="007B60BF" w:rsidRDefault="005E1F9B" w:rsidP="005E1F9B">
            <w:pPr>
              <w:jc w:val="right"/>
            </w:pPr>
            <w:r w:rsidRPr="007B60BF">
              <w:t xml:space="preserve"> </w:t>
            </w:r>
          </w:p>
        </w:tc>
        <w:tc>
          <w:tcPr>
            <w:tcW w:w="580" w:type="pct"/>
            <w:shd w:val="clear" w:color="auto" w:fill="auto"/>
            <w:tcMar>
              <w:top w:w="0" w:type="dxa"/>
              <w:left w:w="70" w:type="dxa"/>
              <w:bottom w:w="0" w:type="dxa"/>
              <w:right w:w="70" w:type="dxa"/>
            </w:tcMar>
          </w:tcPr>
          <w:p w14:paraId="3FEA8ED1" w14:textId="6A9CE790" w:rsidR="005E1F9B" w:rsidRPr="007B60BF" w:rsidRDefault="005E1F9B" w:rsidP="005E1F9B">
            <w:pPr>
              <w:jc w:val="right"/>
            </w:pPr>
            <w:r w:rsidRPr="007B60BF">
              <w:t>811.520</w:t>
            </w:r>
          </w:p>
        </w:tc>
      </w:tr>
      <w:tr w:rsidR="005E1F9B" w:rsidRPr="007B60BF" w14:paraId="1C58CC8E" w14:textId="77777777" w:rsidTr="00BF48C0">
        <w:tc>
          <w:tcPr>
            <w:tcW w:w="1269" w:type="pct"/>
            <w:tcMar>
              <w:top w:w="0" w:type="dxa"/>
              <w:left w:w="70" w:type="dxa"/>
              <w:bottom w:w="0" w:type="dxa"/>
              <w:right w:w="70" w:type="dxa"/>
            </w:tcMar>
            <w:vAlign w:val="center"/>
            <w:hideMark/>
          </w:tcPr>
          <w:p w14:paraId="5699D6B9" w14:textId="77777777" w:rsidR="005E1F9B" w:rsidRPr="007B60BF" w:rsidRDefault="005E1F9B" w:rsidP="005E1F9B">
            <w:r w:rsidRPr="007B60BF">
              <w:t>Terrenos</w:t>
            </w:r>
          </w:p>
        </w:tc>
        <w:tc>
          <w:tcPr>
            <w:tcW w:w="105" w:type="pct"/>
            <w:tcMar>
              <w:top w:w="0" w:type="dxa"/>
              <w:left w:w="70" w:type="dxa"/>
              <w:bottom w:w="0" w:type="dxa"/>
              <w:right w:w="70" w:type="dxa"/>
            </w:tcMar>
            <w:vAlign w:val="center"/>
            <w:hideMark/>
          </w:tcPr>
          <w:p w14:paraId="66CF6E31" w14:textId="77777777" w:rsidR="005E1F9B" w:rsidRPr="007B60BF" w:rsidRDefault="005E1F9B" w:rsidP="005E1F9B">
            <w:pPr>
              <w:jc w:val="right"/>
            </w:pPr>
            <w:r w:rsidRPr="007B60BF">
              <w:t> </w:t>
            </w:r>
          </w:p>
        </w:tc>
        <w:tc>
          <w:tcPr>
            <w:tcW w:w="637" w:type="pct"/>
            <w:shd w:val="clear" w:color="auto" w:fill="auto"/>
            <w:tcMar>
              <w:top w:w="0" w:type="dxa"/>
              <w:left w:w="70" w:type="dxa"/>
              <w:bottom w:w="0" w:type="dxa"/>
              <w:right w:w="70" w:type="dxa"/>
            </w:tcMar>
            <w:hideMark/>
          </w:tcPr>
          <w:p w14:paraId="3EC338B9" w14:textId="47AA5632" w:rsidR="005E1F9B" w:rsidRPr="007B60BF" w:rsidRDefault="005E1F9B" w:rsidP="005E1F9B">
            <w:pPr>
              <w:jc w:val="right"/>
            </w:pPr>
            <w:r w:rsidRPr="007B60BF">
              <w:t>67.406</w:t>
            </w:r>
          </w:p>
        </w:tc>
        <w:tc>
          <w:tcPr>
            <w:tcW w:w="105" w:type="pct"/>
            <w:shd w:val="clear" w:color="auto" w:fill="auto"/>
            <w:tcMar>
              <w:top w:w="0" w:type="dxa"/>
              <w:left w:w="70" w:type="dxa"/>
              <w:bottom w:w="0" w:type="dxa"/>
              <w:right w:w="70" w:type="dxa"/>
            </w:tcMar>
            <w:vAlign w:val="center"/>
            <w:hideMark/>
          </w:tcPr>
          <w:p w14:paraId="6263F2C3" w14:textId="77777777" w:rsidR="005E1F9B" w:rsidRPr="007B60BF" w:rsidRDefault="005E1F9B" w:rsidP="005E1F9B">
            <w:pPr>
              <w:jc w:val="right"/>
            </w:pPr>
            <w:r w:rsidRPr="007B60BF">
              <w:t> </w:t>
            </w:r>
          </w:p>
        </w:tc>
        <w:tc>
          <w:tcPr>
            <w:tcW w:w="629" w:type="pct"/>
            <w:shd w:val="clear" w:color="auto" w:fill="auto"/>
            <w:tcMar>
              <w:top w:w="0" w:type="dxa"/>
              <w:left w:w="70" w:type="dxa"/>
              <w:bottom w:w="0" w:type="dxa"/>
              <w:right w:w="70" w:type="dxa"/>
            </w:tcMar>
          </w:tcPr>
          <w:p w14:paraId="2F650FB6" w14:textId="7BB43A22" w:rsidR="005E1F9B" w:rsidRPr="007B60BF" w:rsidRDefault="005E1F9B" w:rsidP="005E1F9B">
            <w:pPr>
              <w:jc w:val="right"/>
            </w:pPr>
            <w:r w:rsidRPr="007B60BF">
              <w:t xml:space="preserve">- </w:t>
            </w:r>
          </w:p>
        </w:tc>
        <w:tc>
          <w:tcPr>
            <w:tcW w:w="105" w:type="pct"/>
            <w:shd w:val="clear" w:color="auto" w:fill="auto"/>
            <w:tcMar>
              <w:top w:w="0" w:type="dxa"/>
              <w:left w:w="70" w:type="dxa"/>
              <w:bottom w:w="0" w:type="dxa"/>
              <w:right w:w="70" w:type="dxa"/>
            </w:tcMar>
          </w:tcPr>
          <w:p w14:paraId="53189008" w14:textId="1DE0DBE7" w:rsidR="005E1F9B" w:rsidRPr="007B60BF" w:rsidRDefault="005E1F9B" w:rsidP="005E1F9B">
            <w:pPr>
              <w:jc w:val="right"/>
            </w:pPr>
            <w:r w:rsidRPr="007B60BF">
              <w:t xml:space="preserve"> </w:t>
            </w:r>
          </w:p>
        </w:tc>
        <w:tc>
          <w:tcPr>
            <w:tcW w:w="782" w:type="pct"/>
            <w:shd w:val="clear" w:color="auto" w:fill="auto"/>
            <w:tcMar>
              <w:top w:w="0" w:type="dxa"/>
              <w:left w:w="70" w:type="dxa"/>
              <w:bottom w:w="0" w:type="dxa"/>
              <w:right w:w="70" w:type="dxa"/>
            </w:tcMar>
          </w:tcPr>
          <w:p w14:paraId="705A77B8" w14:textId="752C8542" w:rsidR="005E1F9B" w:rsidRPr="007B60BF" w:rsidRDefault="005E1F9B" w:rsidP="005E1F9B">
            <w:pPr>
              <w:jc w:val="right"/>
            </w:pPr>
            <w:r w:rsidRPr="007B60BF">
              <w:t xml:space="preserve">- </w:t>
            </w:r>
          </w:p>
        </w:tc>
        <w:tc>
          <w:tcPr>
            <w:tcW w:w="105" w:type="pct"/>
            <w:shd w:val="clear" w:color="auto" w:fill="auto"/>
            <w:tcMar>
              <w:top w:w="0" w:type="dxa"/>
              <w:left w:w="70" w:type="dxa"/>
              <w:bottom w:w="0" w:type="dxa"/>
              <w:right w:w="70" w:type="dxa"/>
            </w:tcMar>
          </w:tcPr>
          <w:p w14:paraId="59AFAE80" w14:textId="6078B2BD" w:rsidR="005E1F9B" w:rsidRPr="007B60BF" w:rsidRDefault="005E1F9B" w:rsidP="005E1F9B">
            <w:pPr>
              <w:jc w:val="right"/>
            </w:pPr>
            <w:r w:rsidRPr="007B60BF">
              <w:t xml:space="preserve"> </w:t>
            </w:r>
          </w:p>
        </w:tc>
        <w:tc>
          <w:tcPr>
            <w:tcW w:w="579" w:type="pct"/>
            <w:shd w:val="clear" w:color="auto" w:fill="auto"/>
            <w:tcMar>
              <w:top w:w="0" w:type="dxa"/>
              <w:left w:w="70" w:type="dxa"/>
              <w:bottom w:w="0" w:type="dxa"/>
              <w:right w:w="70" w:type="dxa"/>
            </w:tcMar>
          </w:tcPr>
          <w:p w14:paraId="43C64AA1" w14:textId="5046BAB9" w:rsidR="005E1F9B" w:rsidRPr="007B60BF" w:rsidRDefault="005E1F9B" w:rsidP="005E1F9B">
            <w:pPr>
              <w:jc w:val="right"/>
            </w:pPr>
            <w:r w:rsidRPr="007B60BF">
              <w:t>-</w:t>
            </w:r>
          </w:p>
        </w:tc>
        <w:tc>
          <w:tcPr>
            <w:tcW w:w="105" w:type="pct"/>
            <w:shd w:val="clear" w:color="auto" w:fill="auto"/>
            <w:tcMar>
              <w:top w:w="0" w:type="dxa"/>
              <w:left w:w="70" w:type="dxa"/>
              <w:bottom w:w="0" w:type="dxa"/>
              <w:right w:w="70" w:type="dxa"/>
            </w:tcMar>
            <w:hideMark/>
          </w:tcPr>
          <w:p w14:paraId="2929CC12" w14:textId="116DD8C0" w:rsidR="005E1F9B" w:rsidRPr="007B60BF" w:rsidRDefault="005E1F9B" w:rsidP="005E1F9B">
            <w:pPr>
              <w:jc w:val="right"/>
            </w:pPr>
            <w:r w:rsidRPr="007B60BF">
              <w:t xml:space="preserve"> </w:t>
            </w:r>
          </w:p>
        </w:tc>
        <w:tc>
          <w:tcPr>
            <w:tcW w:w="580" w:type="pct"/>
            <w:shd w:val="clear" w:color="auto" w:fill="auto"/>
            <w:tcMar>
              <w:top w:w="0" w:type="dxa"/>
              <w:left w:w="70" w:type="dxa"/>
              <w:bottom w:w="0" w:type="dxa"/>
              <w:right w:w="70" w:type="dxa"/>
            </w:tcMar>
          </w:tcPr>
          <w:p w14:paraId="43869040" w14:textId="7C8A4673" w:rsidR="005E1F9B" w:rsidRPr="007B60BF" w:rsidRDefault="005E1F9B" w:rsidP="005E1F9B">
            <w:pPr>
              <w:jc w:val="right"/>
            </w:pPr>
            <w:r w:rsidRPr="007B60BF">
              <w:t>67.406</w:t>
            </w:r>
          </w:p>
        </w:tc>
      </w:tr>
      <w:tr w:rsidR="0014605F" w:rsidRPr="007B60BF" w14:paraId="6EEF5E92" w14:textId="77777777" w:rsidTr="00BF48C0">
        <w:tc>
          <w:tcPr>
            <w:tcW w:w="1269" w:type="pct"/>
            <w:tcMar>
              <w:top w:w="0" w:type="dxa"/>
              <w:left w:w="70" w:type="dxa"/>
              <w:bottom w:w="0" w:type="dxa"/>
              <w:right w:w="70" w:type="dxa"/>
            </w:tcMar>
            <w:vAlign w:val="center"/>
            <w:hideMark/>
          </w:tcPr>
          <w:p w14:paraId="15AC2D3E" w14:textId="23DC56AB" w:rsidR="0014605F" w:rsidRPr="007B60BF" w:rsidRDefault="0014605F" w:rsidP="0014605F">
            <w:r w:rsidRPr="007B60BF">
              <w:t>Obras em Andamento [1]</w:t>
            </w:r>
          </w:p>
        </w:tc>
        <w:tc>
          <w:tcPr>
            <w:tcW w:w="105" w:type="pct"/>
            <w:tcMar>
              <w:top w:w="0" w:type="dxa"/>
              <w:left w:w="70" w:type="dxa"/>
              <w:bottom w:w="0" w:type="dxa"/>
              <w:right w:w="70" w:type="dxa"/>
            </w:tcMar>
            <w:vAlign w:val="center"/>
            <w:hideMark/>
          </w:tcPr>
          <w:p w14:paraId="09506C35" w14:textId="77777777" w:rsidR="0014605F" w:rsidRPr="007B60BF" w:rsidRDefault="0014605F" w:rsidP="0014605F">
            <w:pPr>
              <w:jc w:val="right"/>
            </w:pPr>
            <w:r w:rsidRPr="007B60BF">
              <w:t> </w:t>
            </w:r>
          </w:p>
        </w:tc>
        <w:tc>
          <w:tcPr>
            <w:tcW w:w="637" w:type="pct"/>
            <w:shd w:val="clear" w:color="auto" w:fill="auto"/>
            <w:tcMar>
              <w:top w:w="0" w:type="dxa"/>
              <w:left w:w="70" w:type="dxa"/>
              <w:bottom w:w="0" w:type="dxa"/>
              <w:right w:w="70" w:type="dxa"/>
            </w:tcMar>
            <w:hideMark/>
          </w:tcPr>
          <w:p w14:paraId="6D53E812" w14:textId="26B9962B" w:rsidR="0014605F" w:rsidRPr="007B60BF" w:rsidRDefault="0014605F" w:rsidP="0014605F">
            <w:pPr>
              <w:jc w:val="right"/>
            </w:pPr>
            <w:r w:rsidRPr="007B60BF">
              <w:t>37.021</w:t>
            </w:r>
          </w:p>
        </w:tc>
        <w:tc>
          <w:tcPr>
            <w:tcW w:w="105" w:type="pct"/>
            <w:shd w:val="clear" w:color="auto" w:fill="auto"/>
            <w:tcMar>
              <w:top w:w="0" w:type="dxa"/>
              <w:left w:w="70" w:type="dxa"/>
              <w:bottom w:w="0" w:type="dxa"/>
              <w:right w:w="70" w:type="dxa"/>
            </w:tcMar>
            <w:vAlign w:val="center"/>
            <w:hideMark/>
          </w:tcPr>
          <w:p w14:paraId="46FAEAEE" w14:textId="77777777" w:rsidR="0014605F" w:rsidRPr="007B60BF" w:rsidRDefault="0014605F" w:rsidP="0014605F">
            <w:pPr>
              <w:jc w:val="right"/>
            </w:pPr>
            <w:r w:rsidRPr="007B60BF">
              <w:t> </w:t>
            </w:r>
          </w:p>
        </w:tc>
        <w:tc>
          <w:tcPr>
            <w:tcW w:w="629" w:type="pct"/>
            <w:shd w:val="clear" w:color="auto" w:fill="auto"/>
            <w:tcMar>
              <w:top w:w="0" w:type="dxa"/>
              <w:left w:w="70" w:type="dxa"/>
              <w:bottom w:w="0" w:type="dxa"/>
              <w:right w:w="70" w:type="dxa"/>
            </w:tcMar>
          </w:tcPr>
          <w:p w14:paraId="231397FC" w14:textId="7E23F6FC" w:rsidR="0014605F" w:rsidRPr="007B60BF" w:rsidRDefault="0014605F" w:rsidP="0014605F">
            <w:pPr>
              <w:jc w:val="right"/>
            </w:pPr>
            <w:r w:rsidRPr="007B60BF">
              <w:t>21.027</w:t>
            </w:r>
          </w:p>
        </w:tc>
        <w:tc>
          <w:tcPr>
            <w:tcW w:w="105" w:type="pct"/>
            <w:shd w:val="clear" w:color="auto" w:fill="auto"/>
            <w:tcMar>
              <w:top w:w="0" w:type="dxa"/>
              <w:left w:w="70" w:type="dxa"/>
              <w:bottom w:w="0" w:type="dxa"/>
              <w:right w:w="70" w:type="dxa"/>
            </w:tcMar>
          </w:tcPr>
          <w:p w14:paraId="41BA6B20" w14:textId="2B57D22F" w:rsidR="0014605F" w:rsidRPr="007B60BF" w:rsidRDefault="0014605F" w:rsidP="0014605F">
            <w:pPr>
              <w:jc w:val="right"/>
            </w:pPr>
            <w:r w:rsidRPr="007B60BF">
              <w:t xml:space="preserve"> </w:t>
            </w:r>
          </w:p>
        </w:tc>
        <w:tc>
          <w:tcPr>
            <w:tcW w:w="782" w:type="pct"/>
            <w:shd w:val="clear" w:color="auto" w:fill="auto"/>
            <w:tcMar>
              <w:top w:w="0" w:type="dxa"/>
              <w:left w:w="70" w:type="dxa"/>
              <w:bottom w:w="0" w:type="dxa"/>
              <w:right w:w="70" w:type="dxa"/>
            </w:tcMar>
          </w:tcPr>
          <w:p w14:paraId="27AC7687" w14:textId="07B1C91C" w:rsidR="0014605F" w:rsidRPr="007B60BF" w:rsidRDefault="0014605F" w:rsidP="0014605F">
            <w:pPr>
              <w:jc w:val="right"/>
            </w:pPr>
            <w:r w:rsidRPr="007B60BF">
              <w:t>(2.714)</w:t>
            </w:r>
          </w:p>
        </w:tc>
        <w:tc>
          <w:tcPr>
            <w:tcW w:w="105" w:type="pct"/>
            <w:shd w:val="clear" w:color="auto" w:fill="auto"/>
            <w:tcMar>
              <w:top w:w="0" w:type="dxa"/>
              <w:left w:w="70" w:type="dxa"/>
              <w:bottom w:w="0" w:type="dxa"/>
              <w:right w:w="70" w:type="dxa"/>
            </w:tcMar>
          </w:tcPr>
          <w:p w14:paraId="1E4BF2F6" w14:textId="63272A44" w:rsidR="0014605F" w:rsidRPr="007B60BF" w:rsidRDefault="0014605F" w:rsidP="0014605F">
            <w:pPr>
              <w:jc w:val="right"/>
            </w:pPr>
            <w:r w:rsidRPr="007B60BF">
              <w:t xml:space="preserve"> </w:t>
            </w:r>
          </w:p>
        </w:tc>
        <w:tc>
          <w:tcPr>
            <w:tcW w:w="579" w:type="pct"/>
            <w:shd w:val="clear" w:color="auto" w:fill="auto"/>
            <w:tcMar>
              <w:top w:w="0" w:type="dxa"/>
              <w:left w:w="70" w:type="dxa"/>
              <w:bottom w:w="0" w:type="dxa"/>
              <w:right w:w="70" w:type="dxa"/>
            </w:tcMar>
          </w:tcPr>
          <w:p w14:paraId="62B479A4" w14:textId="1209661D" w:rsidR="0014605F" w:rsidRPr="007B60BF" w:rsidRDefault="0014605F" w:rsidP="0014605F">
            <w:pPr>
              <w:jc w:val="right"/>
            </w:pPr>
            <w:r w:rsidRPr="007B60BF">
              <w:t>-</w:t>
            </w:r>
          </w:p>
        </w:tc>
        <w:tc>
          <w:tcPr>
            <w:tcW w:w="105" w:type="pct"/>
            <w:shd w:val="clear" w:color="auto" w:fill="auto"/>
            <w:tcMar>
              <w:top w:w="0" w:type="dxa"/>
              <w:left w:w="70" w:type="dxa"/>
              <w:bottom w:w="0" w:type="dxa"/>
              <w:right w:w="70" w:type="dxa"/>
            </w:tcMar>
            <w:hideMark/>
          </w:tcPr>
          <w:p w14:paraId="40AB8436" w14:textId="708D60B2" w:rsidR="0014605F" w:rsidRPr="007B60BF" w:rsidRDefault="0014605F" w:rsidP="0014605F">
            <w:pPr>
              <w:jc w:val="right"/>
            </w:pPr>
            <w:r w:rsidRPr="007B60BF">
              <w:t xml:space="preserve"> </w:t>
            </w:r>
          </w:p>
        </w:tc>
        <w:tc>
          <w:tcPr>
            <w:tcW w:w="580" w:type="pct"/>
            <w:shd w:val="clear" w:color="auto" w:fill="auto"/>
            <w:tcMar>
              <w:top w:w="0" w:type="dxa"/>
              <w:left w:w="70" w:type="dxa"/>
              <w:bottom w:w="0" w:type="dxa"/>
              <w:right w:w="70" w:type="dxa"/>
            </w:tcMar>
          </w:tcPr>
          <w:p w14:paraId="0EFBDA38" w14:textId="0B0F09D9" w:rsidR="0014605F" w:rsidRPr="007B60BF" w:rsidRDefault="0014605F" w:rsidP="0014605F">
            <w:pPr>
              <w:jc w:val="right"/>
            </w:pPr>
            <w:r w:rsidRPr="007B60BF">
              <w:t>55.334</w:t>
            </w:r>
          </w:p>
        </w:tc>
      </w:tr>
      <w:tr w:rsidR="0014605F" w:rsidRPr="007B60BF" w14:paraId="0AA7A70E" w14:textId="77777777" w:rsidTr="00BF48C0">
        <w:tc>
          <w:tcPr>
            <w:tcW w:w="1269" w:type="pct"/>
            <w:tcMar>
              <w:top w:w="0" w:type="dxa"/>
              <w:left w:w="70" w:type="dxa"/>
              <w:bottom w:w="0" w:type="dxa"/>
              <w:right w:w="70" w:type="dxa"/>
            </w:tcMar>
            <w:vAlign w:val="center"/>
          </w:tcPr>
          <w:p w14:paraId="51EA00F0" w14:textId="01815424" w:rsidR="0014605F" w:rsidRPr="007B60BF" w:rsidRDefault="0014605F" w:rsidP="0014605F">
            <w:r w:rsidRPr="007B60BF">
              <w:t>Instalações</w:t>
            </w:r>
          </w:p>
        </w:tc>
        <w:tc>
          <w:tcPr>
            <w:tcW w:w="105" w:type="pct"/>
            <w:tcMar>
              <w:top w:w="0" w:type="dxa"/>
              <w:left w:w="70" w:type="dxa"/>
              <w:bottom w:w="0" w:type="dxa"/>
              <w:right w:w="70" w:type="dxa"/>
            </w:tcMar>
            <w:vAlign w:val="center"/>
          </w:tcPr>
          <w:p w14:paraId="1932DEF7" w14:textId="77777777" w:rsidR="0014605F" w:rsidRPr="007B60BF" w:rsidRDefault="0014605F" w:rsidP="0014605F">
            <w:pPr>
              <w:jc w:val="right"/>
            </w:pPr>
          </w:p>
        </w:tc>
        <w:tc>
          <w:tcPr>
            <w:tcW w:w="637" w:type="pct"/>
            <w:shd w:val="clear" w:color="auto" w:fill="auto"/>
            <w:tcMar>
              <w:top w:w="0" w:type="dxa"/>
              <w:left w:w="70" w:type="dxa"/>
              <w:bottom w:w="0" w:type="dxa"/>
              <w:right w:w="70" w:type="dxa"/>
            </w:tcMar>
          </w:tcPr>
          <w:p w14:paraId="4FA07329" w14:textId="1E87814A" w:rsidR="0014605F" w:rsidRPr="007B60BF" w:rsidRDefault="0014605F" w:rsidP="0014605F">
            <w:pPr>
              <w:jc w:val="right"/>
            </w:pPr>
            <w:r w:rsidRPr="007B60BF">
              <w:t>25.776</w:t>
            </w:r>
          </w:p>
        </w:tc>
        <w:tc>
          <w:tcPr>
            <w:tcW w:w="105" w:type="pct"/>
            <w:shd w:val="clear" w:color="auto" w:fill="auto"/>
            <w:tcMar>
              <w:top w:w="0" w:type="dxa"/>
              <w:left w:w="70" w:type="dxa"/>
              <w:bottom w:w="0" w:type="dxa"/>
              <w:right w:w="70" w:type="dxa"/>
            </w:tcMar>
            <w:vAlign w:val="center"/>
          </w:tcPr>
          <w:p w14:paraId="596EC608" w14:textId="77777777" w:rsidR="0014605F" w:rsidRPr="007B60BF" w:rsidRDefault="0014605F" w:rsidP="0014605F">
            <w:pPr>
              <w:jc w:val="right"/>
            </w:pPr>
          </w:p>
        </w:tc>
        <w:tc>
          <w:tcPr>
            <w:tcW w:w="629" w:type="pct"/>
            <w:shd w:val="clear" w:color="auto" w:fill="auto"/>
            <w:tcMar>
              <w:top w:w="0" w:type="dxa"/>
              <w:left w:w="70" w:type="dxa"/>
              <w:bottom w:w="0" w:type="dxa"/>
              <w:right w:w="70" w:type="dxa"/>
            </w:tcMar>
          </w:tcPr>
          <w:p w14:paraId="09B00E74" w14:textId="6BCFB4FA" w:rsidR="0014605F" w:rsidRPr="007B60BF" w:rsidRDefault="0014605F" w:rsidP="0014605F">
            <w:pPr>
              <w:jc w:val="right"/>
            </w:pPr>
          </w:p>
        </w:tc>
        <w:tc>
          <w:tcPr>
            <w:tcW w:w="105" w:type="pct"/>
            <w:shd w:val="clear" w:color="auto" w:fill="auto"/>
            <w:tcMar>
              <w:top w:w="0" w:type="dxa"/>
              <w:left w:w="70" w:type="dxa"/>
              <w:bottom w:w="0" w:type="dxa"/>
              <w:right w:w="70" w:type="dxa"/>
            </w:tcMar>
          </w:tcPr>
          <w:p w14:paraId="4227410C" w14:textId="77777777" w:rsidR="0014605F" w:rsidRPr="007B60BF" w:rsidRDefault="0014605F" w:rsidP="0014605F">
            <w:pPr>
              <w:jc w:val="right"/>
            </w:pPr>
          </w:p>
        </w:tc>
        <w:tc>
          <w:tcPr>
            <w:tcW w:w="782" w:type="pct"/>
            <w:shd w:val="clear" w:color="auto" w:fill="auto"/>
            <w:tcMar>
              <w:top w:w="0" w:type="dxa"/>
              <w:left w:w="70" w:type="dxa"/>
              <w:bottom w:w="0" w:type="dxa"/>
              <w:right w:w="70" w:type="dxa"/>
            </w:tcMar>
          </w:tcPr>
          <w:p w14:paraId="76F73914" w14:textId="40FA711B" w:rsidR="0014605F" w:rsidRPr="007B60BF" w:rsidRDefault="0014605F" w:rsidP="0014605F">
            <w:pPr>
              <w:jc w:val="right"/>
            </w:pPr>
            <w:r w:rsidRPr="007B60BF">
              <w:t>-</w:t>
            </w:r>
          </w:p>
        </w:tc>
        <w:tc>
          <w:tcPr>
            <w:tcW w:w="105" w:type="pct"/>
            <w:shd w:val="clear" w:color="auto" w:fill="auto"/>
            <w:tcMar>
              <w:top w:w="0" w:type="dxa"/>
              <w:left w:w="70" w:type="dxa"/>
              <w:bottom w:w="0" w:type="dxa"/>
              <w:right w:w="70" w:type="dxa"/>
            </w:tcMar>
          </w:tcPr>
          <w:p w14:paraId="0555BEA9" w14:textId="77777777" w:rsidR="0014605F" w:rsidRPr="007B60BF" w:rsidRDefault="0014605F" w:rsidP="0014605F">
            <w:pPr>
              <w:jc w:val="right"/>
            </w:pPr>
          </w:p>
        </w:tc>
        <w:tc>
          <w:tcPr>
            <w:tcW w:w="579" w:type="pct"/>
            <w:shd w:val="clear" w:color="auto" w:fill="auto"/>
            <w:tcMar>
              <w:top w:w="0" w:type="dxa"/>
              <w:left w:w="70" w:type="dxa"/>
              <w:bottom w:w="0" w:type="dxa"/>
              <w:right w:w="70" w:type="dxa"/>
            </w:tcMar>
          </w:tcPr>
          <w:p w14:paraId="45801FC1" w14:textId="68B793E0" w:rsidR="0014605F" w:rsidRPr="007B60BF" w:rsidRDefault="0014605F" w:rsidP="0014605F">
            <w:pPr>
              <w:jc w:val="right"/>
            </w:pPr>
            <w:r w:rsidRPr="007B60BF">
              <w:t>-</w:t>
            </w:r>
          </w:p>
        </w:tc>
        <w:tc>
          <w:tcPr>
            <w:tcW w:w="105" w:type="pct"/>
            <w:shd w:val="clear" w:color="auto" w:fill="auto"/>
            <w:tcMar>
              <w:top w:w="0" w:type="dxa"/>
              <w:left w:w="70" w:type="dxa"/>
              <w:bottom w:w="0" w:type="dxa"/>
              <w:right w:w="70" w:type="dxa"/>
            </w:tcMar>
          </w:tcPr>
          <w:p w14:paraId="5F4EF818" w14:textId="77777777" w:rsidR="0014605F" w:rsidRPr="007B60BF" w:rsidRDefault="0014605F" w:rsidP="0014605F">
            <w:pPr>
              <w:jc w:val="right"/>
            </w:pPr>
          </w:p>
        </w:tc>
        <w:tc>
          <w:tcPr>
            <w:tcW w:w="580" w:type="pct"/>
            <w:shd w:val="clear" w:color="auto" w:fill="auto"/>
            <w:tcMar>
              <w:top w:w="0" w:type="dxa"/>
              <w:left w:w="70" w:type="dxa"/>
              <w:bottom w:w="0" w:type="dxa"/>
              <w:right w:w="70" w:type="dxa"/>
            </w:tcMar>
          </w:tcPr>
          <w:p w14:paraId="73908768" w14:textId="2F157F36" w:rsidR="0014605F" w:rsidRPr="007B60BF" w:rsidRDefault="0014605F" w:rsidP="0014605F">
            <w:pPr>
              <w:jc w:val="right"/>
            </w:pPr>
            <w:r w:rsidRPr="007B60BF">
              <w:t>25.776</w:t>
            </w:r>
          </w:p>
        </w:tc>
      </w:tr>
      <w:tr w:rsidR="0014605F" w:rsidRPr="007B60BF" w14:paraId="3A7A434B" w14:textId="77777777" w:rsidTr="00BF48C0">
        <w:tc>
          <w:tcPr>
            <w:tcW w:w="1269" w:type="pct"/>
            <w:tcMar>
              <w:top w:w="0" w:type="dxa"/>
              <w:left w:w="70" w:type="dxa"/>
              <w:bottom w:w="0" w:type="dxa"/>
              <w:right w:w="70" w:type="dxa"/>
            </w:tcMar>
            <w:vAlign w:val="center"/>
            <w:hideMark/>
          </w:tcPr>
          <w:p w14:paraId="700C0B23" w14:textId="3D1C287F" w:rsidR="0014605F" w:rsidRPr="007B60BF" w:rsidRDefault="0014605F" w:rsidP="0014605F">
            <w:r w:rsidRPr="007B60BF">
              <w:t>Bens Móveis e Máquinas</w:t>
            </w:r>
          </w:p>
        </w:tc>
        <w:tc>
          <w:tcPr>
            <w:tcW w:w="105" w:type="pct"/>
            <w:tcMar>
              <w:top w:w="0" w:type="dxa"/>
              <w:left w:w="70" w:type="dxa"/>
              <w:bottom w:w="0" w:type="dxa"/>
              <w:right w:w="70" w:type="dxa"/>
            </w:tcMar>
            <w:vAlign w:val="center"/>
            <w:hideMark/>
          </w:tcPr>
          <w:p w14:paraId="1914208C" w14:textId="77777777" w:rsidR="0014605F" w:rsidRPr="007B60BF" w:rsidRDefault="0014605F" w:rsidP="0014605F">
            <w:pPr>
              <w:jc w:val="right"/>
            </w:pPr>
            <w:r w:rsidRPr="007B60BF">
              <w:t> </w:t>
            </w:r>
          </w:p>
        </w:tc>
        <w:tc>
          <w:tcPr>
            <w:tcW w:w="637" w:type="pct"/>
            <w:shd w:val="clear" w:color="auto" w:fill="auto"/>
            <w:tcMar>
              <w:top w:w="0" w:type="dxa"/>
              <w:left w:w="70" w:type="dxa"/>
              <w:bottom w:w="0" w:type="dxa"/>
              <w:right w:w="70" w:type="dxa"/>
            </w:tcMar>
            <w:hideMark/>
          </w:tcPr>
          <w:p w14:paraId="343164D1" w14:textId="3FE89D3A" w:rsidR="0014605F" w:rsidRPr="007B60BF" w:rsidRDefault="0014605F" w:rsidP="0014605F">
            <w:pPr>
              <w:jc w:val="right"/>
            </w:pPr>
            <w:r w:rsidRPr="007B60BF">
              <w:t>329.821</w:t>
            </w:r>
          </w:p>
        </w:tc>
        <w:tc>
          <w:tcPr>
            <w:tcW w:w="105" w:type="pct"/>
            <w:shd w:val="clear" w:color="auto" w:fill="auto"/>
            <w:tcMar>
              <w:top w:w="0" w:type="dxa"/>
              <w:left w:w="70" w:type="dxa"/>
              <w:bottom w:w="0" w:type="dxa"/>
              <w:right w:w="70" w:type="dxa"/>
            </w:tcMar>
            <w:vAlign w:val="center"/>
            <w:hideMark/>
          </w:tcPr>
          <w:p w14:paraId="65F5641D" w14:textId="77777777" w:rsidR="0014605F" w:rsidRPr="007B60BF" w:rsidRDefault="0014605F" w:rsidP="0014605F">
            <w:pPr>
              <w:jc w:val="right"/>
            </w:pPr>
            <w:r w:rsidRPr="007B60BF">
              <w:t> </w:t>
            </w:r>
          </w:p>
        </w:tc>
        <w:tc>
          <w:tcPr>
            <w:tcW w:w="629" w:type="pct"/>
            <w:shd w:val="clear" w:color="auto" w:fill="auto"/>
            <w:tcMar>
              <w:top w:w="0" w:type="dxa"/>
              <w:left w:w="70" w:type="dxa"/>
              <w:bottom w:w="0" w:type="dxa"/>
              <w:right w:w="70" w:type="dxa"/>
            </w:tcMar>
          </w:tcPr>
          <w:p w14:paraId="120EA399" w14:textId="28A991D7" w:rsidR="0014605F" w:rsidRPr="007B60BF" w:rsidRDefault="0014605F" w:rsidP="00B9397D">
            <w:pPr>
              <w:jc w:val="right"/>
            </w:pPr>
            <w:r w:rsidRPr="007B60BF">
              <w:t>39.90</w:t>
            </w:r>
            <w:r w:rsidR="00B9397D" w:rsidRPr="007B60BF">
              <w:t>7</w:t>
            </w:r>
          </w:p>
        </w:tc>
        <w:tc>
          <w:tcPr>
            <w:tcW w:w="105" w:type="pct"/>
            <w:shd w:val="clear" w:color="auto" w:fill="auto"/>
            <w:tcMar>
              <w:top w:w="0" w:type="dxa"/>
              <w:left w:w="70" w:type="dxa"/>
              <w:bottom w:w="0" w:type="dxa"/>
              <w:right w:w="70" w:type="dxa"/>
            </w:tcMar>
          </w:tcPr>
          <w:p w14:paraId="56A6F01C" w14:textId="7E8078CD" w:rsidR="0014605F" w:rsidRPr="007B60BF" w:rsidRDefault="0014605F" w:rsidP="0014605F">
            <w:pPr>
              <w:jc w:val="right"/>
            </w:pPr>
            <w:r w:rsidRPr="007B60BF">
              <w:t xml:space="preserve"> </w:t>
            </w:r>
          </w:p>
        </w:tc>
        <w:tc>
          <w:tcPr>
            <w:tcW w:w="782" w:type="pct"/>
            <w:shd w:val="clear" w:color="auto" w:fill="auto"/>
            <w:tcMar>
              <w:top w:w="0" w:type="dxa"/>
              <w:left w:w="70" w:type="dxa"/>
              <w:bottom w:w="0" w:type="dxa"/>
              <w:right w:w="70" w:type="dxa"/>
            </w:tcMar>
          </w:tcPr>
          <w:p w14:paraId="5D563F9B" w14:textId="18CB934A" w:rsidR="0014605F" w:rsidRPr="007B60BF" w:rsidRDefault="0014605F" w:rsidP="0014605F">
            <w:pPr>
              <w:jc w:val="right"/>
            </w:pPr>
            <w:r w:rsidRPr="007B60BF">
              <w:t xml:space="preserve">- </w:t>
            </w:r>
          </w:p>
        </w:tc>
        <w:tc>
          <w:tcPr>
            <w:tcW w:w="105" w:type="pct"/>
            <w:shd w:val="clear" w:color="auto" w:fill="auto"/>
            <w:tcMar>
              <w:top w:w="0" w:type="dxa"/>
              <w:left w:w="70" w:type="dxa"/>
              <w:bottom w:w="0" w:type="dxa"/>
              <w:right w:w="70" w:type="dxa"/>
            </w:tcMar>
          </w:tcPr>
          <w:p w14:paraId="50D30A8E" w14:textId="2AE2EDC4" w:rsidR="0014605F" w:rsidRPr="007B60BF" w:rsidRDefault="0014605F" w:rsidP="0014605F">
            <w:pPr>
              <w:jc w:val="right"/>
            </w:pPr>
            <w:r w:rsidRPr="007B60BF">
              <w:t xml:space="preserve"> </w:t>
            </w:r>
          </w:p>
        </w:tc>
        <w:tc>
          <w:tcPr>
            <w:tcW w:w="579" w:type="pct"/>
            <w:shd w:val="clear" w:color="auto" w:fill="auto"/>
            <w:tcMar>
              <w:top w:w="0" w:type="dxa"/>
              <w:left w:w="70" w:type="dxa"/>
              <w:bottom w:w="0" w:type="dxa"/>
              <w:right w:w="70" w:type="dxa"/>
            </w:tcMar>
          </w:tcPr>
          <w:p w14:paraId="4B48BCFB" w14:textId="1E98FD68" w:rsidR="0014605F" w:rsidRPr="007B60BF" w:rsidRDefault="0014605F" w:rsidP="0014605F">
            <w:pPr>
              <w:jc w:val="right"/>
            </w:pPr>
            <w:r w:rsidRPr="007B60BF">
              <w:t>(5.492)</w:t>
            </w:r>
          </w:p>
        </w:tc>
        <w:tc>
          <w:tcPr>
            <w:tcW w:w="105" w:type="pct"/>
            <w:shd w:val="clear" w:color="auto" w:fill="auto"/>
            <w:tcMar>
              <w:top w:w="0" w:type="dxa"/>
              <w:left w:w="70" w:type="dxa"/>
              <w:bottom w:w="0" w:type="dxa"/>
              <w:right w:w="70" w:type="dxa"/>
            </w:tcMar>
            <w:hideMark/>
          </w:tcPr>
          <w:p w14:paraId="4086C964" w14:textId="43B2FC2E" w:rsidR="0014605F" w:rsidRPr="007B60BF" w:rsidRDefault="0014605F" w:rsidP="0014605F">
            <w:pPr>
              <w:jc w:val="right"/>
            </w:pPr>
            <w:r w:rsidRPr="007B60BF">
              <w:t xml:space="preserve"> </w:t>
            </w:r>
          </w:p>
        </w:tc>
        <w:tc>
          <w:tcPr>
            <w:tcW w:w="580" w:type="pct"/>
            <w:shd w:val="clear" w:color="auto" w:fill="auto"/>
            <w:tcMar>
              <w:top w:w="0" w:type="dxa"/>
              <w:left w:w="70" w:type="dxa"/>
              <w:bottom w:w="0" w:type="dxa"/>
              <w:right w:w="70" w:type="dxa"/>
            </w:tcMar>
          </w:tcPr>
          <w:p w14:paraId="0DE8E3DD" w14:textId="33D75E64" w:rsidR="0014605F" w:rsidRPr="007B60BF" w:rsidRDefault="0014605F" w:rsidP="00B9397D">
            <w:pPr>
              <w:jc w:val="right"/>
            </w:pPr>
            <w:r w:rsidRPr="007B60BF">
              <w:t>364.23</w:t>
            </w:r>
            <w:r w:rsidR="00B9397D" w:rsidRPr="007B60BF">
              <w:t>6</w:t>
            </w:r>
          </w:p>
        </w:tc>
      </w:tr>
      <w:tr w:rsidR="0014605F" w:rsidRPr="007B60BF" w14:paraId="49865FE8" w14:textId="77777777" w:rsidTr="00BF48C0">
        <w:tc>
          <w:tcPr>
            <w:tcW w:w="1269" w:type="pct"/>
            <w:tcMar>
              <w:top w:w="0" w:type="dxa"/>
              <w:left w:w="70" w:type="dxa"/>
              <w:bottom w:w="0" w:type="dxa"/>
              <w:right w:w="70" w:type="dxa"/>
            </w:tcMar>
            <w:vAlign w:val="center"/>
            <w:hideMark/>
          </w:tcPr>
          <w:p w14:paraId="7F745BF3" w14:textId="77777777" w:rsidR="0014605F" w:rsidRPr="007B60BF" w:rsidRDefault="0014605F" w:rsidP="0014605F">
            <w:r w:rsidRPr="007B60BF">
              <w:t>Informática</w:t>
            </w:r>
          </w:p>
        </w:tc>
        <w:tc>
          <w:tcPr>
            <w:tcW w:w="105" w:type="pct"/>
            <w:tcMar>
              <w:top w:w="0" w:type="dxa"/>
              <w:left w:w="70" w:type="dxa"/>
              <w:bottom w:w="0" w:type="dxa"/>
              <w:right w:w="70" w:type="dxa"/>
            </w:tcMar>
            <w:vAlign w:val="center"/>
            <w:hideMark/>
          </w:tcPr>
          <w:p w14:paraId="2DF872F6" w14:textId="77777777" w:rsidR="0014605F" w:rsidRPr="007B60BF" w:rsidRDefault="0014605F" w:rsidP="0014605F">
            <w:pPr>
              <w:jc w:val="right"/>
            </w:pPr>
            <w:r w:rsidRPr="007B60BF">
              <w:t> </w:t>
            </w:r>
          </w:p>
        </w:tc>
        <w:tc>
          <w:tcPr>
            <w:tcW w:w="637" w:type="pct"/>
            <w:shd w:val="clear" w:color="auto" w:fill="auto"/>
            <w:tcMar>
              <w:top w:w="0" w:type="dxa"/>
              <w:left w:w="70" w:type="dxa"/>
              <w:bottom w:w="0" w:type="dxa"/>
              <w:right w:w="70" w:type="dxa"/>
            </w:tcMar>
            <w:hideMark/>
          </w:tcPr>
          <w:p w14:paraId="2F5F209C" w14:textId="314A6079" w:rsidR="0014605F" w:rsidRPr="007B60BF" w:rsidRDefault="0014605F" w:rsidP="0014605F">
            <w:pPr>
              <w:jc w:val="right"/>
            </w:pPr>
            <w:r w:rsidRPr="007B60BF">
              <w:t>41.690</w:t>
            </w:r>
          </w:p>
        </w:tc>
        <w:tc>
          <w:tcPr>
            <w:tcW w:w="105" w:type="pct"/>
            <w:shd w:val="clear" w:color="auto" w:fill="auto"/>
            <w:tcMar>
              <w:top w:w="0" w:type="dxa"/>
              <w:left w:w="70" w:type="dxa"/>
              <w:bottom w:w="0" w:type="dxa"/>
              <w:right w:w="70" w:type="dxa"/>
            </w:tcMar>
            <w:vAlign w:val="center"/>
            <w:hideMark/>
          </w:tcPr>
          <w:p w14:paraId="6F72C0F5" w14:textId="77777777" w:rsidR="0014605F" w:rsidRPr="007B60BF" w:rsidRDefault="0014605F" w:rsidP="0014605F">
            <w:pPr>
              <w:jc w:val="right"/>
            </w:pPr>
            <w:r w:rsidRPr="007B60BF">
              <w:t> </w:t>
            </w:r>
          </w:p>
        </w:tc>
        <w:tc>
          <w:tcPr>
            <w:tcW w:w="629" w:type="pct"/>
            <w:shd w:val="clear" w:color="auto" w:fill="auto"/>
            <w:tcMar>
              <w:top w:w="0" w:type="dxa"/>
              <w:left w:w="70" w:type="dxa"/>
              <w:bottom w:w="0" w:type="dxa"/>
              <w:right w:w="70" w:type="dxa"/>
            </w:tcMar>
          </w:tcPr>
          <w:p w14:paraId="2061715D" w14:textId="00AF5A24" w:rsidR="0014605F" w:rsidRPr="007B60BF" w:rsidRDefault="0014605F" w:rsidP="0014605F">
            <w:pPr>
              <w:jc w:val="right"/>
            </w:pPr>
            <w:r w:rsidRPr="007B60BF">
              <w:t>3.657</w:t>
            </w:r>
          </w:p>
        </w:tc>
        <w:tc>
          <w:tcPr>
            <w:tcW w:w="105" w:type="pct"/>
            <w:shd w:val="clear" w:color="auto" w:fill="auto"/>
            <w:tcMar>
              <w:top w:w="0" w:type="dxa"/>
              <w:left w:w="70" w:type="dxa"/>
              <w:bottom w:w="0" w:type="dxa"/>
              <w:right w:w="70" w:type="dxa"/>
            </w:tcMar>
          </w:tcPr>
          <w:p w14:paraId="5546C816" w14:textId="1AF54009" w:rsidR="0014605F" w:rsidRPr="007B60BF" w:rsidRDefault="0014605F" w:rsidP="0014605F">
            <w:pPr>
              <w:jc w:val="right"/>
            </w:pPr>
            <w:r w:rsidRPr="007B60BF">
              <w:t xml:space="preserve"> </w:t>
            </w:r>
          </w:p>
        </w:tc>
        <w:tc>
          <w:tcPr>
            <w:tcW w:w="782" w:type="pct"/>
            <w:shd w:val="clear" w:color="auto" w:fill="auto"/>
            <w:tcMar>
              <w:top w:w="0" w:type="dxa"/>
              <w:left w:w="70" w:type="dxa"/>
              <w:bottom w:w="0" w:type="dxa"/>
              <w:right w:w="70" w:type="dxa"/>
            </w:tcMar>
          </w:tcPr>
          <w:p w14:paraId="1776E2E4" w14:textId="316DE739" w:rsidR="0014605F" w:rsidRPr="007B60BF" w:rsidRDefault="0014605F" w:rsidP="0014605F">
            <w:pPr>
              <w:jc w:val="right"/>
            </w:pPr>
            <w:r w:rsidRPr="007B60BF">
              <w:t xml:space="preserve">- </w:t>
            </w:r>
          </w:p>
        </w:tc>
        <w:tc>
          <w:tcPr>
            <w:tcW w:w="105" w:type="pct"/>
            <w:shd w:val="clear" w:color="auto" w:fill="auto"/>
            <w:tcMar>
              <w:top w:w="0" w:type="dxa"/>
              <w:left w:w="70" w:type="dxa"/>
              <w:bottom w:w="0" w:type="dxa"/>
              <w:right w:w="70" w:type="dxa"/>
            </w:tcMar>
          </w:tcPr>
          <w:p w14:paraId="46EAF1B6" w14:textId="04251BA9" w:rsidR="0014605F" w:rsidRPr="007B60BF" w:rsidRDefault="0014605F" w:rsidP="0014605F">
            <w:pPr>
              <w:jc w:val="right"/>
            </w:pPr>
            <w:r w:rsidRPr="007B60BF">
              <w:t xml:space="preserve"> </w:t>
            </w:r>
          </w:p>
        </w:tc>
        <w:tc>
          <w:tcPr>
            <w:tcW w:w="579" w:type="pct"/>
            <w:shd w:val="clear" w:color="auto" w:fill="auto"/>
            <w:tcMar>
              <w:top w:w="0" w:type="dxa"/>
              <w:left w:w="70" w:type="dxa"/>
              <w:bottom w:w="0" w:type="dxa"/>
              <w:right w:w="70" w:type="dxa"/>
            </w:tcMar>
          </w:tcPr>
          <w:p w14:paraId="3E47A564" w14:textId="512AFA30" w:rsidR="0014605F" w:rsidRPr="007B60BF" w:rsidRDefault="0014605F" w:rsidP="0014605F">
            <w:pPr>
              <w:jc w:val="right"/>
              <w:rPr>
                <w:rStyle w:val="nfaseSutil"/>
                <w:color w:val="auto"/>
              </w:rPr>
            </w:pPr>
            <w:r w:rsidRPr="007B60BF">
              <w:t xml:space="preserve">    (4.875)</w:t>
            </w:r>
          </w:p>
        </w:tc>
        <w:tc>
          <w:tcPr>
            <w:tcW w:w="105" w:type="pct"/>
            <w:shd w:val="clear" w:color="auto" w:fill="auto"/>
            <w:tcMar>
              <w:top w:w="0" w:type="dxa"/>
              <w:left w:w="70" w:type="dxa"/>
              <w:bottom w:w="0" w:type="dxa"/>
              <w:right w:w="70" w:type="dxa"/>
            </w:tcMar>
            <w:hideMark/>
          </w:tcPr>
          <w:p w14:paraId="5DA0B1BC" w14:textId="67AEA0C9" w:rsidR="0014605F" w:rsidRPr="007B60BF" w:rsidRDefault="0014605F" w:rsidP="0014605F">
            <w:pPr>
              <w:jc w:val="right"/>
            </w:pPr>
            <w:r w:rsidRPr="007B60BF">
              <w:t xml:space="preserve"> </w:t>
            </w:r>
          </w:p>
        </w:tc>
        <w:tc>
          <w:tcPr>
            <w:tcW w:w="580" w:type="pct"/>
            <w:shd w:val="clear" w:color="auto" w:fill="auto"/>
            <w:tcMar>
              <w:top w:w="0" w:type="dxa"/>
              <w:left w:w="70" w:type="dxa"/>
              <w:bottom w:w="0" w:type="dxa"/>
              <w:right w:w="70" w:type="dxa"/>
            </w:tcMar>
          </w:tcPr>
          <w:p w14:paraId="78CF7347" w14:textId="464F0427" w:rsidR="0014605F" w:rsidRPr="007B60BF" w:rsidRDefault="0014605F" w:rsidP="0014605F">
            <w:pPr>
              <w:jc w:val="right"/>
            </w:pPr>
            <w:r w:rsidRPr="007B60BF">
              <w:t>40.472</w:t>
            </w:r>
          </w:p>
        </w:tc>
      </w:tr>
      <w:tr w:rsidR="0014605F" w:rsidRPr="007B60BF" w14:paraId="7F4891F8" w14:textId="77777777" w:rsidTr="00BF48C0">
        <w:tc>
          <w:tcPr>
            <w:tcW w:w="1269" w:type="pct"/>
            <w:tcMar>
              <w:top w:w="0" w:type="dxa"/>
              <w:left w:w="70" w:type="dxa"/>
              <w:bottom w:w="0" w:type="dxa"/>
              <w:right w:w="70" w:type="dxa"/>
            </w:tcMar>
            <w:vAlign w:val="center"/>
            <w:hideMark/>
          </w:tcPr>
          <w:p w14:paraId="431A1D86" w14:textId="77777777" w:rsidR="0014605F" w:rsidRPr="007B60BF" w:rsidRDefault="0014605F" w:rsidP="0014605F">
            <w:r w:rsidRPr="007B60BF">
              <w:t>Veículos Diversos</w:t>
            </w:r>
          </w:p>
        </w:tc>
        <w:tc>
          <w:tcPr>
            <w:tcW w:w="105" w:type="pct"/>
            <w:tcMar>
              <w:top w:w="0" w:type="dxa"/>
              <w:left w:w="70" w:type="dxa"/>
              <w:bottom w:w="0" w:type="dxa"/>
              <w:right w:w="70" w:type="dxa"/>
            </w:tcMar>
            <w:vAlign w:val="center"/>
            <w:hideMark/>
          </w:tcPr>
          <w:p w14:paraId="5BEB7A24" w14:textId="77777777" w:rsidR="0014605F" w:rsidRPr="007B60BF" w:rsidRDefault="0014605F" w:rsidP="0014605F">
            <w:pPr>
              <w:jc w:val="right"/>
            </w:pPr>
            <w:r w:rsidRPr="007B60BF">
              <w:t> </w:t>
            </w:r>
          </w:p>
        </w:tc>
        <w:tc>
          <w:tcPr>
            <w:tcW w:w="637" w:type="pct"/>
            <w:tcBorders>
              <w:top w:val="nil"/>
              <w:left w:val="nil"/>
              <w:bottom w:val="single" w:sz="8" w:space="0" w:color="auto"/>
              <w:right w:val="nil"/>
            </w:tcBorders>
            <w:shd w:val="clear" w:color="auto" w:fill="auto"/>
            <w:tcMar>
              <w:top w:w="0" w:type="dxa"/>
              <w:left w:w="70" w:type="dxa"/>
              <w:bottom w:w="0" w:type="dxa"/>
              <w:right w:w="70" w:type="dxa"/>
            </w:tcMar>
            <w:hideMark/>
          </w:tcPr>
          <w:p w14:paraId="73B99676" w14:textId="48CC0B9D" w:rsidR="0014605F" w:rsidRPr="007B60BF" w:rsidRDefault="0014605F" w:rsidP="0014605F">
            <w:pPr>
              <w:jc w:val="right"/>
            </w:pPr>
            <w:r w:rsidRPr="007B60BF">
              <w:t>928</w:t>
            </w:r>
          </w:p>
        </w:tc>
        <w:tc>
          <w:tcPr>
            <w:tcW w:w="105" w:type="pct"/>
            <w:shd w:val="clear" w:color="auto" w:fill="auto"/>
            <w:tcMar>
              <w:top w:w="0" w:type="dxa"/>
              <w:left w:w="70" w:type="dxa"/>
              <w:bottom w:w="0" w:type="dxa"/>
              <w:right w:w="70" w:type="dxa"/>
            </w:tcMar>
            <w:vAlign w:val="center"/>
            <w:hideMark/>
          </w:tcPr>
          <w:p w14:paraId="31CE0F79" w14:textId="77777777" w:rsidR="0014605F" w:rsidRPr="007B60BF" w:rsidRDefault="0014605F" w:rsidP="0014605F">
            <w:pPr>
              <w:jc w:val="right"/>
            </w:pPr>
            <w:r w:rsidRPr="007B60BF">
              <w:t> </w:t>
            </w:r>
          </w:p>
        </w:tc>
        <w:tc>
          <w:tcPr>
            <w:tcW w:w="629" w:type="pct"/>
            <w:tcBorders>
              <w:top w:val="nil"/>
              <w:left w:val="nil"/>
              <w:bottom w:val="single" w:sz="8" w:space="0" w:color="auto"/>
              <w:right w:val="nil"/>
            </w:tcBorders>
            <w:shd w:val="clear" w:color="auto" w:fill="auto"/>
            <w:tcMar>
              <w:top w:w="0" w:type="dxa"/>
              <w:left w:w="70" w:type="dxa"/>
              <w:bottom w:w="0" w:type="dxa"/>
              <w:right w:w="70" w:type="dxa"/>
            </w:tcMar>
          </w:tcPr>
          <w:p w14:paraId="4934704B" w14:textId="46D18AD6" w:rsidR="0014605F" w:rsidRPr="007B60BF" w:rsidRDefault="0014605F" w:rsidP="0014605F">
            <w:pPr>
              <w:jc w:val="right"/>
            </w:pPr>
            <w:r w:rsidRPr="007B60BF">
              <w:t>18</w:t>
            </w:r>
          </w:p>
        </w:tc>
        <w:tc>
          <w:tcPr>
            <w:tcW w:w="105" w:type="pct"/>
            <w:shd w:val="clear" w:color="auto" w:fill="auto"/>
            <w:tcMar>
              <w:top w:w="0" w:type="dxa"/>
              <w:left w:w="70" w:type="dxa"/>
              <w:bottom w:w="0" w:type="dxa"/>
              <w:right w:w="70" w:type="dxa"/>
            </w:tcMar>
          </w:tcPr>
          <w:p w14:paraId="7BC4D731" w14:textId="12171C18" w:rsidR="0014605F" w:rsidRPr="007B60BF" w:rsidRDefault="0014605F" w:rsidP="0014605F">
            <w:pPr>
              <w:jc w:val="right"/>
            </w:pPr>
            <w:r w:rsidRPr="007B60BF">
              <w:t xml:space="preserve"> </w:t>
            </w:r>
          </w:p>
        </w:tc>
        <w:tc>
          <w:tcPr>
            <w:tcW w:w="782" w:type="pct"/>
            <w:tcBorders>
              <w:top w:val="nil"/>
              <w:left w:val="nil"/>
              <w:bottom w:val="single" w:sz="8" w:space="0" w:color="auto"/>
              <w:right w:val="nil"/>
            </w:tcBorders>
            <w:shd w:val="clear" w:color="auto" w:fill="auto"/>
            <w:tcMar>
              <w:top w:w="0" w:type="dxa"/>
              <w:left w:w="70" w:type="dxa"/>
              <w:bottom w:w="0" w:type="dxa"/>
              <w:right w:w="70" w:type="dxa"/>
            </w:tcMar>
          </w:tcPr>
          <w:p w14:paraId="49806CDC" w14:textId="3B4E3BD7" w:rsidR="0014605F" w:rsidRPr="007B60BF" w:rsidRDefault="0014605F" w:rsidP="0014605F">
            <w:pPr>
              <w:jc w:val="right"/>
            </w:pPr>
            <w:r w:rsidRPr="007B60BF">
              <w:t xml:space="preserve">- </w:t>
            </w:r>
          </w:p>
        </w:tc>
        <w:tc>
          <w:tcPr>
            <w:tcW w:w="105" w:type="pct"/>
            <w:shd w:val="clear" w:color="auto" w:fill="auto"/>
            <w:tcMar>
              <w:top w:w="0" w:type="dxa"/>
              <w:left w:w="70" w:type="dxa"/>
              <w:bottom w:w="0" w:type="dxa"/>
              <w:right w:w="70" w:type="dxa"/>
            </w:tcMar>
          </w:tcPr>
          <w:p w14:paraId="5EDD09B7" w14:textId="022772B4" w:rsidR="0014605F" w:rsidRPr="007B60BF" w:rsidRDefault="0014605F" w:rsidP="0014605F">
            <w:pPr>
              <w:jc w:val="right"/>
            </w:pPr>
            <w:r w:rsidRPr="007B60BF">
              <w:t xml:space="preserve"> </w:t>
            </w:r>
          </w:p>
        </w:tc>
        <w:tc>
          <w:tcPr>
            <w:tcW w:w="579" w:type="pct"/>
            <w:tcBorders>
              <w:top w:val="nil"/>
              <w:left w:val="nil"/>
              <w:bottom w:val="single" w:sz="8" w:space="0" w:color="auto"/>
              <w:right w:val="nil"/>
            </w:tcBorders>
            <w:shd w:val="clear" w:color="auto" w:fill="auto"/>
            <w:tcMar>
              <w:top w:w="0" w:type="dxa"/>
              <w:left w:w="70" w:type="dxa"/>
              <w:bottom w:w="0" w:type="dxa"/>
              <w:right w:w="70" w:type="dxa"/>
            </w:tcMar>
          </w:tcPr>
          <w:p w14:paraId="60CA8A7E" w14:textId="0503231B" w:rsidR="0014605F" w:rsidRPr="007B60BF" w:rsidRDefault="0014605F" w:rsidP="0014605F">
            <w:pPr>
              <w:jc w:val="right"/>
            </w:pPr>
            <w:r w:rsidRPr="007B60BF">
              <w:t>-</w:t>
            </w:r>
          </w:p>
        </w:tc>
        <w:tc>
          <w:tcPr>
            <w:tcW w:w="105" w:type="pct"/>
            <w:shd w:val="clear" w:color="auto" w:fill="auto"/>
            <w:tcMar>
              <w:top w:w="0" w:type="dxa"/>
              <w:left w:w="70" w:type="dxa"/>
              <w:bottom w:w="0" w:type="dxa"/>
              <w:right w:w="70" w:type="dxa"/>
            </w:tcMar>
            <w:hideMark/>
          </w:tcPr>
          <w:p w14:paraId="552FFBE2" w14:textId="3E681751" w:rsidR="0014605F" w:rsidRPr="007B60BF" w:rsidRDefault="0014605F" w:rsidP="0014605F">
            <w:pPr>
              <w:jc w:val="right"/>
            </w:pPr>
            <w:r w:rsidRPr="007B60BF">
              <w:t xml:space="preserve"> </w:t>
            </w:r>
          </w:p>
        </w:tc>
        <w:tc>
          <w:tcPr>
            <w:tcW w:w="580" w:type="pct"/>
            <w:tcBorders>
              <w:top w:val="nil"/>
              <w:left w:val="nil"/>
              <w:bottom w:val="single" w:sz="8" w:space="0" w:color="auto"/>
              <w:right w:val="nil"/>
            </w:tcBorders>
            <w:shd w:val="clear" w:color="auto" w:fill="auto"/>
            <w:tcMar>
              <w:top w:w="0" w:type="dxa"/>
              <w:left w:w="70" w:type="dxa"/>
              <w:bottom w:w="0" w:type="dxa"/>
              <w:right w:w="70" w:type="dxa"/>
            </w:tcMar>
          </w:tcPr>
          <w:p w14:paraId="2CDEED76" w14:textId="3D058F1D" w:rsidR="0014605F" w:rsidRPr="007B60BF" w:rsidRDefault="0014605F" w:rsidP="0014605F">
            <w:pPr>
              <w:jc w:val="right"/>
            </w:pPr>
            <w:r w:rsidRPr="007B60BF">
              <w:t>946</w:t>
            </w:r>
          </w:p>
        </w:tc>
      </w:tr>
      <w:tr w:rsidR="005E1F9B" w:rsidRPr="007B60BF" w14:paraId="32C5447B" w14:textId="77777777" w:rsidTr="00BF48C0">
        <w:tc>
          <w:tcPr>
            <w:tcW w:w="1269" w:type="pct"/>
            <w:tcMar>
              <w:top w:w="0" w:type="dxa"/>
              <w:left w:w="70" w:type="dxa"/>
              <w:bottom w:w="0" w:type="dxa"/>
              <w:right w:w="70" w:type="dxa"/>
            </w:tcMar>
            <w:vAlign w:val="center"/>
            <w:hideMark/>
          </w:tcPr>
          <w:p w14:paraId="1E14C996" w14:textId="77777777" w:rsidR="005E1F9B" w:rsidRPr="007B60BF" w:rsidRDefault="005E1F9B" w:rsidP="005E1F9B">
            <w:pPr>
              <w:rPr>
                <w:b/>
              </w:rPr>
            </w:pPr>
            <w:r w:rsidRPr="007B60BF">
              <w:rPr>
                <w:b/>
                <w:bCs/>
              </w:rPr>
              <w:t>Total Imobilizado</w:t>
            </w:r>
          </w:p>
        </w:tc>
        <w:tc>
          <w:tcPr>
            <w:tcW w:w="105" w:type="pct"/>
            <w:tcMar>
              <w:top w:w="0" w:type="dxa"/>
              <w:left w:w="70" w:type="dxa"/>
              <w:bottom w:w="0" w:type="dxa"/>
              <w:right w:w="70" w:type="dxa"/>
            </w:tcMar>
            <w:vAlign w:val="center"/>
            <w:hideMark/>
          </w:tcPr>
          <w:p w14:paraId="1E8647F3" w14:textId="77777777" w:rsidR="005E1F9B" w:rsidRPr="007B60BF" w:rsidRDefault="005E1F9B" w:rsidP="005E1F9B">
            <w:pPr>
              <w:jc w:val="right"/>
              <w:rPr>
                <w:b/>
              </w:rPr>
            </w:pPr>
            <w:r w:rsidRPr="007B60BF">
              <w:rPr>
                <w:b/>
                <w:bCs/>
              </w:rPr>
              <w:t> </w:t>
            </w:r>
          </w:p>
        </w:tc>
        <w:tc>
          <w:tcPr>
            <w:tcW w:w="637" w:type="pct"/>
            <w:tcBorders>
              <w:top w:val="nil"/>
              <w:left w:val="nil"/>
              <w:bottom w:val="double" w:sz="6" w:space="0" w:color="auto"/>
              <w:right w:val="nil"/>
            </w:tcBorders>
            <w:shd w:val="clear" w:color="auto" w:fill="auto"/>
            <w:tcMar>
              <w:top w:w="0" w:type="dxa"/>
              <w:left w:w="70" w:type="dxa"/>
              <w:bottom w:w="0" w:type="dxa"/>
              <w:right w:w="70" w:type="dxa"/>
            </w:tcMar>
            <w:hideMark/>
          </w:tcPr>
          <w:p w14:paraId="2083018E" w14:textId="5CBFBFA7" w:rsidR="005E1F9B" w:rsidRPr="007B60BF" w:rsidRDefault="005E1F9B" w:rsidP="005E1F9B">
            <w:pPr>
              <w:jc w:val="right"/>
              <w:rPr>
                <w:b/>
              </w:rPr>
            </w:pPr>
            <w:r w:rsidRPr="007B60BF">
              <w:rPr>
                <w:b/>
              </w:rPr>
              <w:t>1.311.448</w:t>
            </w:r>
          </w:p>
        </w:tc>
        <w:tc>
          <w:tcPr>
            <w:tcW w:w="105" w:type="pct"/>
            <w:shd w:val="clear" w:color="auto" w:fill="auto"/>
            <w:tcMar>
              <w:top w:w="0" w:type="dxa"/>
              <w:left w:w="70" w:type="dxa"/>
              <w:bottom w:w="0" w:type="dxa"/>
              <w:right w:w="70" w:type="dxa"/>
            </w:tcMar>
            <w:vAlign w:val="center"/>
            <w:hideMark/>
          </w:tcPr>
          <w:p w14:paraId="5CDF7AFA" w14:textId="77777777" w:rsidR="005E1F9B" w:rsidRPr="007B60BF" w:rsidRDefault="005E1F9B" w:rsidP="005E1F9B">
            <w:pPr>
              <w:jc w:val="right"/>
              <w:rPr>
                <w:b/>
              </w:rPr>
            </w:pPr>
            <w:r w:rsidRPr="007B60BF">
              <w:rPr>
                <w:b/>
                <w:bCs/>
              </w:rPr>
              <w:t> </w:t>
            </w:r>
          </w:p>
        </w:tc>
        <w:tc>
          <w:tcPr>
            <w:tcW w:w="629" w:type="pct"/>
            <w:tcBorders>
              <w:top w:val="nil"/>
              <w:left w:val="nil"/>
              <w:bottom w:val="double" w:sz="6" w:space="0" w:color="auto"/>
              <w:right w:val="nil"/>
            </w:tcBorders>
            <w:shd w:val="clear" w:color="auto" w:fill="auto"/>
            <w:tcMar>
              <w:top w:w="0" w:type="dxa"/>
              <w:left w:w="70" w:type="dxa"/>
              <w:bottom w:w="0" w:type="dxa"/>
              <w:right w:w="70" w:type="dxa"/>
            </w:tcMar>
          </w:tcPr>
          <w:p w14:paraId="047DB339" w14:textId="68F660A7" w:rsidR="005E1F9B" w:rsidRPr="007B60BF" w:rsidRDefault="0014605F" w:rsidP="00B9397D">
            <w:pPr>
              <w:jc w:val="right"/>
              <w:rPr>
                <w:b/>
              </w:rPr>
            </w:pPr>
            <w:r w:rsidRPr="007B60BF">
              <w:rPr>
                <w:b/>
              </w:rPr>
              <w:t>64.60</w:t>
            </w:r>
            <w:r w:rsidR="00B9397D" w:rsidRPr="007B60BF">
              <w:rPr>
                <w:b/>
              </w:rPr>
              <w:t>9</w:t>
            </w:r>
          </w:p>
        </w:tc>
        <w:tc>
          <w:tcPr>
            <w:tcW w:w="105" w:type="pct"/>
            <w:shd w:val="clear" w:color="auto" w:fill="auto"/>
            <w:tcMar>
              <w:top w:w="0" w:type="dxa"/>
              <w:left w:w="70" w:type="dxa"/>
              <w:bottom w:w="0" w:type="dxa"/>
              <w:right w:w="70" w:type="dxa"/>
            </w:tcMar>
          </w:tcPr>
          <w:p w14:paraId="6551427C" w14:textId="38497773" w:rsidR="005E1F9B" w:rsidRPr="007B60BF" w:rsidRDefault="005E1F9B" w:rsidP="005E1F9B">
            <w:pPr>
              <w:jc w:val="right"/>
              <w:rPr>
                <w:b/>
              </w:rPr>
            </w:pPr>
            <w:r w:rsidRPr="007B60BF">
              <w:rPr>
                <w:b/>
              </w:rPr>
              <w:t xml:space="preserve"> </w:t>
            </w:r>
          </w:p>
        </w:tc>
        <w:tc>
          <w:tcPr>
            <w:tcW w:w="782" w:type="pct"/>
            <w:tcBorders>
              <w:top w:val="nil"/>
              <w:left w:val="nil"/>
              <w:bottom w:val="double" w:sz="4" w:space="0" w:color="auto"/>
              <w:right w:val="nil"/>
            </w:tcBorders>
            <w:shd w:val="clear" w:color="auto" w:fill="auto"/>
            <w:tcMar>
              <w:top w:w="0" w:type="dxa"/>
              <w:left w:w="70" w:type="dxa"/>
              <w:bottom w:w="0" w:type="dxa"/>
              <w:right w:w="70" w:type="dxa"/>
            </w:tcMar>
          </w:tcPr>
          <w:p w14:paraId="79707266" w14:textId="75785496" w:rsidR="005E1F9B" w:rsidRPr="007B60BF" w:rsidRDefault="005E1F9B" w:rsidP="005E1F9B">
            <w:pPr>
              <w:jc w:val="right"/>
              <w:rPr>
                <w:b/>
              </w:rPr>
            </w:pPr>
            <w:r w:rsidRPr="007B60BF">
              <w:rPr>
                <w:b/>
              </w:rPr>
              <w:t xml:space="preserve">- </w:t>
            </w:r>
          </w:p>
        </w:tc>
        <w:tc>
          <w:tcPr>
            <w:tcW w:w="105" w:type="pct"/>
            <w:shd w:val="clear" w:color="auto" w:fill="auto"/>
            <w:tcMar>
              <w:top w:w="0" w:type="dxa"/>
              <w:left w:w="70" w:type="dxa"/>
              <w:bottom w:w="0" w:type="dxa"/>
              <w:right w:w="70" w:type="dxa"/>
            </w:tcMar>
          </w:tcPr>
          <w:p w14:paraId="69E1ADB6" w14:textId="2451E838" w:rsidR="005E1F9B" w:rsidRPr="007B60BF" w:rsidRDefault="005E1F9B" w:rsidP="005E1F9B">
            <w:pPr>
              <w:jc w:val="right"/>
              <w:rPr>
                <w:b/>
              </w:rPr>
            </w:pPr>
            <w:r w:rsidRPr="007B60BF">
              <w:rPr>
                <w:b/>
              </w:rPr>
              <w:t xml:space="preserve"> </w:t>
            </w:r>
          </w:p>
        </w:tc>
        <w:tc>
          <w:tcPr>
            <w:tcW w:w="579" w:type="pct"/>
            <w:tcBorders>
              <w:top w:val="nil"/>
              <w:left w:val="nil"/>
              <w:bottom w:val="double" w:sz="6" w:space="0" w:color="auto"/>
              <w:right w:val="nil"/>
            </w:tcBorders>
            <w:shd w:val="clear" w:color="auto" w:fill="auto"/>
            <w:tcMar>
              <w:top w:w="0" w:type="dxa"/>
              <w:left w:w="70" w:type="dxa"/>
              <w:bottom w:w="0" w:type="dxa"/>
              <w:right w:w="70" w:type="dxa"/>
            </w:tcMar>
          </w:tcPr>
          <w:p w14:paraId="11D2064C" w14:textId="15821E63" w:rsidR="005E1F9B" w:rsidRPr="007B60BF" w:rsidRDefault="005E1F9B" w:rsidP="0014605F">
            <w:pPr>
              <w:jc w:val="right"/>
              <w:rPr>
                <w:b/>
              </w:rPr>
            </w:pPr>
            <w:r w:rsidRPr="007B60BF">
              <w:rPr>
                <w:b/>
              </w:rPr>
              <w:t>(</w:t>
            </w:r>
            <w:r w:rsidR="0014605F" w:rsidRPr="007B60BF">
              <w:rPr>
                <w:b/>
              </w:rPr>
              <w:t>10.367</w:t>
            </w:r>
            <w:r w:rsidRPr="007B60BF">
              <w:rPr>
                <w:b/>
              </w:rPr>
              <w:t>)</w:t>
            </w:r>
          </w:p>
        </w:tc>
        <w:tc>
          <w:tcPr>
            <w:tcW w:w="105" w:type="pct"/>
            <w:shd w:val="clear" w:color="auto" w:fill="auto"/>
            <w:tcMar>
              <w:top w:w="0" w:type="dxa"/>
              <w:left w:w="70" w:type="dxa"/>
              <w:bottom w:w="0" w:type="dxa"/>
              <w:right w:w="70" w:type="dxa"/>
            </w:tcMar>
            <w:hideMark/>
          </w:tcPr>
          <w:p w14:paraId="414849A8" w14:textId="298BB94E" w:rsidR="005E1F9B" w:rsidRPr="007B60BF" w:rsidRDefault="005E1F9B" w:rsidP="005E1F9B">
            <w:pPr>
              <w:jc w:val="right"/>
              <w:rPr>
                <w:b/>
              </w:rPr>
            </w:pPr>
            <w:r w:rsidRPr="007B60BF">
              <w:rPr>
                <w:b/>
              </w:rPr>
              <w:t xml:space="preserve"> </w:t>
            </w:r>
          </w:p>
        </w:tc>
        <w:tc>
          <w:tcPr>
            <w:tcW w:w="580" w:type="pct"/>
            <w:tcBorders>
              <w:top w:val="nil"/>
              <w:left w:val="nil"/>
              <w:bottom w:val="double" w:sz="6" w:space="0" w:color="auto"/>
              <w:right w:val="nil"/>
            </w:tcBorders>
            <w:shd w:val="clear" w:color="auto" w:fill="auto"/>
            <w:tcMar>
              <w:top w:w="0" w:type="dxa"/>
              <w:left w:w="70" w:type="dxa"/>
              <w:bottom w:w="0" w:type="dxa"/>
              <w:right w:w="70" w:type="dxa"/>
            </w:tcMar>
          </w:tcPr>
          <w:p w14:paraId="0D3E86C7" w14:textId="056A39DF" w:rsidR="005E1F9B" w:rsidRPr="007B60BF" w:rsidRDefault="005E1F9B" w:rsidP="00B9397D">
            <w:pPr>
              <w:jc w:val="right"/>
              <w:rPr>
                <w:b/>
              </w:rPr>
            </w:pPr>
            <w:r w:rsidRPr="007B60BF">
              <w:rPr>
                <w:b/>
              </w:rPr>
              <w:t>1.365.6</w:t>
            </w:r>
            <w:r w:rsidR="00B9397D" w:rsidRPr="007B60BF">
              <w:rPr>
                <w:b/>
              </w:rPr>
              <w:t>90</w:t>
            </w:r>
          </w:p>
        </w:tc>
      </w:tr>
    </w:tbl>
    <w:p w14:paraId="5AC5F835" w14:textId="55E568B1" w:rsidR="00606CDA" w:rsidRPr="007B60BF" w:rsidRDefault="008B4D8E" w:rsidP="008B4D8E">
      <w:pPr>
        <w:ind w:left="142"/>
        <w:jc w:val="both"/>
      </w:pPr>
      <w:r w:rsidRPr="007B60BF">
        <w:rPr>
          <w:sz w:val="18"/>
          <w:szCs w:val="18"/>
        </w:rPr>
        <w:t>[1] O saldo de obras em andamento está acrescido de instalações e de estudos e projetos</w:t>
      </w:r>
      <w:r w:rsidRPr="007B60BF">
        <w:t>.</w:t>
      </w:r>
    </w:p>
    <w:p w14:paraId="198B6C0D" w14:textId="5869AD81" w:rsidR="008B4D8E" w:rsidRPr="00A77C10" w:rsidRDefault="008B4D8E" w:rsidP="00520B08">
      <w:pPr>
        <w:jc w:val="both"/>
        <w:rPr>
          <w:sz w:val="16"/>
          <w:szCs w:val="16"/>
        </w:rPr>
      </w:pPr>
    </w:p>
    <w:p w14:paraId="0528C35A" w14:textId="6AE4C951" w:rsidR="00B47E36" w:rsidRPr="007B60BF" w:rsidRDefault="00B47E36" w:rsidP="00F62EDE">
      <w:pPr>
        <w:jc w:val="both"/>
      </w:pPr>
      <w:r w:rsidRPr="007B60BF">
        <w:rPr>
          <w:sz w:val="18"/>
          <w:szCs w:val="18"/>
        </w:rPr>
        <w:t xml:space="preserve">[2] </w:t>
      </w:r>
      <w:r w:rsidR="00B3450F" w:rsidRPr="007B60BF">
        <w:t>A</w:t>
      </w:r>
      <w:r w:rsidRPr="007B60BF">
        <w:t xml:space="preserve"> inst</w:t>
      </w:r>
      <w:r w:rsidR="0082699C" w:rsidRPr="007B60BF">
        <w:t>it</w:t>
      </w:r>
      <w:r w:rsidRPr="007B60BF">
        <w:t xml:space="preserve">uição realizou a baixa de </w:t>
      </w:r>
      <w:r w:rsidR="00B9397D" w:rsidRPr="007B60BF">
        <w:t>616</w:t>
      </w:r>
      <w:r w:rsidRPr="007B60BF">
        <w:t xml:space="preserve"> bens imobilizados, sendo </w:t>
      </w:r>
      <w:r w:rsidR="00B9397D" w:rsidRPr="007B60BF">
        <w:t>96</w:t>
      </w:r>
      <w:r w:rsidRPr="007B60BF">
        <w:t>% dos itens relacionados a bens irrecuperáveis e antieconômicos, incluindo equipamentos hospitalares de grande porte, os quais foram leiloados. Os demais bens foram baixados por troca em garantia.</w:t>
      </w:r>
    </w:p>
    <w:p w14:paraId="75675569" w14:textId="77777777" w:rsidR="00A10285" w:rsidRPr="007B60BF" w:rsidRDefault="00A10285" w:rsidP="00A10285">
      <w:pPr>
        <w:tabs>
          <w:tab w:val="left" w:pos="851"/>
        </w:tabs>
        <w:jc w:val="both"/>
      </w:pPr>
    </w:p>
    <w:p w14:paraId="6B51EE3C" w14:textId="77777777" w:rsidR="00CB0153" w:rsidRPr="007B60BF" w:rsidRDefault="00CB0153" w:rsidP="00A10285">
      <w:pPr>
        <w:tabs>
          <w:tab w:val="left" w:pos="851"/>
        </w:tabs>
        <w:jc w:val="both"/>
      </w:pPr>
      <w:bookmarkStart w:id="35" w:name="_Toc31373361"/>
    </w:p>
    <w:p w14:paraId="07EA6C81" w14:textId="70550FA6" w:rsidR="002A6B4D" w:rsidRPr="007B60BF" w:rsidRDefault="002A6B4D" w:rsidP="00086B22">
      <w:pPr>
        <w:pStyle w:val="Ttulo1"/>
        <w:numPr>
          <w:ilvl w:val="0"/>
          <w:numId w:val="5"/>
        </w:numPr>
        <w:ind w:left="0" w:hanging="567"/>
        <w:jc w:val="left"/>
      </w:pPr>
      <w:bookmarkStart w:id="36" w:name="_Toc223007859"/>
      <w:r w:rsidRPr="007B60BF">
        <w:t>Intangível</w:t>
      </w:r>
      <w:bookmarkEnd w:id="35"/>
      <w:bookmarkEnd w:id="36"/>
    </w:p>
    <w:p w14:paraId="47515785" w14:textId="77777777" w:rsidR="002A6B4D" w:rsidRPr="00A77C10" w:rsidRDefault="002A6B4D" w:rsidP="002A6B4D">
      <w:pPr>
        <w:rPr>
          <w:b/>
          <w:sz w:val="16"/>
          <w:szCs w:val="16"/>
        </w:rPr>
      </w:pPr>
    </w:p>
    <w:tbl>
      <w:tblPr>
        <w:tblW w:w="4999" w:type="pct"/>
        <w:tblCellMar>
          <w:left w:w="70" w:type="dxa"/>
          <w:right w:w="70" w:type="dxa"/>
        </w:tblCellMar>
        <w:tblLook w:val="04A0" w:firstRow="1" w:lastRow="0" w:firstColumn="1" w:lastColumn="0" w:noHBand="0" w:noVBand="1"/>
      </w:tblPr>
      <w:tblGrid>
        <w:gridCol w:w="2109"/>
        <w:gridCol w:w="192"/>
        <w:gridCol w:w="1232"/>
        <w:gridCol w:w="218"/>
        <w:gridCol w:w="1123"/>
        <w:gridCol w:w="190"/>
        <w:gridCol w:w="1241"/>
        <w:gridCol w:w="190"/>
        <w:gridCol w:w="1252"/>
        <w:gridCol w:w="190"/>
        <w:gridCol w:w="1132"/>
      </w:tblGrid>
      <w:tr w:rsidR="007024FA" w:rsidRPr="007B60BF" w14:paraId="7C8204F9" w14:textId="77777777" w:rsidTr="00AE518D">
        <w:tc>
          <w:tcPr>
            <w:tcW w:w="1163" w:type="pct"/>
            <w:tcBorders>
              <w:top w:val="nil"/>
              <w:left w:val="nil"/>
              <w:bottom w:val="nil"/>
              <w:right w:val="nil"/>
            </w:tcBorders>
            <w:shd w:val="clear" w:color="000000" w:fill="FFFFFF"/>
            <w:vAlign w:val="center"/>
            <w:hideMark/>
          </w:tcPr>
          <w:p w14:paraId="16976E2C" w14:textId="77777777" w:rsidR="007024FA" w:rsidRPr="007B60BF" w:rsidRDefault="007024FA" w:rsidP="007024FA">
            <w:pPr>
              <w:rPr>
                <w:b/>
              </w:rPr>
            </w:pPr>
            <w:r w:rsidRPr="007B60BF">
              <w:rPr>
                <w:b/>
              </w:rPr>
              <w:t> </w:t>
            </w:r>
          </w:p>
        </w:tc>
        <w:tc>
          <w:tcPr>
            <w:tcW w:w="106" w:type="pct"/>
            <w:tcBorders>
              <w:top w:val="nil"/>
              <w:left w:val="nil"/>
              <w:bottom w:val="nil"/>
              <w:right w:val="nil"/>
            </w:tcBorders>
            <w:shd w:val="clear" w:color="000000" w:fill="FFFFFF"/>
            <w:vAlign w:val="center"/>
            <w:hideMark/>
          </w:tcPr>
          <w:p w14:paraId="4A6A5431" w14:textId="77777777" w:rsidR="007024FA" w:rsidRPr="007B60BF" w:rsidRDefault="007024FA" w:rsidP="007024FA">
            <w:pPr>
              <w:jc w:val="right"/>
              <w:rPr>
                <w:b/>
              </w:rPr>
            </w:pPr>
            <w:r w:rsidRPr="007B60BF">
              <w:rPr>
                <w:b/>
              </w:rPr>
              <w:t> </w:t>
            </w:r>
          </w:p>
        </w:tc>
        <w:tc>
          <w:tcPr>
            <w:tcW w:w="679" w:type="pct"/>
            <w:tcBorders>
              <w:top w:val="nil"/>
              <w:left w:val="nil"/>
              <w:bottom w:val="single" w:sz="4" w:space="0" w:color="auto"/>
              <w:right w:val="nil"/>
            </w:tcBorders>
            <w:shd w:val="clear" w:color="000000" w:fill="FFFFFF"/>
            <w:vAlign w:val="center"/>
            <w:hideMark/>
          </w:tcPr>
          <w:p w14:paraId="6C2CBD35" w14:textId="77777777" w:rsidR="007024FA" w:rsidRPr="007B60BF" w:rsidRDefault="007024FA" w:rsidP="007024FA">
            <w:pPr>
              <w:jc w:val="center"/>
              <w:rPr>
                <w:b/>
              </w:rPr>
            </w:pPr>
            <w:r w:rsidRPr="007B60BF">
              <w:rPr>
                <w:b/>
              </w:rPr>
              <w:t>Tx % </w:t>
            </w:r>
          </w:p>
        </w:tc>
        <w:tc>
          <w:tcPr>
            <w:tcW w:w="120" w:type="pct"/>
            <w:tcBorders>
              <w:top w:val="nil"/>
              <w:left w:val="nil"/>
              <w:right w:val="nil"/>
            </w:tcBorders>
            <w:shd w:val="clear" w:color="000000" w:fill="FFFFFF"/>
            <w:vAlign w:val="center"/>
            <w:hideMark/>
          </w:tcPr>
          <w:p w14:paraId="0B637931" w14:textId="77777777" w:rsidR="007024FA" w:rsidRPr="007B60BF" w:rsidRDefault="007024FA" w:rsidP="007024FA">
            <w:pPr>
              <w:jc w:val="right"/>
              <w:rPr>
                <w:b/>
              </w:rPr>
            </w:pPr>
            <w:r w:rsidRPr="007B60BF">
              <w:rPr>
                <w:b/>
              </w:rPr>
              <w:t> </w:t>
            </w:r>
          </w:p>
        </w:tc>
        <w:tc>
          <w:tcPr>
            <w:tcW w:w="619" w:type="pct"/>
            <w:tcBorders>
              <w:top w:val="nil"/>
              <w:left w:val="nil"/>
              <w:bottom w:val="single" w:sz="4" w:space="0" w:color="auto"/>
              <w:right w:val="nil"/>
            </w:tcBorders>
            <w:shd w:val="clear" w:color="000000" w:fill="FFFFFF"/>
            <w:vAlign w:val="center"/>
            <w:hideMark/>
          </w:tcPr>
          <w:p w14:paraId="022D05AD" w14:textId="77777777" w:rsidR="007024FA" w:rsidRPr="007B60BF" w:rsidRDefault="007024FA" w:rsidP="007024FA">
            <w:pPr>
              <w:jc w:val="center"/>
              <w:rPr>
                <w:b/>
                <w:bCs/>
              </w:rPr>
            </w:pPr>
            <w:r w:rsidRPr="007B60BF">
              <w:rPr>
                <w:b/>
                <w:bCs/>
              </w:rPr>
              <w:t>Custo</w:t>
            </w:r>
          </w:p>
        </w:tc>
        <w:tc>
          <w:tcPr>
            <w:tcW w:w="105" w:type="pct"/>
            <w:tcBorders>
              <w:top w:val="nil"/>
              <w:left w:val="nil"/>
              <w:right w:val="nil"/>
            </w:tcBorders>
            <w:shd w:val="clear" w:color="000000" w:fill="FFFFFF"/>
            <w:vAlign w:val="center"/>
            <w:hideMark/>
          </w:tcPr>
          <w:p w14:paraId="143F6C28" w14:textId="77777777" w:rsidR="007024FA" w:rsidRPr="007B60BF" w:rsidRDefault="007024FA" w:rsidP="007024FA">
            <w:pPr>
              <w:jc w:val="center"/>
              <w:rPr>
                <w:b/>
              </w:rPr>
            </w:pPr>
            <w:r w:rsidRPr="007B60BF">
              <w:rPr>
                <w:b/>
              </w:rPr>
              <w:t> </w:t>
            </w:r>
          </w:p>
        </w:tc>
        <w:tc>
          <w:tcPr>
            <w:tcW w:w="684" w:type="pct"/>
            <w:tcBorders>
              <w:top w:val="nil"/>
              <w:left w:val="nil"/>
              <w:bottom w:val="single" w:sz="4" w:space="0" w:color="auto"/>
              <w:right w:val="nil"/>
            </w:tcBorders>
            <w:shd w:val="clear" w:color="000000" w:fill="FFFFFF"/>
            <w:vAlign w:val="center"/>
            <w:hideMark/>
          </w:tcPr>
          <w:p w14:paraId="6024F7C0" w14:textId="77777777" w:rsidR="007024FA" w:rsidRPr="007B60BF" w:rsidRDefault="007024FA" w:rsidP="007024FA">
            <w:pPr>
              <w:jc w:val="center"/>
              <w:rPr>
                <w:b/>
                <w:bCs/>
              </w:rPr>
            </w:pPr>
            <w:r w:rsidRPr="007B60BF">
              <w:rPr>
                <w:b/>
                <w:bCs/>
              </w:rPr>
              <w:t>Amortização</w:t>
            </w:r>
          </w:p>
        </w:tc>
        <w:tc>
          <w:tcPr>
            <w:tcW w:w="105" w:type="pct"/>
            <w:tcBorders>
              <w:top w:val="nil"/>
              <w:left w:val="nil"/>
              <w:right w:val="nil"/>
            </w:tcBorders>
            <w:shd w:val="clear" w:color="000000" w:fill="FFFFFF"/>
            <w:vAlign w:val="center"/>
            <w:hideMark/>
          </w:tcPr>
          <w:p w14:paraId="05415A98" w14:textId="77777777" w:rsidR="007024FA" w:rsidRPr="007B60BF" w:rsidRDefault="007024FA" w:rsidP="007024FA">
            <w:pPr>
              <w:jc w:val="right"/>
              <w:rPr>
                <w:b/>
              </w:rPr>
            </w:pPr>
            <w:r w:rsidRPr="007B60BF">
              <w:rPr>
                <w:b/>
              </w:rPr>
              <w:t> </w:t>
            </w:r>
          </w:p>
        </w:tc>
        <w:tc>
          <w:tcPr>
            <w:tcW w:w="690" w:type="pct"/>
            <w:tcBorders>
              <w:top w:val="nil"/>
              <w:left w:val="nil"/>
              <w:bottom w:val="single" w:sz="4" w:space="0" w:color="auto"/>
              <w:right w:val="nil"/>
            </w:tcBorders>
            <w:shd w:val="clear" w:color="000000" w:fill="FFFFFF"/>
            <w:vAlign w:val="center"/>
            <w:hideMark/>
          </w:tcPr>
          <w:p w14:paraId="373D2487" w14:textId="473F1885" w:rsidR="007024FA" w:rsidRPr="007B60BF" w:rsidRDefault="00C22639" w:rsidP="00590EEE">
            <w:pPr>
              <w:jc w:val="right"/>
              <w:rPr>
                <w:b/>
                <w:bCs/>
              </w:rPr>
            </w:pPr>
            <w:r w:rsidRPr="007B60BF">
              <w:rPr>
                <w:b/>
                <w:bCs/>
              </w:rPr>
              <w:t>31/12</w:t>
            </w:r>
            <w:r w:rsidR="007024FA" w:rsidRPr="007B60BF">
              <w:rPr>
                <w:b/>
                <w:bCs/>
              </w:rPr>
              <w:t>/2025</w:t>
            </w:r>
          </w:p>
        </w:tc>
        <w:tc>
          <w:tcPr>
            <w:tcW w:w="105" w:type="pct"/>
            <w:tcBorders>
              <w:top w:val="nil"/>
              <w:left w:val="nil"/>
              <w:right w:val="nil"/>
            </w:tcBorders>
            <w:shd w:val="clear" w:color="000000" w:fill="FFFFFF"/>
            <w:vAlign w:val="center"/>
            <w:hideMark/>
          </w:tcPr>
          <w:p w14:paraId="3FAF286F" w14:textId="77777777" w:rsidR="007024FA" w:rsidRPr="007B60BF" w:rsidRDefault="007024FA" w:rsidP="007024FA">
            <w:pPr>
              <w:jc w:val="right"/>
              <w:rPr>
                <w:b/>
                <w:bCs/>
              </w:rPr>
            </w:pPr>
            <w:r w:rsidRPr="007B60BF">
              <w:rPr>
                <w:b/>
                <w:bCs/>
              </w:rPr>
              <w:t> </w:t>
            </w:r>
          </w:p>
        </w:tc>
        <w:tc>
          <w:tcPr>
            <w:tcW w:w="624" w:type="pct"/>
            <w:tcBorders>
              <w:top w:val="nil"/>
              <w:left w:val="nil"/>
              <w:bottom w:val="single" w:sz="4" w:space="0" w:color="auto"/>
              <w:right w:val="nil"/>
            </w:tcBorders>
            <w:shd w:val="clear" w:color="000000" w:fill="FFFFFF"/>
            <w:vAlign w:val="center"/>
          </w:tcPr>
          <w:p w14:paraId="3DD0F27E" w14:textId="18385E25" w:rsidR="007024FA" w:rsidRPr="007B60BF" w:rsidRDefault="007024FA" w:rsidP="007024FA">
            <w:pPr>
              <w:jc w:val="right"/>
              <w:rPr>
                <w:b/>
                <w:bCs/>
              </w:rPr>
            </w:pPr>
            <w:r w:rsidRPr="007B60BF">
              <w:rPr>
                <w:b/>
                <w:bCs/>
              </w:rPr>
              <w:t>31/12/2024</w:t>
            </w:r>
          </w:p>
        </w:tc>
      </w:tr>
      <w:tr w:rsidR="00C22639" w:rsidRPr="007B60BF" w14:paraId="370E0EBB" w14:textId="77777777" w:rsidTr="00AE518D">
        <w:tc>
          <w:tcPr>
            <w:tcW w:w="1163" w:type="pct"/>
            <w:tcBorders>
              <w:top w:val="nil"/>
              <w:left w:val="nil"/>
              <w:bottom w:val="nil"/>
              <w:right w:val="nil"/>
            </w:tcBorders>
            <w:shd w:val="clear" w:color="000000" w:fill="FFFFFF"/>
            <w:vAlign w:val="center"/>
            <w:hideMark/>
          </w:tcPr>
          <w:p w14:paraId="61DB561B" w14:textId="77777777" w:rsidR="00C22639" w:rsidRPr="007B60BF" w:rsidRDefault="00C22639" w:rsidP="00C22639">
            <w:r w:rsidRPr="007B60BF">
              <w:t>Software</w:t>
            </w:r>
          </w:p>
        </w:tc>
        <w:tc>
          <w:tcPr>
            <w:tcW w:w="106" w:type="pct"/>
            <w:tcBorders>
              <w:top w:val="nil"/>
              <w:left w:val="nil"/>
              <w:bottom w:val="nil"/>
              <w:right w:val="nil"/>
            </w:tcBorders>
            <w:shd w:val="clear" w:color="000000" w:fill="FFFFFF"/>
            <w:vAlign w:val="center"/>
            <w:hideMark/>
          </w:tcPr>
          <w:p w14:paraId="36832479" w14:textId="77777777" w:rsidR="00C22639" w:rsidRPr="007B60BF" w:rsidRDefault="00C22639" w:rsidP="00C22639">
            <w:pPr>
              <w:jc w:val="right"/>
            </w:pPr>
            <w:r w:rsidRPr="007B60BF">
              <w:t> </w:t>
            </w:r>
          </w:p>
        </w:tc>
        <w:tc>
          <w:tcPr>
            <w:tcW w:w="679" w:type="pct"/>
            <w:tcBorders>
              <w:top w:val="single" w:sz="4" w:space="0" w:color="auto"/>
              <w:left w:val="nil"/>
              <w:right w:val="nil"/>
            </w:tcBorders>
            <w:shd w:val="clear" w:color="000000" w:fill="FFFFFF"/>
            <w:vAlign w:val="center"/>
            <w:hideMark/>
          </w:tcPr>
          <w:p w14:paraId="601B078D" w14:textId="53A6C7B8" w:rsidR="00C22639" w:rsidRPr="007B60BF" w:rsidRDefault="000A41C4" w:rsidP="000A41C4">
            <w:pPr>
              <w:jc w:val="center"/>
            </w:pPr>
            <w:r w:rsidRPr="007B60BF">
              <w:t>10</w:t>
            </w:r>
            <w:r w:rsidR="00C22639" w:rsidRPr="007B60BF">
              <w:t xml:space="preserve"> a </w:t>
            </w:r>
            <w:r w:rsidRPr="007B60BF">
              <w:t>20</w:t>
            </w:r>
          </w:p>
        </w:tc>
        <w:tc>
          <w:tcPr>
            <w:tcW w:w="120" w:type="pct"/>
            <w:tcBorders>
              <w:left w:val="nil"/>
              <w:right w:val="nil"/>
            </w:tcBorders>
            <w:shd w:val="clear" w:color="000000" w:fill="FFFFFF"/>
            <w:vAlign w:val="center"/>
            <w:hideMark/>
          </w:tcPr>
          <w:p w14:paraId="07FDA503" w14:textId="77777777" w:rsidR="00C22639" w:rsidRPr="007B60BF" w:rsidRDefault="00C22639" w:rsidP="00C22639">
            <w:pPr>
              <w:jc w:val="right"/>
            </w:pPr>
            <w:r w:rsidRPr="007B60BF">
              <w:t> </w:t>
            </w:r>
          </w:p>
        </w:tc>
        <w:tc>
          <w:tcPr>
            <w:tcW w:w="619" w:type="pct"/>
            <w:tcBorders>
              <w:top w:val="single" w:sz="4" w:space="0" w:color="auto"/>
              <w:left w:val="nil"/>
              <w:right w:val="nil"/>
            </w:tcBorders>
            <w:shd w:val="clear" w:color="000000" w:fill="FFFFFF"/>
          </w:tcPr>
          <w:p w14:paraId="28B01013" w14:textId="77777777" w:rsidR="00C22639" w:rsidRPr="007B60BF" w:rsidRDefault="00C22639" w:rsidP="00C22639">
            <w:pPr>
              <w:jc w:val="right"/>
            </w:pPr>
            <w:r w:rsidRPr="007B60BF">
              <w:t xml:space="preserve">9.260 </w:t>
            </w:r>
          </w:p>
        </w:tc>
        <w:tc>
          <w:tcPr>
            <w:tcW w:w="105" w:type="pct"/>
            <w:tcBorders>
              <w:left w:val="nil"/>
              <w:right w:val="nil"/>
            </w:tcBorders>
            <w:shd w:val="clear" w:color="000000" w:fill="FFFFFF"/>
          </w:tcPr>
          <w:p w14:paraId="05657449" w14:textId="77777777" w:rsidR="00C22639" w:rsidRPr="007B60BF" w:rsidRDefault="00C22639" w:rsidP="00C22639">
            <w:pPr>
              <w:jc w:val="right"/>
            </w:pPr>
            <w:r w:rsidRPr="007B60BF">
              <w:t xml:space="preserve"> </w:t>
            </w:r>
          </w:p>
        </w:tc>
        <w:tc>
          <w:tcPr>
            <w:tcW w:w="684" w:type="pct"/>
            <w:tcBorders>
              <w:top w:val="single" w:sz="4" w:space="0" w:color="auto"/>
              <w:left w:val="nil"/>
              <w:right w:val="nil"/>
            </w:tcBorders>
            <w:shd w:val="clear" w:color="000000" w:fill="FFFFFF"/>
          </w:tcPr>
          <w:p w14:paraId="202ABDA8" w14:textId="4BC425EA" w:rsidR="00C22639" w:rsidRPr="007B60BF" w:rsidRDefault="00C22639" w:rsidP="00C22639">
            <w:pPr>
              <w:jc w:val="right"/>
            </w:pPr>
            <w:r w:rsidRPr="007B60BF">
              <w:t>(7.920)</w:t>
            </w:r>
          </w:p>
        </w:tc>
        <w:tc>
          <w:tcPr>
            <w:tcW w:w="105" w:type="pct"/>
            <w:tcBorders>
              <w:left w:val="nil"/>
              <w:right w:val="nil"/>
            </w:tcBorders>
            <w:shd w:val="clear" w:color="000000" w:fill="FFFFFF"/>
          </w:tcPr>
          <w:p w14:paraId="22BAA528" w14:textId="77777777" w:rsidR="00C22639" w:rsidRPr="007B60BF" w:rsidRDefault="00C22639" w:rsidP="00C22639">
            <w:pPr>
              <w:jc w:val="right"/>
            </w:pPr>
          </w:p>
        </w:tc>
        <w:tc>
          <w:tcPr>
            <w:tcW w:w="690" w:type="pct"/>
            <w:tcBorders>
              <w:top w:val="single" w:sz="4" w:space="0" w:color="auto"/>
              <w:left w:val="nil"/>
              <w:right w:val="nil"/>
            </w:tcBorders>
            <w:shd w:val="clear" w:color="000000" w:fill="FFFFFF"/>
          </w:tcPr>
          <w:p w14:paraId="6D5EC22D" w14:textId="7E2AACD0" w:rsidR="00C22639" w:rsidRPr="007B60BF" w:rsidRDefault="00C22639" w:rsidP="00C22639">
            <w:pPr>
              <w:jc w:val="right"/>
            </w:pPr>
            <w:r w:rsidRPr="007B60BF">
              <w:t>1.340</w:t>
            </w:r>
          </w:p>
        </w:tc>
        <w:tc>
          <w:tcPr>
            <w:tcW w:w="105" w:type="pct"/>
            <w:tcBorders>
              <w:left w:val="nil"/>
              <w:right w:val="nil"/>
            </w:tcBorders>
            <w:shd w:val="clear" w:color="000000" w:fill="FFFFFF"/>
            <w:vAlign w:val="center"/>
            <w:hideMark/>
          </w:tcPr>
          <w:p w14:paraId="674C1F99" w14:textId="77777777" w:rsidR="00C22639" w:rsidRPr="007B60BF" w:rsidRDefault="00C22639" w:rsidP="00C22639">
            <w:pPr>
              <w:jc w:val="right"/>
            </w:pPr>
            <w:r w:rsidRPr="007B60BF">
              <w:t> </w:t>
            </w:r>
          </w:p>
        </w:tc>
        <w:tc>
          <w:tcPr>
            <w:tcW w:w="624" w:type="pct"/>
            <w:tcBorders>
              <w:top w:val="single" w:sz="4" w:space="0" w:color="auto"/>
              <w:left w:val="nil"/>
              <w:right w:val="nil"/>
            </w:tcBorders>
            <w:shd w:val="clear" w:color="000000" w:fill="FFFFFF"/>
          </w:tcPr>
          <w:p w14:paraId="6E65161B" w14:textId="77777777" w:rsidR="00C22639" w:rsidRPr="007B60BF" w:rsidRDefault="00C22639" w:rsidP="00C22639">
            <w:pPr>
              <w:jc w:val="right"/>
            </w:pPr>
            <w:r w:rsidRPr="007B60BF">
              <w:t>1.631</w:t>
            </w:r>
          </w:p>
        </w:tc>
      </w:tr>
      <w:tr w:rsidR="00A33631" w:rsidRPr="007B60BF" w14:paraId="31789605" w14:textId="77777777" w:rsidTr="00AE518D">
        <w:tc>
          <w:tcPr>
            <w:tcW w:w="1163" w:type="pct"/>
            <w:tcBorders>
              <w:top w:val="nil"/>
              <w:left w:val="nil"/>
              <w:bottom w:val="nil"/>
              <w:right w:val="nil"/>
            </w:tcBorders>
            <w:shd w:val="clear" w:color="000000" w:fill="FFFFFF"/>
            <w:vAlign w:val="center"/>
            <w:hideMark/>
          </w:tcPr>
          <w:p w14:paraId="2305B6CD" w14:textId="20F587E5" w:rsidR="00A33631" w:rsidRPr="007B60BF" w:rsidRDefault="00AE518D" w:rsidP="00A33631">
            <w:r w:rsidRPr="007B60BF">
              <w:t>Direito de P</w:t>
            </w:r>
            <w:r w:rsidR="00C22639" w:rsidRPr="007B60BF">
              <w:t>ropriedade</w:t>
            </w:r>
          </w:p>
        </w:tc>
        <w:tc>
          <w:tcPr>
            <w:tcW w:w="106" w:type="pct"/>
            <w:tcBorders>
              <w:top w:val="nil"/>
              <w:left w:val="nil"/>
              <w:bottom w:val="nil"/>
              <w:right w:val="nil"/>
            </w:tcBorders>
            <w:shd w:val="clear" w:color="000000" w:fill="FFFFFF"/>
            <w:vAlign w:val="center"/>
            <w:hideMark/>
          </w:tcPr>
          <w:p w14:paraId="2D429125" w14:textId="77777777" w:rsidR="00A33631" w:rsidRPr="007B60BF" w:rsidRDefault="00A33631" w:rsidP="00A33631">
            <w:pPr>
              <w:jc w:val="right"/>
            </w:pPr>
            <w:r w:rsidRPr="007B60BF">
              <w:t> </w:t>
            </w:r>
          </w:p>
        </w:tc>
        <w:tc>
          <w:tcPr>
            <w:tcW w:w="679" w:type="pct"/>
            <w:tcBorders>
              <w:left w:val="nil"/>
              <w:bottom w:val="nil"/>
              <w:right w:val="nil"/>
            </w:tcBorders>
            <w:shd w:val="clear" w:color="000000" w:fill="FFFFFF"/>
            <w:vAlign w:val="center"/>
            <w:hideMark/>
          </w:tcPr>
          <w:p w14:paraId="6DC6F488" w14:textId="7E1930E2" w:rsidR="00A33631" w:rsidRPr="007B60BF" w:rsidRDefault="001B62F6" w:rsidP="00A33631">
            <w:pPr>
              <w:jc w:val="center"/>
            </w:pPr>
            <w:r w:rsidRPr="007B60BF">
              <w:t>10 a 20</w:t>
            </w:r>
          </w:p>
        </w:tc>
        <w:tc>
          <w:tcPr>
            <w:tcW w:w="120" w:type="pct"/>
            <w:tcBorders>
              <w:left w:val="nil"/>
              <w:bottom w:val="nil"/>
              <w:right w:val="nil"/>
            </w:tcBorders>
            <w:shd w:val="clear" w:color="000000" w:fill="FFFFFF"/>
            <w:vAlign w:val="center"/>
            <w:hideMark/>
          </w:tcPr>
          <w:p w14:paraId="049FF92D" w14:textId="77777777" w:rsidR="00A33631" w:rsidRPr="007B60BF" w:rsidRDefault="00A33631" w:rsidP="00A33631">
            <w:pPr>
              <w:jc w:val="right"/>
            </w:pPr>
            <w:r w:rsidRPr="007B60BF">
              <w:t> </w:t>
            </w:r>
          </w:p>
        </w:tc>
        <w:tc>
          <w:tcPr>
            <w:tcW w:w="619" w:type="pct"/>
            <w:tcBorders>
              <w:left w:val="nil"/>
              <w:bottom w:val="single" w:sz="8" w:space="0" w:color="auto"/>
              <w:right w:val="nil"/>
            </w:tcBorders>
            <w:shd w:val="clear" w:color="000000" w:fill="FFFFFF"/>
          </w:tcPr>
          <w:p w14:paraId="0826D8E4" w14:textId="397258FA" w:rsidR="00A33631" w:rsidRPr="007B60BF" w:rsidRDefault="00C22639" w:rsidP="006316C0">
            <w:pPr>
              <w:jc w:val="right"/>
            </w:pPr>
            <w:r w:rsidRPr="007B60BF">
              <w:t>52</w:t>
            </w:r>
            <w:r w:rsidR="00A33631" w:rsidRPr="007B60BF">
              <w:t xml:space="preserve"> </w:t>
            </w:r>
          </w:p>
        </w:tc>
        <w:tc>
          <w:tcPr>
            <w:tcW w:w="105" w:type="pct"/>
            <w:tcBorders>
              <w:left w:val="nil"/>
              <w:bottom w:val="nil"/>
              <w:right w:val="nil"/>
            </w:tcBorders>
            <w:shd w:val="clear" w:color="000000" w:fill="FFFFFF"/>
          </w:tcPr>
          <w:p w14:paraId="555B5661" w14:textId="6C38DD1D" w:rsidR="00A33631" w:rsidRPr="007B60BF" w:rsidRDefault="00A33631" w:rsidP="00A33631">
            <w:pPr>
              <w:jc w:val="right"/>
            </w:pPr>
            <w:r w:rsidRPr="007B60BF">
              <w:t xml:space="preserve"> </w:t>
            </w:r>
          </w:p>
        </w:tc>
        <w:tc>
          <w:tcPr>
            <w:tcW w:w="684" w:type="pct"/>
            <w:tcBorders>
              <w:left w:val="nil"/>
              <w:bottom w:val="single" w:sz="8" w:space="0" w:color="auto"/>
              <w:right w:val="nil"/>
            </w:tcBorders>
            <w:shd w:val="clear" w:color="000000" w:fill="FFFFFF"/>
          </w:tcPr>
          <w:p w14:paraId="2C0D9FE1" w14:textId="123076DA" w:rsidR="00A33631" w:rsidRPr="007B60BF" w:rsidRDefault="00681500" w:rsidP="00C22639">
            <w:pPr>
              <w:jc w:val="right"/>
            </w:pPr>
            <w:r w:rsidRPr="007B60BF">
              <w:t>(</w:t>
            </w:r>
            <w:r w:rsidR="00C22639" w:rsidRPr="007B60BF">
              <w:t>1</w:t>
            </w:r>
            <w:r w:rsidRPr="007B60BF">
              <w:t>)</w:t>
            </w:r>
          </w:p>
        </w:tc>
        <w:tc>
          <w:tcPr>
            <w:tcW w:w="105" w:type="pct"/>
            <w:tcBorders>
              <w:left w:val="nil"/>
              <w:bottom w:val="nil"/>
              <w:right w:val="nil"/>
            </w:tcBorders>
            <w:shd w:val="clear" w:color="000000" w:fill="FFFFFF"/>
          </w:tcPr>
          <w:p w14:paraId="21BB5002" w14:textId="49BFCD96" w:rsidR="00A33631" w:rsidRPr="007B60BF" w:rsidRDefault="00A33631" w:rsidP="00A33631">
            <w:pPr>
              <w:jc w:val="right"/>
            </w:pPr>
          </w:p>
        </w:tc>
        <w:tc>
          <w:tcPr>
            <w:tcW w:w="690" w:type="pct"/>
            <w:tcBorders>
              <w:left w:val="nil"/>
              <w:bottom w:val="single" w:sz="8" w:space="0" w:color="auto"/>
              <w:right w:val="nil"/>
            </w:tcBorders>
            <w:shd w:val="clear" w:color="000000" w:fill="FFFFFF"/>
          </w:tcPr>
          <w:p w14:paraId="29F92B54" w14:textId="7430BE16" w:rsidR="00A33631" w:rsidRPr="007B60BF" w:rsidRDefault="00C22639" w:rsidP="006316C0">
            <w:pPr>
              <w:jc w:val="right"/>
            </w:pPr>
            <w:r w:rsidRPr="007B60BF">
              <w:t>51</w:t>
            </w:r>
          </w:p>
        </w:tc>
        <w:tc>
          <w:tcPr>
            <w:tcW w:w="105" w:type="pct"/>
            <w:tcBorders>
              <w:left w:val="nil"/>
              <w:bottom w:val="nil"/>
              <w:right w:val="nil"/>
            </w:tcBorders>
            <w:shd w:val="clear" w:color="000000" w:fill="FFFFFF"/>
            <w:vAlign w:val="center"/>
            <w:hideMark/>
          </w:tcPr>
          <w:p w14:paraId="56FFFDBF" w14:textId="77777777" w:rsidR="00A33631" w:rsidRPr="007B60BF" w:rsidRDefault="00A33631" w:rsidP="00A33631">
            <w:pPr>
              <w:jc w:val="right"/>
            </w:pPr>
            <w:r w:rsidRPr="007B60BF">
              <w:t> </w:t>
            </w:r>
          </w:p>
        </w:tc>
        <w:tc>
          <w:tcPr>
            <w:tcW w:w="624" w:type="pct"/>
            <w:tcBorders>
              <w:left w:val="nil"/>
              <w:bottom w:val="single" w:sz="8" w:space="0" w:color="auto"/>
              <w:right w:val="nil"/>
            </w:tcBorders>
            <w:shd w:val="clear" w:color="000000" w:fill="FFFFFF"/>
          </w:tcPr>
          <w:p w14:paraId="0542086B" w14:textId="3733ED69" w:rsidR="00A33631" w:rsidRPr="007B60BF" w:rsidRDefault="00AE518D" w:rsidP="00A33631">
            <w:pPr>
              <w:jc w:val="right"/>
            </w:pPr>
            <w:r w:rsidRPr="007B60BF">
              <w:t>-</w:t>
            </w:r>
          </w:p>
        </w:tc>
      </w:tr>
      <w:tr w:rsidR="00A33631" w:rsidRPr="007B60BF" w14:paraId="685D838C" w14:textId="77777777" w:rsidTr="00A33631">
        <w:tc>
          <w:tcPr>
            <w:tcW w:w="1163" w:type="pct"/>
            <w:tcBorders>
              <w:top w:val="nil"/>
              <w:left w:val="nil"/>
              <w:bottom w:val="nil"/>
              <w:right w:val="nil"/>
            </w:tcBorders>
            <w:shd w:val="clear" w:color="000000" w:fill="FFFFFF"/>
            <w:vAlign w:val="center"/>
            <w:hideMark/>
          </w:tcPr>
          <w:p w14:paraId="7A2000B9" w14:textId="77777777" w:rsidR="00A33631" w:rsidRPr="007B60BF" w:rsidRDefault="00A33631" w:rsidP="00A33631">
            <w:pPr>
              <w:rPr>
                <w:b/>
                <w:bCs/>
              </w:rPr>
            </w:pPr>
            <w:r w:rsidRPr="007B60BF">
              <w:rPr>
                <w:b/>
                <w:bCs/>
              </w:rPr>
              <w:t>Saldo Contábil</w:t>
            </w:r>
          </w:p>
        </w:tc>
        <w:tc>
          <w:tcPr>
            <w:tcW w:w="106" w:type="pct"/>
            <w:tcBorders>
              <w:top w:val="nil"/>
              <w:left w:val="nil"/>
              <w:bottom w:val="nil"/>
              <w:right w:val="nil"/>
            </w:tcBorders>
            <w:shd w:val="clear" w:color="000000" w:fill="FFFFFF"/>
            <w:vAlign w:val="center"/>
            <w:hideMark/>
          </w:tcPr>
          <w:p w14:paraId="38C8C147" w14:textId="77777777" w:rsidR="00A33631" w:rsidRPr="007B60BF" w:rsidRDefault="00A33631" w:rsidP="00A33631">
            <w:pPr>
              <w:jc w:val="right"/>
              <w:rPr>
                <w:b/>
                <w:bCs/>
              </w:rPr>
            </w:pPr>
            <w:r w:rsidRPr="007B60BF">
              <w:rPr>
                <w:b/>
                <w:bCs/>
              </w:rPr>
              <w:t> </w:t>
            </w:r>
          </w:p>
        </w:tc>
        <w:tc>
          <w:tcPr>
            <w:tcW w:w="679" w:type="pct"/>
            <w:tcBorders>
              <w:top w:val="nil"/>
              <w:left w:val="nil"/>
              <w:bottom w:val="nil"/>
              <w:right w:val="nil"/>
            </w:tcBorders>
            <w:shd w:val="clear" w:color="000000" w:fill="FFFFFF"/>
            <w:vAlign w:val="center"/>
            <w:hideMark/>
          </w:tcPr>
          <w:p w14:paraId="08AB953E" w14:textId="77777777" w:rsidR="00A33631" w:rsidRPr="007B60BF" w:rsidRDefault="00A33631" w:rsidP="00A33631">
            <w:pPr>
              <w:jc w:val="center"/>
              <w:rPr>
                <w:b/>
                <w:bCs/>
              </w:rPr>
            </w:pPr>
            <w:r w:rsidRPr="007B60BF">
              <w:rPr>
                <w:b/>
                <w:bCs/>
              </w:rPr>
              <w:t> </w:t>
            </w:r>
          </w:p>
        </w:tc>
        <w:tc>
          <w:tcPr>
            <w:tcW w:w="120" w:type="pct"/>
            <w:tcBorders>
              <w:top w:val="nil"/>
              <w:left w:val="nil"/>
              <w:bottom w:val="nil"/>
              <w:right w:val="nil"/>
            </w:tcBorders>
            <w:shd w:val="clear" w:color="000000" w:fill="FFFFFF"/>
            <w:vAlign w:val="center"/>
            <w:hideMark/>
          </w:tcPr>
          <w:p w14:paraId="398913D6" w14:textId="77777777" w:rsidR="00A33631" w:rsidRPr="007B60BF" w:rsidRDefault="00A33631" w:rsidP="00A33631">
            <w:pPr>
              <w:jc w:val="right"/>
              <w:rPr>
                <w:b/>
                <w:bCs/>
              </w:rPr>
            </w:pPr>
            <w:r w:rsidRPr="007B60BF">
              <w:rPr>
                <w:b/>
                <w:bCs/>
              </w:rPr>
              <w:t> </w:t>
            </w:r>
          </w:p>
        </w:tc>
        <w:tc>
          <w:tcPr>
            <w:tcW w:w="619" w:type="pct"/>
            <w:tcBorders>
              <w:top w:val="nil"/>
              <w:left w:val="nil"/>
              <w:bottom w:val="double" w:sz="6" w:space="0" w:color="auto"/>
              <w:right w:val="nil"/>
            </w:tcBorders>
            <w:shd w:val="clear" w:color="000000" w:fill="FFFFFF"/>
          </w:tcPr>
          <w:p w14:paraId="5ACAC7F1" w14:textId="071F741D" w:rsidR="00A33631" w:rsidRPr="007B60BF" w:rsidRDefault="006316C0" w:rsidP="00AE518D">
            <w:pPr>
              <w:jc w:val="right"/>
              <w:rPr>
                <w:b/>
              </w:rPr>
            </w:pPr>
            <w:r w:rsidRPr="007B60BF">
              <w:rPr>
                <w:b/>
              </w:rPr>
              <w:t xml:space="preserve">          9.</w:t>
            </w:r>
            <w:r w:rsidR="00AE518D" w:rsidRPr="007B60BF">
              <w:rPr>
                <w:b/>
              </w:rPr>
              <w:t>312</w:t>
            </w:r>
          </w:p>
        </w:tc>
        <w:tc>
          <w:tcPr>
            <w:tcW w:w="105" w:type="pct"/>
            <w:tcBorders>
              <w:top w:val="nil"/>
              <w:left w:val="nil"/>
              <w:bottom w:val="nil"/>
              <w:right w:val="nil"/>
            </w:tcBorders>
            <w:shd w:val="clear" w:color="000000" w:fill="FFFFFF"/>
          </w:tcPr>
          <w:p w14:paraId="3065422B" w14:textId="35978365" w:rsidR="00A33631" w:rsidRPr="007B60BF" w:rsidRDefault="00A33631" w:rsidP="00A33631">
            <w:pPr>
              <w:jc w:val="right"/>
              <w:rPr>
                <w:b/>
              </w:rPr>
            </w:pPr>
            <w:r w:rsidRPr="007B60BF">
              <w:rPr>
                <w:b/>
              </w:rPr>
              <w:t xml:space="preserve"> </w:t>
            </w:r>
          </w:p>
        </w:tc>
        <w:tc>
          <w:tcPr>
            <w:tcW w:w="684" w:type="pct"/>
            <w:tcBorders>
              <w:top w:val="nil"/>
              <w:left w:val="nil"/>
              <w:bottom w:val="double" w:sz="6" w:space="0" w:color="auto"/>
              <w:right w:val="nil"/>
            </w:tcBorders>
            <w:shd w:val="clear" w:color="000000" w:fill="FFFFFF"/>
          </w:tcPr>
          <w:p w14:paraId="37A82864" w14:textId="7580555A" w:rsidR="00A33631" w:rsidRPr="007B60BF" w:rsidRDefault="00681500" w:rsidP="00AE518D">
            <w:pPr>
              <w:jc w:val="right"/>
              <w:rPr>
                <w:b/>
              </w:rPr>
            </w:pPr>
            <w:r w:rsidRPr="007B60BF">
              <w:rPr>
                <w:b/>
              </w:rPr>
              <w:t>(7.</w:t>
            </w:r>
            <w:r w:rsidR="00AE518D" w:rsidRPr="007B60BF">
              <w:rPr>
                <w:b/>
              </w:rPr>
              <w:t>921</w:t>
            </w:r>
            <w:r w:rsidRPr="007B60BF">
              <w:rPr>
                <w:b/>
              </w:rPr>
              <w:t>)</w:t>
            </w:r>
          </w:p>
        </w:tc>
        <w:tc>
          <w:tcPr>
            <w:tcW w:w="105" w:type="pct"/>
            <w:tcBorders>
              <w:top w:val="nil"/>
              <w:left w:val="nil"/>
              <w:bottom w:val="nil"/>
              <w:right w:val="nil"/>
            </w:tcBorders>
            <w:shd w:val="clear" w:color="000000" w:fill="FFFFFF"/>
          </w:tcPr>
          <w:p w14:paraId="492243B8" w14:textId="1A0C526D" w:rsidR="00A33631" w:rsidRPr="007B60BF" w:rsidRDefault="00A33631" w:rsidP="00A33631">
            <w:pPr>
              <w:jc w:val="right"/>
              <w:rPr>
                <w:b/>
              </w:rPr>
            </w:pPr>
          </w:p>
        </w:tc>
        <w:tc>
          <w:tcPr>
            <w:tcW w:w="690" w:type="pct"/>
            <w:tcBorders>
              <w:top w:val="nil"/>
              <w:left w:val="nil"/>
              <w:bottom w:val="double" w:sz="6" w:space="0" w:color="auto"/>
              <w:right w:val="nil"/>
            </w:tcBorders>
            <w:shd w:val="clear" w:color="000000" w:fill="FFFFFF"/>
          </w:tcPr>
          <w:p w14:paraId="428CB6F2" w14:textId="6C02688E" w:rsidR="00A33631" w:rsidRPr="007B60BF" w:rsidRDefault="00B3450F" w:rsidP="00AE518D">
            <w:pPr>
              <w:jc w:val="right"/>
              <w:rPr>
                <w:b/>
              </w:rPr>
            </w:pPr>
            <w:r w:rsidRPr="007B60BF">
              <w:rPr>
                <w:b/>
              </w:rPr>
              <w:t>1.</w:t>
            </w:r>
            <w:r w:rsidR="00AE518D" w:rsidRPr="007B60BF">
              <w:rPr>
                <w:b/>
              </w:rPr>
              <w:t>391</w:t>
            </w:r>
          </w:p>
        </w:tc>
        <w:tc>
          <w:tcPr>
            <w:tcW w:w="105" w:type="pct"/>
            <w:tcBorders>
              <w:top w:val="nil"/>
              <w:left w:val="nil"/>
              <w:bottom w:val="nil"/>
              <w:right w:val="nil"/>
            </w:tcBorders>
            <w:shd w:val="clear" w:color="000000" w:fill="FFFFFF"/>
            <w:vAlign w:val="center"/>
            <w:hideMark/>
          </w:tcPr>
          <w:p w14:paraId="2B53383C" w14:textId="77777777" w:rsidR="00A33631" w:rsidRPr="007B60BF" w:rsidRDefault="00A33631" w:rsidP="00A33631">
            <w:pPr>
              <w:jc w:val="right"/>
              <w:rPr>
                <w:b/>
                <w:bCs/>
              </w:rPr>
            </w:pPr>
            <w:r w:rsidRPr="007B60BF">
              <w:rPr>
                <w:b/>
                <w:bCs/>
              </w:rPr>
              <w:t> </w:t>
            </w:r>
          </w:p>
        </w:tc>
        <w:tc>
          <w:tcPr>
            <w:tcW w:w="624" w:type="pct"/>
            <w:tcBorders>
              <w:top w:val="nil"/>
              <w:left w:val="nil"/>
              <w:bottom w:val="double" w:sz="6" w:space="0" w:color="auto"/>
              <w:right w:val="nil"/>
            </w:tcBorders>
            <w:shd w:val="clear" w:color="000000" w:fill="FFFFFF"/>
          </w:tcPr>
          <w:p w14:paraId="10B441B3" w14:textId="69FFB94A" w:rsidR="00A33631" w:rsidRPr="007B60BF" w:rsidRDefault="00A33631" w:rsidP="00A33631">
            <w:pPr>
              <w:jc w:val="right"/>
              <w:rPr>
                <w:b/>
              </w:rPr>
            </w:pPr>
            <w:r w:rsidRPr="007B60BF">
              <w:rPr>
                <w:b/>
              </w:rPr>
              <w:t>1.631</w:t>
            </w:r>
          </w:p>
        </w:tc>
      </w:tr>
    </w:tbl>
    <w:p w14:paraId="1EC5ECDF" w14:textId="77777777" w:rsidR="00B3450F" w:rsidRPr="00A77C10" w:rsidRDefault="00B3450F" w:rsidP="002A6B4D">
      <w:pPr>
        <w:jc w:val="both"/>
        <w:rPr>
          <w:sz w:val="16"/>
          <w:szCs w:val="16"/>
        </w:rPr>
      </w:pPr>
    </w:p>
    <w:p w14:paraId="356B33EC" w14:textId="2ABFE521" w:rsidR="002A6B4D" w:rsidRPr="007B60BF" w:rsidRDefault="002A6B4D" w:rsidP="002A6B4D">
      <w:pPr>
        <w:jc w:val="both"/>
      </w:pPr>
      <w:r w:rsidRPr="007B60BF">
        <w:t>O Intangível é mensurado pelo seu custo histórico, menos a amortização acumulada. A amortização está demonstrada pelo valor acumulado desde a data do início de operação na Instituição, acrescido da amortização do custo atribuído a partir do exercício de 2010. As amortizações são calculadas usando o método linear, considerando os custos dos ativos durante a vida útil estimada dos mesmos.</w:t>
      </w:r>
    </w:p>
    <w:p w14:paraId="6763B2B8" w14:textId="77777777" w:rsidR="00376475" w:rsidRPr="00A77C10" w:rsidRDefault="00376475" w:rsidP="00DE481F">
      <w:pPr>
        <w:tabs>
          <w:tab w:val="left" w:pos="851"/>
        </w:tabs>
        <w:jc w:val="both"/>
        <w:rPr>
          <w:b/>
          <w:sz w:val="16"/>
          <w:szCs w:val="16"/>
        </w:rPr>
      </w:pPr>
    </w:p>
    <w:p w14:paraId="4F53205E" w14:textId="1BB4FDF2" w:rsidR="00DE481F" w:rsidRPr="007B60BF" w:rsidRDefault="00DE481F" w:rsidP="00DE481F">
      <w:pPr>
        <w:tabs>
          <w:tab w:val="left" w:pos="851"/>
        </w:tabs>
        <w:jc w:val="both"/>
        <w:rPr>
          <w:b/>
        </w:rPr>
      </w:pPr>
      <w:r w:rsidRPr="007B60BF">
        <w:rPr>
          <w:b/>
        </w:rPr>
        <w:t>Movimentação do Ativo Intangível</w:t>
      </w:r>
    </w:p>
    <w:p w14:paraId="0D1FEBF6" w14:textId="52D0ECED" w:rsidR="00D6616C" w:rsidRPr="007B60BF" w:rsidRDefault="00D6616C" w:rsidP="002A6B4D">
      <w:pPr>
        <w:jc w:val="both"/>
        <w:rPr>
          <w:sz w:val="16"/>
          <w:szCs w:val="16"/>
        </w:rPr>
      </w:pPr>
    </w:p>
    <w:tbl>
      <w:tblPr>
        <w:tblW w:w="5000" w:type="pct"/>
        <w:tblCellMar>
          <w:left w:w="0" w:type="dxa"/>
          <w:right w:w="0" w:type="dxa"/>
        </w:tblCellMar>
        <w:tblLook w:val="04A0" w:firstRow="1" w:lastRow="0" w:firstColumn="1" w:lastColumn="0" w:noHBand="0" w:noVBand="1"/>
      </w:tblPr>
      <w:tblGrid>
        <w:gridCol w:w="2789"/>
        <w:gridCol w:w="236"/>
        <w:gridCol w:w="1379"/>
        <w:gridCol w:w="236"/>
        <w:gridCol w:w="1381"/>
        <w:gridCol w:w="236"/>
        <w:gridCol w:w="1268"/>
        <w:gridCol w:w="236"/>
        <w:gridCol w:w="1310"/>
      </w:tblGrid>
      <w:tr w:rsidR="00DE481F" w:rsidRPr="007B60BF" w14:paraId="25EE6C02" w14:textId="77777777" w:rsidTr="00C726B9">
        <w:tc>
          <w:tcPr>
            <w:tcW w:w="1536" w:type="pct"/>
            <w:noWrap/>
            <w:tcMar>
              <w:top w:w="0" w:type="dxa"/>
              <w:left w:w="70" w:type="dxa"/>
              <w:bottom w:w="0" w:type="dxa"/>
              <w:right w:w="70" w:type="dxa"/>
            </w:tcMar>
            <w:vAlign w:val="bottom"/>
            <w:hideMark/>
          </w:tcPr>
          <w:p w14:paraId="2E9A6C60" w14:textId="77777777" w:rsidR="00DE481F" w:rsidRPr="007B60BF" w:rsidRDefault="00DE481F" w:rsidP="0020776D">
            <w:pPr>
              <w:rPr>
                <w:rFonts w:ascii="Arial" w:hAnsi="Arial" w:cs="Arial"/>
              </w:rPr>
            </w:pPr>
          </w:p>
        </w:tc>
        <w:tc>
          <w:tcPr>
            <w:tcW w:w="130" w:type="pct"/>
            <w:noWrap/>
            <w:tcMar>
              <w:top w:w="0" w:type="dxa"/>
              <w:left w:w="70" w:type="dxa"/>
              <w:bottom w:w="0" w:type="dxa"/>
              <w:right w:w="70" w:type="dxa"/>
            </w:tcMar>
            <w:vAlign w:val="bottom"/>
            <w:hideMark/>
          </w:tcPr>
          <w:p w14:paraId="753C7916" w14:textId="77777777" w:rsidR="00DE481F" w:rsidRPr="007B60BF" w:rsidRDefault="00DE481F" w:rsidP="0020776D">
            <w:pPr>
              <w:rPr>
                <w:rFonts w:ascii="Arial" w:hAnsi="Arial" w:cs="Arial"/>
              </w:rPr>
            </w:pPr>
          </w:p>
        </w:tc>
        <w:tc>
          <w:tcPr>
            <w:tcW w:w="760" w:type="pct"/>
            <w:tcBorders>
              <w:top w:val="nil"/>
              <w:left w:val="nil"/>
              <w:bottom w:val="single" w:sz="4" w:space="0" w:color="auto"/>
              <w:right w:val="nil"/>
            </w:tcBorders>
            <w:tcMar>
              <w:top w:w="0" w:type="dxa"/>
              <w:left w:w="70" w:type="dxa"/>
              <w:bottom w:w="0" w:type="dxa"/>
              <w:right w:w="70" w:type="dxa"/>
            </w:tcMar>
            <w:vAlign w:val="center"/>
            <w:hideMark/>
          </w:tcPr>
          <w:p w14:paraId="2BFE3582" w14:textId="63B040C9" w:rsidR="00DE481F" w:rsidRPr="007B60BF" w:rsidRDefault="00DE481F" w:rsidP="007024FA">
            <w:pPr>
              <w:jc w:val="center"/>
            </w:pPr>
            <w:r w:rsidRPr="007B60BF">
              <w:rPr>
                <w:b/>
                <w:bCs/>
                <w:color w:val="000000"/>
              </w:rPr>
              <w:t>Custo 01/01/202</w:t>
            </w:r>
            <w:r w:rsidR="007024FA" w:rsidRPr="007B60BF">
              <w:rPr>
                <w:b/>
                <w:bCs/>
                <w:color w:val="000000"/>
              </w:rPr>
              <w:t>5</w:t>
            </w:r>
          </w:p>
        </w:tc>
        <w:tc>
          <w:tcPr>
            <w:tcW w:w="130" w:type="pct"/>
            <w:tcMar>
              <w:top w:w="0" w:type="dxa"/>
              <w:left w:w="70" w:type="dxa"/>
              <w:bottom w:w="0" w:type="dxa"/>
              <w:right w:w="70" w:type="dxa"/>
            </w:tcMar>
            <w:vAlign w:val="center"/>
            <w:hideMark/>
          </w:tcPr>
          <w:p w14:paraId="52578116" w14:textId="77777777" w:rsidR="00DE481F" w:rsidRPr="007B60BF" w:rsidRDefault="00DE481F" w:rsidP="0020776D">
            <w:pPr>
              <w:rPr>
                <w:rFonts w:ascii="Arial" w:hAnsi="Arial" w:cs="Arial"/>
              </w:rPr>
            </w:pPr>
          </w:p>
        </w:tc>
        <w:tc>
          <w:tcPr>
            <w:tcW w:w="761" w:type="pct"/>
            <w:tcBorders>
              <w:top w:val="nil"/>
              <w:left w:val="nil"/>
              <w:bottom w:val="single" w:sz="4" w:space="0" w:color="auto"/>
              <w:right w:val="nil"/>
            </w:tcBorders>
            <w:tcMar>
              <w:top w:w="0" w:type="dxa"/>
              <w:left w:w="70" w:type="dxa"/>
              <w:bottom w:w="0" w:type="dxa"/>
              <w:right w:w="70" w:type="dxa"/>
            </w:tcMar>
            <w:vAlign w:val="center"/>
            <w:hideMark/>
          </w:tcPr>
          <w:p w14:paraId="02000010" w14:textId="77777777" w:rsidR="00DE481F" w:rsidRPr="007B60BF" w:rsidRDefault="00DE481F" w:rsidP="0020776D">
            <w:pPr>
              <w:jc w:val="center"/>
            </w:pPr>
            <w:r w:rsidRPr="007B60BF">
              <w:rPr>
                <w:b/>
                <w:bCs/>
                <w:color w:val="000000"/>
              </w:rPr>
              <w:t>Aquisições</w:t>
            </w:r>
          </w:p>
        </w:tc>
        <w:tc>
          <w:tcPr>
            <w:tcW w:w="130" w:type="pct"/>
            <w:tcMar>
              <w:top w:w="0" w:type="dxa"/>
              <w:left w:w="70" w:type="dxa"/>
              <w:bottom w:w="0" w:type="dxa"/>
              <w:right w:w="70" w:type="dxa"/>
            </w:tcMar>
            <w:vAlign w:val="center"/>
            <w:hideMark/>
          </w:tcPr>
          <w:p w14:paraId="550F1BD6" w14:textId="77777777" w:rsidR="00DE481F" w:rsidRPr="007B60BF" w:rsidRDefault="00DE481F" w:rsidP="0020776D">
            <w:pPr>
              <w:rPr>
                <w:rFonts w:ascii="Arial" w:hAnsi="Arial" w:cs="Arial"/>
              </w:rPr>
            </w:pPr>
          </w:p>
        </w:tc>
        <w:tc>
          <w:tcPr>
            <w:tcW w:w="699" w:type="pct"/>
            <w:tcBorders>
              <w:top w:val="nil"/>
              <w:left w:val="nil"/>
              <w:bottom w:val="single" w:sz="4" w:space="0" w:color="auto"/>
              <w:right w:val="nil"/>
            </w:tcBorders>
            <w:tcMar>
              <w:top w:w="0" w:type="dxa"/>
              <w:left w:w="70" w:type="dxa"/>
              <w:bottom w:w="0" w:type="dxa"/>
              <w:right w:w="70" w:type="dxa"/>
            </w:tcMar>
            <w:vAlign w:val="center"/>
            <w:hideMark/>
          </w:tcPr>
          <w:p w14:paraId="0ECDA93D" w14:textId="77777777" w:rsidR="00DE481F" w:rsidRPr="007B60BF" w:rsidRDefault="00DE481F" w:rsidP="0020776D">
            <w:pPr>
              <w:jc w:val="center"/>
            </w:pPr>
            <w:r w:rsidRPr="007B60BF">
              <w:rPr>
                <w:b/>
                <w:bCs/>
                <w:color w:val="000000"/>
              </w:rPr>
              <w:t>Baixas</w:t>
            </w:r>
          </w:p>
        </w:tc>
        <w:tc>
          <w:tcPr>
            <w:tcW w:w="130" w:type="pct"/>
            <w:tcMar>
              <w:top w:w="0" w:type="dxa"/>
              <w:left w:w="70" w:type="dxa"/>
              <w:bottom w:w="0" w:type="dxa"/>
              <w:right w:w="70" w:type="dxa"/>
            </w:tcMar>
            <w:vAlign w:val="center"/>
            <w:hideMark/>
          </w:tcPr>
          <w:p w14:paraId="02E25118" w14:textId="77777777" w:rsidR="00DE481F" w:rsidRPr="007B60BF" w:rsidRDefault="00DE481F" w:rsidP="0020776D">
            <w:pPr>
              <w:rPr>
                <w:rFonts w:ascii="Arial" w:hAnsi="Arial" w:cs="Arial"/>
              </w:rPr>
            </w:pPr>
          </w:p>
        </w:tc>
        <w:tc>
          <w:tcPr>
            <w:tcW w:w="722" w:type="pct"/>
            <w:tcBorders>
              <w:top w:val="nil"/>
              <w:left w:val="nil"/>
              <w:bottom w:val="single" w:sz="4" w:space="0" w:color="auto"/>
              <w:right w:val="nil"/>
            </w:tcBorders>
            <w:tcMar>
              <w:top w:w="0" w:type="dxa"/>
              <w:left w:w="70" w:type="dxa"/>
              <w:bottom w:w="0" w:type="dxa"/>
              <w:right w:w="70" w:type="dxa"/>
            </w:tcMar>
            <w:vAlign w:val="center"/>
            <w:hideMark/>
          </w:tcPr>
          <w:p w14:paraId="3F4DC795" w14:textId="30B746EE" w:rsidR="00DE481F" w:rsidRPr="007B60BF" w:rsidRDefault="00DE481F" w:rsidP="00AE518D">
            <w:pPr>
              <w:jc w:val="center"/>
            </w:pPr>
            <w:r w:rsidRPr="007B60BF">
              <w:rPr>
                <w:b/>
                <w:bCs/>
                <w:color w:val="000000"/>
              </w:rPr>
              <w:t xml:space="preserve">Custo </w:t>
            </w:r>
            <w:r w:rsidR="00AE518D" w:rsidRPr="007B60BF">
              <w:rPr>
                <w:b/>
                <w:bCs/>
                <w:color w:val="000000"/>
              </w:rPr>
              <w:t>31/12</w:t>
            </w:r>
            <w:r w:rsidRPr="007B60BF">
              <w:rPr>
                <w:b/>
                <w:bCs/>
                <w:color w:val="000000"/>
              </w:rPr>
              <w:t>/202</w:t>
            </w:r>
            <w:r w:rsidR="007024FA" w:rsidRPr="007B60BF">
              <w:rPr>
                <w:b/>
                <w:bCs/>
                <w:color w:val="000000"/>
              </w:rPr>
              <w:t>5</w:t>
            </w:r>
          </w:p>
        </w:tc>
      </w:tr>
      <w:tr w:rsidR="00A33631" w:rsidRPr="007B60BF" w14:paraId="38CDDC27" w14:textId="77777777" w:rsidTr="00C726B9">
        <w:tc>
          <w:tcPr>
            <w:tcW w:w="1536" w:type="pct"/>
            <w:tcMar>
              <w:top w:w="0" w:type="dxa"/>
              <w:left w:w="70" w:type="dxa"/>
              <w:bottom w:w="0" w:type="dxa"/>
              <w:right w:w="70" w:type="dxa"/>
            </w:tcMar>
            <w:vAlign w:val="center"/>
            <w:hideMark/>
          </w:tcPr>
          <w:p w14:paraId="46B26124" w14:textId="1540000E" w:rsidR="00A33631" w:rsidRPr="007B60BF" w:rsidRDefault="00A33631" w:rsidP="00A33631">
            <w:r w:rsidRPr="007B60BF">
              <w:rPr>
                <w:color w:val="000000"/>
              </w:rPr>
              <w:t>Software</w:t>
            </w:r>
          </w:p>
        </w:tc>
        <w:tc>
          <w:tcPr>
            <w:tcW w:w="130" w:type="pct"/>
            <w:tcMar>
              <w:top w:w="0" w:type="dxa"/>
              <w:left w:w="70" w:type="dxa"/>
              <w:bottom w:w="0" w:type="dxa"/>
              <w:right w:w="70" w:type="dxa"/>
            </w:tcMar>
            <w:vAlign w:val="center"/>
            <w:hideMark/>
          </w:tcPr>
          <w:p w14:paraId="444588CE" w14:textId="77777777" w:rsidR="00A33631" w:rsidRPr="007B60BF" w:rsidRDefault="00A33631" w:rsidP="00A33631">
            <w:pPr>
              <w:jc w:val="right"/>
            </w:pPr>
            <w:r w:rsidRPr="007B60BF">
              <w:rPr>
                <w:color w:val="000000"/>
              </w:rPr>
              <w:t> </w:t>
            </w:r>
          </w:p>
        </w:tc>
        <w:tc>
          <w:tcPr>
            <w:tcW w:w="760" w:type="pct"/>
            <w:tcBorders>
              <w:top w:val="single" w:sz="4" w:space="0" w:color="auto"/>
            </w:tcBorders>
            <w:tcMar>
              <w:top w:w="0" w:type="dxa"/>
              <w:left w:w="70" w:type="dxa"/>
              <w:bottom w:w="0" w:type="dxa"/>
              <w:right w:w="70" w:type="dxa"/>
            </w:tcMar>
            <w:hideMark/>
          </w:tcPr>
          <w:p w14:paraId="3A9E21CD" w14:textId="32D9DD0A" w:rsidR="00A33631" w:rsidRPr="007B60BF" w:rsidRDefault="006E1657" w:rsidP="006E1657">
            <w:pPr>
              <w:jc w:val="right"/>
            </w:pPr>
            <w:r w:rsidRPr="007B60BF">
              <w:t>9</w:t>
            </w:r>
            <w:r w:rsidR="00A33631" w:rsidRPr="007B60BF">
              <w:t>.</w:t>
            </w:r>
            <w:r w:rsidRPr="007B60BF">
              <w:t>245</w:t>
            </w:r>
          </w:p>
        </w:tc>
        <w:tc>
          <w:tcPr>
            <w:tcW w:w="130" w:type="pct"/>
            <w:tcMar>
              <w:top w:w="0" w:type="dxa"/>
              <w:left w:w="70" w:type="dxa"/>
              <w:bottom w:w="0" w:type="dxa"/>
              <w:right w:w="70" w:type="dxa"/>
            </w:tcMar>
            <w:vAlign w:val="center"/>
            <w:hideMark/>
          </w:tcPr>
          <w:p w14:paraId="5F837C94" w14:textId="77777777" w:rsidR="00A33631" w:rsidRPr="007B60BF" w:rsidRDefault="00A33631" w:rsidP="00A33631">
            <w:pPr>
              <w:jc w:val="right"/>
              <w:rPr>
                <w:rFonts w:ascii="Arial" w:hAnsi="Arial" w:cs="Arial"/>
              </w:rPr>
            </w:pPr>
          </w:p>
        </w:tc>
        <w:tc>
          <w:tcPr>
            <w:tcW w:w="761" w:type="pct"/>
            <w:tcBorders>
              <w:top w:val="single" w:sz="4" w:space="0" w:color="auto"/>
            </w:tcBorders>
            <w:tcMar>
              <w:top w:w="0" w:type="dxa"/>
              <w:left w:w="70" w:type="dxa"/>
              <w:bottom w:w="0" w:type="dxa"/>
              <w:right w:w="70" w:type="dxa"/>
            </w:tcMar>
          </w:tcPr>
          <w:p w14:paraId="524F2211" w14:textId="3F3380AF" w:rsidR="00A33631" w:rsidRPr="007B60BF" w:rsidRDefault="006316C0" w:rsidP="00A33631">
            <w:pPr>
              <w:jc w:val="right"/>
            </w:pPr>
            <w:r w:rsidRPr="007B60BF">
              <w:t>15</w:t>
            </w:r>
          </w:p>
        </w:tc>
        <w:tc>
          <w:tcPr>
            <w:tcW w:w="130" w:type="pct"/>
            <w:tcMar>
              <w:top w:w="0" w:type="dxa"/>
              <w:left w:w="70" w:type="dxa"/>
              <w:bottom w:w="0" w:type="dxa"/>
              <w:right w:w="70" w:type="dxa"/>
            </w:tcMar>
            <w:vAlign w:val="center"/>
            <w:hideMark/>
          </w:tcPr>
          <w:p w14:paraId="40DABA05" w14:textId="77777777" w:rsidR="00A33631" w:rsidRPr="007B60BF" w:rsidRDefault="00A33631" w:rsidP="00A33631">
            <w:pPr>
              <w:jc w:val="right"/>
            </w:pPr>
            <w:r w:rsidRPr="007B60BF">
              <w:t> </w:t>
            </w:r>
          </w:p>
        </w:tc>
        <w:tc>
          <w:tcPr>
            <w:tcW w:w="699" w:type="pct"/>
            <w:tcBorders>
              <w:top w:val="single" w:sz="4" w:space="0" w:color="auto"/>
            </w:tcBorders>
            <w:tcMar>
              <w:top w:w="0" w:type="dxa"/>
              <w:left w:w="70" w:type="dxa"/>
              <w:bottom w:w="0" w:type="dxa"/>
              <w:right w:w="70" w:type="dxa"/>
            </w:tcMar>
            <w:vAlign w:val="center"/>
            <w:hideMark/>
          </w:tcPr>
          <w:p w14:paraId="6BE90B74" w14:textId="2430D505" w:rsidR="00A33631" w:rsidRPr="007B60BF" w:rsidRDefault="00A33631" w:rsidP="00A33631">
            <w:pPr>
              <w:jc w:val="right"/>
            </w:pPr>
            <w:r w:rsidRPr="007B60BF">
              <w:t>- </w:t>
            </w:r>
          </w:p>
        </w:tc>
        <w:tc>
          <w:tcPr>
            <w:tcW w:w="130" w:type="pct"/>
            <w:tcMar>
              <w:top w:w="0" w:type="dxa"/>
              <w:left w:w="70" w:type="dxa"/>
              <w:bottom w:w="0" w:type="dxa"/>
              <w:right w:w="70" w:type="dxa"/>
            </w:tcMar>
            <w:vAlign w:val="center"/>
            <w:hideMark/>
          </w:tcPr>
          <w:p w14:paraId="66696071" w14:textId="77777777" w:rsidR="00A33631" w:rsidRPr="007B60BF" w:rsidRDefault="00A33631" w:rsidP="00A33631">
            <w:pPr>
              <w:jc w:val="right"/>
            </w:pPr>
            <w:r w:rsidRPr="007B60BF">
              <w:t> </w:t>
            </w:r>
          </w:p>
        </w:tc>
        <w:tc>
          <w:tcPr>
            <w:tcW w:w="722" w:type="pct"/>
            <w:tcBorders>
              <w:top w:val="single" w:sz="4" w:space="0" w:color="auto"/>
            </w:tcBorders>
            <w:tcMar>
              <w:top w:w="0" w:type="dxa"/>
              <w:left w:w="70" w:type="dxa"/>
              <w:bottom w:w="0" w:type="dxa"/>
              <w:right w:w="70" w:type="dxa"/>
            </w:tcMar>
          </w:tcPr>
          <w:p w14:paraId="73A5C044" w14:textId="11F0F349" w:rsidR="00A33631" w:rsidRPr="007B60BF" w:rsidRDefault="00A33631" w:rsidP="006316C0">
            <w:pPr>
              <w:jc w:val="right"/>
            </w:pPr>
            <w:r w:rsidRPr="007B60BF">
              <w:t>9.2</w:t>
            </w:r>
            <w:r w:rsidR="006316C0" w:rsidRPr="007B60BF">
              <w:t>60</w:t>
            </w:r>
          </w:p>
        </w:tc>
      </w:tr>
      <w:tr w:rsidR="00AE518D" w:rsidRPr="007B60BF" w14:paraId="7078A4FF" w14:textId="77777777" w:rsidTr="00C726B9">
        <w:tc>
          <w:tcPr>
            <w:tcW w:w="1536" w:type="pct"/>
            <w:tcMar>
              <w:top w:w="0" w:type="dxa"/>
              <w:left w:w="70" w:type="dxa"/>
              <w:bottom w:w="0" w:type="dxa"/>
              <w:right w:w="70" w:type="dxa"/>
            </w:tcMar>
            <w:vAlign w:val="center"/>
          </w:tcPr>
          <w:p w14:paraId="7D67B6A2" w14:textId="1ED0C088" w:rsidR="00AE518D" w:rsidRPr="007B60BF" w:rsidRDefault="00AE518D" w:rsidP="00AE518D">
            <w:pPr>
              <w:rPr>
                <w:b/>
                <w:bCs/>
                <w:color w:val="000000"/>
              </w:rPr>
            </w:pPr>
            <w:r w:rsidRPr="007B60BF">
              <w:rPr>
                <w:color w:val="000000"/>
              </w:rPr>
              <w:t>Direito de Propriedade</w:t>
            </w:r>
          </w:p>
        </w:tc>
        <w:tc>
          <w:tcPr>
            <w:tcW w:w="130" w:type="pct"/>
            <w:tcMar>
              <w:top w:w="0" w:type="dxa"/>
              <w:left w:w="70" w:type="dxa"/>
              <w:bottom w:w="0" w:type="dxa"/>
              <w:right w:w="70" w:type="dxa"/>
            </w:tcMar>
            <w:vAlign w:val="center"/>
          </w:tcPr>
          <w:p w14:paraId="0ED66A4D" w14:textId="74462642" w:rsidR="00AE518D" w:rsidRPr="007B60BF" w:rsidRDefault="00AE518D" w:rsidP="00AE518D">
            <w:pPr>
              <w:jc w:val="right"/>
              <w:rPr>
                <w:b/>
                <w:bCs/>
                <w:color w:val="000000"/>
              </w:rPr>
            </w:pPr>
            <w:r w:rsidRPr="007B60BF">
              <w:rPr>
                <w:color w:val="000000"/>
              </w:rPr>
              <w:t> </w:t>
            </w:r>
          </w:p>
        </w:tc>
        <w:tc>
          <w:tcPr>
            <w:tcW w:w="760" w:type="pct"/>
            <w:tcBorders>
              <w:left w:val="nil"/>
              <w:bottom w:val="single" w:sz="4" w:space="0" w:color="auto"/>
              <w:right w:val="nil"/>
            </w:tcBorders>
            <w:tcMar>
              <w:top w:w="0" w:type="dxa"/>
              <w:left w:w="70" w:type="dxa"/>
              <w:bottom w:w="0" w:type="dxa"/>
              <w:right w:w="70" w:type="dxa"/>
            </w:tcMar>
          </w:tcPr>
          <w:p w14:paraId="52B8D2C7" w14:textId="2AF59529" w:rsidR="00AE518D" w:rsidRPr="007B60BF" w:rsidRDefault="00AE518D" w:rsidP="00AE518D">
            <w:pPr>
              <w:jc w:val="right"/>
              <w:rPr>
                <w:b/>
                <w:bCs/>
              </w:rPr>
            </w:pPr>
            <w:r w:rsidRPr="007B60BF">
              <w:t>-</w:t>
            </w:r>
          </w:p>
        </w:tc>
        <w:tc>
          <w:tcPr>
            <w:tcW w:w="130" w:type="pct"/>
            <w:tcMar>
              <w:top w:w="0" w:type="dxa"/>
              <w:left w:w="70" w:type="dxa"/>
              <w:bottom w:w="0" w:type="dxa"/>
              <w:right w:w="70" w:type="dxa"/>
            </w:tcMar>
            <w:vAlign w:val="center"/>
          </w:tcPr>
          <w:p w14:paraId="177B0F16" w14:textId="77777777" w:rsidR="00AE518D" w:rsidRPr="007B60BF" w:rsidRDefault="00AE518D" w:rsidP="00AE518D">
            <w:pPr>
              <w:jc w:val="right"/>
              <w:rPr>
                <w:b/>
                <w:bCs/>
                <w:color w:val="000000"/>
              </w:rPr>
            </w:pPr>
          </w:p>
        </w:tc>
        <w:tc>
          <w:tcPr>
            <w:tcW w:w="761" w:type="pct"/>
            <w:tcBorders>
              <w:left w:val="nil"/>
              <w:bottom w:val="single" w:sz="4" w:space="0" w:color="auto"/>
              <w:right w:val="nil"/>
            </w:tcBorders>
            <w:tcMar>
              <w:top w:w="0" w:type="dxa"/>
              <w:left w:w="70" w:type="dxa"/>
              <w:bottom w:w="0" w:type="dxa"/>
              <w:right w:w="70" w:type="dxa"/>
            </w:tcMar>
          </w:tcPr>
          <w:p w14:paraId="66FE7CF5" w14:textId="42931360" w:rsidR="00AE518D" w:rsidRPr="007B60BF" w:rsidRDefault="00AE518D" w:rsidP="00AE518D">
            <w:pPr>
              <w:jc w:val="right"/>
              <w:rPr>
                <w:b/>
              </w:rPr>
            </w:pPr>
            <w:r w:rsidRPr="007B60BF">
              <w:t>52</w:t>
            </w:r>
          </w:p>
        </w:tc>
        <w:tc>
          <w:tcPr>
            <w:tcW w:w="130" w:type="pct"/>
            <w:tcMar>
              <w:top w:w="0" w:type="dxa"/>
              <w:left w:w="70" w:type="dxa"/>
              <w:bottom w:w="0" w:type="dxa"/>
              <w:right w:w="70" w:type="dxa"/>
            </w:tcMar>
            <w:vAlign w:val="center"/>
          </w:tcPr>
          <w:p w14:paraId="4C0CA529" w14:textId="61CEA927" w:rsidR="00AE518D" w:rsidRPr="007B60BF" w:rsidRDefault="00AE518D" w:rsidP="00AE518D">
            <w:pPr>
              <w:jc w:val="right"/>
              <w:rPr>
                <w:b/>
                <w:bCs/>
              </w:rPr>
            </w:pPr>
            <w:r w:rsidRPr="007B60BF">
              <w:t> </w:t>
            </w:r>
          </w:p>
        </w:tc>
        <w:tc>
          <w:tcPr>
            <w:tcW w:w="699" w:type="pct"/>
            <w:tcBorders>
              <w:left w:val="nil"/>
              <w:bottom w:val="single" w:sz="4" w:space="0" w:color="auto"/>
              <w:right w:val="nil"/>
            </w:tcBorders>
            <w:tcMar>
              <w:top w:w="0" w:type="dxa"/>
              <w:left w:w="70" w:type="dxa"/>
              <w:bottom w:w="0" w:type="dxa"/>
              <w:right w:w="70" w:type="dxa"/>
            </w:tcMar>
            <w:vAlign w:val="center"/>
          </w:tcPr>
          <w:p w14:paraId="1C28EDCA" w14:textId="503C26E4" w:rsidR="00AE518D" w:rsidRPr="007B60BF" w:rsidRDefault="00AE518D" w:rsidP="00AE518D">
            <w:pPr>
              <w:jc w:val="right"/>
              <w:rPr>
                <w:b/>
                <w:bCs/>
              </w:rPr>
            </w:pPr>
            <w:r w:rsidRPr="007B60BF">
              <w:t>- </w:t>
            </w:r>
          </w:p>
        </w:tc>
        <w:tc>
          <w:tcPr>
            <w:tcW w:w="130" w:type="pct"/>
            <w:tcMar>
              <w:top w:w="0" w:type="dxa"/>
              <w:left w:w="70" w:type="dxa"/>
              <w:bottom w:w="0" w:type="dxa"/>
              <w:right w:w="70" w:type="dxa"/>
            </w:tcMar>
            <w:vAlign w:val="center"/>
          </w:tcPr>
          <w:p w14:paraId="69371454" w14:textId="2EACDDFC" w:rsidR="00AE518D" w:rsidRPr="007B60BF" w:rsidRDefault="00AE518D" w:rsidP="00AE518D">
            <w:pPr>
              <w:jc w:val="right"/>
              <w:rPr>
                <w:b/>
                <w:bCs/>
              </w:rPr>
            </w:pPr>
            <w:r w:rsidRPr="007B60BF">
              <w:t> </w:t>
            </w:r>
          </w:p>
        </w:tc>
        <w:tc>
          <w:tcPr>
            <w:tcW w:w="722" w:type="pct"/>
            <w:tcBorders>
              <w:left w:val="nil"/>
              <w:bottom w:val="single" w:sz="4" w:space="0" w:color="auto"/>
              <w:right w:val="nil"/>
            </w:tcBorders>
            <w:tcMar>
              <w:top w:w="0" w:type="dxa"/>
              <w:left w:w="70" w:type="dxa"/>
              <w:bottom w:w="0" w:type="dxa"/>
              <w:right w:w="70" w:type="dxa"/>
            </w:tcMar>
          </w:tcPr>
          <w:p w14:paraId="0113D255" w14:textId="7757854F" w:rsidR="00AE518D" w:rsidRPr="007B60BF" w:rsidRDefault="00AE518D" w:rsidP="00AE518D">
            <w:pPr>
              <w:jc w:val="right"/>
              <w:rPr>
                <w:b/>
              </w:rPr>
            </w:pPr>
            <w:r w:rsidRPr="007B60BF">
              <w:t>52</w:t>
            </w:r>
          </w:p>
        </w:tc>
      </w:tr>
      <w:tr w:rsidR="00A33631" w:rsidRPr="007B60BF" w14:paraId="2673C49D" w14:textId="77777777" w:rsidTr="00C726B9">
        <w:tc>
          <w:tcPr>
            <w:tcW w:w="1536" w:type="pct"/>
            <w:tcMar>
              <w:top w:w="0" w:type="dxa"/>
              <w:left w:w="70" w:type="dxa"/>
              <w:bottom w:w="0" w:type="dxa"/>
              <w:right w:w="70" w:type="dxa"/>
            </w:tcMar>
            <w:vAlign w:val="center"/>
            <w:hideMark/>
          </w:tcPr>
          <w:p w14:paraId="4C8389ED" w14:textId="77777777" w:rsidR="00A33631" w:rsidRPr="007B60BF" w:rsidRDefault="00A33631" w:rsidP="00A33631">
            <w:pPr>
              <w:rPr>
                <w:b/>
              </w:rPr>
            </w:pPr>
            <w:r w:rsidRPr="007B60BF">
              <w:rPr>
                <w:b/>
                <w:bCs/>
                <w:color w:val="000000"/>
              </w:rPr>
              <w:t>Total Intangível</w:t>
            </w:r>
          </w:p>
        </w:tc>
        <w:tc>
          <w:tcPr>
            <w:tcW w:w="130" w:type="pct"/>
            <w:tcMar>
              <w:top w:w="0" w:type="dxa"/>
              <w:left w:w="70" w:type="dxa"/>
              <w:bottom w:w="0" w:type="dxa"/>
              <w:right w:w="70" w:type="dxa"/>
            </w:tcMar>
            <w:vAlign w:val="center"/>
            <w:hideMark/>
          </w:tcPr>
          <w:p w14:paraId="6D4F270E" w14:textId="77777777" w:rsidR="00A33631" w:rsidRPr="007B60BF" w:rsidRDefault="00A33631" w:rsidP="00A33631">
            <w:pPr>
              <w:jc w:val="right"/>
              <w:rPr>
                <w:b/>
              </w:rPr>
            </w:pPr>
            <w:r w:rsidRPr="007B60BF">
              <w:rPr>
                <w:b/>
                <w:bCs/>
                <w:color w:val="000000"/>
              </w:rPr>
              <w:t> </w:t>
            </w:r>
          </w:p>
        </w:tc>
        <w:tc>
          <w:tcPr>
            <w:tcW w:w="760" w:type="pct"/>
            <w:tcBorders>
              <w:top w:val="single" w:sz="4" w:space="0" w:color="auto"/>
              <w:left w:val="nil"/>
              <w:bottom w:val="double" w:sz="6" w:space="0" w:color="auto"/>
              <w:right w:val="nil"/>
            </w:tcBorders>
            <w:tcMar>
              <w:top w:w="0" w:type="dxa"/>
              <w:left w:w="70" w:type="dxa"/>
              <w:bottom w:w="0" w:type="dxa"/>
              <w:right w:w="70" w:type="dxa"/>
            </w:tcMar>
            <w:vAlign w:val="center"/>
            <w:hideMark/>
          </w:tcPr>
          <w:p w14:paraId="109A3BC0" w14:textId="66677E20" w:rsidR="00A33631" w:rsidRPr="007B60BF" w:rsidRDefault="006E1657" w:rsidP="006E1657">
            <w:pPr>
              <w:jc w:val="right"/>
              <w:rPr>
                <w:b/>
              </w:rPr>
            </w:pPr>
            <w:r w:rsidRPr="007B60BF">
              <w:rPr>
                <w:b/>
                <w:bCs/>
              </w:rPr>
              <w:t>9</w:t>
            </w:r>
            <w:r w:rsidR="00A33631" w:rsidRPr="007B60BF">
              <w:rPr>
                <w:b/>
                <w:bCs/>
              </w:rPr>
              <w:t>.</w:t>
            </w:r>
            <w:r w:rsidRPr="007B60BF">
              <w:rPr>
                <w:b/>
                <w:bCs/>
              </w:rPr>
              <w:t>245</w:t>
            </w:r>
          </w:p>
        </w:tc>
        <w:tc>
          <w:tcPr>
            <w:tcW w:w="130" w:type="pct"/>
            <w:tcMar>
              <w:top w:w="0" w:type="dxa"/>
              <w:left w:w="70" w:type="dxa"/>
              <w:bottom w:w="0" w:type="dxa"/>
              <w:right w:w="70" w:type="dxa"/>
            </w:tcMar>
            <w:vAlign w:val="center"/>
            <w:hideMark/>
          </w:tcPr>
          <w:p w14:paraId="07F2EB60" w14:textId="77777777" w:rsidR="00A33631" w:rsidRPr="007B60BF" w:rsidRDefault="00A33631" w:rsidP="00A33631">
            <w:pPr>
              <w:jc w:val="right"/>
              <w:rPr>
                <w:b/>
              </w:rPr>
            </w:pPr>
            <w:r w:rsidRPr="007B60BF">
              <w:rPr>
                <w:b/>
                <w:bCs/>
                <w:color w:val="000000"/>
              </w:rPr>
              <w:t> </w:t>
            </w:r>
          </w:p>
        </w:tc>
        <w:tc>
          <w:tcPr>
            <w:tcW w:w="761" w:type="pct"/>
            <w:tcBorders>
              <w:top w:val="single" w:sz="4" w:space="0" w:color="auto"/>
              <w:left w:val="nil"/>
              <w:bottom w:val="double" w:sz="6" w:space="0" w:color="auto"/>
              <w:right w:val="nil"/>
            </w:tcBorders>
            <w:tcMar>
              <w:top w:w="0" w:type="dxa"/>
              <w:left w:w="70" w:type="dxa"/>
              <w:bottom w:w="0" w:type="dxa"/>
              <w:right w:w="70" w:type="dxa"/>
            </w:tcMar>
          </w:tcPr>
          <w:p w14:paraId="0D3C8550" w14:textId="745EBBB5" w:rsidR="00A33631" w:rsidRPr="007B60BF" w:rsidRDefault="00AE518D" w:rsidP="00A33631">
            <w:pPr>
              <w:jc w:val="right"/>
              <w:rPr>
                <w:b/>
              </w:rPr>
            </w:pPr>
            <w:r w:rsidRPr="007B60BF">
              <w:rPr>
                <w:b/>
              </w:rPr>
              <w:t>67</w:t>
            </w:r>
          </w:p>
        </w:tc>
        <w:tc>
          <w:tcPr>
            <w:tcW w:w="130" w:type="pct"/>
            <w:tcMar>
              <w:top w:w="0" w:type="dxa"/>
              <w:left w:w="70" w:type="dxa"/>
              <w:bottom w:w="0" w:type="dxa"/>
              <w:right w:w="70" w:type="dxa"/>
            </w:tcMar>
            <w:vAlign w:val="center"/>
            <w:hideMark/>
          </w:tcPr>
          <w:p w14:paraId="65D313D2" w14:textId="77777777" w:rsidR="00A33631" w:rsidRPr="007B60BF" w:rsidRDefault="00A33631" w:rsidP="00A33631">
            <w:pPr>
              <w:jc w:val="right"/>
              <w:rPr>
                <w:b/>
              </w:rPr>
            </w:pPr>
            <w:r w:rsidRPr="007B60BF">
              <w:rPr>
                <w:b/>
                <w:bCs/>
              </w:rPr>
              <w:t> </w:t>
            </w:r>
          </w:p>
        </w:tc>
        <w:tc>
          <w:tcPr>
            <w:tcW w:w="699" w:type="pct"/>
            <w:tcBorders>
              <w:top w:val="single" w:sz="4" w:space="0" w:color="auto"/>
              <w:left w:val="nil"/>
              <w:bottom w:val="double" w:sz="6" w:space="0" w:color="auto"/>
              <w:right w:val="nil"/>
            </w:tcBorders>
            <w:tcMar>
              <w:top w:w="0" w:type="dxa"/>
              <w:left w:w="70" w:type="dxa"/>
              <w:bottom w:w="0" w:type="dxa"/>
              <w:right w:w="70" w:type="dxa"/>
            </w:tcMar>
            <w:vAlign w:val="center"/>
            <w:hideMark/>
          </w:tcPr>
          <w:p w14:paraId="0DFA84D9" w14:textId="4269F73F" w:rsidR="00A33631" w:rsidRPr="007B60BF" w:rsidRDefault="00A33631" w:rsidP="00A33631">
            <w:pPr>
              <w:jc w:val="right"/>
              <w:rPr>
                <w:b/>
              </w:rPr>
            </w:pPr>
            <w:r w:rsidRPr="007B60BF">
              <w:rPr>
                <w:b/>
                <w:bCs/>
              </w:rPr>
              <w:t>-</w:t>
            </w:r>
          </w:p>
        </w:tc>
        <w:tc>
          <w:tcPr>
            <w:tcW w:w="130" w:type="pct"/>
            <w:tcMar>
              <w:top w:w="0" w:type="dxa"/>
              <w:left w:w="70" w:type="dxa"/>
              <w:bottom w:w="0" w:type="dxa"/>
              <w:right w:w="70" w:type="dxa"/>
            </w:tcMar>
            <w:vAlign w:val="center"/>
            <w:hideMark/>
          </w:tcPr>
          <w:p w14:paraId="5EC73C44" w14:textId="77777777" w:rsidR="00A33631" w:rsidRPr="007B60BF" w:rsidRDefault="00A33631" w:rsidP="00A33631">
            <w:pPr>
              <w:jc w:val="right"/>
              <w:rPr>
                <w:b/>
              </w:rPr>
            </w:pPr>
            <w:r w:rsidRPr="007B60BF">
              <w:rPr>
                <w:b/>
                <w:bCs/>
              </w:rPr>
              <w:t> </w:t>
            </w:r>
          </w:p>
        </w:tc>
        <w:tc>
          <w:tcPr>
            <w:tcW w:w="722" w:type="pct"/>
            <w:tcBorders>
              <w:top w:val="single" w:sz="4" w:space="0" w:color="auto"/>
              <w:left w:val="nil"/>
              <w:bottom w:val="double" w:sz="6" w:space="0" w:color="auto"/>
              <w:right w:val="nil"/>
            </w:tcBorders>
            <w:tcMar>
              <w:top w:w="0" w:type="dxa"/>
              <w:left w:w="70" w:type="dxa"/>
              <w:bottom w:w="0" w:type="dxa"/>
              <w:right w:w="70" w:type="dxa"/>
            </w:tcMar>
          </w:tcPr>
          <w:p w14:paraId="1C5FE8D4" w14:textId="5190F55B" w:rsidR="00A33631" w:rsidRPr="007B60BF" w:rsidRDefault="00A33631" w:rsidP="00AE518D">
            <w:pPr>
              <w:jc w:val="right"/>
              <w:rPr>
                <w:b/>
              </w:rPr>
            </w:pPr>
            <w:r w:rsidRPr="007B60BF">
              <w:rPr>
                <w:b/>
              </w:rPr>
              <w:t>9.</w:t>
            </w:r>
            <w:r w:rsidR="00AE518D" w:rsidRPr="007B60BF">
              <w:rPr>
                <w:b/>
              </w:rPr>
              <w:t>312</w:t>
            </w:r>
          </w:p>
        </w:tc>
      </w:tr>
    </w:tbl>
    <w:p w14:paraId="65F8789B" w14:textId="7985C498" w:rsidR="00376475" w:rsidRPr="007B60BF" w:rsidRDefault="00376475" w:rsidP="00376475">
      <w:pPr>
        <w:pStyle w:val="Ttulo1"/>
        <w:jc w:val="left"/>
      </w:pPr>
      <w:bookmarkStart w:id="37" w:name="_Toc31373362"/>
    </w:p>
    <w:p w14:paraId="1BD3EC4A" w14:textId="77777777" w:rsidR="00376475" w:rsidRPr="007B60BF" w:rsidRDefault="00376475" w:rsidP="00376475"/>
    <w:p w14:paraId="18D3E401" w14:textId="3174B960" w:rsidR="002A6B4D" w:rsidRPr="007B60BF" w:rsidRDefault="002A6B4D" w:rsidP="00086B22">
      <w:pPr>
        <w:pStyle w:val="Ttulo1"/>
        <w:numPr>
          <w:ilvl w:val="0"/>
          <w:numId w:val="5"/>
        </w:numPr>
        <w:ind w:left="0" w:hanging="567"/>
        <w:jc w:val="left"/>
      </w:pPr>
      <w:bookmarkStart w:id="38" w:name="_Toc223007860"/>
      <w:r w:rsidRPr="007B60BF">
        <w:t>Fornecedores</w:t>
      </w:r>
      <w:bookmarkEnd w:id="37"/>
      <w:bookmarkEnd w:id="38"/>
      <w:r w:rsidRPr="007B60BF">
        <w:t xml:space="preserve"> </w:t>
      </w:r>
    </w:p>
    <w:tbl>
      <w:tblPr>
        <w:tblW w:w="4923" w:type="pct"/>
        <w:tblCellMar>
          <w:left w:w="70" w:type="dxa"/>
          <w:right w:w="70" w:type="dxa"/>
        </w:tblCellMar>
        <w:tblLook w:val="04A0" w:firstRow="1" w:lastRow="0" w:firstColumn="1" w:lastColumn="0" w:noHBand="0" w:noVBand="1"/>
      </w:tblPr>
      <w:tblGrid>
        <w:gridCol w:w="5942"/>
        <w:gridCol w:w="1402"/>
        <w:gridCol w:w="190"/>
        <w:gridCol w:w="1397"/>
      </w:tblGrid>
      <w:tr w:rsidR="007024FA" w:rsidRPr="00A77C10" w14:paraId="6DB147A5" w14:textId="77777777" w:rsidTr="00C271A4">
        <w:tc>
          <w:tcPr>
            <w:tcW w:w="3327" w:type="pct"/>
            <w:tcBorders>
              <w:top w:val="nil"/>
              <w:left w:val="nil"/>
              <w:bottom w:val="nil"/>
              <w:right w:val="nil"/>
            </w:tcBorders>
            <w:shd w:val="clear" w:color="auto" w:fill="auto"/>
            <w:noWrap/>
            <w:vAlign w:val="bottom"/>
            <w:hideMark/>
          </w:tcPr>
          <w:p w14:paraId="3BAE6B14" w14:textId="77777777" w:rsidR="007024FA" w:rsidRPr="00A77C10" w:rsidRDefault="007024FA" w:rsidP="007024FA">
            <w:pPr>
              <w:rPr>
                <w:b/>
              </w:rPr>
            </w:pPr>
          </w:p>
        </w:tc>
        <w:tc>
          <w:tcPr>
            <w:tcW w:w="785" w:type="pct"/>
            <w:tcBorders>
              <w:top w:val="nil"/>
              <w:left w:val="nil"/>
              <w:bottom w:val="single" w:sz="8" w:space="0" w:color="auto"/>
              <w:right w:val="nil"/>
            </w:tcBorders>
            <w:shd w:val="clear" w:color="auto" w:fill="auto"/>
            <w:vAlign w:val="center"/>
            <w:hideMark/>
          </w:tcPr>
          <w:p w14:paraId="2D4EB08A" w14:textId="4926EAC6" w:rsidR="007024FA" w:rsidRPr="00A77C10" w:rsidRDefault="00D5012C" w:rsidP="00590EEE">
            <w:pPr>
              <w:jc w:val="right"/>
              <w:rPr>
                <w:b/>
                <w:bCs/>
              </w:rPr>
            </w:pPr>
            <w:r w:rsidRPr="00A77C10">
              <w:rPr>
                <w:b/>
                <w:bCs/>
              </w:rPr>
              <w:t>31/12/2025</w:t>
            </w:r>
          </w:p>
        </w:tc>
        <w:tc>
          <w:tcPr>
            <w:tcW w:w="106" w:type="pct"/>
            <w:tcBorders>
              <w:top w:val="nil"/>
              <w:left w:val="nil"/>
              <w:bottom w:val="nil"/>
              <w:right w:val="nil"/>
            </w:tcBorders>
            <w:shd w:val="clear" w:color="auto" w:fill="auto"/>
            <w:vAlign w:val="center"/>
            <w:hideMark/>
          </w:tcPr>
          <w:p w14:paraId="3ED7628B" w14:textId="77777777" w:rsidR="007024FA" w:rsidRPr="00A77C10" w:rsidRDefault="007024FA" w:rsidP="007024FA">
            <w:pPr>
              <w:jc w:val="right"/>
              <w:rPr>
                <w:b/>
                <w:bCs/>
              </w:rPr>
            </w:pPr>
          </w:p>
        </w:tc>
        <w:tc>
          <w:tcPr>
            <w:tcW w:w="782" w:type="pct"/>
            <w:tcBorders>
              <w:top w:val="nil"/>
              <w:left w:val="nil"/>
              <w:bottom w:val="single" w:sz="8" w:space="0" w:color="auto"/>
              <w:right w:val="nil"/>
            </w:tcBorders>
            <w:vAlign w:val="center"/>
          </w:tcPr>
          <w:p w14:paraId="357120C9" w14:textId="20B5BB33" w:rsidR="007024FA" w:rsidRPr="00A77C10" w:rsidRDefault="007024FA" w:rsidP="007024FA">
            <w:pPr>
              <w:jc w:val="right"/>
              <w:rPr>
                <w:b/>
              </w:rPr>
            </w:pPr>
            <w:r w:rsidRPr="00A77C10">
              <w:rPr>
                <w:b/>
                <w:bCs/>
              </w:rPr>
              <w:t>31/12/2024</w:t>
            </w:r>
          </w:p>
        </w:tc>
      </w:tr>
      <w:tr w:rsidR="005809D9" w:rsidRPr="007B60BF" w14:paraId="0B8FF66B" w14:textId="77777777" w:rsidTr="00C726B9">
        <w:tc>
          <w:tcPr>
            <w:tcW w:w="3327" w:type="pct"/>
            <w:tcBorders>
              <w:top w:val="nil"/>
              <w:left w:val="nil"/>
              <w:bottom w:val="nil"/>
              <w:right w:val="nil"/>
            </w:tcBorders>
            <w:shd w:val="clear" w:color="auto" w:fill="auto"/>
            <w:noWrap/>
            <w:vAlign w:val="bottom"/>
          </w:tcPr>
          <w:p w14:paraId="4593C08D" w14:textId="712AE55D" w:rsidR="005809D9" w:rsidRPr="007B60BF" w:rsidRDefault="005809D9" w:rsidP="005809D9">
            <w:pPr>
              <w:rPr>
                <w:b/>
              </w:rPr>
            </w:pPr>
            <w:r w:rsidRPr="007B60BF">
              <w:rPr>
                <w:color w:val="000000"/>
              </w:rPr>
              <w:t xml:space="preserve">Siemens Healthcare </w:t>
            </w:r>
            <w:r w:rsidR="008F1512" w:rsidRPr="007B60BF">
              <w:rPr>
                <w:color w:val="000000"/>
              </w:rPr>
              <w:t>Diagnósticos</w:t>
            </w:r>
            <w:r w:rsidRPr="007B60BF">
              <w:rPr>
                <w:color w:val="000000"/>
              </w:rPr>
              <w:t xml:space="preserve"> </w:t>
            </w:r>
            <w:r w:rsidR="008F1512" w:rsidRPr="007B60BF">
              <w:rPr>
                <w:color w:val="000000"/>
              </w:rPr>
              <w:t>Ltda.</w:t>
            </w:r>
          </w:p>
        </w:tc>
        <w:tc>
          <w:tcPr>
            <w:tcW w:w="785" w:type="pct"/>
            <w:tcBorders>
              <w:top w:val="nil"/>
              <w:left w:val="nil"/>
              <w:right w:val="nil"/>
            </w:tcBorders>
            <w:shd w:val="clear" w:color="auto" w:fill="auto"/>
          </w:tcPr>
          <w:p w14:paraId="504EB66A" w14:textId="0597840C" w:rsidR="005809D9" w:rsidRPr="007B60BF" w:rsidRDefault="005809D9" w:rsidP="005809D9">
            <w:pPr>
              <w:jc w:val="right"/>
              <w:rPr>
                <w:bCs/>
              </w:rPr>
            </w:pPr>
            <w:r w:rsidRPr="007B60BF">
              <w:rPr>
                <w:bCs/>
              </w:rPr>
              <w:t>1.619</w:t>
            </w:r>
          </w:p>
        </w:tc>
        <w:tc>
          <w:tcPr>
            <w:tcW w:w="106" w:type="pct"/>
            <w:tcBorders>
              <w:top w:val="nil"/>
              <w:left w:val="nil"/>
              <w:right w:val="nil"/>
            </w:tcBorders>
            <w:shd w:val="clear" w:color="auto" w:fill="auto"/>
            <w:vAlign w:val="center"/>
          </w:tcPr>
          <w:p w14:paraId="76B8EE80" w14:textId="77777777" w:rsidR="005809D9" w:rsidRPr="007B60BF" w:rsidRDefault="005809D9" w:rsidP="005809D9">
            <w:pPr>
              <w:jc w:val="right"/>
              <w:rPr>
                <w:b/>
                <w:bCs/>
              </w:rPr>
            </w:pPr>
          </w:p>
        </w:tc>
        <w:tc>
          <w:tcPr>
            <w:tcW w:w="782" w:type="pct"/>
            <w:tcBorders>
              <w:top w:val="nil"/>
              <w:left w:val="nil"/>
              <w:right w:val="nil"/>
            </w:tcBorders>
          </w:tcPr>
          <w:p w14:paraId="2FA29737" w14:textId="7F06DA5E" w:rsidR="005809D9" w:rsidRPr="007B60BF" w:rsidRDefault="005809D9" w:rsidP="005809D9">
            <w:pPr>
              <w:jc w:val="right"/>
              <w:rPr>
                <w:b/>
                <w:bCs/>
              </w:rPr>
            </w:pPr>
            <w:r w:rsidRPr="007B60BF">
              <w:rPr>
                <w:color w:val="000000"/>
              </w:rPr>
              <w:t>39</w:t>
            </w:r>
          </w:p>
        </w:tc>
      </w:tr>
      <w:tr w:rsidR="005809D9" w:rsidRPr="007B60BF" w14:paraId="0F236D70" w14:textId="77777777" w:rsidTr="00C271A4">
        <w:tc>
          <w:tcPr>
            <w:tcW w:w="3327" w:type="pct"/>
            <w:tcBorders>
              <w:top w:val="nil"/>
              <w:left w:val="nil"/>
              <w:bottom w:val="nil"/>
              <w:right w:val="nil"/>
            </w:tcBorders>
            <w:shd w:val="clear" w:color="auto" w:fill="auto"/>
            <w:noWrap/>
            <w:vAlign w:val="bottom"/>
          </w:tcPr>
          <w:p w14:paraId="71886E44" w14:textId="09C4353C" w:rsidR="005809D9" w:rsidRPr="007B60BF" w:rsidRDefault="005809D9" w:rsidP="005809D9">
            <w:r w:rsidRPr="007B60BF">
              <w:rPr>
                <w:color w:val="000000"/>
              </w:rPr>
              <w:t xml:space="preserve">Br Life </w:t>
            </w:r>
          </w:p>
        </w:tc>
        <w:tc>
          <w:tcPr>
            <w:tcW w:w="785" w:type="pct"/>
            <w:tcBorders>
              <w:top w:val="nil"/>
              <w:left w:val="nil"/>
              <w:right w:val="nil"/>
            </w:tcBorders>
            <w:shd w:val="clear" w:color="auto" w:fill="auto"/>
            <w:vAlign w:val="center"/>
          </w:tcPr>
          <w:p w14:paraId="19FB1F57" w14:textId="075EB799" w:rsidR="005809D9" w:rsidRPr="007B60BF" w:rsidRDefault="005809D9" w:rsidP="005809D9">
            <w:pPr>
              <w:jc w:val="right"/>
              <w:rPr>
                <w:bCs/>
              </w:rPr>
            </w:pPr>
            <w:r w:rsidRPr="007B60BF">
              <w:rPr>
                <w:bCs/>
              </w:rPr>
              <w:t>1.106</w:t>
            </w:r>
          </w:p>
        </w:tc>
        <w:tc>
          <w:tcPr>
            <w:tcW w:w="106" w:type="pct"/>
            <w:tcBorders>
              <w:top w:val="nil"/>
              <w:left w:val="nil"/>
              <w:right w:val="nil"/>
            </w:tcBorders>
            <w:shd w:val="clear" w:color="auto" w:fill="auto"/>
            <w:vAlign w:val="center"/>
          </w:tcPr>
          <w:p w14:paraId="51EE112A" w14:textId="77777777" w:rsidR="005809D9" w:rsidRPr="007B60BF" w:rsidRDefault="005809D9" w:rsidP="005809D9">
            <w:pPr>
              <w:jc w:val="right"/>
              <w:rPr>
                <w:bCs/>
              </w:rPr>
            </w:pPr>
          </w:p>
        </w:tc>
        <w:tc>
          <w:tcPr>
            <w:tcW w:w="782" w:type="pct"/>
            <w:tcBorders>
              <w:top w:val="nil"/>
              <w:left w:val="nil"/>
              <w:right w:val="nil"/>
            </w:tcBorders>
            <w:shd w:val="clear" w:color="auto" w:fill="auto"/>
            <w:vAlign w:val="center"/>
          </w:tcPr>
          <w:p w14:paraId="351559D1" w14:textId="7E3EB85B" w:rsidR="005809D9" w:rsidRPr="007B60BF" w:rsidRDefault="005809D9" w:rsidP="005809D9">
            <w:pPr>
              <w:jc w:val="right"/>
              <w:rPr>
                <w:bCs/>
              </w:rPr>
            </w:pPr>
            <w:r w:rsidRPr="007B60BF">
              <w:rPr>
                <w:bCs/>
              </w:rPr>
              <w:t>-</w:t>
            </w:r>
          </w:p>
        </w:tc>
      </w:tr>
      <w:tr w:rsidR="005809D9" w:rsidRPr="007B60BF" w14:paraId="41115B25" w14:textId="77777777" w:rsidTr="00C726B9">
        <w:tc>
          <w:tcPr>
            <w:tcW w:w="3327" w:type="pct"/>
            <w:tcBorders>
              <w:top w:val="nil"/>
              <w:left w:val="nil"/>
              <w:bottom w:val="nil"/>
              <w:right w:val="nil"/>
            </w:tcBorders>
            <w:shd w:val="clear" w:color="auto" w:fill="auto"/>
            <w:noWrap/>
            <w:vAlign w:val="bottom"/>
          </w:tcPr>
          <w:p w14:paraId="3244BF3E" w14:textId="0C5A0A68" w:rsidR="005809D9" w:rsidRPr="007B60BF" w:rsidRDefault="008F1512" w:rsidP="005809D9">
            <w:r w:rsidRPr="007B60BF">
              <w:rPr>
                <w:color w:val="000000"/>
              </w:rPr>
              <w:t>Líder</w:t>
            </w:r>
            <w:r w:rsidR="005809D9" w:rsidRPr="007B60BF">
              <w:rPr>
                <w:color w:val="000000"/>
              </w:rPr>
              <w:t xml:space="preserve"> Notebooks Comercio e </w:t>
            </w:r>
            <w:r w:rsidRPr="007B60BF">
              <w:rPr>
                <w:color w:val="000000"/>
              </w:rPr>
              <w:t>Serviços</w:t>
            </w:r>
            <w:r w:rsidR="005809D9" w:rsidRPr="007B60BF">
              <w:rPr>
                <w:color w:val="000000"/>
              </w:rPr>
              <w:t xml:space="preserve"> </w:t>
            </w:r>
            <w:r w:rsidRPr="007B60BF">
              <w:rPr>
                <w:color w:val="000000"/>
              </w:rPr>
              <w:t>Ltda.</w:t>
            </w:r>
          </w:p>
        </w:tc>
        <w:tc>
          <w:tcPr>
            <w:tcW w:w="785" w:type="pct"/>
            <w:tcBorders>
              <w:top w:val="nil"/>
              <w:left w:val="nil"/>
              <w:right w:val="nil"/>
            </w:tcBorders>
            <w:shd w:val="clear" w:color="auto" w:fill="auto"/>
          </w:tcPr>
          <w:p w14:paraId="12698E42" w14:textId="773E4391" w:rsidR="005809D9" w:rsidRPr="007B60BF" w:rsidRDefault="005809D9" w:rsidP="005809D9">
            <w:pPr>
              <w:jc w:val="right"/>
              <w:rPr>
                <w:bCs/>
              </w:rPr>
            </w:pPr>
            <w:r w:rsidRPr="007B60BF">
              <w:rPr>
                <w:bCs/>
              </w:rPr>
              <w:t>772</w:t>
            </w:r>
          </w:p>
        </w:tc>
        <w:tc>
          <w:tcPr>
            <w:tcW w:w="106" w:type="pct"/>
            <w:tcBorders>
              <w:top w:val="nil"/>
              <w:left w:val="nil"/>
              <w:right w:val="nil"/>
            </w:tcBorders>
            <w:shd w:val="clear" w:color="auto" w:fill="auto"/>
            <w:vAlign w:val="center"/>
          </w:tcPr>
          <w:p w14:paraId="7683408E"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24508BD6" w14:textId="27D01771" w:rsidR="005809D9" w:rsidRPr="007B60BF" w:rsidRDefault="005809D9" w:rsidP="005809D9">
            <w:pPr>
              <w:jc w:val="right"/>
              <w:rPr>
                <w:color w:val="000000"/>
              </w:rPr>
            </w:pPr>
            <w:r w:rsidRPr="007B60BF">
              <w:t>-</w:t>
            </w:r>
          </w:p>
        </w:tc>
      </w:tr>
      <w:tr w:rsidR="005809D9" w:rsidRPr="007B60BF" w14:paraId="6555204E" w14:textId="77777777" w:rsidTr="00C271A4">
        <w:tc>
          <w:tcPr>
            <w:tcW w:w="3327" w:type="pct"/>
            <w:tcBorders>
              <w:top w:val="nil"/>
              <w:left w:val="nil"/>
              <w:bottom w:val="nil"/>
              <w:right w:val="nil"/>
            </w:tcBorders>
            <w:shd w:val="clear" w:color="auto" w:fill="auto"/>
            <w:noWrap/>
            <w:vAlign w:val="bottom"/>
          </w:tcPr>
          <w:p w14:paraId="00EE3269" w14:textId="558F4A89" w:rsidR="005809D9" w:rsidRPr="007B60BF" w:rsidRDefault="005809D9" w:rsidP="005809D9">
            <w:r w:rsidRPr="007B60BF">
              <w:rPr>
                <w:color w:val="000000"/>
              </w:rPr>
              <w:t xml:space="preserve">Centro Saneamento e </w:t>
            </w:r>
            <w:r w:rsidR="008F1512" w:rsidRPr="007B60BF">
              <w:rPr>
                <w:color w:val="000000"/>
              </w:rPr>
              <w:t>Serviços</w:t>
            </w:r>
            <w:r w:rsidRPr="007B60BF">
              <w:rPr>
                <w:color w:val="000000"/>
              </w:rPr>
              <w:t xml:space="preserve"> </w:t>
            </w:r>
            <w:r w:rsidR="008F1512" w:rsidRPr="007B60BF">
              <w:rPr>
                <w:color w:val="000000"/>
              </w:rPr>
              <w:t>Avançados</w:t>
            </w:r>
            <w:r w:rsidRPr="007B60BF">
              <w:rPr>
                <w:color w:val="000000"/>
              </w:rPr>
              <w:t xml:space="preserve"> </w:t>
            </w:r>
            <w:r w:rsidR="008F1512" w:rsidRPr="007B60BF">
              <w:rPr>
                <w:color w:val="000000"/>
              </w:rPr>
              <w:t>Ltda.</w:t>
            </w:r>
          </w:p>
        </w:tc>
        <w:tc>
          <w:tcPr>
            <w:tcW w:w="785" w:type="pct"/>
            <w:tcBorders>
              <w:top w:val="nil"/>
              <w:left w:val="nil"/>
              <w:right w:val="nil"/>
            </w:tcBorders>
            <w:shd w:val="clear" w:color="auto" w:fill="auto"/>
            <w:vAlign w:val="center"/>
          </w:tcPr>
          <w:p w14:paraId="4D1093DA" w14:textId="41669964" w:rsidR="005809D9" w:rsidRPr="007B60BF" w:rsidRDefault="005809D9" w:rsidP="005809D9">
            <w:pPr>
              <w:jc w:val="right"/>
              <w:rPr>
                <w:bCs/>
              </w:rPr>
            </w:pPr>
            <w:r w:rsidRPr="007B60BF">
              <w:rPr>
                <w:bCs/>
              </w:rPr>
              <w:t>567</w:t>
            </w:r>
          </w:p>
        </w:tc>
        <w:tc>
          <w:tcPr>
            <w:tcW w:w="106" w:type="pct"/>
            <w:tcBorders>
              <w:top w:val="nil"/>
              <w:left w:val="nil"/>
              <w:right w:val="nil"/>
            </w:tcBorders>
            <w:shd w:val="clear" w:color="auto" w:fill="auto"/>
            <w:vAlign w:val="center"/>
          </w:tcPr>
          <w:p w14:paraId="1004E465" w14:textId="77777777" w:rsidR="005809D9" w:rsidRPr="007B60BF" w:rsidRDefault="005809D9" w:rsidP="005809D9">
            <w:pPr>
              <w:jc w:val="right"/>
              <w:rPr>
                <w:bCs/>
              </w:rPr>
            </w:pPr>
          </w:p>
        </w:tc>
        <w:tc>
          <w:tcPr>
            <w:tcW w:w="782" w:type="pct"/>
            <w:tcBorders>
              <w:top w:val="nil"/>
              <w:left w:val="nil"/>
              <w:right w:val="nil"/>
            </w:tcBorders>
            <w:shd w:val="clear" w:color="auto" w:fill="auto"/>
            <w:vAlign w:val="center"/>
          </w:tcPr>
          <w:p w14:paraId="26BABF99" w14:textId="04B2B000" w:rsidR="005809D9" w:rsidRPr="007B60BF" w:rsidRDefault="00BF057F" w:rsidP="005809D9">
            <w:pPr>
              <w:jc w:val="right"/>
              <w:rPr>
                <w:bCs/>
              </w:rPr>
            </w:pPr>
            <w:r>
              <w:rPr>
                <w:bCs/>
              </w:rPr>
              <w:t>-</w:t>
            </w:r>
          </w:p>
        </w:tc>
      </w:tr>
      <w:tr w:rsidR="005809D9" w:rsidRPr="007B60BF" w14:paraId="1F4E1ABC" w14:textId="77777777" w:rsidTr="00C726B9">
        <w:tc>
          <w:tcPr>
            <w:tcW w:w="3327" w:type="pct"/>
            <w:tcBorders>
              <w:top w:val="nil"/>
              <w:left w:val="nil"/>
              <w:bottom w:val="nil"/>
              <w:right w:val="nil"/>
            </w:tcBorders>
            <w:shd w:val="clear" w:color="auto" w:fill="auto"/>
            <w:noWrap/>
            <w:vAlign w:val="bottom"/>
          </w:tcPr>
          <w:p w14:paraId="7FF6B313" w14:textId="4070F3AF" w:rsidR="005809D9" w:rsidRPr="007B60BF" w:rsidRDefault="005809D9" w:rsidP="005809D9">
            <w:r w:rsidRPr="007B60BF">
              <w:rPr>
                <w:color w:val="000000"/>
              </w:rPr>
              <w:t>Companhia De Gás do Estado Do Rs.</w:t>
            </w:r>
          </w:p>
        </w:tc>
        <w:tc>
          <w:tcPr>
            <w:tcW w:w="785" w:type="pct"/>
            <w:tcBorders>
              <w:top w:val="nil"/>
              <w:left w:val="nil"/>
              <w:right w:val="nil"/>
            </w:tcBorders>
            <w:shd w:val="clear" w:color="auto" w:fill="auto"/>
          </w:tcPr>
          <w:p w14:paraId="3640ECEB" w14:textId="53BC2921" w:rsidR="005809D9" w:rsidRPr="007B60BF" w:rsidRDefault="005809D9" w:rsidP="005809D9">
            <w:pPr>
              <w:jc w:val="right"/>
              <w:rPr>
                <w:bCs/>
              </w:rPr>
            </w:pPr>
            <w:r w:rsidRPr="007B60BF">
              <w:rPr>
                <w:bCs/>
              </w:rPr>
              <w:t>564</w:t>
            </w:r>
          </w:p>
        </w:tc>
        <w:tc>
          <w:tcPr>
            <w:tcW w:w="106" w:type="pct"/>
            <w:tcBorders>
              <w:top w:val="nil"/>
              <w:left w:val="nil"/>
              <w:right w:val="nil"/>
            </w:tcBorders>
            <w:shd w:val="clear" w:color="auto" w:fill="auto"/>
            <w:vAlign w:val="center"/>
          </w:tcPr>
          <w:p w14:paraId="73CDC783"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386BEC1E" w14:textId="31303CDA" w:rsidR="005809D9" w:rsidRPr="007B60BF" w:rsidRDefault="005809D9" w:rsidP="005809D9">
            <w:pPr>
              <w:jc w:val="right"/>
              <w:rPr>
                <w:color w:val="000000"/>
              </w:rPr>
            </w:pPr>
            <w:r w:rsidRPr="007B60BF">
              <w:t>674</w:t>
            </w:r>
          </w:p>
        </w:tc>
      </w:tr>
      <w:tr w:rsidR="005809D9" w:rsidRPr="007B60BF" w14:paraId="5A54AB33" w14:textId="77777777" w:rsidTr="00C726B9">
        <w:tc>
          <w:tcPr>
            <w:tcW w:w="3327" w:type="pct"/>
            <w:tcBorders>
              <w:top w:val="nil"/>
              <w:left w:val="nil"/>
              <w:bottom w:val="nil"/>
              <w:right w:val="nil"/>
            </w:tcBorders>
            <w:shd w:val="clear" w:color="auto" w:fill="auto"/>
            <w:noWrap/>
            <w:vAlign w:val="bottom"/>
          </w:tcPr>
          <w:p w14:paraId="6CDD4121" w14:textId="44728AAA" w:rsidR="005809D9" w:rsidRPr="007B60BF" w:rsidRDefault="005809D9" w:rsidP="005809D9">
            <w:r w:rsidRPr="007B60BF">
              <w:rPr>
                <w:color w:val="000000"/>
              </w:rPr>
              <w:t xml:space="preserve">Fortpel - Comércio de Descartáveis </w:t>
            </w:r>
            <w:r w:rsidR="008F1512" w:rsidRPr="007B60BF">
              <w:rPr>
                <w:color w:val="000000"/>
              </w:rPr>
              <w:t>Ltda.</w:t>
            </w:r>
          </w:p>
        </w:tc>
        <w:tc>
          <w:tcPr>
            <w:tcW w:w="785" w:type="pct"/>
            <w:tcBorders>
              <w:top w:val="nil"/>
              <w:left w:val="nil"/>
              <w:right w:val="nil"/>
            </w:tcBorders>
            <w:shd w:val="clear" w:color="auto" w:fill="auto"/>
          </w:tcPr>
          <w:p w14:paraId="7F1889F1" w14:textId="643A1918" w:rsidR="005809D9" w:rsidRPr="007B60BF" w:rsidRDefault="005809D9" w:rsidP="005809D9">
            <w:pPr>
              <w:jc w:val="right"/>
              <w:rPr>
                <w:bCs/>
              </w:rPr>
            </w:pPr>
            <w:r w:rsidRPr="007B60BF">
              <w:rPr>
                <w:bCs/>
              </w:rPr>
              <w:t>551</w:t>
            </w:r>
          </w:p>
        </w:tc>
        <w:tc>
          <w:tcPr>
            <w:tcW w:w="106" w:type="pct"/>
            <w:tcBorders>
              <w:top w:val="nil"/>
              <w:left w:val="nil"/>
              <w:right w:val="nil"/>
            </w:tcBorders>
            <w:shd w:val="clear" w:color="auto" w:fill="auto"/>
            <w:vAlign w:val="center"/>
          </w:tcPr>
          <w:p w14:paraId="6B70E599"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652512F2" w14:textId="28D5F1CB" w:rsidR="005809D9" w:rsidRPr="007B60BF" w:rsidRDefault="005809D9" w:rsidP="005809D9">
            <w:pPr>
              <w:jc w:val="right"/>
              <w:rPr>
                <w:color w:val="000000"/>
              </w:rPr>
            </w:pPr>
            <w:r w:rsidRPr="007B60BF">
              <w:t>395</w:t>
            </w:r>
          </w:p>
        </w:tc>
      </w:tr>
      <w:tr w:rsidR="005809D9" w:rsidRPr="007B60BF" w14:paraId="49D0183F" w14:textId="77777777" w:rsidTr="00C726B9">
        <w:tc>
          <w:tcPr>
            <w:tcW w:w="3327" w:type="pct"/>
            <w:tcBorders>
              <w:top w:val="nil"/>
              <w:left w:val="nil"/>
              <w:bottom w:val="nil"/>
              <w:right w:val="nil"/>
            </w:tcBorders>
            <w:shd w:val="clear" w:color="auto" w:fill="auto"/>
            <w:noWrap/>
            <w:vAlign w:val="bottom"/>
          </w:tcPr>
          <w:p w14:paraId="02F42257" w14:textId="49157C8C" w:rsidR="005809D9" w:rsidRPr="007B60BF" w:rsidRDefault="005809D9" w:rsidP="005809D9">
            <w:r w:rsidRPr="007B60BF">
              <w:rPr>
                <w:color w:val="000000"/>
              </w:rPr>
              <w:t xml:space="preserve">Betron Tecnologia em </w:t>
            </w:r>
            <w:r w:rsidR="008F1512" w:rsidRPr="007B60BF">
              <w:rPr>
                <w:color w:val="000000"/>
              </w:rPr>
              <w:t>Segurança</w:t>
            </w:r>
            <w:r w:rsidRPr="007B60BF">
              <w:rPr>
                <w:color w:val="000000"/>
              </w:rPr>
              <w:t xml:space="preserve"> </w:t>
            </w:r>
            <w:r w:rsidR="008F1512" w:rsidRPr="007B60BF">
              <w:rPr>
                <w:color w:val="000000"/>
              </w:rPr>
              <w:t>Ltda.</w:t>
            </w:r>
          </w:p>
        </w:tc>
        <w:tc>
          <w:tcPr>
            <w:tcW w:w="785" w:type="pct"/>
            <w:tcBorders>
              <w:top w:val="nil"/>
              <w:left w:val="nil"/>
              <w:right w:val="nil"/>
            </w:tcBorders>
            <w:shd w:val="clear" w:color="auto" w:fill="auto"/>
          </w:tcPr>
          <w:p w14:paraId="6AD6204C" w14:textId="1645099D" w:rsidR="005809D9" w:rsidRPr="007B60BF" w:rsidRDefault="005809D9" w:rsidP="005809D9">
            <w:pPr>
              <w:jc w:val="right"/>
              <w:rPr>
                <w:bCs/>
              </w:rPr>
            </w:pPr>
            <w:r w:rsidRPr="007B60BF">
              <w:rPr>
                <w:bCs/>
              </w:rPr>
              <w:t>496</w:t>
            </w:r>
          </w:p>
        </w:tc>
        <w:tc>
          <w:tcPr>
            <w:tcW w:w="106" w:type="pct"/>
            <w:tcBorders>
              <w:top w:val="nil"/>
              <w:left w:val="nil"/>
              <w:right w:val="nil"/>
            </w:tcBorders>
            <w:shd w:val="clear" w:color="auto" w:fill="auto"/>
            <w:vAlign w:val="center"/>
          </w:tcPr>
          <w:p w14:paraId="33A1E266"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647724EA" w14:textId="6214EBA9" w:rsidR="005809D9" w:rsidRPr="007B60BF" w:rsidRDefault="005809D9" w:rsidP="005809D9">
            <w:pPr>
              <w:jc w:val="right"/>
            </w:pPr>
            <w:r w:rsidRPr="007B60BF">
              <w:t>-</w:t>
            </w:r>
          </w:p>
        </w:tc>
      </w:tr>
      <w:tr w:rsidR="005809D9" w:rsidRPr="007B60BF" w14:paraId="59972F12" w14:textId="77777777" w:rsidTr="00C726B9">
        <w:tc>
          <w:tcPr>
            <w:tcW w:w="3327" w:type="pct"/>
            <w:tcBorders>
              <w:top w:val="nil"/>
              <w:left w:val="nil"/>
              <w:bottom w:val="nil"/>
              <w:right w:val="nil"/>
            </w:tcBorders>
            <w:shd w:val="clear" w:color="auto" w:fill="auto"/>
            <w:noWrap/>
            <w:vAlign w:val="bottom"/>
          </w:tcPr>
          <w:p w14:paraId="7C3EFFA8" w14:textId="5ED478C6" w:rsidR="005809D9" w:rsidRPr="007B60BF" w:rsidRDefault="005809D9" w:rsidP="005809D9">
            <w:r w:rsidRPr="007B60BF">
              <w:rPr>
                <w:color w:val="000000"/>
              </w:rPr>
              <w:t xml:space="preserve">Cristalia Produtos </w:t>
            </w:r>
            <w:r w:rsidR="008F1512" w:rsidRPr="007B60BF">
              <w:rPr>
                <w:color w:val="000000"/>
              </w:rPr>
              <w:t>Químicos</w:t>
            </w:r>
            <w:r w:rsidRPr="007B60BF">
              <w:rPr>
                <w:color w:val="000000"/>
              </w:rPr>
              <w:t xml:space="preserve"> </w:t>
            </w:r>
            <w:r w:rsidR="008F1512" w:rsidRPr="007B60BF">
              <w:rPr>
                <w:color w:val="000000"/>
              </w:rPr>
              <w:t>Farmacêuticos</w:t>
            </w:r>
            <w:r w:rsidRPr="007B60BF">
              <w:rPr>
                <w:color w:val="000000"/>
              </w:rPr>
              <w:t xml:space="preserve"> </w:t>
            </w:r>
            <w:r w:rsidR="008F1512" w:rsidRPr="007B60BF">
              <w:rPr>
                <w:color w:val="000000"/>
              </w:rPr>
              <w:t>Ltda.</w:t>
            </w:r>
          </w:p>
        </w:tc>
        <w:tc>
          <w:tcPr>
            <w:tcW w:w="785" w:type="pct"/>
            <w:tcBorders>
              <w:top w:val="nil"/>
              <w:left w:val="nil"/>
              <w:right w:val="nil"/>
            </w:tcBorders>
            <w:shd w:val="clear" w:color="auto" w:fill="auto"/>
          </w:tcPr>
          <w:p w14:paraId="17E2C18D" w14:textId="5E9031CE" w:rsidR="005809D9" w:rsidRPr="007B60BF" w:rsidRDefault="005809D9" w:rsidP="005809D9">
            <w:pPr>
              <w:jc w:val="right"/>
              <w:rPr>
                <w:bCs/>
              </w:rPr>
            </w:pPr>
            <w:r w:rsidRPr="007B60BF">
              <w:rPr>
                <w:bCs/>
              </w:rPr>
              <w:t>460</w:t>
            </w:r>
          </w:p>
        </w:tc>
        <w:tc>
          <w:tcPr>
            <w:tcW w:w="106" w:type="pct"/>
            <w:tcBorders>
              <w:top w:val="nil"/>
              <w:left w:val="nil"/>
              <w:right w:val="nil"/>
            </w:tcBorders>
            <w:shd w:val="clear" w:color="auto" w:fill="auto"/>
            <w:vAlign w:val="center"/>
          </w:tcPr>
          <w:p w14:paraId="7127F8E4" w14:textId="1A752E6B" w:rsidR="005809D9" w:rsidRPr="007B60BF" w:rsidRDefault="005809D9" w:rsidP="005809D9">
            <w:pPr>
              <w:jc w:val="right"/>
              <w:rPr>
                <w:bCs/>
              </w:rPr>
            </w:pPr>
          </w:p>
        </w:tc>
        <w:tc>
          <w:tcPr>
            <w:tcW w:w="782" w:type="pct"/>
            <w:tcBorders>
              <w:top w:val="nil"/>
              <w:left w:val="nil"/>
              <w:right w:val="nil"/>
            </w:tcBorders>
            <w:shd w:val="clear" w:color="auto" w:fill="auto"/>
          </w:tcPr>
          <w:p w14:paraId="25842549" w14:textId="402510B4" w:rsidR="005809D9" w:rsidRPr="007B60BF" w:rsidRDefault="005809D9" w:rsidP="005809D9">
            <w:pPr>
              <w:jc w:val="right"/>
              <w:rPr>
                <w:bCs/>
              </w:rPr>
            </w:pPr>
            <w:r w:rsidRPr="007B60BF">
              <w:rPr>
                <w:color w:val="000000"/>
              </w:rPr>
              <w:t>407</w:t>
            </w:r>
          </w:p>
        </w:tc>
      </w:tr>
      <w:tr w:rsidR="005809D9" w:rsidRPr="007B60BF" w14:paraId="514ECDB7" w14:textId="77777777" w:rsidTr="00C726B9">
        <w:tc>
          <w:tcPr>
            <w:tcW w:w="3327" w:type="pct"/>
            <w:tcBorders>
              <w:top w:val="nil"/>
              <w:left w:val="nil"/>
              <w:bottom w:val="nil"/>
              <w:right w:val="nil"/>
            </w:tcBorders>
            <w:shd w:val="clear" w:color="auto" w:fill="auto"/>
            <w:noWrap/>
            <w:vAlign w:val="bottom"/>
          </w:tcPr>
          <w:p w14:paraId="3E8FF5D5" w14:textId="5E6E11B4" w:rsidR="005809D9" w:rsidRPr="007B60BF" w:rsidRDefault="005809D9" w:rsidP="005809D9">
            <w:r w:rsidRPr="007B60BF">
              <w:rPr>
                <w:color w:val="000000"/>
              </w:rPr>
              <w:t xml:space="preserve">Life Laboratório De Insumos Farmacêuticos Estéreis </w:t>
            </w:r>
            <w:r w:rsidR="008F1512" w:rsidRPr="007B60BF">
              <w:rPr>
                <w:color w:val="000000"/>
              </w:rPr>
              <w:t>Ltda.</w:t>
            </w:r>
          </w:p>
        </w:tc>
        <w:tc>
          <w:tcPr>
            <w:tcW w:w="785" w:type="pct"/>
            <w:tcBorders>
              <w:top w:val="nil"/>
              <w:left w:val="nil"/>
              <w:right w:val="nil"/>
            </w:tcBorders>
            <w:shd w:val="clear" w:color="auto" w:fill="auto"/>
          </w:tcPr>
          <w:p w14:paraId="33D6C16C" w14:textId="788AF88A" w:rsidR="005809D9" w:rsidRPr="007B60BF" w:rsidRDefault="005809D9" w:rsidP="005809D9">
            <w:pPr>
              <w:jc w:val="right"/>
              <w:rPr>
                <w:bCs/>
              </w:rPr>
            </w:pPr>
            <w:r w:rsidRPr="007B60BF">
              <w:rPr>
                <w:bCs/>
              </w:rPr>
              <w:t>459</w:t>
            </w:r>
          </w:p>
        </w:tc>
        <w:tc>
          <w:tcPr>
            <w:tcW w:w="106" w:type="pct"/>
            <w:tcBorders>
              <w:top w:val="nil"/>
              <w:left w:val="nil"/>
              <w:right w:val="nil"/>
            </w:tcBorders>
            <w:shd w:val="clear" w:color="auto" w:fill="auto"/>
            <w:vAlign w:val="center"/>
          </w:tcPr>
          <w:p w14:paraId="50C72C4B"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03FB0DD8" w14:textId="5AC7CF4B" w:rsidR="005809D9" w:rsidRPr="007B60BF" w:rsidRDefault="005809D9" w:rsidP="005809D9">
            <w:pPr>
              <w:jc w:val="right"/>
            </w:pPr>
            <w:r w:rsidRPr="007B60BF">
              <w:t>-</w:t>
            </w:r>
          </w:p>
        </w:tc>
      </w:tr>
      <w:tr w:rsidR="005809D9" w:rsidRPr="007B60BF" w14:paraId="4F6A0E94" w14:textId="77777777" w:rsidTr="00C726B9">
        <w:tc>
          <w:tcPr>
            <w:tcW w:w="3327" w:type="pct"/>
            <w:tcBorders>
              <w:top w:val="nil"/>
              <w:left w:val="nil"/>
              <w:bottom w:val="nil"/>
              <w:right w:val="nil"/>
            </w:tcBorders>
            <w:shd w:val="clear" w:color="auto" w:fill="auto"/>
            <w:noWrap/>
            <w:vAlign w:val="bottom"/>
          </w:tcPr>
          <w:p w14:paraId="1D7503DE" w14:textId="6F1624D9" w:rsidR="005809D9" w:rsidRPr="007B60BF" w:rsidRDefault="005809D9" w:rsidP="005809D9">
            <w:r w:rsidRPr="007B60BF">
              <w:rPr>
                <w:color w:val="000000"/>
              </w:rPr>
              <w:t>Roche Diagnóstica Brasil Ltda.</w:t>
            </w:r>
          </w:p>
        </w:tc>
        <w:tc>
          <w:tcPr>
            <w:tcW w:w="785" w:type="pct"/>
            <w:tcBorders>
              <w:top w:val="nil"/>
              <w:left w:val="nil"/>
              <w:right w:val="nil"/>
            </w:tcBorders>
            <w:shd w:val="clear" w:color="auto" w:fill="auto"/>
          </w:tcPr>
          <w:p w14:paraId="2D222395" w14:textId="453BD7E0" w:rsidR="005809D9" w:rsidRPr="007B60BF" w:rsidRDefault="005809D9" w:rsidP="005809D9">
            <w:pPr>
              <w:jc w:val="right"/>
              <w:rPr>
                <w:bCs/>
              </w:rPr>
            </w:pPr>
            <w:r w:rsidRPr="007B60BF">
              <w:rPr>
                <w:bCs/>
              </w:rPr>
              <w:t>436</w:t>
            </w:r>
          </w:p>
        </w:tc>
        <w:tc>
          <w:tcPr>
            <w:tcW w:w="106" w:type="pct"/>
            <w:tcBorders>
              <w:top w:val="nil"/>
              <w:left w:val="nil"/>
              <w:right w:val="nil"/>
            </w:tcBorders>
            <w:shd w:val="clear" w:color="auto" w:fill="auto"/>
            <w:vAlign w:val="center"/>
          </w:tcPr>
          <w:p w14:paraId="11BBCCFE"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6CB3F926" w14:textId="2D9E7B71" w:rsidR="005809D9" w:rsidRPr="007B60BF" w:rsidRDefault="005809D9" w:rsidP="005809D9">
            <w:pPr>
              <w:jc w:val="right"/>
            </w:pPr>
            <w:r w:rsidRPr="007B60BF">
              <w:t>298</w:t>
            </w:r>
          </w:p>
        </w:tc>
      </w:tr>
      <w:tr w:rsidR="005809D9" w:rsidRPr="007B60BF" w14:paraId="3A7636B7" w14:textId="77777777" w:rsidTr="00C726B9">
        <w:tc>
          <w:tcPr>
            <w:tcW w:w="3327" w:type="pct"/>
            <w:tcBorders>
              <w:top w:val="nil"/>
              <w:left w:val="nil"/>
              <w:bottom w:val="nil"/>
              <w:right w:val="nil"/>
            </w:tcBorders>
            <w:shd w:val="clear" w:color="auto" w:fill="auto"/>
            <w:noWrap/>
            <w:vAlign w:val="bottom"/>
          </w:tcPr>
          <w:p w14:paraId="1D8A9E57" w14:textId="450F7D5A" w:rsidR="005809D9" w:rsidRPr="007B60BF" w:rsidRDefault="005809D9" w:rsidP="005809D9">
            <w:r w:rsidRPr="007B60BF">
              <w:rPr>
                <w:color w:val="000000"/>
              </w:rPr>
              <w:t xml:space="preserve">Trimedcall Comercio de Materiais </w:t>
            </w:r>
            <w:r w:rsidR="008F1512" w:rsidRPr="007B60BF">
              <w:rPr>
                <w:color w:val="000000"/>
              </w:rPr>
              <w:t>Médicos</w:t>
            </w:r>
            <w:r w:rsidRPr="007B60BF">
              <w:rPr>
                <w:color w:val="000000"/>
              </w:rPr>
              <w:t xml:space="preserve"> </w:t>
            </w:r>
          </w:p>
        </w:tc>
        <w:tc>
          <w:tcPr>
            <w:tcW w:w="785" w:type="pct"/>
            <w:tcBorders>
              <w:top w:val="nil"/>
              <w:left w:val="nil"/>
              <w:right w:val="nil"/>
            </w:tcBorders>
            <w:shd w:val="clear" w:color="auto" w:fill="auto"/>
          </w:tcPr>
          <w:p w14:paraId="69E93630" w14:textId="037EE52F" w:rsidR="005809D9" w:rsidRPr="007B60BF" w:rsidRDefault="005809D9" w:rsidP="005809D9">
            <w:pPr>
              <w:jc w:val="right"/>
              <w:rPr>
                <w:bCs/>
              </w:rPr>
            </w:pPr>
            <w:r w:rsidRPr="007B60BF">
              <w:rPr>
                <w:bCs/>
              </w:rPr>
              <w:t>423</w:t>
            </w:r>
          </w:p>
        </w:tc>
        <w:tc>
          <w:tcPr>
            <w:tcW w:w="106" w:type="pct"/>
            <w:tcBorders>
              <w:top w:val="nil"/>
              <w:left w:val="nil"/>
              <w:right w:val="nil"/>
            </w:tcBorders>
            <w:shd w:val="clear" w:color="auto" w:fill="auto"/>
            <w:vAlign w:val="center"/>
          </w:tcPr>
          <w:p w14:paraId="32D0AD53" w14:textId="77777777" w:rsidR="005809D9" w:rsidRPr="007B60BF" w:rsidRDefault="005809D9" w:rsidP="005809D9">
            <w:pPr>
              <w:jc w:val="right"/>
              <w:rPr>
                <w:bCs/>
              </w:rPr>
            </w:pPr>
          </w:p>
        </w:tc>
        <w:tc>
          <w:tcPr>
            <w:tcW w:w="782" w:type="pct"/>
            <w:tcBorders>
              <w:top w:val="nil"/>
              <w:left w:val="nil"/>
              <w:right w:val="nil"/>
            </w:tcBorders>
            <w:shd w:val="clear" w:color="auto" w:fill="auto"/>
          </w:tcPr>
          <w:p w14:paraId="0A96137C" w14:textId="23F1D156" w:rsidR="005809D9" w:rsidRPr="007B60BF" w:rsidRDefault="005809D9" w:rsidP="005809D9">
            <w:pPr>
              <w:jc w:val="right"/>
            </w:pPr>
            <w:r w:rsidRPr="007B60BF">
              <w:t>439</w:t>
            </w:r>
          </w:p>
        </w:tc>
      </w:tr>
      <w:tr w:rsidR="007E4243" w:rsidRPr="007B60BF" w14:paraId="5AF1D44D" w14:textId="77777777" w:rsidTr="00C271A4">
        <w:tc>
          <w:tcPr>
            <w:tcW w:w="3327" w:type="pct"/>
            <w:tcBorders>
              <w:top w:val="nil"/>
              <w:left w:val="nil"/>
              <w:bottom w:val="nil"/>
              <w:right w:val="nil"/>
            </w:tcBorders>
            <w:shd w:val="clear" w:color="auto" w:fill="auto"/>
            <w:vAlign w:val="center"/>
            <w:hideMark/>
          </w:tcPr>
          <w:p w14:paraId="349290B0" w14:textId="77777777" w:rsidR="007E4243" w:rsidRPr="007B60BF" w:rsidRDefault="007E4243" w:rsidP="007E4243">
            <w:pPr>
              <w:jc w:val="right"/>
              <w:rPr>
                <w:b/>
              </w:rPr>
            </w:pPr>
          </w:p>
        </w:tc>
        <w:tc>
          <w:tcPr>
            <w:tcW w:w="785" w:type="pct"/>
            <w:tcBorders>
              <w:top w:val="single" w:sz="8" w:space="0" w:color="auto"/>
              <w:left w:val="nil"/>
              <w:bottom w:val="nil"/>
              <w:right w:val="nil"/>
            </w:tcBorders>
            <w:shd w:val="clear" w:color="auto" w:fill="auto"/>
          </w:tcPr>
          <w:p w14:paraId="75C58F9E" w14:textId="1B3A31FB" w:rsidR="007E4243" w:rsidRPr="007B60BF" w:rsidRDefault="005809D9" w:rsidP="007E4243">
            <w:pPr>
              <w:jc w:val="right"/>
              <w:rPr>
                <w:bCs/>
              </w:rPr>
            </w:pPr>
            <w:r w:rsidRPr="007B60BF">
              <w:rPr>
                <w:bCs/>
              </w:rPr>
              <w:t>7.453</w:t>
            </w:r>
          </w:p>
        </w:tc>
        <w:tc>
          <w:tcPr>
            <w:tcW w:w="106" w:type="pct"/>
            <w:tcBorders>
              <w:top w:val="nil"/>
              <w:left w:val="nil"/>
              <w:bottom w:val="nil"/>
              <w:right w:val="nil"/>
            </w:tcBorders>
            <w:shd w:val="clear" w:color="000000" w:fill="FFFFFF"/>
          </w:tcPr>
          <w:p w14:paraId="37239EE1" w14:textId="7772D48D" w:rsidR="007E4243" w:rsidRPr="007B60BF" w:rsidRDefault="007E4243" w:rsidP="007E4243">
            <w:pPr>
              <w:rPr>
                <w:bCs/>
              </w:rPr>
            </w:pPr>
          </w:p>
        </w:tc>
        <w:tc>
          <w:tcPr>
            <w:tcW w:w="782" w:type="pct"/>
            <w:tcBorders>
              <w:top w:val="single" w:sz="8" w:space="0" w:color="auto"/>
              <w:left w:val="nil"/>
              <w:bottom w:val="nil"/>
              <w:right w:val="nil"/>
            </w:tcBorders>
          </w:tcPr>
          <w:p w14:paraId="1C04FA4C" w14:textId="6325EE74" w:rsidR="007E4243" w:rsidRPr="007B60BF" w:rsidRDefault="005809D9" w:rsidP="00BF057F">
            <w:pPr>
              <w:jc w:val="right"/>
            </w:pPr>
            <w:r w:rsidRPr="007B60BF">
              <w:t>2.</w:t>
            </w:r>
            <w:r w:rsidR="00BF057F">
              <w:t>252</w:t>
            </w:r>
          </w:p>
        </w:tc>
      </w:tr>
      <w:tr w:rsidR="007E4243" w:rsidRPr="007B60BF" w14:paraId="2445058C" w14:textId="77777777" w:rsidTr="00C271A4">
        <w:tc>
          <w:tcPr>
            <w:tcW w:w="3327" w:type="pct"/>
            <w:tcBorders>
              <w:top w:val="nil"/>
              <w:left w:val="nil"/>
              <w:bottom w:val="nil"/>
              <w:right w:val="nil"/>
            </w:tcBorders>
            <w:shd w:val="clear" w:color="auto" w:fill="auto"/>
            <w:vAlign w:val="center"/>
            <w:hideMark/>
          </w:tcPr>
          <w:p w14:paraId="0A6A7A19" w14:textId="77777777" w:rsidR="007E4243" w:rsidRPr="007B60BF" w:rsidRDefault="007E4243" w:rsidP="007E4243">
            <w:r w:rsidRPr="007B60BF">
              <w:rPr>
                <w:bCs/>
              </w:rPr>
              <w:t>Demais fornecedores</w:t>
            </w:r>
          </w:p>
        </w:tc>
        <w:tc>
          <w:tcPr>
            <w:tcW w:w="785" w:type="pct"/>
            <w:tcBorders>
              <w:top w:val="nil"/>
              <w:left w:val="nil"/>
              <w:bottom w:val="single" w:sz="8" w:space="0" w:color="auto"/>
              <w:right w:val="nil"/>
            </w:tcBorders>
            <w:shd w:val="clear" w:color="auto" w:fill="auto"/>
          </w:tcPr>
          <w:p w14:paraId="31DAC8AE" w14:textId="45EB0F46" w:rsidR="007E4243" w:rsidRPr="007B60BF" w:rsidRDefault="005809D9" w:rsidP="007E4243">
            <w:pPr>
              <w:jc w:val="right"/>
            </w:pPr>
            <w:r w:rsidRPr="007B60BF">
              <w:t>26.476</w:t>
            </w:r>
          </w:p>
        </w:tc>
        <w:tc>
          <w:tcPr>
            <w:tcW w:w="106" w:type="pct"/>
            <w:tcBorders>
              <w:top w:val="nil"/>
              <w:left w:val="nil"/>
              <w:bottom w:val="nil"/>
              <w:right w:val="nil"/>
            </w:tcBorders>
            <w:shd w:val="clear" w:color="000000" w:fill="FFFFFF"/>
          </w:tcPr>
          <w:p w14:paraId="31518C82" w14:textId="409935C2" w:rsidR="007E4243" w:rsidRPr="007B60BF" w:rsidRDefault="007E4243" w:rsidP="007E4243"/>
        </w:tc>
        <w:tc>
          <w:tcPr>
            <w:tcW w:w="782" w:type="pct"/>
            <w:tcBorders>
              <w:top w:val="nil"/>
              <w:left w:val="nil"/>
              <w:bottom w:val="single" w:sz="8" w:space="0" w:color="auto"/>
              <w:right w:val="nil"/>
            </w:tcBorders>
            <w:shd w:val="clear" w:color="000000" w:fill="FFFFFF"/>
          </w:tcPr>
          <w:p w14:paraId="3CDC52D0" w14:textId="07AE7D79" w:rsidR="007E4243" w:rsidRPr="007B60BF" w:rsidRDefault="005809D9" w:rsidP="007E4243">
            <w:pPr>
              <w:jc w:val="right"/>
            </w:pPr>
            <w:r w:rsidRPr="007B60BF">
              <w:t>24.719</w:t>
            </w:r>
          </w:p>
        </w:tc>
      </w:tr>
      <w:tr w:rsidR="00FA1C4A" w:rsidRPr="007B60BF" w14:paraId="4125693D" w14:textId="77777777" w:rsidTr="00C271A4">
        <w:tc>
          <w:tcPr>
            <w:tcW w:w="3327" w:type="pct"/>
            <w:tcBorders>
              <w:top w:val="nil"/>
              <w:left w:val="nil"/>
              <w:bottom w:val="nil"/>
              <w:right w:val="nil"/>
            </w:tcBorders>
            <w:shd w:val="clear" w:color="auto" w:fill="auto"/>
            <w:vAlign w:val="center"/>
            <w:hideMark/>
          </w:tcPr>
          <w:p w14:paraId="06F295BE" w14:textId="77777777" w:rsidR="00FA1C4A" w:rsidRPr="007B60BF" w:rsidRDefault="00FA1C4A" w:rsidP="00FA1C4A">
            <w:pPr>
              <w:rPr>
                <w:b/>
                <w:bCs/>
              </w:rPr>
            </w:pPr>
            <w:r w:rsidRPr="007B60BF">
              <w:rPr>
                <w:b/>
                <w:bCs/>
              </w:rPr>
              <w:t>Saldo Contábil</w:t>
            </w:r>
          </w:p>
        </w:tc>
        <w:tc>
          <w:tcPr>
            <w:tcW w:w="785" w:type="pct"/>
            <w:tcBorders>
              <w:top w:val="nil"/>
              <w:left w:val="nil"/>
              <w:bottom w:val="double" w:sz="6" w:space="0" w:color="auto"/>
              <w:right w:val="nil"/>
            </w:tcBorders>
            <w:shd w:val="clear" w:color="auto" w:fill="auto"/>
            <w:vAlign w:val="center"/>
          </w:tcPr>
          <w:p w14:paraId="2367513F" w14:textId="492CFC34" w:rsidR="00FA1C4A" w:rsidRPr="007B60BF" w:rsidRDefault="005809D9" w:rsidP="00FA1C4A">
            <w:pPr>
              <w:jc w:val="right"/>
              <w:rPr>
                <w:b/>
                <w:bCs/>
              </w:rPr>
            </w:pPr>
            <w:r w:rsidRPr="007B60BF">
              <w:rPr>
                <w:b/>
                <w:bCs/>
              </w:rPr>
              <w:t>33.929</w:t>
            </w:r>
          </w:p>
        </w:tc>
        <w:tc>
          <w:tcPr>
            <w:tcW w:w="106" w:type="pct"/>
            <w:tcBorders>
              <w:top w:val="nil"/>
              <w:left w:val="nil"/>
              <w:bottom w:val="nil"/>
              <w:right w:val="nil"/>
            </w:tcBorders>
            <w:shd w:val="clear" w:color="000000" w:fill="FFFFFF"/>
            <w:vAlign w:val="center"/>
            <w:hideMark/>
          </w:tcPr>
          <w:p w14:paraId="4DA4B2B4" w14:textId="77777777" w:rsidR="00FA1C4A" w:rsidRPr="007B60BF" w:rsidRDefault="00FA1C4A" w:rsidP="00FA1C4A">
            <w:pPr>
              <w:rPr>
                <w:b/>
              </w:rPr>
            </w:pPr>
            <w:r w:rsidRPr="007B60BF">
              <w:rPr>
                <w:b/>
              </w:rPr>
              <w:t> </w:t>
            </w:r>
          </w:p>
        </w:tc>
        <w:tc>
          <w:tcPr>
            <w:tcW w:w="782" w:type="pct"/>
            <w:tcBorders>
              <w:top w:val="nil"/>
              <w:left w:val="nil"/>
              <w:bottom w:val="double" w:sz="6" w:space="0" w:color="auto"/>
              <w:right w:val="nil"/>
            </w:tcBorders>
            <w:shd w:val="clear" w:color="000000" w:fill="FFFFFF"/>
            <w:vAlign w:val="center"/>
          </w:tcPr>
          <w:p w14:paraId="23C2E40E" w14:textId="708B11D7" w:rsidR="00FA1C4A" w:rsidRPr="007B60BF" w:rsidRDefault="005809D9" w:rsidP="00FA1C4A">
            <w:pPr>
              <w:jc w:val="right"/>
              <w:rPr>
                <w:b/>
              </w:rPr>
            </w:pPr>
            <w:r w:rsidRPr="007B60BF">
              <w:rPr>
                <w:b/>
                <w:bCs/>
              </w:rPr>
              <w:t>26.971</w:t>
            </w:r>
          </w:p>
        </w:tc>
      </w:tr>
    </w:tbl>
    <w:p w14:paraId="438E9E7F" w14:textId="0EE67FA5" w:rsidR="0089140C" w:rsidRPr="007B60BF" w:rsidRDefault="00872B11" w:rsidP="001B0EF5">
      <w:pPr>
        <w:jc w:val="both"/>
      </w:pPr>
      <w:r w:rsidRPr="007B60BF">
        <w:lastRenderedPageBreak/>
        <w:t>Os saldos dos fornecedores estão apresentados em ordem de</w:t>
      </w:r>
      <w:r w:rsidR="00F85F7D" w:rsidRPr="007B60BF">
        <w:t xml:space="preserve">crescente. O montante de R$ </w:t>
      </w:r>
      <w:r w:rsidR="008F1512">
        <w:t xml:space="preserve">26.476 </w:t>
      </w:r>
      <w:r w:rsidRPr="007B60BF">
        <w:t xml:space="preserve">está pulverizado em </w:t>
      </w:r>
      <w:r w:rsidR="00B5289F" w:rsidRPr="007B60BF">
        <w:t>514</w:t>
      </w:r>
      <w:r w:rsidR="00A453F3" w:rsidRPr="007B60BF">
        <w:t xml:space="preserve"> fornecedores em </w:t>
      </w:r>
      <w:r w:rsidR="004602BA" w:rsidRPr="007B60BF">
        <w:t>31 de dezembro de 2025</w:t>
      </w:r>
      <w:r w:rsidR="00A453F3" w:rsidRPr="007B60BF">
        <w:t>.</w:t>
      </w:r>
    </w:p>
    <w:p w14:paraId="3D387E65" w14:textId="1D6B20BE" w:rsidR="00872B11" w:rsidRPr="007B60BF" w:rsidRDefault="00872B11" w:rsidP="001B0EF5">
      <w:pPr>
        <w:jc w:val="both"/>
      </w:pPr>
    </w:p>
    <w:p w14:paraId="31D3E48D" w14:textId="77777777" w:rsidR="00872B11" w:rsidRPr="007B60BF" w:rsidRDefault="00872B11" w:rsidP="001B0EF5">
      <w:pPr>
        <w:jc w:val="both"/>
      </w:pPr>
    </w:p>
    <w:p w14:paraId="263F6E9A" w14:textId="77777777" w:rsidR="00B20F98" w:rsidRPr="007B60BF" w:rsidRDefault="00FE0281" w:rsidP="00086B22">
      <w:pPr>
        <w:pStyle w:val="Ttulo1"/>
        <w:numPr>
          <w:ilvl w:val="0"/>
          <w:numId w:val="5"/>
        </w:numPr>
        <w:ind w:left="0" w:hanging="567"/>
        <w:jc w:val="left"/>
      </w:pPr>
      <w:bookmarkStart w:id="39" w:name="_Ref466465991"/>
      <w:bookmarkStart w:id="40" w:name="_Ref466472218"/>
      <w:bookmarkStart w:id="41" w:name="_Toc223007861"/>
      <w:r w:rsidRPr="007B60BF">
        <w:t>Obrigações Tributárias e Sociais</w:t>
      </w:r>
      <w:bookmarkEnd w:id="39"/>
      <w:bookmarkEnd w:id="40"/>
      <w:bookmarkEnd w:id="41"/>
      <w:r w:rsidR="00A35EF4" w:rsidRPr="007B60BF">
        <w:t xml:space="preserve"> </w:t>
      </w:r>
    </w:p>
    <w:tbl>
      <w:tblPr>
        <w:tblW w:w="4923" w:type="pct"/>
        <w:tblCellMar>
          <w:left w:w="70" w:type="dxa"/>
          <w:right w:w="70" w:type="dxa"/>
        </w:tblCellMar>
        <w:tblLook w:val="04A0" w:firstRow="1" w:lastRow="0" w:firstColumn="1" w:lastColumn="0" w:noHBand="0" w:noVBand="1"/>
      </w:tblPr>
      <w:tblGrid>
        <w:gridCol w:w="5955"/>
        <w:gridCol w:w="1416"/>
        <w:gridCol w:w="161"/>
        <w:gridCol w:w="1399"/>
      </w:tblGrid>
      <w:tr w:rsidR="001C291F" w:rsidRPr="007B60BF" w14:paraId="359CE46E" w14:textId="77777777" w:rsidTr="00676BD2">
        <w:tc>
          <w:tcPr>
            <w:tcW w:w="3334" w:type="pct"/>
            <w:tcBorders>
              <w:top w:val="nil"/>
              <w:left w:val="nil"/>
              <w:right w:val="nil"/>
            </w:tcBorders>
            <w:shd w:val="clear" w:color="auto" w:fill="auto"/>
            <w:vAlign w:val="center"/>
            <w:hideMark/>
          </w:tcPr>
          <w:p w14:paraId="36A67304" w14:textId="77777777" w:rsidR="001C291F" w:rsidRPr="007B60BF" w:rsidRDefault="001C291F" w:rsidP="001C291F">
            <w:pPr>
              <w:rPr>
                <w:b/>
              </w:rPr>
            </w:pPr>
          </w:p>
        </w:tc>
        <w:tc>
          <w:tcPr>
            <w:tcW w:w="793" w:type="pct"/>
            <w:tcBorders>
              <w:top w:val="nil"/>
              <w:left w:val="nil"/>
              <w:bottom w:val="single" w:sz="4" w:space="0" w:color="auto"/>
              <w:right w:val="nil"/>
            </w:tcBorders>
            <w:shd w:val="clear" w:color="auto" w:fill="auto"/>
            <w:vAlign w:val="center"/>
            <w:hideMark/>
          </w:tcPr>
          <w:p w14:paraId="2A973952" w14:textId="247641A5" w:rsidR="001C291F" w:rsidRPr="007B60BF" w:rsidRDefault="00AA4FBC" w:rsidP="00590EEE">
            <w:pPr>
              <w:jc w:val="right"/>
              <w:rPr>
                <w:b/>
                <w:bCs/>
              </w:rPr>
            </w:pPr>
            <w:r w:rsidRPr="007B60BF">
              <w:rPr>
                <w:b/>
                <w:bCs/>
              </w:rPr>
              <w:t>31/12/2025</w:t>
            </w:r>
          </w:p>
        </w:tc>
        <w:tc>
          <w:tcPr>
            <w:tcW w:w="90" w:type="pct"/>
            <w:tcBorders>
              <w:top w:val="nil"/>
              <w:left w:val="nil"/>
              <w:right w:val="nil"/>
            </w:tcBorders>
            <w:shd w:val="clear" w:color="auto" w:fill="auto"/>
            <w:vAlign w:val="center"/>
            <w:hideMark/>
          </w:tcPr>
          <w:p w14:paraId="067EC29A" w14:textId="77777777" w:rsidR="001C291F" w:rsidRPr="007B60BF" w:rsidRDefault="001C291F" w:rsidP="001C291F">
            <w:pPr>
              <w:rPr>
                <w:b/>
              </w:rPr>
            </w:pPr>
          </w:p>
        </w:tc>
        <w:tc>
          <w:tcPr>
            <w:tcW w:w="783" w:type="pct"/>
            <w:tcBorders>
              <w:top w:val="nil"/>
              <w:left w:val="nil"/>
              <w:bottom w:val="single" w:sz="4" w:space="0" w:color="auto"/>
              <w:right w:val="nil"/>
            </w:tcBorders>
            <w:vAlign w:val="center"/>
          </w:tcPr>
          <w:p w14:paraId="2167BF14" w14:textId="6591B05A" w:rsidR="001C291F" w:rsidRPr="007B60BF" w:rsidRDefault="001C291F" w:rsidP="001C291F">
            <w:pPr>
              <w:jc w:val="right"/>
              <w:rPr>
                <w:b/>
              </w:rPr>
            </w:pPr>
            <w:r w:rsidRPr="007B60BF">
              <w:rPr>
                <w:b/>
                <w:bCs/>
              </w:rPr>
              <w:t>31/12/2024</w:t>
            </w:r>
          </w:p>
        </w:tc>
      </w:tr>
      <w:tr w:rsidR="00C80431" w:rsidRPr="007B60BF" w14:paraId="22EB3767" w14:textId="77777777" w:rsidTr="00676BD2">
        <w:tc>
          <w:tcPr>
            <w:tcW w:w="3334" w:type="pct"/>
            <w:tcBorders>
              <w:top w:val="nil"/>
              <w:left w:val="nil"/>
              <w:right w:val="nil"/>
            </w:tcBorders>
            <w:shd w:val="clear" w:color="auto" w:fill="auto"/>
            <w:vAlign w:val="center"/>
            <w:hideMark/>
          </w:tcPr>
          <w:p w14:paraId="20B3C0CC" w14:textId="77777777" w:rsidR="00C80431" w:rsidRPr="007B60BF" w:rsidRDefault="00C80431" w:rsidP="00C80431">
            <w:r w:rsidRPr="007B60BF">
              <w:t>PIS sobre Faturamento</w:t>
            </w:r>
          </w:p>
        </w:tc>
        <w:tc>
          <w:tcPr>
            <w:tcW w:w="793" w:type="pct"/>
            <w:tcBorders>
              <w:top w:val="single" w:sz="4" w:space="0" w:color="auto"/>
              <w:left w:val="nil"/>
              <w:right w:val="nil"/>
            </w:tcBorders>
            <w:shd w:val="clear" w:color="auto" w:fill="auto"/>
          </w:tcPr>
          <w:p w14:paraId="2AF81D30" w14:textId="2D09AD0F" w:rsidR="00C80431" w:rsidRPr="007B60BF" w:rsidRDefault="00937F7B" w:rsidP="00C80431">
            <w:pPr>
              <w:jc w:val="right"/>
            </w:pPr>
            <w:r w:rsidRPr="007B60BF">
              <w:t>57</w:t>
            </w:r>
          </w:p>
        </w:tc>
        <w:tc>
          <w:tcPr>
            <w:tcW w:w="90" w:type="pct"/>
            <w:tcBorders>
              <w:top w:val="nil"/>
              <w:left w:val="nil"/>
              <w:right w:val="nil"/>
            </w:tcBorders>
            <w:shd w:val="clear" w:color="auto" w:fill="auto"/>
            <w:vAlign w:val="center"/>
            <w:hideMark/>
          </w:tcPr>
          <w:p w14:paraId="0B84946E" w14:textId="77777777" w:rsidR="00C80431" w:rsidRPr="007B60BF" w:rsidRDefault="00C80431" w:rsidP="00C80431"/>
        </w:tc>
        <w:tc>
          <w:tcPr>
            <w:tcW w:w="783" w:type="pct"/>
            <w:tcBorders>
              <w:top w:val="single" w:sz="4" w:space="0" w:color="auto"/>
              <w:left w:val="nil"/>
              <w:right w:val="nil"/>
            </w:tcBorders>
          </w:tcPr>
          <w:p w14:paraId="5451F93B" w14:textId="20D5928C" w:rsidR="00C80431" w:rsidRPr="007B60BF" w:rsidRDefault="00C80431" w:rsidP="00C80431">
            <w:pPr>
              <w:jc w:val="right"/>
            </w:pPr>
            <w:r w:rsidRPr="007B60BF">
              <w:t>255</w:t>
            </w:r>
          </w:p>
        </w:tc>
      </w:tr>
      <w:tr w:rsidR="00C361EE" w:rsidRPr="007B60BF" w14:paraId="62A895AA" w14:textId="77777777" w:rsidTr="00676BD2">
        <w:tc>
          <w:tcPr>
            <w:tcW w:w="3334" w:type="pct"/>
            <w:tcBorders>
              <w:left w:val="nil"/>
              <w:bottom w:val="nil"/>
              <w:right w:val="nil"/>
            </w:tcBorders>
            <w:shd w:val="clear" w:color="auto" w:fill="auto"/>
            <w:vAlign w:val="center"/>
            <w:hideMark/>
          </w:tcPr>
          <w:p w14:paraId="524E7190" w14:textId="77777777" w:rsidR="00C361EE" w:rsidRPr="007B60BF" w:rsidRDefault="00C361EE" w:rsidP="000371E6">
            <w:r w:rsidRPr="007B60BF">
              <w:t>COFINS sobre Faturamento</w:t>
            </w:r>
          </w:p>
        </w:tc>
        <w:tc>
          <w:tcPr>
            <w:tcW w:w="793" w:type="pct"/>
            <w:tcBorders>
              <w:left w:val="nil"/>
              <w:bottom w:val="nil"/>
              <w:right w:val="nil"/>
            </w:tcBorders>
            <w:shd w:val="clear" w:color="auto" w:fill="auto"/>
          </w:tcPr>
          <w:p w14:paraId="26677323" w14:textId="77777777" w:rsidR="00C361EE" w:rsidRPr="007B60BF" w:rsidRDefault="00C361EE" w:rsidP="000371E6">
            <w:pPr>
              <w:jc w:val="right"/>
            </w:pPr>
            <w:r w:rsidRPr="007B60BF">
              <w:t>262</w:t>
            </w:r>
          </w:p>
        </w:tc>
        <w:tc>
          <w:tcPr>
            <w:tcW w:w="90" w:type="pct"/>
            <w:tcBorders>
              <w:left w:val="nil"/>
              <w:bottom w:val="nil"/>
              <w:right w:val="nil"/>
            </w:tcBorders>
            <w:shd w:val="clear" w:color="auto" w:fill="auto"/>
            <w:vAlign w:val="center"/>
            <w:hideMark/>
          </w:tcPr>
          <w:p w14:paraId="69B8C6AD" w14:textId="77777777" w:rsidR="00C361EE" w:rsidRPr="007B60BF" w:rsidRDefault="00C361EE" w:rsidP="000371E6"/>
        </w:tc>
        <w:tc>
          <w:tcPr>
            <w:tcW w:w="783" w:type="pct"/>
            <w:tcBorders>
              <w:left w:val="nil"/>
              <w:bottom w:val="nil"/>
              <w:right w:val="nil"/>
            </w:tcBorders>
          </w:tcPr>
          <w:p w14:paraId="70AAC731" w14:textId="77777777" w:rsidR="00C361EE" w:rsidRPr="007B60BF" w:rsidRDefault="00C361EE" w:rsidP="000371E6">
            <w:pPr>
              <w:jc w:val="right"/>
            </w:pPr>
            <w:r w:rsidRPr="007B60BF">
              <w:t>1.177</w:t>
            </w:r>
          </w:p>
        </w:tc>
      </w:tr>
      <w:tr w:rsidR="00C361EE" w:rsidRPr="007B60BF" w14:paraId="079A81BD" w14:textId="77777777" w:rsidTr="002B0EF6">
        <w:tc>
          <w:tcPr>
            <w:tcW w:w="3334" w:type="pct"/>
            <w:tcBorders>
              <w:top w:val="nil"/>
              <w:left w:val="nil"/>
              <w:bottom w:val="nil"/>
              <w:right w:val="nil"/>
            </w:tcBorders>
            <w:shd w:val="clear" w:color="auto" w:fill="auto"/>
            <w:vAlign w:val="center"/>
            <w:hideMark/>
          </w:tcPr>
          <w:p w14:paraId="639C7EFF" w14:textId="77777777" w:rsidR="00C361EE" w:rsidRPr="007B60BF" w:rsidRDefault="00C361EE" w:rsidP="000371E6">
            <w:r w:rsidRPr="007B60BF">
              <w:t>Tributos Federais e Municipais retidos de Fornecedores</w:t>
            </w:r>
          </w:p>
        </w:tc>
        <w:tc>
          <w:tcPr>
            <w:tcW w:w="793" w:type="pct"/>
            <w:tcBorders>
              <w:top w:val="nil"/>
              <w:left w:val="nil"/>
              <w:right w:val="nil"/>
            </w:tcBorders>
            <w:shd w:val="clear" w:color="auto" w:fill="auto"/>
          </w:tcPr>
          <w:p w14:paraId="05C0F041" w14:textId="77777777" w:rsidR="00C361EE" w:rsidRPr="007B60BF" w:rsidRDefault="00C361EE" w:rsidP="000371E6">
            <w:pPr>
              <w:jc w:val="right"/>
            </w:pPr>
            <w:r w:rsidRPr="007B60BF">
              <w:t>3.689</w:t>
            </w:r>
          </w:p>
        </w:tc>
        <w:tc>
          <w:tcPr>
            <w:tcW w:w="90" w:type="pct"/>
            <w:tcBorders>
              <w:top w:val="nil"/>
              <w:left w:val="nil"/>
              <w:bottom w:val="nil"/>
              <w:right w:val="nil"/>
            </w:tcBorders>
            <w:shd w:val="clear" w:color="auto" w:fill="auto"/>
            <w:vAlign w:val="center"/>
            <w:hideMark/>
          </w:tcPr>
          <w:p w14:paraId="55CDAB81" w14:textId="77777777" w:rsidR="00C361EE" w:rsidRPr="007B60BF" w:rsidRDefault="00C361EE" w:rsidP="000371E6"/>
        </w:tc>
        <w:tc>
          <w:tcPr>
            <w:tcW w:w="783" w:type="pct"/>
            <w:tcBorders>
              <w:top w:val="nil"/>
              <w:left w:val="nil"/>
              <w:right w:val="nil"/>
            </w:tcBorders>
          </w:tcPr>
          <w:p w14:paraId="4E394F0D" w14:textId="77777777" w:rsidR="00C361EE" w:rsidRPr="007B60BF" w:rsidRDefault="00C361EE" w:rsidP="000371E6">
            <w:pPr>
              <w:jc w:val="right"/>
            </w:pPr>
            <w:r w:rsidRPr="007B60BF">
              <w:t>2.763</w:t>
            </w:r>
          </w:p>
        </w:tc>
      </w:tr>
      <w:tr w:rsidR="00C361EE" w:rsidRPr="007B60BF" w14:paraId="7F0FC04F" w14:textId="77777777" w:rsidTr="002B0EF6">
        <w:tc>
          <w:tcPr>
            <w:tcW w:w="3334" w:type="pct"/>
            <w:tcBorders>
              <w:top w:val="nil"/>
              <w:left w:val="nil"/>
              <w:bottom w:val="nil"/>
              <w:right w:val="nil"/>
            </w:tcBorders>
            <w:shd w:val="clear" w:color="auto" w:fill="auto"/>
            <w:vAlign w:val="center"/>
          </w:tcPr>
          <w:p w14:paraId="73D591C1" w14:textId="77777777" w:rsidR="00C361EE" w:rsidRPr="007B60BF" w:rsidRDefault="00C361EE" w:rsidP="000371E6">
            <w:r w:rsidRPr="007B60BF">
              <w:t>IRRF sobre Folha de Pagamento</w:t>
            </w:r>
          </w:p>
        </w:tc>
        <w:tc>
          <w:tcPr>
            <w:tcW w:w="793" w:type="pct"/>
            <w:tcBorders>
              <w:top w:val="nil"/>
              <w:left w:val="nil"/>
              <w:bottom w:val="single" w:sz="4" w:space="0" w:color="auto"/>
              <w:right w:val="nil"/>
            </w:tcBorders>
            <w:shd w:val="clear" w:color="auto" w:fill="auto"/>
          </w:tcPr>
          <w:p w14:paraId="634594F8" w14:textId="77777777" w:rsidR="00C361EE" w:rsidRPr="007B60BF" w:rsidRDefault="00C361EE" w:rsidP="000371E6">
            <w:pPr>
              <w:jc w:val="right"/>
            </w:pPr>
            <w:r w:rsidRPr="007B60BF">
              <w:t>53.140</w:t>
            </w:r>
          </w:p>
        </w:tc>
        <w:tc>
          <w:tcPr>
            <w:tcW w:w="90" w:type="pct"/>
            <w:tcBorders>
              <w:top w:val="nil"/>
              <w:left w:val="nil"/>
              <w:bottom w:val="nil"/>
              <w:right w:val="nil"/>
            </w:tcBorders>
            <w:shd w:val="clear" w:color="auto" w:fill="auto"/>
            <w:vAlign w:val="center"/>
          </w:tcPr>
          <w:p w14:paraId="7F70D1AB" w14:textId="77777777" w:rsidR="00C361EE" w:rsidRPr="007B60BF" w:rsidRDefault="00C361EE" w:rsidP="000371E6"/>
        </w:tc>
        <w:tc>
          <w:tcPr>
            <w:tcW w:w="783" w:type="pct"/>
            <w:tcBorders>
              <w:top w:val="nil"/>
              <w:left w:val="nil"/>
              <w:bottom w:val="single" w:sz="4" w:space="0" w:color="auto"/>
              <w:right w:val="nil"/>
            </w:tcBorders>
          </w:tcPr>
          <w:p w14:paraId="26289CB0" w14:textId="77777777" w:rsidR="00C361EE" w:rsidRPr="007B60BF" w:rsidRDefault="00C361EE" w:rsidP="000371E6">
            <w:pPr>
              <w:jc w:val="right"/>
            </w:pPr>
            <w:r w:rsidRPr="007B60BF">
              <w:t>48.115</w:t>
            </w:r>
          </w:p>
        </w:tc>
      </w:tr>
      <w:tr w:rsidR="001C291F" w:rsidRPr="007B60BF" w14:paraId="54D27172" w14:textId="77777777" w:rsidTr="002B0EF6">
        <w:tc>
          <w:tcPr>
            <w:tcW w:w="3334" w:type="pct"/>
            <w:tcBorders>
              <w:top w:val="nil"/>
              <w:left w:val="nil"/>
              <w:bottom w:val="nil"/>
              <w:right w:val="nil"/>
            </w:tcBorders>
            <w:shd w:val="clear" w:color="auto" w:fill="auto"/>
            <w:vAlign w:val="center"/>
            <w:hideMark/>
          </w:tcPr>
          <w:p w14:paraId="34B93978" w14:textId="77777777" w:rsidR="001C291F" w:rsidRPr="007B60BF" w:rsidRDefault="001C291F" w:rsidP="001C291F">
            <w:pPr>
              <w:rPr>
                <w:b/>
                <w:bCs/>
              </w:rPr>
            </w:pPr>
            <w:r w:rsidRPr="007B60BF">
              <w:rPr>
                <w:b/>
                <w:bCs/>
              </w:rPr>
              <w:t>Obrigações Tributárias</w:t>
            </w:r>
          </w:p>
        </w:tc>
        <w:tc>
          <w:tcPr>
            <w:tcW w:w="793" w:type="pct"/>
            <w:tcBorders>
              <w:top w:val="single" w:sz="4" w:space="0" w:color="auto"/>
              <w:left w:val="nil"/>
              <w:bottom w:val="single" w:sz="4" w:space="0" w:color="auto"/>
              <w:right w:val="nil"/>
            </w:tcBorders>
            <w:shd w:val="clear" w:color="auto" w:fill="auto"/>
          </w:tcPr>
          <w:p w14:paraId="40DE7C46" w14:textId="0EC4913A" w:rsidR="001C291F" w:rsidRPr="007B60BF" w:rsidRDefault="00FE26BF" w:rsidP="001C291F">
            <w:pPr>
              <w:jc w:val="right"/>
              <w:rPr>
                <w:b/>
              </w:rPr>
            </w:pPr>
            <w:r w:rsidRPr="007B60BF">
              <w:rPr>
                <w:b/>
              </w:rPr>
              <w:t>57.148</w:t>
            </w:r>
          </w:p>
        </w:tc>
        <w:tc>
          <w:tcPr>
            <w:tcW w:w="90" w:type="pct"/>
            <w:tcBorders>
              <w:top w:val="nil"/>
              <w:left w:val="nil"/>
              <w:bottom w:val="nil"/>
              <w:right w:val="nil"/>
            </w:tcBorders>
            <w:shd w:val="clear" w:color="auto" w:fill="auto"/>
            <w:vAlign w:val="center"/>
            <w:hideMark/>
          </w:tcPr>
          <w:p w14:paraId="32524E71" w14:textId="77777777" w:rsidR="001C291F" w:rsidRPr="007B60BF" w:rsidRDefault="001C291F" w:rsidP="001C291F">
            <w:pPr>
              <w:rPr>
                <w:b/>
              </w:rPr>
            </w:pPr>
          </w:p>
        </w:tc>
        <w:tc>
          <w:tcPr>
            <w:tcW w:w="783" w:type="pct"/>
            <w:tcBorders>
              <w:top w:val="single" w:sz="4" w:space="0" w:color="auto"/>
              <w:left w:val="nil"/>
              <w:bottom w:val="single" w:sz="4" w:space="0" w:color="auto"/>
              <w:right w:val="nil"/>
            </w:tcBorders>
          </w:tcPr>
          <w:p w14:paraId="293F6AD0" w14:textId="3C63C73F" w:rsidR="001C291F" w:rsidRPr="007B60BF" w:rsidRDefault="001C291F" w:rsidP="001C291F">
            <w:pPr>
              <w:jc w:val="right"/>
              <w:rPr>
                <w:b/>
              </w:rPr>
            </w:pPr>
            <w:r w:rsidRPr="007B60BF">
              <w:rPr>
                <w:b/>
              </w:rPr>
              <w:t>52.310</w:t>
            </w:r>
          </w:p>
        </w:tc>
      </w:tr>
      <w:tr w:rsidR="00187241" w:rsidRPr="007B60BF" w14:paraId="13CED472" w14:textId="77777777" w:rsidTr="002B0EF6">
        <w:tc>
          <w:tcPr>
            <w:tcW w:w="3334" w:type="pct"/>
            <w:tcBorders>
              <w:top w:val="nil"/>
              <w:left w:val="nil"/>
              <w:bottom w:val="nil"/>
              <w:right w:val="nil"/>
            </w:tcBorders>
            <w:shd w:val="clear" w:color="auto" w:fill="auto"/>
            <w:vAlign w:val="center"/>
            <w:hideMark/>
          </w:tcPr>
          <w:p w14:paraId="2856FB95" w14:textId="3481742D" w:rsidR="00187241" w:rsidRPr="007B60BF" w:rsidRDefault="00060E3F" w:rsidP="007E29D7">
            <w:r w:rsidRPr="007B60BF">
              <w:t>Encargos Previdenciários</w:t>
            </w:r>
            <w:r w:rsidR="00FE26BF" w:rsidRPr="007B60BF">
              <w:t xml:space="preserve"> de Fornecedores</w:t>
            </w:r>
          </w:p>
        </w:tc>
        <w:tc>
          <w:tcPr>
            <w:tcW w:w="793" w:type="pct"/>
            <w:tcBorders>
              <w:top w:val="single" w:sz="4" w:space="0" w:color="auto"/>
              <w:left w:val="nil"/>
              <w:bottom w:val="nil"/>
              <w:right w:val="nil"/>
            </w:tcBorders>
            <w:shd w:val="clear" w:color="auto" w:fill="auto"/>
          </w:tcPr>
          <w:p w14:paraId="2BFE3C73" w14:textId="28B3CA54" w:rsidR="00187241" w:rsidRPr="007B60BF" w:rsidRDefault="00FE26BF" w:rsidP="0066520A">
            <w:pPr>
              <w:jc w:val="right"/>
            </w:pPr>
            <w:r w:rsidRPr="007B60BF">
              <w:t>147</w:t>
            </w:r>
          </w:p>
        </w:tc>
        <w:tc>
          <w:tcPr>
            <w:tcW w:w="90" w:type="pct"/>
            <w:tcBorders>
              <w:top w:val="nil"/>
              <w:left w:val="nil"/>
              <w:bottom w:val="nil"/>
              <w:right w:val="nil"/>
            </w:tcBorders>
            <w:shd w:val="clear" w:color="auto" w:fill="auto"/>
            <w:vAlign w:val="center"/>
            <w:hideMark/>
          </w:tcPr>
          <w:p w14:paraId="5361DFE4" w14:textId="77777777" w:rsidR="00187241" w:rsidRPr="007B60BF" w:rsidRDefault="00187241" w:rsidP="00187241"/>
        </w:tc>
        <w:tc>
          <w:tcPr>
            <w:tcW w:w="783" w:type="pct"/>
            <w:tcBorders>
              <w:top w:val="single" w:sz="4" w:space="0" w:color="auto"/>
              <w:left w:val="nil"/>
              <w:bottom w:val="nil"/>
              <w:right w:val="nil"/>
            </w:tcBorders>
          </w:tcPr>
          <w:p w14:paraId="494C7579" w14:textId="16D1962D" w:rsidR="00187241" w:rsidRPr="007B60BF" w:rsidRDefault="003933A6" w:rsidP="00187241">
            <w:pPr>
              <w:jc w:val="right"/>
            </w:pPr>
            <w:r w:rsidRPr="007B60BF">
              <w:t>219</w:t>
            </w:r>
          </w:p>
        </w:tc>
      </w:tr>
      <w:tr w:rsidR="00FE26BF" w:rsidRPr="007B60BF" w14:paraId="0F61DC9F" w14:textId="77777777" w:rsidTr="00187241">
        <w:tc>
          <w:tcPr>
            <w:tcW w:w="3334" w:type="pct"/>
            <w:tcBorders>
              <w:top w:val="nil"/>
              <w:left w:val="nil"/>
              <w:bottom w:val="nil"/>
              <w:right w:val="nil"/>
            </w:tcBorders>
            <w:shd w:val="clear" w:color="auto" w:fill="auto"/>
            <w:vAlign w:val="center"/>
          </w:tcPr>
          <w:p w14:paraId="4149A2D6" w14:textId="19CC87BA" w:rsidR="00FE26BF" w:rsidRPr="007B60BF" w:rsidRDefault="00FE26BF" w:rsidP="00FE26BF">
            <w:r w:rsidRPr="007B60BF">
              <w:t>Encargos Previdenciários de Pessoal</w:t>
            </w:r>
          </w:p>
        </w:tc>
        <w:tc>
          <w:tcPr>
            <w:tcW w:w="793" w:type="pct"/>
            <w:tcBorders>
              <w:top w:val="nil"/>
              <w:left w:val="nil"/>
              <w:bottom w:val="nil"/>
              <w:right w:val="nil"/>
            </w:tcBorders>
            <w:shd w:val="clear" w:color="auto" w:fill="auto"/>
          </w:tcPr>
          <w:p w14:paraId="40F8B2C6" w14:textId="0129EFE0" w:rsidR="00FE26BF" w:rsidRPr="007B60BF" w:rsidRDefault="00FE26BF" w:rsidP="00676BD2">
            <w:pPr>
              <w:jc w:val="right"/>
            </w:pPr>
            <w:r w:rsidRPr="007B60BF">
              <w:t>36.</w:t>
            </w:r>
            <w:r w:rsidR="00676BD2" w:rsidRPr="007B60BF">
              <w:t>679</w:t>
            </w:r>
          </w:p>
        </w:tc>
        <w:tc>
          <w:tcPr>
            <w:tcW w:w="90" w:type="pct"/>
            <w:tcBorders>
              <w:top w:val="nil"/>
              <w:left w:val="nil"/>
              <w:bottom w:val="nil"/>
              <w:right w:val="nil"/>
            </w:tcBorders>
            <w:shd w:val="clear" w:color="auto" w:fill="auto"/>
            <w:vAlign w:val="center"/>
          </w:tcPr>
          <w:p w14:paraId="1FEF3744" w14:textId="77777777" w:rsidR="00FE26BF" w:rsidRPr="007B60BF" w:rsidRDefault="00FE26BF" w:rsidP="00187241"/>
        </w:tc>
        <w:tc>
          <w:tcPr>
            <w:tcW w:w="783" w:type="pct"/>
            <w:tcBorders>
              <w:top w:val="nil"/>
              <w:left w:val="nil"/>
              <w:bottom w:val="nil"/>
              <w:right w:val="nil"/>
            </w:tcBorders>
          </w:tcPr>
          <w:p w14:paraId="3727DD4E" w14:textId="371CD93B" w:rsidR="00FE26BF" w:rsidRPr="007B60BF" w:rsidRDefault="003933A6" w:rsidP="003933A6">
            <w:pPr>
              <w:jc w:val="right"/>
            </w:pPr>
            <w:r w:rsidRPr="007B60BF">
              <w:t>33.660</w:t>
            </w:r>
          </w:p>
        </w:tc>
      </w:tr>
      <w:tr w:rsidR="00060E3F" w:rsidRPr="007B60BF" w14:paraId="30871F3F" w14:textId="77777777" w:rsidTr="00187241">
        <w:tc>
          <w:tcPr>
            <w:tcW w:w="3334" w:type="pct"/>
            <w:tcBorders>
              <w:top w:val="nil"/>
              <w:left w:val="nil"/>
              <w:bottom w:val="nil"/>
              <w:right w:val="nil"/>
            </w:tcBorders>
            <w:shd w:val="clear" w:color="auto" w:fill="auto"/>
            <w:vAlign w:val="center"/>
          </w:tcPr>
          <w:p w14:paraId="1C0A3AF1" w14:textId="62CD08C6" w:rsidR="00060E3F" w:rsidRPr="007B60BF" w:rsidRDefault="00060E3F" w:rsidP="00187241">
            <w:pPr>
              <w:rPr>
                <w:bCs/>
              </w:rPr>
            </w:pPr>
            <w:r w:rsidRPr="007B60BF">
              <w:rPr>
                <w:bCs/>
              </w:rPr>
              <w:t>FGTS</w:t>
            </w:r>
          </w:p>
        </w:tc>
        <w:tc>
          <w:tcPr>
            <w:tcW w:w="793" w:type="pct"/>
            <w:tcBorders>
              <w:top w:val="nil"/>
              <w:left w:val="nil"/>
              <w:bottom w:val="single" w:sz="8" w:space="0" w:color="auto"/>
              <w:right w:val="nil"/>
            </w:tcBorders>
            <w:shd w:val="clear" w:color="auto" w:fill="auto"/>
          </w:tcPr>
          <w:p w14:paraId="4F83FAB5" w14:textId="089F909E" w:rsidR="00060E3F" w:rsidRPr="007B60BF" w:rsidRDefault="00A5425E" w:rsidP="0066520A">
            <w:pPr>
              <w:jc w:val="right"/>
            </w:pPr>
            <w:r w:rsidRPr="007B60BF">
              <w:t>13.963</w:t>
            </w:r>
          </w:p>
        </w:tc>
        <w:tc>
          <w:tcPr>
            <w:tcW w:w="90" w:type="pct"/>
            <w:tcBorders>
              <w:top w:val="nil"/>
              <w:left w:val="nil"/>
              <w:bottom w:val="nil"/>
              <w:right w:val="nil"/>
            </w:tcBorders>
            <w:shd w:val="clear" w:color="auto" w:fill="auto"/>
            <w:vAlign w:val="center"/>
          </w:tcPr>
          <w:p w14:paraId="1535C35B" w14:textId="77777777" w:rsidR="00060E3F" w:rsidRPr="007B60BF" w:rsidRDefault="00060E3F" w:rsidP="00187241"/>
        </w:tc>
        <w:tc>
          <w:tcPr>
            <w:tcW w:w="783" w:type="pct"/>
            <w:tcBorders>
              <w:top w:val="nil"/>
              <w:left w:val="nil"/>
              <w:bottom w:val="single" w:sz="8" w:space="0" w:color="auto"/>
              <w:right w:val="nil"/>
            </w:tcBorders>
          </w:tcPr>
          <w:p w14:paraId="4A94261E" w14:textId="546DAC2F" w:rsidR="00060E3F" w:rsidRPr="007B60BF" w:rsidRDefault="003933A6" w:rsidP="00187241">
            <w:pPr>
              <w:jc w:val="right"/>
            </w:pPr>
            <w:r w:rsidRPr="007B60BF">
              <w:t>12.533</w:t>
            </w:r>
          </w:p>
        </w:tc>
      </w:tr>
      <w:tr w:rsidR="00187241" w:rsidRPr="007B60BF" w14:paraId="53286316" w14:textId="77777777" w:rsidTr="00187241">
        <w:tc>
          <w:tcPr>
            <w:tcW w:w="3334" w:type="pct"/>
            <w:tcBorders>
              <w:top w:val="nil"/>
              <w:left w:val="nil"/>
              <w:bottom w:val="nil"/>
              <w:right w:val="nil"/>
            </w:tcBorders>
            <w:shd w:val="clear" w:color="auto" w:fill="auto"/>
            <w:vAlign w:val="center"/>
            <w:hideMark/>
          </w:tcPr>
          <w:p w14:paraId="00B8DF2D" w14:textId="77777777" w:rsidR="00187241" w:rsidRPr="007B60BF" w:rsidRDefault="00187241" w:rsidP="00187241">
            <w:pPr>
              <w:rPr>
                <w:b/>
                <w:bCs/>
              </w:rPr>
            </w:pPr>
            <w:r w:rsidRPr="007B60BF">
              <w:rPr>
                <w:b/>
                <w:bCs/>
              </w:rPr>
              <w:t>Obrigações Sociais</w:t>
            </w:r>
          </w:p>
        </w:tc>
        <w:tc>
          <w:tcPr>
            <w:tcW w:w="793" w:type="pct"/>
            <w:tcBorders>
              <w:top w:val="nil"/>
              <w:left w:val="nil"/>
              <w:bottom w:val="single" w:sz="8" w:space="0" w:color="auto"/>
              <w:right w:val="nil"/>
            </w:tcBorders>
            <w:shd w:val="clear" w:color="auto" w:fill="auto"/>
          </w:tcPr>
          <w:p w14:paraId="4F5678F2" w14:textId="232BE5A4" w:rsidR="00187241" w:rsidRPr="007B60BF" w:rsidRDefault="00676BD2" w:rsidP="00676BD2">
            <w:pPr>
              <w:jc w:val="right"/>
              <w:rPr>
                <w:b/>
              </w:rPr>
            </w:pPr>
            <w:r w:rsidRPr="007B60BF">
              <w:rPr>
                <w:b/>
              </w:rPr>
              <w:t>50.789</w:t>
            </w:r>
          </w:p>
        </w:tc>
        <w:tc>
          <w:tcPr>
            <w:tcW w:w="90" w:type="pct"/>
            <w:tcBorders>
              <w:top w:val="nil"/>
              <w:left w:val="nil"/>
              <w:bottom w:val="nil"/>
              <w:right w:val="nil"/>
            </w:tcBorders>
            <w:shd w:val="clear" w:color="auto" w:fill="auto"/>
            <w:vAlign w:val="center"/>
            <w:hideMark/>
          </w:tcPr>
          <w:p w14:paraId="436AAD36" w14:textId="77777777" w:rsidR="00187241" w:rsidRPr="007B60BF" w:rsidRDefault="00187241" w:rsidP="00187241">
            <w:pPr>
              <w:rPr>
                <w:b/>
              </w:rPr>
            </w:pPr>
          </w:p>
        </w:tc>
        <w:tc>
          <w:tcPr>
            <w:tcW w:w="783" w:type="pct"/>
            <w:tcBorders>
              <w:top w:val="nil"/>
              <w:left w:val="nil"/>
              <w:bottom w:val="single" w:sz="8" w:space="0" w:color="auto"/>
              <w:right w:val="nil"/>
            </w:tcBorders>
          </w:tcPr>
          <w:p w14:paraId="5B2E2330" w14:textId="4E1E16A4" w:rsidR="00187241" w:rsidRPr="007B60BF" w:rsidRDefault="00187241" w:rsidP="00187241">
            <w:pPr>
              <w:jc w:val="right"/>
              <w:rPr>
                <w:b/>
              </w:rPr>
            </w:pPr>
            <w:r w:rsidRPr="007B60BF">
              <w:rPr>
                <w:b/>
              </w:rPr>
              <w:t>46.412</w:t>
            </w:r>
          </w:p>
        </w:tc>
      </w:tr>
      <w:tr w:rsidR="001C291F" w:rsidRPr="007B60BF" w14:paraId="3BB37BA3" w14:textId="77777777" w:rsidTr="00187241">
        <w:tc>
          <w:tcPr>
            <w:tcW w:w="3334" w:type="pct"/>
            <w:tcBorders>
              <w:top w:val="nil"/>
              <w:left w:val="nil"/>
              <w:bottom w:val="nil"/>
              <w:right w:val="nil"/>
            </w:tcBorders>
            <w:shd w:val="clear" w:color="auto" w:fill="auto"/>
            <w:vAlign w:val="center"/>
            <w:hideMark/>
          </w:tcPr>
          <w:p w14:paraId="4F6E2286" w14:textId="77777777" w:rsidR="001C291F" w:rsidRPr="007B60BF" w:rsidRDefault="001C291F" w:rsidP="001C291F">
            <w:pPr>
              <w:rPr>
                <w:b/>
                <w:bCs/>
              </w:rPr>
            </w:pPr>
            <w:r w:rsidRPr="007B60BF">
              <w:rPr>
                <w:b/>
                <w:bCs/>
              </w:rPr>
              <w:t>Saldo Contábil</w:t>
            </w:r>
          </w:p>
        </w:tc>
        <w:tc>
          <w:tcPr>
            <w:tcW w:w="793" w:type="pct"/>
            <w:tcBorders>
              <w:top w:val="nil"/>
              <w:left w:val="nil"/>
              <w:bottom w:val="double" w:sz="6" w:space="0" w:color="auto"/>
              <w:right w:val="nil"/>
            </w:tcBorders>
            <w:shd w:val="clear" w:color="auto" w:fill="auto"/>
          </w:tcPr>
          <w:p w14:paraId="4F2F5F39" w14:textId="0AFA755B" w:rsidR="001C291F" w:rsidRPr="007B60BF" w:rsidRDefault="0066520A" w:rsidP="00676BD2">
            <w:pPr>
              <w:jc w:val="right"/>
              <w:rPr>
                <w:b/>
              </w:rPr>
            </w:pPr>
            <w:r w:rsidRPr="007B60BF">
              <w:rPr>
                <w:b/>
              </w:rPr>
              <w:t>107.93</w:t>
            </w:r>
            <w:r w:rsidR="00676BD2" w:rsidRPr="007B60BF">
              <w:rPr>
                <w:b/>
              </w:rPr>
              <w:t>7</w:t>
            </w:r>
          </w:p>
        </w:tc>
        <w:tc>
          <w:tcPr>
            <w:tcW w:w="90" w:type="pct"/>
            <w:tcBorders>
              <w:top w:val="nil"/>
              <w:left w:val="nil"/>
              <w:bottom w:val="nil"/>
              <w:right w:val="nil"/>
            </w:tcBorders>
            <w:shd w:val="clear" w:color="auto" w:fill="auto"/>
            <w:vAlign w:val="center"/>
            <w:hideMark/>
          </w:tcPr>
          <w:p w14:paraId="6764E0CD" w14:textId="77777777" w:rsidR="001C291F" w:rsidRPr="007B60BF" w:rsidRDefault="001C291F" w:rsidP="001C291F">
            <w:pPr>
              <w:rPr>
                <w:b/>
              </w:rPr>
            </w:pPr>
          </w:p>
        </w:tc>
        <w:tc>
          <w:tcPr>
            <w:tcW w:w="783" w:type="pct"/>
            <w:tcBorders>
              <w:top w:val="nil"/>
              <w:left w:val="nil"/>
              <w:bottom w:val="double" w:sz="6" w:space="0" w:color="auto"/>
              <w:right w:val="nil"/>
            </w:tcBorders>
          </w:tcPr>
          <w:p w14:paraId="33A99A92" w14:textId="73575DA1" w:rsidR="001C291F" w:rsidRPr="007B60BF" w:rsidRDefault="001C291F" w:rsidP="001C291F">
            <w:pPr>
              <w:jc w:val="right"/>
              <w:rPr>
                <w:b/>
              </w:rPr>
            </w:pPr>
            <w:r w:rsidRPr="007B60BF">
              <w:rPr>
                <w:b/>
              </w:rPr>
              <w:t>98.722</w:t>
            </w:r>
          </w:p>
        </w:tc>
      </w:tr>
    </w:tbl>
    <w:p w14:paraId="43C9FFF7" w14:textId="77777777" w:rsidR="00C812B5" w:rsidRPr="007B60BF" w:rsidRDefault="00C812B5" w:rsidP="00755D20">
      <w:pPr>
        <w:tabs>
          <w:tab w:val="left" w:pos="851"/>
        </w:tabs>
        <w:jc w:val="both"/>
      </w:pPr>
    </w:p>
    <w:p w14:paraId="5BF59B5C" w14:textId="1A6988D4" w:rsidR="00755D20" w:rsidRPr="007B60BF" w:rsidRDefault="00755D20" w:rsidP="00755D20">
      <w:pPr>
        <w:tabs>
          <w:tab w:val="left" w:pos="851"/>
        </w:tabs>
        <w:jc w:val="both"/>
      </w:pPr>
      <w:r w:rsidRPr="007B60BF">
        <w:t xml:space="preserve">Na conta Obrigações Tributárias são registrados </w:t>
      </w:r>
      <w:r w:rsidR="00A97DA4" w:rsidRPr="007B60BF">
        <w:t>as contribuições</w:t>
      </w:r>
      <w:r w:rsidRPr="007B60BF">
        <w:t xml:space="preserve"> federais (PIS e COFINS) sobre </w:t>
      </w:r>
      <w:r w:rsidR="00524679" w:rsidRPr="007B60BF">
        <w:t>as receitas próprias</w:t>
      </w:r>
      <w:r w:rsidR="000445D0" w:rsidRPr="007B60BF">
        <w:t>, o imposto sobre a renda retido sobre a folha de pagamento dos funcionários</w:t>
      </w:r>
      <w:r w:rsidRPr="007B60BF">
        <w:t xml:space="preserve"> e os valores retidos de fornecedores, conforme Lei Complementar Municipal n° 306/93 e </w:t>
      </w:r>
      <w:r w:rsidR="000445D0" w:rsidRPr="007B60BF">
        <w:t xml:space="preserve">n° </w:t>
      </w:r>
      <w:r w:rsidRPr="007B60BF">
        <w:t xml:space="preserve">07/73 e IN/RFB n° 1.234/2012 e </w:t>
      </w:r>
      <w:r w:rsidR="000445D0" w:rsidRPr="007B60BF">
        <w:t>n° 2.110</w:t>
      </w:r>
      <w:r w:rsidRPr="007B60BF">
        <w:t>/20</w:t>
      </w:r>
      <w:r w:rsidR="000445D0" w:rsidRPr="007B60BF">
        <w:t>22</w:t>
      </w:r>
      <w:r w:rsidRPr="007B60BF">
        <w:t xml:space="preserve">. </w:t>
      </w:r>
      <w:r w:rsidR="000445D0" w:rsidRPr="007B60BF">
        <w:t>O</w:t>
      </w:r>
      <w:r w:rsidR="005A646C" w:rsidRPr="007B60BF">
        <w:t>s tributos federais</w:t>
      </w:r>
      <w:r w:rsidRPr="007B60BF">
        <w:t xml:space="preserve"> retidos dos fornecedores</w:t>
      </w:r>
      <w:r w:rsidR="000445D0" w:rsidRPr="007B60BF">
        <w:t xml:space="preserve">, o imposto sobre a renda </w:t>
      </w:r>
      <w:r w:rsidR="005A646C" w:rsidRPr="007B60BF">
        <w:t>d</w:t>
      </w:r>
      <w:r w:rsidR="000445D0" w:rsidRPr="007B60BF">
        <w:t xml:space="preserve">a folha de pagamento e os encargos previdenciários </w:t>
      </w:r>
      <w:r w:rsidRPr="007B60BF">
        <w:t xml:space="preserve">são recolhidos aos cofres públicos por </w:t>
      </w:r>
      <w:r w:rsidR="000445D0" w:rsidRPr="007B60BF">
        <w:t xml:space="preserve">meio de DARF </w:t>
      </w:r>
      <w:r w:rsidR="005B2C5D" w:rsidRPr="007B60BF">
        <w:t>ú</w:t>
      </w:r>
      <w:r w:rsidR="000445D0" w:rsidRPr="007B60BF">
        <w:t xml:space="preserve">nica </w:t>
      </w:r>
      <w:r w:rsidR="005A646C" w:rsidRPr="007B60BF">
        <w:t xml:space="preserve">gerada a partir do fechamento entre eSocial, EFD-Reinf e transmissão da DCTFWeb. </w:t>
      </w:r>
      <w:r w:rsidRPr="007B60BF">
        <w:t>A Instituição goza de isenção de impostos federais conforme artigo n° 15 da Lei 5.604 de 02 de setembro de 1970.</w:t>
      </w:r>
    </w:p>
    <w:p w14:paraId="1310617B" w14:textId="0BC869F5" w:rsidR="00376475" w:rsidRPr="007B60BF" w:rsidRDefault="00376475" w:rsidP="00E87039">
      <w:pPr>
        <w:jc w:val="both"/>
      </w:pPr>
    </w:p>
    <w:p w14:paraId="22958165" w14:textId="77777777" w:rsidR="00376475" w:rsidRPr="007B60BF" w:rsidRDefault="00376475" w:rsidP="00E87039">
      <w:pPr>
        <w:jc w:val="both"/>
      </w:pPr>
    </w:p>
    <w:p w14:paraId="356EFEB4" w14:textId="0FE45684" w:rsidR="00B85AF2" w:rsidRPr="007B60BF" w:rsidRDefault="006110E4" w:rsidP="00086B22">
      <w:pPr>
        <w:pStyle w:val="Ttulo1"/>
        <w:numPr>
          <w:ilvl w:val="0"/>
          <w:numId w:val="5"/>
        </w:numPr>
        <w:ind w:left="0" w:hanging="567"/>
        <w:jc w:val="left"/>
      </w:pPr>
      <w:bookmarkStart w:id="42" w:name="_Toc223007862"/>
      <w:r w:rsidRPr="007B60BF">
        <w:t>Obrigações com Pessoal</w:t>
      </w:r>
      <w:bookmarkEnd w:id="42"/>
      <w:r w:rsidRPr="007B60BF">
        <w:t xml:space="preserve"> </w:t>
      </w:r>
    </w:p>
    <w:tbl>
      <w:tblPr>
        <w:tblW w:w="4923" w:type="pct"/>
        <w:tblCellMar>
          <w:left w:w="70" w:type="dxa"/>
          <w:right w:w="70" w:type="dxa"/>
        </w:tblCellMar>
        <w:tblLook w:val="04A0" w:firstRow="1" w:lastRow="0" w:firstColumn="1" w:lastColumn="0" w:noHBand="0" w:noVBand="1"/>
      </w:tblPr>
      <w:tblGrid>
        <w:gridCol w:w="5947"/>
        <w:gridCol w:w="1411"/>
        <w:gridCol w:w="190"/>
        <w:gridCol w:w="1383"/>
      </w:tblGrid>
      <w:tr w:rsidR="001C291F" w:rsidRPr="007B60BF" w14:paraId="1C77981D" w14:textId="77777777" w:rsidTr="00306FD3">
        <w:tc>
          <w:tcPr>
            <w:tcW w:w="3329" w:type="pct"/>
            <w:tcBorders>
              <w:top w:val="nil"/>
              <w:left w:val="nil"/>
              <w:bottom w:val="nil"/>
              <w:right w:val="nil"/>
            </w:tcBorders>
            <w:shd w:val="clear" w:color="000000" w:fill="FFFFFF"/>
            <w:vAlign w:val="center"/>
            <w:hideMark/>
          </w:tcPr>
          <w:p w14:paraId="7E2E09DE" w14:textId="11E4898A" w:rsidR="001C291F" w:rsidRPr="007B60BF" w:rsidRDefault="001C291F" w:rsidP="001C291F">
            <w:pPr>
              <w:rPr>
                <w:b/>
              </w:rPr>
            </w:pPr>
          </w:p>
        </w:tc>
        <w:tc>
          <w:tcPr>
            <w:tcW w:w="790" w:type="pct"/>
            <w:tcBorders>
              <w:top w:val="nil"/>
              <w:left w:val="nil"/>
              <w:bottom w:val="single" w:sz="8" w:space="0" w:color="auto"/>
              <w:right w:val="nil"/>
            </w:tcBorders>
            <w:shd w:val="clear" w:color="auto" w:fill="auto"/>
            <w:vAlign w:val="center"/>
            <w:hideMark/>
          </w:tcPr>
          <w:p w14:paraId="473D789E" w14:textId="35B9BB58" w:rsidR="001C291F" w:rsidRPr="007B60BF" w:rsidRDefault="001C291F" w:rsidP="001466EC">
            <w:pPr>
              <w:jc w:val="right"/>
              <w:rPr>
                <w:b/>
                <w:bCs/>
              </w:rPr>
            </w:pPr>
            <w:r w:rsidRPr="007B60BF">
              <w:rPr>
                <w:b/>
                <w:bCs/>
              </w:rPr>
              <w:t>3</w:t>
            </w:r>
            <w:r w:rsidR="001466EC" w:rsidRPr="007B60BF">
              <w:rPr>
                <w:b/>
                <w:bCs/>
              </w:rPr>
              <w:t>1/12</w:t>
            </w:r>
            <w:r w:rsidRPr="007B60BF">
              <w:rPr>
                <w:b/>
                <w:bCs/>
              </w:rPr>
              <w:t>/2025</w:t>
            </w:r>
          </w:p>
        </w:tc>
        <w:tc>
          <w:tcPr>
            <w:tcW w:w="106" w:type="pct"/>
            <w:tcBorders>
              <w:top w:val="nil"/>
              <w:left w:val="nil"/>
              <w:bottom w:val="nil"/>
              <w:right w:val="nil"/>
            </w:tcBorders>
            <w:shd w:val="clear" w:color="auto" w:fill="auto"/>
            <w:vAlign w:val="center"/>
            <w:hideMark/>
          </w:tcPr>
          <w:p w14:paraId="1C491FB1" w14:textId="77777777" w:rsidR="001C291F" w:rsidRPr="007B60BF" w:rsidRDefault="001C291F" w:rsidP="001C291F">
            <w:pPr>
              <w:rPr>
                <w:b/>
              </w:rPr>
            </w:pPr>
          </w:p>
        </w:tc>
        <w:tc>
          <w:tcPr>
            <w:tcW w:w="774" w:type="pct"/>
            <w:tcBorders>
              <w:top w:val="nil"/>
              <w:left w:val="nil"/>
              <w:bottom w:val="single" w:sz="8" w:space="0" w:color="auto"/>
              <w:right w:val="nil"/>
            </w:tcBorders>
            <w:vAlign w:val="center"/>
          </w:tcPr>
          <w:p w14:paraId="582F8805" w14:textId="444012EA" w:rsidR="001C291F" w:rsidRPr="007B60BF" w:rsidRDefault="001C291F" w:rsidP="001C291F">
            <w:pPr>
              <w:jc w:val="right"/>
              <w:rPr>
                <w:b/>
              </w:rPr>
            </w:pPr>
            <w:r w:rsidRPr="007B60BF">
              <w:rPr>
                <w:b/>
                <w:bCs/>
              </w:rPr>
              <w:t>31/12/2024</w:t>
            </w:r>
          </w:p>
        </w:tc>
      </w:tr>
      <w:tr w:rsidR="00A646EF" w:rsidRPr="007B60BF" w14:paraId="62719DF2" w14:textId="77777777" w:rsidTr="00306FD3">
        <w:tc>
          <w:tcPr>
            <w:tcW w:w="3329" w:type="pct"/>
            <w:tcBorders>
              <w:top w:val="nil"/>
              <w:left w:val="nil"/>
              <w:bottom w:val="nil"/>
              <w:right w:val="nil"/>
            </w:tcBorders>
            <w:shd w:val="clear" w:color="000000" w:fill="FFFFFF"/>
            <w:vAlign w:val="center"/>
            <w:hideMark/>
          </w:tcPr>
          <w:p w14:paraId="33136102" w14:textId="77777777" w:rsidR="00A646EF" w:rsidRPr="007B60BF" w:rsidRDefault="00A646EF" w:rsidP="00A646EF">
            <w:r w:rsidRPr="007B60BF">
              <w:t>Salários, Remuneração e Benefícios</w:t>
            </w:r>
          </w:p>
        </w:tc>
        <w:tc>
          <w:tcPr>
            <w:tcW w:w="790" w:type="pct"/>
            <w:tcBorders>
              <w:top w:val="nil"/>
              <w:left w:val="nil"/>
              <w:bottom w:val="nil"/>
              <w:right w:val="nil"/>
            </w:tcBorders>
            <w:shd w:val="clear" w:color="auto" w:fill="auto"/>
          </w:tcPr>
          <w:p w14:paraId="097D66B7" w14:textId="797772F8" w:rsidR="00A646EF" w:rsidRPr="007B60BF" w:rsidRDefault="007730E7" w:rsidP="00A646EF">
            <w:pPr>
              <w:jc w:val="right"/>
            </w:pPr>
            <w:r w:rsidRPr="007B60BF">
              <w:t>89.168</w:t>
            </w:r>
          </w:p>
        </w:tc>
        <w:tc>
          <w:tcPr>
            <w:tcW w:w="106" w:type="pct"/>
            <w:tcBorders>
              <w:top w:val="nil"/>
              <w:left w:val="nil"/>
              <w:bottom w:val="nil"/>
              <w:right w:val="nil"/>
            </w:tcBorders>
            <w:shd w:val="clear" w:color="000000" w:fill="FFFFFF"/>
            <w:vAlign w:val="center"/>
            <w:hideMark/>
          </w:tcPr>
          <w:p w14:paraId="2ADA3DEB" w14:textId="77777777" w:rsidR="00A646EF" w:rsidRPr="007B60BF" w:rsidRDefault="00A646EF" w:rsidP="00A646EF">
            <w:pPr>
              <w:jc w:val="right"/>
              <w:rPr>
                <w:b/>
                <w:bCs/>
              </w:rPr>
            </w:pPr>
            <w:r w:rsidRPr="007B60BF">
              <w:rPr>
                <w:b/>
                <w:bCs/>
              </w:rPr>
              <w:t> </w:t>
            </w:r>
          </w:p>
        </w:tc>
        <w:tc>
          <w:tcPr>
            <w:tcW w:w="774" w:type="pct"/>
            <w:tcBorders>
              <w:top w:val="nil"/>
              <w:left w:val="nil"/>
              <w:bottom w:val="nil"/>
              <w:right w:val="nil"/>
            </w:tcBorders>
          </w:tcPr>
          <w:p w14:paraId="42D960EF" w14:textId="69228255" w:rsidR="00A646EF" w:rsidRPr="007B60BF" w:rsidRDefault="00A646EF" w:rsidP="00A646EF">
            <w:pPr>
              <w:jc w:val="right"/>
            </w:pPr>
            <w:r w:rsidRPr="007B60BF">
              <w:t xml:space="preserve"> 79.375 </w:t>
            </w:r>
          </w:p>
        </w:tc>
      </w:tr>
      <w:tr w:rsidR="00A646EF" w:rsidRPr="007B60BF" w14:paraId="5D8F6E46" w14:textId="77777777" w:rsidTr="00306FD3">
        <w:tc>
          <w:tcPr>
            <w:tcW w:w="3329" w:type="pct"/>
            <w:tcBorders>
              <w:top w:val="nil"/>
              <w:left w:val="nil"/>
              <w:bottom w:val="nil"/>
              <w:right w:val="nil"/>
            </w:tcBorders>
            <w:shd w:val="clear" w:color="000000" w:fill="FFFFFF"/>
            <w:vAlign w:val="center"/>
            <w:hideMark/>
          </w:tcPr>
          <w:p w14:paraId="3BC54493" w14:textId="77777777" w:rsidR="00A646EF" w:rsidRPr="007B60BF" w:rsidRDefault="00A646EF" w:rsidP="00A646EF">
            <w:r w:rsidRPr="007B60BF">
              <w:t>Previdência e Assistência Médica</w:t>
            </w:r>
          </w:p>
        </w:tc>
        <w:tc>
          <w:tcPr>
            <w:tcW w:w="790" w:type="pct"/>
            <w:tcBorders>
              <w:top w:val="nil"/>
              <w:left w:val="nil"/>
              <w:bottom w:val="nil"/>
              <w:right w:val="nil"/>
            </w:tcBorders>
            <w:shd w:val="clear" w:color="auto" w:fill="auto"/>
          </w:tcPr>
          <w:p w14:paraId="19E49851" w14:textId="50036514" w:rsidR="00A646EF" w:rsidRPr="007B60BF" w:rsidRDefault="00B75C51" w:rsidP="00A646EF">
            <w:pPr>
              <w:jc w:val="right"/>
            </w:pPr>
            <w:r w:rsidRPr="007B60BF">
              <w:t>7.626</w:t>
            </w:r>
          </w:p>
        </w:tc>
        <w:tc>
          <w:tcPr>
            <w:tcW w:w="106" w:type="pct"/>
            <w:tcBorders>
              <w:top w:val="nil"/>
              <w:left w:val="nil"/>
              <w:bottom w:val="nil"/>
              <w:right w:val="nil"/>
            </w:tcBorders>
            <w:shd w:val="clear" w:color="000000" w:fill="FFFFFF"/>
            <w:vAlign w:val="center"/>
            <w:hideMark/>
          </w:tcPr>
          <w:p w14:paraId="71B417E4" w14:textId="77777777" w:rsidR="00A646EF" w:rsidRPr="007B60BF" w:rsidRDefault="00A646EF" w:rsidP="00A646EF">
            <w:pPr>
              <w:jc w:val="right"/>
              <w:rPr>
                <w:b/>
                <w:bCs/>
              </w:rPr>
            </w:pPr>
            <w:r w:rsidRPr="007B60BF">
              <w:rPr>
                <w:b/>
                <w:bCs/>
              </w:rPr>
              <w:t> </w:t>
            </w:r>
          </w:p>
        </w:tc>
        <w:tc>
          <w:tcPr>
            <w:tcW w:w="774" w:type="pct"/>
            <w:tcBorders>
              <w:top w:val="nil"/>
              <w:left w:val="nil"/>
              <w:bottom w:val="nil"/>
              <w:right w:val="nil"/>
            </w:tcBorders>
          </w:tcPr>
          <w:p w14:paraId="4C2F5DDB" w14:textId="6BEEE339" w:rsidR="00A646EF" w:rsidRPr="007B60BF" w:rsidRDefault="00A646EF" w:rsidP="00A646EF">
            <w:pPr>
              <w:jc w:val="right"/>
            </w:pPr>
            <w:r w:rsidRPr="007B60BF">
              <w:t xml:space="preserve"> 7.020 </w:t>
            </w:r>
          </w:p>
        </w:tc>
      </w:tr>
      <w:tr w:rsidR="00A646EF" w:rsidRPr="007B60BF" w14:paraId="70F443F0" w14:textId="77777777" w:rsidTr="00306FD3">
        <w:tc>
          <w:tcPr>
            <w:tcW w:w="3329" w:type="pct"/>
            <w:tcBorders>
              <w:top w:val="nil"/>
              <w:left w:val="nil"/>
              <w:bottom w:val="nil"/>
              <w:right w:val="nil"/>
            </w:tcBorders>
            <w:shd w:val="clear" w:color="000000" w:fill="FFFFFF"/>
            <w:vAlign w:val="center"/>
            <w:hideMark/>
          </w:tcPr>
          <w:p w14:paraId="6286562F" w14:textId="77777777" w:rsidR="00A646EF" w:rsidRPr="007B60BF" w:rsidRDefault="00A646EF" w:rsidP="00A646EF">
            <w:r w:rsidRPr="007B60BF">
              <w:t>Empréstimos e Financiamentos</w:t>
            </w:r>
          </w:p>
        </w:tc>
        <w:tc>
          <w:tcPr>
            <w:tcW w:w="790" w:type="pct"/>
            <w:tcBorders>
              <w:top w:val="nil"/>
              <w:left w:val="nil"/>
              <w:bottom w:val="nil"/>
              <w:right w:val="nil"/>
            </w:tcBorders>
            <w:shd w:val="clear" w:color="auto" w:fill="auto"/>
          </w:tcPr>
          <w:p w14:paraId="56A53259" w14:textId="3B04E845" w:rsidR="00A646EF" w:rsidRPr="007B60BF" w:rsidRDefault="00F570F2" w:rsidP="00A646EF">
            <w:pPr>
              <w:jc w:val="right"/>
            </w:pPr>
            <w:r w:rsidRPr="007B60BF">
              <w:t>5.764</w:t>
            </w:r>
          </w:p>
        </w:tc>
        <w:tc>
          <w:tcPr>
            <w:tcW w:w="106" w:type="pct"/>
            <w:tcBorders>
              <w:top w:val="nil"/>
              <w:left w:val="nil"/>
              <w:bottom w:val="nil"/>
              <w:right w:val="nil"/>
            </w:tcBorders>
            <w:shd w:val="clear" w:color="000000" w:fill="FFFFFF"/>
            <w:vAlign w:val="center"/>
            <w:hideMark/>
          </w:tcPr>
          <w:p w14:paraId="1A89620B" w14:textId="77777777" w:rsidR="00A646EF" w:rsidRPr="007B60BF" w:rsidRDefault="00A646EF" w:rsidP="00A646EF">
            <w:pPr>
              <w:jc w:val="right"/>
              <w:rPr>
                <w:b/>
                <w:bCs/>
              </w:rPr>
            </w:pPr>
            <w:r w:rsidRPr="007B60BF">
              <w:rPr>
                <w:b/>
                <w:bCs/>
              </w:rPr>
              <w:t> </w:t>
            </w:r>
          </w:p>
        </w:tc>
        <w:tc>
          <w:tcPr>
            <w:tcW w:w="774" w:type="pct"/>
            <w:tcBorders>
              <w:top w:val="nil"/>
              <w:left w:val="nil"/>
              <w:bottom w:val="nil"/>
              <w:right w:val="nil"/>
            </w:tcBorders>
          </w:tcPr>
          <w:p w14:paraId="6BCEF72B" w14:textId="468FF492" w:rsidR="00A646EF" w:rsidRPr="007B60BF" w:rsidRDefault="00A646EF" w:rsidP="00A646EF">
            <w:pPr>
              <w:jc w:val="right"/>
            </w:pPr>
            <w:r w:rsidRPr="007B60BF">
              <w:t xml:space="preserve"> 5.295 </w:t>
            </w:r>
          </w:p>
        </w:tc>
      </w:tr>
      <w:tr w:rsidR="00A646EF" w:rsidRPr="007B60BF" w14:paraId="58C26438" w14:textId="77777777" w:rsidTr="00306FD3">
        <w:tc>
          <w:tcPr>
            <w:tcW w:w="3329" w:type="pct"/>
            <w:tcBorders>
              <w:top w:val="nil"/>
              <w:left w:val="nil"/>
              <w:bottom w:val="nil"/>
              <w:right w:val="nil"/>
            </w:tcBorders>
            <w:shd w:val="clear" w:color="000000" w:fill="FFFFFF"/>
            <w:vAlign w:val="center"/>
            <w:hideMark/>
          </w:tcPr>
          <w:p w14:paraId="65DF43BF" w14:textId="77777777" w:rsidR="00A646EF" w:rsidRPr="007B60BF" w:rsidRDefault="00A646EF" w:rsidP="00A646EF">
            <w:r w:rsidRPr="007B60BF">
              <w:t>Outras Despesas de Pessoal</w:t>
            </w:r>
          </w:p>
        </w:tc>
        <w:tc>
          <w:tcPr>
            <w:tcW w:w="790" w:type="pct"/>
            <w:tcBorders>
              <w:top w:val="nil"/>
              <w:left w:val="nil"/>
              <w:bottom w:val="single" w:sz="8" w:space="0" w:color="auto"/>
              <w:right w:val="nil"/>
            </w:tcBorders>
            <w:shd w:val="clear" w:color="auto" w:fill="auto"/>
          </w:tcPr>
          <w:p w14:paraId="4136F670" w14:textId="2CD601E0" w:rsidR="00A646EF" w:rsidRPr="007B60BF" w:rsidRDefault="003A723A" w:rsidP="00A646EF">
            <w:pPr>
              <w:tabs>
                <w:tab w:val="left" w:pos="1209"/>
              </w:tabs>
              <w:jc w:val="right"/>
            </w:pPr>
            <w:r w:rsidRPr="007B60BF">
              <w:t>1.</w:t>
            </w:r>
            <w:r w:rsidR="00B75C51" w:rsidRPr="007B60BF">
              <w:t>315</w:t>
            </w:r>
          </w:p>
        </w:tc>
        <w:tc>
          <w:tcPr>
            <w:tcW w:w="106" w:type="pct"/>
            <w:tcBorders>
              <w:top w:val="nil"/>
              <w:left w:val="nil"/>
              <w:bottom w:val="nil"/>
              <w:right w:val="nil"/>
            </w:tcBorders>
            <w:shd w:val="clear" w:color="000000" w:fill="FFFFFF"/>
            <w:vAlign w:val="center"/>
            <w:hideMark/>
          </w:tcPr>
          <w:p w14:paraId="749910C8" w14:textId="77777777" w:rsidR="00A646EF" w:rsidRPr="007B60BF" w:rsidRDefault="00A646EF" w:rsidP="00A646EF">
            <w:pPr>
              <w:jc w:val="right"/>
              <w:rPr>
                <w:b/>
                <w:bCs/>
              </w:rPr>
            </w:pPr>
            <w:r w:rsidRPr="007B60BF">
              <w:rPr>
                <w:b/>
                <w:bCs/>
              </w:rPr>
              <w:t> </w:t>
            </w:r>
          </w:p>
        </w:tc>
        <w:tc>
          <w:tcPr>
            <w:tcW w:w="774" w:type="pct"/>
            <w:tcBorders>
              <w:top w:val="nil"/>
              <w:left w:val="nil"/>
              <w:bottom w:val="single" w:sz="8" w:space="0" w:color="auto"/>
              <w:right w:val="nil"/>
            </w:tcBorders>
          </w:tcPr>
          <w:p w14:paraId="0AC9FB46" w14:textId="1BA6706A" w:rsidR="00A646EF" w:rsidRPr="007B60BF" w:rsidRDefault="00A646EF" w:rsidP="00A646EF">
            <w:pPr>
              <w:jc w:val="right"/>
            </w:pPr>
            <w:r w:rsidRPr="007B60BF">
              <w:t xml:space="preserve"> 1.136 </w:t>
            </w:r>
          </w:p>
        </w:tc>
      </w:tr>
      <w:tr w:rsidR="00306FD3" w:rsidRPr="007B60BF" w14:paraId="6CD6B8B3" w14:textId="77777777" w:rsidTr="00306FD3">
        <w:tc>
          <w:tcPr>
            <w:tcW w:w="3329" w:type="pct"/>
            <w:tcBorders>
              <w:top w:val="nil"/>
              <w:left w:val="nil"/>
              <w:bottom w:val="nil"/>
              <w:right w:val="nil"/>
            </w:tcBorders>
            <w:shd w:val="clear" w:color="000000" w:fill="FFFFFF"/>
            <w:noWrap/>
            <w:vAlign w:val="center"/>
            <w:hideMark/>
          </w:tcPr>
          <w:p w14:paraId="348B921C" w14:textId="71E1570D" w:rsidR="00306FD3" w:rsidRPr="007B60BF" w:rsidRDefault="00306FD3" w:rsidP="00306FD3">
            <w:pPr>
              <w:rPr>
                <w:b/>
                <w:bCs/>
              </w:rPr>
            </w:pPr>
            <w:r w:rsidRPr="007B60BF">
              <w:rPr>
                <w:b/>
                <w:bCs/>
              </w:rPr>
              <w:t>Saldo Contábil</w:t>
            </w:r>
          </w:p>
        </w:tc>
        <w:tc>
          <w:tcPr>
            <w:tcW w:w="790" w:type="pct"/>
            <w:tcBorders>
              <w:top w:val="single" w:sz="8" w:space="0" w:color="auto"/>
              <w:left w:val="nil"/>
              <w:bottom w:val="double" w:sz="4" w:space="0" w:color="auto"/>
              <w:right w:val="nil"/>
            </w:tcBorders>
            <w:shd w:val="clear" w:color="auto" w:fill="auto"/>
          </w:tcPr>
          <w:p w14:paraId="697106E0" w14:textId="311E4BDE" w:rsidR="00306FD3" w:rsidRPr="007B60BF" w:rsidRDefault="00F570F2" w:rsidP="005F225F">
            <w:pPr>
              <w:jc w:val="right"/>
              <w:rPr>
                <w:b/>
              </w:rPr>
            </w:pPr>
            <w:r w:rsidRPr="007B60BF">
              <w:rPr>
                <w:b/>
              </w:rPr>
              <w:t>103.873</w:t>
            </w:r>
          </w:p>
        </w:tc>
        <w:tc>
          <w:tcPr>
            <w:tcW w:w="106" w:type="pct"/>
            <w:tcBorders>
              <w:top w:val="nil"/>
              <w:left w:val="nil"/>
              <w:bottom w:val="nil"/>
              <w:right w:val="nil"/>
            </w:tcBorders>
            <w:shd w:val="clear" w:color="000000" w:fill="FFFFFF"/>
            <w:vAlign w:val="center"/>
            <w:hideMark/>
          </w:tcPr>
          <w:p w14:paraId="30219CE3" w14:textId="77777777" w:rsidR="00306FD3" w:rsidRPr="007B60BF" w:rsidRDefault="00306FD3" w:rsidP="00306FD3">
            <w:pPr>
              <w:jc w:val="right"/>
              <w:rPr>
                <w:b/>
                <w:bCs/>
              </w:rPr>
            </w:pPr>
            <w:r w:rsidRPr="007B60BF">
              <w:rPr>
                <w:b/>
                <w:bCs/>
              </w:rPr>
              <w:t> </w:t>
            </w:r>
          </w:p>
        </w:tc>
        <w:tc>
          <w:tcPr>
            <w:tcW w:w="774" w:type="pct"/>
            <w:tcBorders>
              <w:top w:val="single" w:sz="8" w:space="0" w:color="auto"/>
              <w:left w:val="nil"/>
              <w:bottom w:val="double" w:sz="4" w:space="0" w:color="auto"/>
              <w:right w:val="nil"/>
            </w:tcBorders>
          </w:tcPr>
          <w:p w14:paraId="3F8A19FD" w14:textId="5B335126" w:rsidR="00306FD3" w:rsidRPr="007B60BF" w:rsidRDefault="00306FD3" w:rsidP="00306FD3">
            <w:pPr>
              <w:jc w:val="right"/>
              <w:rPr>
                <w:b/>
              </w:rPr>
            </w:pPr>
            <w:r w:rsidRPr="007B60BF">
              <w:rPr>
                <w:b/>
              </w:rPr>
              <w:t xml:space="preserve"> 92.826 </w:t>
            </w:r>
          </w:p>
        </w:tc>
      </w:tr>
    </w:tbl>
    <w:p w14:paraId="04788B9D" w14:textId="77777777" w:rsidR="005D29A2" w:rsidRPr="007B60BF" w:rsidRDefault="005D29A2" w:rsidP="00B20F98">
      <w:pPr>
        <w:jc w:val="both"/>
      </w:pPr>
    </w:p>
    <w:p w14:paraId="2394501B" w14:textId="565B63BB" w:rsidR="005B23CD" w:rsidRPr="007B60BF" w:rsidRDefault="00CF1F80" w:rsidP="00B20F98">
      <w:pPr>
        <w:jc w:val="both"/>
      </w:pPr>
      <w:r w:rsidRPr="007B60BF">
        <w:t>C</w:t>
      </w:r>
      <w:r w:rsidR="00385F14" w:rsidRPr="007B60BF">
        <w:t>ompõe o saldo</w:t>
      </w:r>
      <w:r w:rsidRPr="007B60BF">
        <w:t xml:space="preserve"> de obrigações</w:t>
      </w:r>
      <w:r w:rsidR="002A2DA7" w:rsidRPr="007B60BF">
        <w:t xml:space="preserve"> com pessoal o valor referente à</w:t>
      </w:r>
      <w:r w:rsidRPr="007B60BF">
        <w:t xml:space="preserve"> folha de pagamento de </w:t>
      </w:r>
      <w:r w:rsidR="004602BA" w:rsidRPr="007B60BF">
        <w:t>dez</w:t>
      </w:r>
      <w:r w:rsidR="00C84606" w:rsidRPr="007B60BF">
        <w:t>embro</w:t>
      </w:r>
      <w:r w:rsidRPr="007B60BF">
        <w:t xml:space="preserve"> de 20</w:t>
      </w:r>
      <w:r w:rsidR="00E95238" w:rsidRPr="007B60BF">
        <w:t>2</w:t>
      </w:r>
      <w:r w:rsidR="00CF7AF3" w:rsidRPr="007B60BF">
        <w:t>5</w:t>
      </w:r>
      <w:r w:rsidRPr="007B60BF">
        <w:t>. Em contrapartida</w:t>
      </w:r>
      <w:r w:rsidR="003349E3" w:rsidRPr="007B60BF">
        <w:t>,</w:t>
      </w:r>
      <w:r w:rsidRPr="007B60BF">
        <w:t xml:space="preserve"> </w:t>
      </w:r>
      <w:r w:rsidR="00C84606" w:rsidRPr="007B60BF">
        <w:t>estão</w:t>
      </w:r>
      <w:r w:rsidRPr="007B60BF">
        <w:t xml:space="preserve"> depositados na c</w:t>
      </w:r>
      <w:r w:rsidR="00385F14" w:rsidRPr="007B60BF">
        <w:t xml:space="preserve">onta única os </w:t>
      </w:r>
      <w:r w:rsidR="00D27736" w:rsidRPr="007B60BF">
        <w:t>recurso</w:t>
      </w:r>
      <w:r w:rsidR="00385F14" w:rsidRPr="007B60BF">
        <w:t>s</w:t>
      </w:r>
      <w:r w:rsidR="00D27736" w:rsidRPr="007B60BF">
        <w:t xml:space="preserve"> financeiro</w:t>
      </w:r>
      <w:r w:rsidR="00385F14" w:rsidRPr="007B60BF">
        <w:t xml:space="preserve">s para </w:t>
      </w:r>
      <w:r w:rsidRPr="007B60BF">
        <w:t xml:space="preserve">o seu pagamento. </w:t>
      </w:r>
      <w:r w:rsidR="00E232AA" w:rsidRPr="007B60BF">
        <w:t>A</w:t>
      </w:r>
      <w:r w:rsidR="006343BA" w:rsidRPr="007B60BF">
        <w:t xml:space="preserve"> </w:t>
      </w:r>
      <w:r w:rsidR="0000094D" w:rsidRPr="007B60BF">
        <w:t>compensação</w:t>
      </w:r>
      <w:r w:rsidR="00E53603" w:rsidRPr="007B60BF">
        <w:t xml:space="preserve"> ocorreu no primeiro </w:t>
      </w:r>
      <w:r w:rsidR="00EA358B" w:rsidRPr="007B60BF">
        <w:t xml:space="preserve">dia útil </w:t>
      </w:r>
      <w:r w:rsidR="006343BA" w:rsidRPr="007B60BF">
        <w:t xml:space="preserve">de </w:t>
      </w:r>
      <w:r w:rsidR="004602BA" w:rsidRPr="007B60BF">
        <w:t>janeiro de 2026</w:t>
      </w:r>
      <w:r w:rsidR="00DE00EF" w:rsidRPr="007B60BF">
        <w:t>.</w:t>
      </w:r>
    </w:p>
    <w:p w14:paraId="6CCA5352" w14:textId="77777777" w:rsidR="00B22017" w:rsidRPr="007B60BF" w:rsidRDefault="00B22017" w:rsidP="00B20F98">
      <w:pPr>
        <w:jc w:val="both"/>
      </w:pPr>
    </w:p>
    <w:p w14:paraId="5BF5A69E" w14:textId="0C257509" w:rsidR="00E97809" w:rsidRPr="007B60BF" w:rsidRDefault="00E97809" w:rsidP="00B20F98">
      <w:pPr>
        <w:jc w:val="both"/>
      </w:pPr>
    </w:p>
    <w:p w14:paraId="76C62159" w14:textId="609B34D9" w:rsidR="0021705F" w:rsidRPr="007B60BF" w:rsidRDefault="0021705F" w:rsidP="00086B22">
      <w:pPr>
        <w:pStyle w:val="Ttulo1"/>
        <w:numPr>
          <w:ilvl w:val="0"/>
          <w:numId w:val="5"/>
        </w:numPr>
        <w:ind w:left="0" w:hanging="567"/>
        <w:jc w:val="left"/>
      </w:pPr>
      <w:bookmarkStart w:id="43" w:name="_Ref466465804"/>
      <w:bookmarkStart w:id="44" w:name="_Ref466465880"/>
      <w:bookmarkStart w:id="45" w:name="_Ref466466046"/>
      <w:bookmarkStart w:id="46" w:name="_Ref466466081"/>
      <w:bookmarkStart w:id="47" w:name="_Ref466467762"/>
      <w:bookmarkStart w:id="48" w:name="_Ref466467846"/>
      <w:bookmarkStart w:id="49" w:name="_Ref466472309"/>
      <w:bookmarkStart w:id="50" w:name="_Toc223007863"/>
      <w:r w:rsidRPr="007B60BF">
        <w:t xml:space="preserve">Contingências Passivas e </w:t>
      </w:r>
      <w:r w:rsidR="00C179F4" w:rsidRPr="007B60BF">
        <w:t>Provisões</w:t>
      </w:r>
      <w:r w:rsidRPr="007B60BF">
        <w:t xml:space="preserve"> </w:t>
      </w:r>
      <w:r w:rsidR="0010451D" w:rsidRPr="007B60BF">
        <w:t>com</w:t>
      </w:r>
      <w:r w:rsidRPr="007B60BF">
        <w:t xml:space="preserve"> Despesas </w:t>
      </w:r>
      <w:r w:rsidR="0010451D" w:rsidRPr="007B60BF">
        <w:t>de</w:t>
      </w:r>
      <w:r w:rsidRPr="007B60BF">
        <w:t xml:space="preserve"> Pessoal</w:t>
      </w:r>
      <w:bookmarkEnd w:id="43"/>
      <w:bookmarkEnd w:id="44"/>
      <w:bookmarkEnd w:id="45"/>
      <w:bookmarkEnd w:id="46"/>
      <w:bookmarkEnd w:id="47"/>
      <w:bookmarkEnd w:id="48"/>
      <w:bookmarkEnd w:id="49"/>
      <w:bookmarkEnd w:id="50"/>
    </w:p>
    <w:p w14:paraId="29FA5B7A" w14:textId="77777777" w:rsidR="0021705F" w:rsidRPr="007B60BF" w:rsidRDefault="0021705F" w:rsidP="0021705F">
      <w:pPr>
        <w:jc w:val="both"/>
        <w:rPr>
          <w:sz w:val="16"/>
          <w:szCs w:val="16"/>
        </w:rPr>
      </w:pPr>
    </w:p>
    <w:tbl>
      <w:tblPr>
        <w:tblW w:w="4986" w:type="pct"/>
        <w:tblCellMar>
          <w:left w:w="70" w:type="dxa"/>
          <w:right w:w="70" w:type="dxa"/>
        </w:tblCellMar>
        <w:tblLook w:val="04A0" w:firstRow="1" w:lastRow="0" w:firstColumn="1" w:lastColumn="0" w:noHBand="0" w:noVBand="1"/>
      </w:tblPr>
      <w:tblGrid>
        <w:gridCol w:w="3142"/>
        <w:gridCol w:w="1254"/>
        <w:gridCol w:w="190"/>
        <w:gridCol w:w="1330"/>
        <w:gridCol w:w="156"/>
        <w:gridCol w:w="1192"/>
        <w:gridCol w:w="266"/>
        <w:gridCol w:w="1516"/>
      </w:tblGrid>
      <w:tr w:rsidR="00901F72" w:rsidRPr="007B60BF" w14:paraId="208A724A" w14:textId="77777777" w:rsidTr="00145265">
        <w:tc>
          <w:tcPr>
            <w:tcW w:w="1737" w:type="pct"/>
            <w:tcBorders>
              <w:top w:val="nil"/>
              <w:left w:val="nil"/>
              <w:bottom w:val="nil"/>
              <w:right w:val="nil"/>
            </w:tcBorders>
            <w:shd w:val="clear" w:color="auto" w:fill="auto"/>
            <w:vAlign w:val="center"/>
            <w:hideMark/>
          </w:tcPr>
          <w:p w14:paraId="049432D0" w14:textId="77777777" w:rsidR="003A087E" w:rsidRPr="007B60BF" w:rsidRDefault="003A087E" w:rsidP="003A087E"/>
        </w:tc>
        <w:tc>
          <w:tcPr>
            <w:tcW w:w="2278" w:type="pct"/>
            <w:gridSpan w:val="5"/>
            <w:tcBorders>
              <w:top w:val="nil"/>
              <w:left w:val="nil"/>
              <w:bottom w:val="single" w:sz="8" w:space="0" w:color="auto"/>
              <w:right w:val="nil"/>
            </w:tcBorders>
            <w:shd w:val="clear" w:color="auto" w:fill="auto"/>
            <w:vAlign w:val="center"/>
            <w:hideMark/>
          </w:tcPr>
          <w:p w14:paraId="446E00B9" w14:textId="7BA520E0" w:rsidR="003A087E" w:rsidRPr="007B60BF" w:rsidRDefault="002E327D" w:rsidP="00590EEE">
            <w:pPr>
              <w:jc w:val="right"/>
              <w:rPr>
                <w:b/>
                <w:bCs/>
              </w:rPr>
            </w:pPr>
            <w:r w:rsidRPr="007B60BF">
              <w:rPr>
                <w:b/>
                <w:bCs/>
              </w:rPr>
              <w:t>31/12</w:t>
            </w:r>
            <w:r w:rsidR="0018482C" w:rsidRPr="007B60BF">
              <w:rPr>
                <w:b/>
                <w:bCs/>
              </w:rPr>
              <w:t>/2025</w:t>
            </w:r>
          </w:p>
        </w:tc>
        <w:tc>
          <w:tcPr>
            <w:tcW w:w="147" w:type="pct"/>
            <w:tcBorders>
              <w:top w:val="nil"/>
              <w:left w:val="nil"/>
              <w:bottom w:val="nil"/>
              <w:right w:val="nil"/>
            </w:tcBorders>
            <w:shd w:val="clear" w:color="auto" w:fill="auto"/>
            <w:vAlign w:val="center"/>
            <w:hideMark/>
          </w:tcPr>
          <w:p w14:paraId="4B1E84A9" w14:textId="77777777" w:rsidR="003A087E" w:rsidRPr="007B60BF" w:rsidRDefault="003A087E" w:rsidP="003A087E"/>
        </w:tc>
        <w:tc>
          <w:tcPr>
            <w:tcW w:w="838" w:type="pct"/>
            <w:tcBorders>
              <w:top w:val="nil"/>
              <w:left w:val="nil"/>
              <w:bottom w:val="single" w:sz="8" w:space="0" w:color="auto"/>
              <w:right w:val="nil"/>
            </w:tcBorders>
            <w:shd w:val="clear" w:color="auto" w:fill="auto"/>
            <w:vAlign w:val="center"/>
            <w:hideMark/>
          </w:tcPr>
          <w:p w14:paraId="6CD41DDC" w14:textId="196957C8" w:rsidR="003A087E" w:rsidRPr="007B60BF" w:rsidRDefault="003A087E" w:rsidP="00F01FD9">
            <w:pPr>
              <w:ind w:left="-55"/>
              <w:jc w:val="right"/>
              <w:rPr>
                <w:b/>
                <w:bCs/>
              </w:rPr>
            </w:pPr>
            <w:r w:rsidRPr="007B60BF">
              <w:rPr>
                <w:b/>
                <w:bCs/>
              </w:rPr>
              <w:t>31/12/20</w:t>
            </w:r>
            <w:r w:rsidR="003F03B9" w:rsidRPr="007B60BF">
              <w:rPr>
                <w:b/>
                <w:bCs/>
              </w:rPr>
              <w:t>2</w:t>
            </w:r>
            <w:r w:rsidR="00F01FD9" w:rsidRPr="007B60BF">
              <w:rPr>
                <w:b/>
                <w:bCs/>
              </w:rPr>
              <w:t>4</w:t>
            </w:r>
          </w:p>
        </w:tc>
      </w:tr>
      <w:tr w:rsidR="00F01FD9" w:rsidRPr="007B60BF" w14:paraId="70E5003E" w14:textId="77777777" w:rsidTr="003E3716">
        <w:tc>
          <w:tcPr>
            <w:tcW w:w="1737" w:type="pct"/>
            <w:tcBorders>
              <w:top w:val="nil"/>
              <w:left w:val="nil"/>
              <w:bottom w:val="nil"/>
              <w:right w:val="nil"/>
            </w:tcBorders>
            <w:shd w:val="clear" w:color="auto" w:fill="auto"/>
            <w:vAlign w:val="center"/>
            <w:hideMark/>
          </w:tcPr>
          <w:p w14:paraId="10794A49" w14:textId="77777777" w:rsidR="00F01FD9" w:rsidRPr="007B60BF" w:rsidRDefault="00F01FD9" w:rsidP="00F01FD9">
            <w:pPr>
              <w:rPr>
                <w:b/>
              </w:rPr>
            </w:pPr>
          </w:p>
        </w:tc>
        <w:tc>
          <w:tcPr>
            <w:tcW w:w="693" w:type="pct"/>
            <w:tcBorders>
              <w:top w:val="nil"/>
              <w:left w:val="nil"/>
              <w:bottom w:val="single" w:sz="8" w:space="0" w:color="auto"/>
              <w:right w:val="nil"/>
            </w:tcBorders>
            <w:shd w:val="clear" w:color="auto" w:fill="auto"/>
            <w:vAlign w:val="center"/>
            <w:hideMark/>
          </w:tcPr>
          <w:p w14:paraId="182397D5" w14:textId="11363D5E" w:rsidR="00F01FD9" w:rsidRPr="007B60BF" w:rsidRDefault="00F01FD9" w:rsidP="00F01FD9">
            <w:pPr>
              <w:ind w:left="-76"/>
              <w:jc w:val="right"/>
              <w:rPr>
                <w:b/>
                <w:bCs/>
              </w:rPr>
            </w:pPr>
            <w:r w:rsidRPr="007B60BF">
              <w:rPr>
                <w:b/>
                <w:bCs/>
              </w:rPr>
              <w:t>Curto Prazo</w:t>
            </w:r>
          </w:p>
        </w:tc>
        <w:tc>
          <w:tcPr>
            <w:tcW w:w="105" w:type="pct"/>
            <w:tcBorders>
              <w:top w:val="nil"/>
              <w:left w:val="nil"/>
              <w:bottom w:val="nil"/>
              <w:right w:val="nil"/>
            </w:tcBorders>
            <w:shd w:val="clear" w:color="auto" w:fill="auto"/>
            <w:vAlign w:val="center"/>
            <w:hideMark/>
          </w:tcPr>
          <w:p w14:paraId="28847A88" w14:textId="77777777" w:rsidR="00F01FD9" w:rsidRPr="007B60BF" w:rsidRDefault="00F01FD9" w:rsidP="00F01FD9">
            <w:pPr>
              <w:rPr>
                <w:b/>
              </w:rPr>
            </w:pPr>
          </w:p>
        </w:tc>
        <w:tc>
          <w:tcPr>
            <w:tcW w:w="735" w:type="pct"/>
            <w:tcBorders>
              <w:top w:val="nil"/>
              <w:left w:val="nil"/>
              <w:bottom w:val="single" w:sz="8" w:space="0" w:color="auto"/>
              <w:right w:val="nil"/>
            </w:tcBorders>
            <w:shd w:val="clear" w:color="auto" w:fill="auto"/>
            <w:vAlign w:val="center"/>
            <w:hideMark/>
          </w:tcPr>
          <w:p w14:paraId="7D5D7710" w14:textId="77777777" w:rsidR="00F01FD9" w:rsidRPr="007B60BF" w:rsidRDefault="00F01FD9" w:rsidP="00F01FD9">
            <w:pPr>
              <w:jc w:val="right"/>
              <w:rPr>
                <w:b/>
                <w:bCs/>
              </w:rPr>
            </w:pPr>
            <w:r w:rsidRPr="007B60BF">
              <w:rPr>
                <w:b/>
                <w:bCs/>
              </w:rPr>
              <w:t>Longo Prazo</w:t>
            </w:r>
          </w:p>
        </w:tc>
        <w:tc>
          <w:tcPr>
            <w:tcW w:w="86" w:type="pct"/>
            <w:tcBorders>
              <w:top w:val="nil"/>
              <w:left w:val="nil"/>
              <w:bottom w:val="nil"/>
              <w:right w:val="nil"/>
            </w:tcBorders>
            <w:shd w:val="clear" w:color="auto" w:fill="auto"/>
            <w:vAlign w:val="center"/>
            <w:hideMark/>
          </w:tcPr>
          <w:p w14:paraId="05ADA1D8" w14:textId="77777777" w:rsidR="00F01FD9" w:rsidRPr="007B60BF" w:rsidRDefault="00F01FD9" w:rsidP="00F01FD9">
            <w:pPr>
              <w:rPr>
                <w:b/>
              </w:rPr>
            </w:pPr>
          </w:p>
        </w:tc>
        <w:tc>
          <w:tcPr>
            <w:tcW w:w="659" w:type="pct"/>
            <w:tcBorders>
              <w:top w:val="nil"/>
              <w:left w:val="nil"/>
              <w:bottom w:val="single" w:sz="8" w:space="0" w:color="auto"/>
              <w:right w:val="nil"/>
            </w:tcBorders>
            <w:shd w:val="clear" w:color="auto" w:fill="auto"/>
            <w:vAlign w:val="center"/>
            <w:hideMark/>
          </w:tcPr>
          <w:p w14:paraId="712686D9" w14:textId="77777777" w:rsidR="00F01FD9" w:rsidRPr="007B60BF" w:rsidRDefault="00F01FD9" w:rsidP="00F01FD9">
            <w:pPr>
              <w:jc w:val="right"/>
              <w:rPr>
                <w:b/>
                <w:bCs/>
              </w:rPr>
            </w:pPr>
            <w:r w:rsidRPr="007B60BF">
              <w:rPr>
                <w:b/>
                <w:bCs/>
              </w:rPr>
              <w:t>Total</w:t>
            </w:r>
          </w:p>
        </w:tc>
        <w:tc>
          <w:tcPr>
            <w:tcW w:w="147" w:type="pct"/>
            <w:tcBorders>
              <w:top w:val="nil"/>
              <w:left w:val="nil"/>
              <w:bottom w:val="nil"/>
              <w:right w:val="nil"/>
            </w:tcBorders>
            <w:shd w:val="clear" w:color="auto" w:fill="auto"/>
            <w:vAlign w:val="center"/>
            <w:hideMark/>
          </w:tcPr>
          <w:p w14:paraId="6E10398D" w14:textId="77777777" w:rsidR="00F01FD9" w:rsidRPr="007B60BF" w:rsidRDefault="00F01FD9" w:rsidP="00F01FD9">
            <w:pPr>
              <w:rPr>
                <w:b/>
              </w:rPr>
            </w:pPr>
          </w:p>
        </w:tc>
        <w:tc>
          <w:tcPr>
            <w:tcW w:w="838" w:type="pct"/>
            <w:tcBorders>
              <w:top w:val="nil"/>
              <w:left w:val="nil"/>
              <w:bottom w:val="single" w:sz="8" w:space="0" w:color="auto"/>
              <w:right w:val="nil"/>
            </w:tcBorders>
            <w:shd w:val="clear" w:color="auto" w:fill="auto"/>
            <w:hideMark/>
          </w:tcPr>
          <w:p w14:paraId="7F7CC6D6" w14:textId="61B161DA" w:rsidR="00F01FD9" w:rsidRPr="007B60BF" w:rsidRDefault="00F01FD9" w:rsidP="00F01FD9">
            <w:pPr>
              <w:jc w:val="right"/>
              <w:rPr>
                <w:b/>
                <w:bCs/>
              </w:rPr>
            </w:pPr>
            <w:r w:rsidRPr="007B60BF">
              <w:rPr>
                <w:b/>
              </w:rPr>
              <w:t>Total</w:t>
            </w:r>
          </w:p>
        </w:tc>
      </w:tr>
      <w:tr w:rsidR="00231E73" w:rsidRPr="007B60BF" w14:paraId="2075485A" w14:textId="77777777" w:rsidTr="00145265">
        <w:tc>
          <w:tcPr>
            <w:tcW w:w="1737" w:type="pct"/>
            <w:tcBorders>
              <w:top w:val="nil"/>
              <w:left w:val="nil"/>
              <w:bottom w:val="nil"/>
              <w:right w:val="nil"/>
            </w:tcBorders>
            <w:shd w:val="clear" w:color="auto" w:fill="auto"/>
            <w:vAlign w:val="center"/>
            <w:hideMark/>
          </w:tcPr>
          <w:p w14:paraId="1C473825" w14:textId="45159320" w:rsidR="00231E73" w:rsidRPr="007B60BF" w:rsidRDefault="00231E73" w:rsidP="00231E73">
            <w:r w:rsidRPr="007B60BF">
              <w:t>Contingências (a)</w:t>
            </w:r>
          </w:p>
        </w:tc>
        <w:tc>
          <w:tcPr>
            <w:tcW w:w="693" w:type="pct"/>
            <w:tcBorders>
              <w:top w:val="nil"/>
              <w:left w:val="nil"/>
              <w:bottom w:val="nil"/>
              <w:right w:val="nil"/>
            </w:tcBorders>
            <w:shd w:val="clear" w:color="auto" w:fill="auto"/>
          </w:tcPr>
          <w:p w14:paraId="7341B363" w14:textId="7D323E43" w:rsidR="00231E73" w:rsidRPr="007B60BF" w:rsidRDefault="00231E73" w:rsidP="00231E73">
            <w:pPr>
              <w:jc w:val="right"/>
            </w:pPr>
            <w:r w:rsidRPr="007B60BF">
              <w:t>-</w:t>
            </w:r>
          </w:p>
        </w:tc>
        <w:tc>
          <w:tcPr>
            <w:tcW w:w="105" w:type="pct"/>
            <w:tcBorders>
              <w:top w:val="nil"/>
              <w:left w:val="nil"/>
              <w:bottom w:val="nil"/>
              <w:right w:val="nil"/>
            </w:tcBorders>
            <w:shd w:val="clear" w:color="auto" w:fill="auto"/>
          </w:tcPr>
          <w:p w14:paraId="3A8BD5E6" w14:textId="77777777" w:rsidR="00231E73" w:rsidRPr="007B60BF" w:rsidRDefault="00231E73" w:rsidP="00231E73"/>
        </w:tc>
        <w:tc>
          <w:tcPr>
            <w:tcW w:w="735" w:type="pct"/>
            <w:tcBorders>
              <w:top w:val="nil"/>
              <w:left w:val="nil"/>
              <w:bottom w:val="nil"/>
              <w:right w:val="nil"/>
            </w:tcBorders>
            <w:shd w:val="clear" w:color="auto" w:fill="auto"/>
          </w:tcPr>
          <w:p w14:paraId="2199B8FD" w14:textId="6C465F33" w:rsidR="00231E73" w:rsidRPr="007B60BF" w:rsidRDefault="002E327D" w:rsidP="002E327D">
            <w:pPr>
              <w:jc w:val="right"/>
            </w:pPr>
            <w:r w:rsidRPr="007B60BF">
              <w:t>854.348</w:t>
            </w:r>
          </w:p>
        </w:tc>
        <w:tc>
          <w:tcPr>
            <w:tcW w:w="86" w:type="pct"/>
            <w:tcBorders>
              <w:top w:val="nil"/>
              <w:left w:val="nil"/>
              <w:bottom w:val="nil"/>
              <w:right w:val="nil"/>
            </w:tcBorders>
            <w:shd w:val="clear" w:color="auto" w:fill="auto"/>
          </w:tcPr>
          <w:p w14:paraId="215A92FC" w14:textId="77777777" w:rsidR="00231E73" w:rsidRPr="007B60BF" w:rsidRDefault="00231E73" w:rsidP="00231E73"/>
        </w:tc>
        <w:tc>
          <w:tcPr>
            <w:tcW w:w="659" w:type="pct"/>
            <w:tcBorders>
              <w:top w:val="nil"/>
              <w:left w:val="nil"/>
              <w:bottom w:val="nil"/>
              <w:right w:val="nil"/>
            </w:tcBorders>
            <w:shd w:val="clear" w:color="auto" w:fill="auto"/>
          </w:tcPr>
          <w:p w14:paraId="2AC5958E" w14:textId="4EC4CBB6" w:rsidR="00231E73" w:rsidRPr="007B60BF" w:rsidRDefault="002E327D" w:rsidP="00231E73">
            <w:pPr>
              <w:jc w:val="right"/>
            </w:pPr>
            <w:r w:rsidRPr="007B60BF">
              <w:t>854.348</w:t>
            </w:r>
          </w:p>
        </w:tc>
        <w:tc>
          <w:tcPr>
            <w:tcW w:w="147" w:type="pct"/>
            <w:tcBorders>
              <w:top w:val="nil"/>
              <w:left w:val="nil"/>
              <w:bottom w:val="nil"/>
              <w:right w:val="nil"/>
            </w:tcBorders>
            <w:shd w:val="clear" w:color="auto" w:fill="auto"/>
            <w:vAlign w:val="center"/>
            <w:hideMark/>
          </w:tcPr>
          <w:p w14:paraId="7907316A" w14:textId="174D25CE" w:rsidR="00231E73" w:rsidRPr="007B60BF" w:rsidRDefault="00231E73" w:rsidP="00231E73"/>
        </w:tc>
        <w:tc>
          <w:tcPr>
            <w:tcW w:w="838" w:type="pct"/>
            <w:tcBorders>
              <w:top w:val="nil"/>
              <w:left w:val="nil"/>
              <w:bottom w:val="nil"/>
              <w:right w:val="nil"/>
            </w:tcBorders>
            <w:shd w:val="clear" w:color="auto" w:fill="auto"/>
            <w:hideMark/>
          </w:tcPr>
          <w:p w14:paraId="23FF9EA1" w14:textId="45A4B484" w:rsidR="00231E73" w:rsidRPr="007B60BF" w:rsidRDefault="00231E73" w:rsidP="00231E73">
            <w:pPr>
              <w:jc w:val="right"/>
            </w:pPr>
            <w:r w:rsidRPr="007B60BF">
              <w:t>792.402</w:t>
            </w:r>
          </w:p>
        </w:tc>
      </w:tr>
      <w:tr w:rsidR="008C7BB7" w:rsidRPr="007B60BF" w14:paraId="7C7CA58F" w14:textId="77777777" w:rsidTr="00AF5963">
        <w:tc>
          <w:tcPr>
            <w:tcW w:w="1737" w:type="pct"/>
            <w:tcBorders>
              <w:top w:val="nil"/>
              <w:left w:val="nil"/>
              <w:right w:val="nil"/>
            </w:tcBorders>
            <w:shd w:val="clear" w:color="auto" w:fill="auto"/>
            <w:vAlign w:val="center"/>
            <w:hideMark/>
          </w:tcPr>
          <w:p w14:paraId="4E657192" w14:textId="02AF3046" w:rsidR="008C7BB7" w:rsidRPr="007B60BF" w:rsidRDefault="008C7BB7" w:rsidP="008C7BB7">
            <w:r w:rsidRPr="007B60BF">
              <w:t>Férias a Pagar (b)</w:t>
            </w:r>
          </w:p>
        </w:tc>
        <w:tc>
          <w:tcPr>
            <w:tcW w:w="693" w:type="pct"/>
            <w:tcBorders>
              <w:top w:val="nil"/>
              <w:left w:val="nil"/>
              <w:right w:val="nil"/>
            </w:tcBorders>
            <w:shd w:val="clear" w:color="auto" w:fill="auto"/>
          </w:tcPr>
          <w:p w14:paraId="24C2D5D1" w14:textId="03177E0F" w:rsidR="008C7BB7" w:rsidRPr="007B60BF" w:rsidRDefault="008C7BB7" w:rsidP="008C7BB7">
            <w:pPr>
              <w:jc w:val="right"/>
            </w:pPr>
            <w:r w:rsidRPr="007B60BF">
              <w:t>178.655</w:t>
            </w:r>
          </w:p>
        </w:tc>
        <w:tc>
          <w:tcPr>
            <w:tcW w:w="105" w:type="pct"/>
            <w:tcBorders>
              <w:top w:val="nil"/>
              <w:left w:val="nil"/>
              <w:right w:val="nil"/>
            </w:tcBorders>
            <w:shd w:val="clear" w:color="auto" w:fill="auto"/>
          </w:tcPr>
          <w:p w14:paraId="61917C5B" w14:textId="77777777" w:rsidR="008C7BB7" w:rsidRPr="007B60BF" w:rsidRDefault="008C7BB7" w:rsidP="008C7BB7"/>
        </w:tc>
        <w:tc>
          <w:tcPr>
            <w:tcW w:w="735" w:type="pct"/>
            <w:tcBorders>
              <w:top w:val="nil"/>
              <w:left w:val="nil"/>
              <w:right w:val="nil"/>
            </w:tcBorders>
            <w:shd w:val="clear" w:color="auto" w:fill="auto"/>
          </w:tcPr>
          <w:p w14:paraId="255C8933" w14:textId="421CB75E" w:rsidR="008C7BB7" w:rsidRPr="007B60BF" w:rsidRDefault="008C7BB7" w:rsidP="008C7BB7">
            <w:pPr>
              <w:jc w:val="right"/>
            </w:pPr>
            <w:r w:rsidRPr="007B60BF">
              <w:t>-</w:t>
            </w:r>
          </w:p>
        </w:tc>
        <w:tc>
          <w:tcPr>
            <w:tcW w:w="86" w:type="pct"/>
            <w:tcBorders>
              <w:top w:val="nil"/>
              <w:left w:val="nil"/>
              <w:right w:val="nil"/>
            </w:tcBorders>
            <w:shd w:val="clear" w:color="auto" w:fill="auto"/>
          </w:tcPr>
          <w:p w14:paraId="6A0830B5" w14:textId="77777777" w:rsidR="008C7BB7" w:rsidRPr="007B60BF" w:rsidRDefault="008C7BB7" w:rsidP="008C7BB7"/>
        </w:tc>
        <w:tc>
          <w:tcPr>
            <w:tcW w:w="659" w:type="pct"/>
            <w:tcBorders>
              <w:top w:val="nil"/>
              <w:left w:val="nil"/>
              <w:right w:val="nil"/>
            </w:tcBorders>
            <w:shd w:val="clear" w:color="auto" w:fill="auto"/>
          </w:tcPr>
          <w:p w14:paraId="57417F05" w14:textId="524C9B31" w:rsidR="008C7BB7" w:rsidRPr="007B60BF" w:rsidRDefault="008C7BB7" w:rsidP="008C7BB7">
            <w:pPr>
              <w:jc w:val="right"/>
            </w:pPr>
            <w:r w:rsidRPr="007B60BF">
              <w:t>178.655</w:t>
            </w:r>
          </w:p>
        </w:tc>
        <w:tc>
          <w:tcPr>
            <w:tcW w:w="147" w:type="pct"/>
            <w:tcBorders>
              <w:top w:val="nil"/>
              <w:left w:val="nil"/>
              <w:right w:val="nil"/>
            </w:tcBorders>
            <w:shd w:val="clear" w:color="auto" w:fill="auto"/>
            <w:vAlign w:val="center"/>
            <w:hideMark/>
          </w:tcPr>
          <w:p w14:paraId="06B2D8E8" w14:textId="77777777" w:rsidR="008C7BB7" w:rsidRPr="007B60BF" w:rsidRDefault="008C7BB7" w:rsidP="008C7BB7"/>
        </w:tc>
        <w:tc>
          <w:tcPr>
            <w:tcW w:w="838" w:type="pct"/>
            <w:tcBorders>
              <w:top w:val="nil"/>
              <w:left w:val="nil"/>
              <w:right w:val="nil"/>
            </w:tcBorders>
            <w:shd w:val="clear" w:color="auto" w:fill="auto"/>
            <w:hideMark/>
          </w:tcPr>
          <w:p w14:paraId="1637F9F3" w14:textId="6320B765" w:rsidR="008C7BB7" w:rsidRPr="007B60BF" w:rsidRDefault="008C7BB7" w:rsidP="008C7BB7">
            <w:pPr>
              <w:jc w:val="right"/>
            </w:pPr>
            <w:r w:rsidRPr="007B60BF">
              <w:t xml:space="preserve">  165.026</w:t>
            </w:r>
          </w:p>
        </w:tc>
      </w:tr>
      <w:tr w:rsidR="008C7BB7" w:rsidRPr="007B60BF" w14:paraId="39B0BD2A" w14:textId="77777777" w:rsidTr="00AF5963">
        <w:tc>
          <w:tcPr>
            <w:tcW w:w="1737" w:type="pct"/>
            <w:tcBorders>
              <w:left w:val="nil"/>
              <w:right w:val="nil"/>
            </w:tcBorders>
            <w:shd w:val="clear" w:color="auto" w:fill="auto"/>
            <w:hideMark/>
          </w:tcPr>
          <w:p w14:paraId="54E84753" w14:textId="17F1B3E3" w:rsidR="008C7BB7" w:rsidRPr="007B60BF" w:rsidRDefault="008C7BB7" w:rsidP="008C7BB7">
            <w:r w:rsidRPr="007B60BF">
              <w:t>Licença Especial (c)</w:t>
            </w:r>
          </w:p>
        </w:tc>
        <w:tc>
          <w:tcPr>
            <w:tcW w:w="693" w:type="pct"/>
            <w:tcBorders>
              <w:left w:val="nil"/>
              <w:bottom w:val="single" w:sz="4" w:space="0" w:color="auto"/>
              <w:right w:val="nil"/>
            </w:tcBorders>
            <w:shd w:val="clear" w:color="auto" w:fill="auto"/>
          </w:tcPr>
          <w:p w14:paraId="6E05160A" w14:textId="182513AA" w:rsidR="008C7BB7" w:rsidRPr="007B60BF" w:rsidRDefault="008C7BB7" w:rsidP="008C7BB7">
            <w:pPr>
              <w:jc w:val="right"/>
            </w:pPr>
            <w:r w:rsidRPr="007B60BF">
              <w:t>97.303</w:t>
            </w:r>
          </w:p>
        </w:tc>
        <w:tc>
          <w:tcPr>
            <w:tcW w:w="105" w:type="pct"/>
            <w:tcBorders>
              <w:left w:val="nil"/>
              <w:right w:val="nil"/>
            </w:tcBorders>
            <w:shd w:val="clear" w:color="auto" w:fill="auto"/>
          </w:tcPr>
          <w:p w14:paraId="542B6422" w14:textId="77777777" w:rsidR="008C7BB7" w:rsidRPr="007B60BF" w:rsidRDefault="008C7BB7" w:rsidP="008C7BB7"/>
        </w:tc>
        <w:tc>
          <w:tcPr>
            <w:tcW w:w="735" w:type="pct"/>
            <w:tcBorders>
              <w:left w:val="nil"/>
              <w:bottom w:val="single" w:sz="4" w:space="0" w:color="auto"/>
              <w:right w:val="nil"/>
            </w:tcBorders>
            <w:shd w:val="clear" w:color="auto" w:fill="auto"/>
          </w:tcPr>
          <w:p w14:paraId="1FAD58C6" w14:textId="6705DCD7" w:rsidR="008C7BB7" w:rsidRPr="007B60BF" w:rsidRDefault="008C7BB7" w:rsidP="008C7BB7">
            <w:pPr>
              <w:jc w:val="right"/>
            </w:pPr>
            <w:r w:rsidRPr="007B60BF">
              <w:t>-</w:t>
            </w:r>
          </w:p>
        </w:tc>
        <w:tc>
          <w:tcPr>
            <w:tcW w:w="86" w:type="pct"/>
            <w:tcBorders>
              <w:left w:val="nil"/>
              <w:right w:val="nil"/>
            </w:tcBorders>
            <w:shd w:val="clear" w:color="auto" w:fill="auto"/>
          </w:tcPr>
          <w:p w14:paraId="58337766" w14:textId="77777777" w:rsidR="008C7BB7" w:rsidRPr="007B60BF" w:rsidRDefault="008C7BB7" w:rsidP="008C7BB7"/>
        </w:tc>
        <w:tc>
          <w:tcPr>
            <w:tcW w:w="659" w:type="pct"/>
            <w:tcBorders>
              <w:left w:val="nil"/>
              <w:right w:val="nil"/>
            </w:tcBorders>
            <w:shd w:val="clear" w:color="auto" w:fill="auto"/>
          </w:tcPr>
          <w:p w14:paraId="49786B3B" w14:textId="5FEA94DE" w:rsidR="008C7BB7" w:rsidRPr="007B60BF" w:rsidRDefault="008C7BB7" w:rsidP="008C7BB7">
            <w:pPr>
              <w:jc w:val="right"/>
            </w:pPr>
            <w:r w:rsidRPr="007B60BF">
              <w:t>97.303</w:t>
            </w:r>
          </w:p>
        </w:tc>
        <w:tc>
          <w:tcPr>
            <w:tcW w:w="147" w:type="pct"/>
            <w:tcBorders>
              <w:left w:val="nil"/>
              <w:right w:val="nil"/>
            </w:tcBorders>
            <w:shd w:val="clear" w:color="auto" w:fill="auto"/>
            <w:vAlign w:val="center"/>
            <w:hideMark/>
          </w:tcPr>
          <w:p w14:paraId="2BB694D8" w14:textId="77777777" w:rsidR="008C7BB7" w:rsidRPr="007B60BF" w:rsidRDefault="008C7BB7" w:rsidP="008C7BB7"/>
        </w:tc>
        <w:tc>
          <w:tcPr>
            <w:tcW w:w="838" w:type="pct"/>
            <w:tcBorders>
              <w:left w:val="nil"/>
              <w:bottom w:val="single" w:sz="4" w:space="0" w:color="auto"/>
              <w:right w:val="nil"/>
            </w:tcBorders>
            <w:shd w:val="clear" w:color="auto" w:fill="auto"/>
            <w:hideMark/>
          </w:tcPr>
          <w:p w14:paraId="1678F737" w14:textId="257AB4A9" w:rsidR="008C7BB7" w:rsidRPr="007B60BF" w:rsidRDefault="008C7BB7" w:rsidP="008C7BB7">
            <w:pPr>
              <w:jc w:val="right"/>
            </w:pPr>
            <w:r w:rsidRPr="007B60BF">
              <w:t xml:space="preserve">  83.853</w:t>
            </w:r>
          </w:p>
        </w:tc>
      </w:tr>
      <w:tr w:rsidR="00615D84" w:rsidRPr="007B60BF" w14:paraId="4AF02D2B" w14:textId="77777777" w:rsidTr="001C07C7">
        <w:tc>
          <w:tcPr>
            <w:tcW w:w="1737" w:type="pct"/>
            <w:tcBorders>
              <w:top w:val="nil"/>
              <w:left w:val="nil"/>
              <w:bottom w:val="nil"/>
              <w:right w:val="nil"/>
            </w:tcBorders>
            <w:shd w:val="clear" w:color="auto" w:fill="auto"/>
            <w:vAlign w:val="center"/>
            <w:hideMark/>
          </w:tcPr>
          <w:p w14:paraId="729F602B" w14:textId="77777777" w:rsidR="00615D84" w:rsidRPr="007B60BF" w:rsidRDefault="00615D84" w:rsidP="00615D84">
            <w:pPr>
              <w:rPr>
                <w:b/>
                <w:bCs/>
              </w:rPr>
            </w:pPr>
            <w:r w:rsidRPr="007B60BF">
              <w:rPr>
                <w:b/>
                <w:bCs/>
              </w:rPr>
              <w:t>Saldo Contábil</w:t>
            </w:r>
          </w:p>
        </w:tc>
        <w:tc>
          <w:tcPr>
            <w:tcW w:w="693" w:type="pct"/>
            <w:tcBorders>
              <w:top w:val="single" w:sz="4" w:space="0" w:color="auto"/>
              <w:left w:val="nil"/>
              <w:bottom w:val="double" w:sz="6" w:space="0" w:color="auto"/>
              <w:right w:val="nil"/>
            </w:tcBorders>
            <w:shd w:val="clear" w:color="auto" w:fill="auto"/>
          </w:tcPr>
          <w:p w14:paraId="6739363F" w14:textId="44D75F2D" w:rsidR="00615D84" w:rsidRPr="007B60BF" w:rsidRDefault="00AD3A20" w:rsidP="00615D84">
            <w:pPr>
              <w:jc w:val="right"/>
              <w:rPr>
                <w:b/>
                <w:bCs/>
              </w:rPr>
            </w:pPr>
            <w:r w:rsidRPr="007B60BF">
              <w:rPr>
                <w:b/>
                <w:bCs/>
              </w:rPr>
              <w:t>275.958</w:t>
            </w:r>
          </w:p>
        </w:tc>
        <w:tc>
          <w:tcPr>
            <w:tcW w:w="105" w:type="pct"/>
            <w:tcBorders>
              <w:top w:val="nil"/>
              <w:left w:val="nil"/>
              <w:bottom w:val="nil"/>
              <w:right w:val="nil"/>
            </w:tcBorders>
            <w:shd w:val="clear" w:color="auto" w:fill="auto"/>
          </w:tcPr>
          <w:p w14:paraId="18E30CFE" w14:textId="77777777" w:rsidR="00615D84" w:rsidRPr="007B60BF" w:rsidRDefault="00615D84" w:rsidP="00615D84">
            <w:pPr>
              <w:rPr>
                <w:b/>
              </w:rPr>
            </w:pPr>
          </w:p>
        </w:tc>
        <w:tc>
          <w:tcPr>
            <w:tcW w:w="735" w:type="pct"/>
            <w:tcBorders>
              <w:top w:val="single" w:sz="4" w:space="0" w:color="auto"/>
              <w:left w:val="nil"/>
              <w:bottom w:val="double" w:sz="6" w:space="0" w:color="auto"/>
              <w:right w:val="nil"/>
            </w:tcBorders>
            <w:shd w:val="clear" w:color="auto" w:fill="auto"/>
          </w:tcPr>
          <w:p w14:paraId="59763AA6" w14:textId="3D4FBDEC" w:rsidR="00615D84" w:rsidRPr="007B60BF" w:rsidRDefault="00533CB1" w:rsidP="00615D84">
            <w:pPr>
              <w:jc w:val="right"/>
              <w:rPr>
                <w:b/>
                <w:bCs/>
              </w:rPr>
            </w:pPr>
            <w:r w:rsidRPr="007B60BF">
              <w:rPr>
                <w:b/>
              </w:rPr>
              <w:t>854.348</w:t>
            </w:r>
          </w:p>
        </w:tc>
        <w:tc>
          <w:tcPr>
            <w:tcW w:w="86" w:type="pct"/>
            <w:tcBorders>
              <w:top w:val="nil"/>
              <w:left w:val="nil"/>
              <w:bottom w:val="nil"/>
              <w:right w:val="nil"/>
            </w:tcBorders>
            <w:shd w:val="clear" w:color="auto" w:fill="auto"/>
          </w:tcPr>
          <w:p w14:paraId="27B4CBFF" w14:textId="77777777" w:rsidR="00615D84" w:rsidRPr="007B60BF" w:rsidRDefault="00615D84" w:rsidP="00615D84">
            <w:pPr>
              <w:rPr>
                <w:b/>
              </w:rPr>
            </w:pPr>
          </w:p>
        </w:tc>
        <w:tc>
          <w:tcPr>
            <w:tcW w:w="659" w:type="pct"/>
            <w:tcBorders>
              <w:top w:val="single" w:sz="4" w:space="0" w:color="auto"/>
              <w:left w:val="nil"/>
              <w:bottom w:val="double" w:sz="6" w:space="0" w:color="auto"/>
              <w:right w:val="nil"/>
            </w:tcBorders>
            <w:shd w:val="clear" w:color="auto" w:fill="auto"/>
          </w:tcPr>
          <w:p w14:paraId="5E02B95F" w14:textId="29792681" w:rsidR="00615D84" w:rsidRPr="007B60BF" w:rsidRDefault="00AD3A20" w:rsidP="00AD3A20">
            <w:pPr>
              <w:jc w:val="right"/>
              <w:rPr>
                <w:b/>
              </w:rPr>
            </w:pPr>
            <w:r w:rsidRPr="007B60BF">
              <w:rPr>
                <w:b/>
              </w:rPr>
              <w:t>1.130.306</w:t>
            </w:r>
          </w:p>
        </w:tc>
        <w:tc>
          <w:tcPr>
            <w:tcW w:w="147" w:type="pct"/>
            <w:tcBorders>
              <w:top w:val="nil"/>
              <w:left w:val="nil"/>
              <w:bottom w:val="nil"/>
              <w:right w:val="nil"/>
            </w:tcBorders>
            <w:shd w:val="clear" w:color="auto" w:fill="auto"/>
            <w:vAlign w:val="center"/>
            <w:hideMark/>
          </w:tcPr>
          <w:p w14:paraId="298E5325" w14:textId="77777777" w:rsidR="00615D84" w:rsidRPr="007B60BF" w:rsidRDefault="00615D84" w:rsidP="00615D84">
            <w:pPr>
              <w:rPr>
                <w:b/>
              </w:rPr>
            </w:pPr>
          </w:p>
        </w:tc>
        <w:tc>
          <w:tcPr>
            <w:tcW w:w="838" w:type="pct"/>
            <w:tcBorders>
              <w:top w:val="single" w:sz="4" w:space="0" w:color="auto"/>
              <w:left w:val="nil"/>
              <w:bottom w:val="double" w:sz="6" w:space="0" w:color="auto"/>
              <w:right w:val="nil"/>
            </w:tcBorders>
            <w:shd w:val="clear" w:color="auto" w:fill="auto"/>
            <w:hideMark/>
          </w:tcPr>
          <w:p w14:paraId="54187FEB" w14:textId="1E04E898" w:rsidR="00615D84" w:rsidRPr="007B60BF" w:rsidRDefault="00615D84" w:rsidP="00615D84">
            <w:pPr>
              <w:jc w:val="right"/>
              <w:rPr>
                <w:b/>
              </w:rPr>
            </w:pPr>
            <w:r w:rsidRPr="007B60BF">
              <w:rPr>
                <w:b/>
              </w:rPr>
              <w:t>1.041.281</w:t>
            </w:r>
          </w:p>
        </w:tc>
      </w:tr>
    </w:tbl>
    <w:p w14:paraId="7B019971" w14:textId="77777777" w:rsidR="00407390" w:rsidRPr="007B60BF" w:rsidRDefault="00407390" w:rsidP="00407390">
      <w:pPr>
        <w:rPr>
          <w:b/>
          <w:sz w:val="16"/>
          <w:szCs w:val="16"/>
        </w:rPr>
      </w:pPr>
    </w:p>
    <w:p w14:paraId="216FC334" w14:textId="77777777" w:rsidR="00407390" w:rsidRPr="007B60BF" w:rsidRDefault="00FB6C8E" w:rsidP="00086B22">
      <w:pPr>
        <w:pStyle w:val="Subttulo"/>
        <w:numPr>
          <w:ilvl w:val="0"/>
          <w:numId w:val="3"/>
        </w:numPr>
        <w:jc w:val="both"/>
      </w:pPr>
      <w:r w:rsidRPr="007B60BF">
        <w:tab/>
        <w:t>Contingências</w:t>
      </w:r>
    </w:p>
    <w:tbl>
      <w:tblPr>
        <w:tblW w:w="5000" w:type="pct"/>
        <w:tblCellMar>
          <w:left w:w="70" w:type="dxa"/>
          <w:right w:w="70" w:type="dxa"/>
        </w:tblCellMar>
        <w:tblLook w:val="04A0" w:firstRow="1" w:lastRow="0" w:firstColumn="1" w:lastColumn="0" w:noHBand="0" w:noVBand="1"/>
      </w:tblPr>
      <w:tblGrid>
        <w:gridCol w:w="3045"/>
        <w:gridCol w:w="1326"/>
        <w:gridCol w:w="151"/>
        <w:gridCol w:w="1328"/>
        <w:gridCol w:w="163"/>
        <w:gridCol w:w="1123"/>
        <w:gridCol w:w="83"/>
        <w:gridCol w:w="301"/>
        <w:gridCol w:w="1551"/>
      </w:tblGrid>
      <w:tr w:rsidR="000D5A91" w:rsidRPr="007B60BF" w14:paraId="755C8B21" w14:textId="77777777" w:rsidTr="00567648">
        <w:tc>
          <w:tcPr>
            <w:tcW w:w="1678" w:type="pct"/>
            <w:tcBorders>
              <w:top w:val="nil"/>
              <w:left w:val="nil"/>
              <w:bottom w:val="nil"/>
              <w:right w:val="nil"/>
            </w:tcBorders>
            <w:shd w:val="clear" w:color="auto" w:fill="auto"/>
            <w:vAlign w:val="center"/>
            <w:hideMark/>
          </w:tcPr>
          <w:p w14:paraId="57A0786F" w14:textId="77777777" w:rsidR="00645071" w:rsidRPr="007B60BF" w:rsidRDefault="00645071" w:rsidP="00645071"/>
        </w:tc>
        <w:tc>
          <w:tcPr>
            <w:tcW w:w="2255" w:type="pct"/>
            <w:gridSpan w:val="5"/>
            <w:tcBorders>
              <w:top w:val="nil"/>
              <w:left w:val="nil"/>
              <w:bottom w:val="single" w:sz="8" w:space="0" w:color="auto"/>
              <w:right w:val="nil"/>
            </w:tcBorders>
            <w:shd w:val="clear" w:color="auto" w:fill="auto"/>
            <w:vAlign w:val="center"/>
            <w:hideMark/>
          </w:tcPr>
          <w:p w14:paraId="42390C4C" w14:textId="4718CACA" w:rsidR="00645071" w:rsidRPr="007B60BF" w:rsidRDefault="00407988" w:rsidP="00590EEE">
            <w:pPr>
              <w:jc w:val="right"/>
              <w:rPr>
                <w:b/>
                <w:bCs/>
              </w:rPr>
            </w:pPr>
            <w:r w:rsidRPr="007B60BF">
              <w:rPr>
                <w:b/>
                <w:bCs/>
              </w:rPr>
              <w:t>31/12</w:t>
            </w:r>
            <w:r w:rsidR="0018482C" w:rsidRPr="007B60BF">
              <w:rPr>
                <w:b/>
                <w:bCs/>
              </w:rPr>
              <w:t>/2025</w:t>
            </w:r>
          </w:p>
        </w:tc>
        <w:tc>
          <w:tcPr>
            <w:tcW w:w="211" w:type="pct"/>
            <w:gridSpan w:val="2"/>
            <w:tcBorders>
              <w:top w:val="nil"/>
              <w:left w:val="nil"/>
              <w:bottom w:val="nil"/>
              <w:right w:val="nil"/>
            </w:tcBorders>
            <w:shd w:val="clear" w:color="auto" w:fill="auto"/>
            <w:vAlign w:val="center"/>
            <w:hideMark/>
          </w:tcPr>
          <w:p w14:paraId="21998E83" w14:textId="77777777" w:rsidR="00645071" w:rsidRPr="007B60BF" w:rsidRDefault="00645071" w:rsidP="00645071"/>
        </w:tc>
        <w:tc>
          <w:tcPr>
            <w:tcW w:w="855" w:type="pct"/>
            <w:tcBorders>
              <w:top w:val="nil"/>
              <w:left w:val="nil"/>
              <w:bottom w:val="single" w:sz="8" w:space="0" w:color="auto"/>
              <w:right w:val="nil"/>
            </w:tcBorders>
            <w:shd w:val="clear" w:color="auto" w:fill="auto"/>
            <w:vAlign w:val="center"/>
            <w:hideMark/>
          </w:tcPr>
          <w:p w14:paraId="1AFCF555" w14:textId="6849315A" w:rsidR="00645071" w:rsidRPr="007B60BF" w:rsidRDefault="00645071" w:rsidP="00F01FD9">
            <w:pPr>
              <w:jc w:val="right"/>
              <w:rPr>
                <w:b/>
                <w:bCs/>
              </w:rPr>
            </w:pPr>
            <w:r w:rsidRPr="007B60BF">
              <w:rPr>
                <w:b/>
                <w:bCs/>
              </w:rPr>
              <w:t>31/12/20</w:t>
            </w:r>
            <w:r w:rsidR="003F03B9" w:rsidRPr="007B60BF">
              <w:rPr>
                <w:b/>
                <w:bCs/>
              </w:rPr>
              <w:t>2</w:t>
            </w:r>
            <w:r w:rsidR="00F01FD9" w:rsidRPr="007B60BF">
              <w:rPr>
                <w:b/>
                <w:bCs/>
              </w:rPr>
              <w:t>4</w:t>
            </w:r>
          </w:p>
        </w:tc>
      </w:tr>
      <w:tr w:rsidR="00C20B8E" w:rsidRPr="007B60BF" w14:paraId="53894263" w14:textId="77777777" w:rsidTr="00567648">
        <w:tc>
          <w:tcPr>
            <w:tcW w:w="1678" w:type="pct"/>
            <w:tcBorders>
              <w:top w:val="nil"/>
              <w:left w:val="nil"/>
              <w:bottom w:val="nil"/>
              <w:right w:val="nil"/>
            </w:tcBorders>
            <w:shd w:val="clear" w:color="auto" w:fill="auto"/>
            <w:vAlign w:val="center"/>
            <w:hideMark/>
          </w:tcPr>
          <w:p w14:paraId="7A52553D" w14:textId="77777777" w:rsidR="00C20B8E" w:rsidRPr="007B60BF" w:rsidRDefault="00C20B8E" w:rsidP="00C20B8E">
            <w:pPr>
              <w:rPr>
                <w:b/>
              </w:rPr>
            </w:pPr>
          </w:p>
        </w:tc>
        <w:tc>
          <w:tcPr>
            <w:tcW w:w="731" w:type="pct"/>
            <w:tcBorders>
              <w:top w:val="nil"/>
              <w:left w:val="nil"/>
              <w:bottom w:val="single" w:sz="8" w:space="0" w:color="auto"/>
              <w:right w:val="nil"/>
            </w:tcBorders>
            <w:shd w:val="clear" w:color="auto" w:fill="auto"/>
            <w:vAlign w:val="center"/>
            <w:hideMark/>
          </w:tcPr>
          <w:p w14:paraId="439D06DC" w14:textId="77777777" w:rsidR="00C20B8E" w:rsidRPr="007B60BF" w:rsidRDefault="00C20B8E" w:rsidP="00C20B8E">
            <w:pPr>
              <w:ind w:right="-67"/>
              <w:jc w:val="right"/>
              <w:rPr>
                <w:b/>
                <w:bCs/>
              </w:rPr>
            </w:pPr>
            <w:r w:rsidRPr="007B60BF">
              <w:rPr>
                <w:b/>
                <w:bCs/>
              </w:rPr>
              <w:t>Curto Prazo</w:t>
            </w:r>
          </w:p>
        </w:tc>
        <w:tc>
          <w:tcPr>
            <w:tcW w:w="83" w:type="pct"/>
            <w:tcBorders>
              <w:top w:val="nil"/>
              <w:left w:val="nil"/>
              <w:bottom w:val="nil"/>
              <w:right w:val="nil"/>
            </w:tcBorders>
            <w:shd w:val="clear" w:color="auto" w:fill="auto"/>
            <w:vAlign w:val="center"/>
            <w:hideMark/>
          </w:tcPr>
          <w:p w14:paraId="7A1D0FF1" w14:textId="77777777" w:rsidR="00C20B8E" w:rsidRPr="007B60BF" w:rsidRDefault="00C20B8E" w:rsidP="00C20B8E">
            <w:pPr>
              <w:rPr>
                <w:b/>
              </w:rPr>
            </w:pPr>
          </w:p>
        </w:tc>
        <w:tc>
          <w:tcPr>
            <w:tcW w:w="732" w:type="pct"/>
            <w:tcBorders>
              <w:top w:val="nil"/>
              <w:left w:val="nil"/>
              <w:bottom w:val="single" w:sz="8" w:space="0" w:color="auto"/>
              <w:right w:val="nil"/>
            </w:tcBorders>
            <w:shd w:val="clear" w:color="auto" w:fill="auto"/>
            <w:vAlign w:val="center"/>
            <w:hideMark/>
          </w:tcPr>
          <w:p w14:paraId="47F99194" w14:textId="77777777" w:rsidR="00C20B8E" w:rsidRPr="007B60BF" w:rsidRDefault="00C20B8E" w:rsidP="00C20B8E">
            <w:pPr>
              <w:jc w:val="right"/>
              <w:rPr>
                <w:b/>
                <w:bCs/>
              </w:rPr>
            </w:pPr>
            <w:r w:rsidRPr="007B60BF">
              <w:rPr>
                <w:b/>
                <w:bCs/>
              </w:rPr>
              <w:t>Longo Prazo</w:t>
            </w:r>
          </w:p>
        </w:tc>
        <w:tc>
          <w:tcPr>
            <w:tcW w:w="90" w:type="pct"/>
            <w:tcBorders>
              <w:top w:val="nil"/>
              <w:left w:val="nil"/>
              <w:bottom w:val="nil"/>
              <w:right w:val="nil"/>
            </w:tcBorders>
            <w:shd w:val="clear" w:color="auto" w:fill="auto"/>
            <w:vAlign w:val="center"/>
            <w:hideMark/>
          </w:tcPr>
          <w:p w14:paraId="4C52AC83" w14:textId="77777777" w:rsidR="00C20B8E" w:rsidRPr="007B60BF" w:rsidRDefault="00C20B8E" w:rsidP="00C20B8E">
            <w:pPr>
              <w:rPr>
                <w:b/>
              </w:rPr>
            </w:pPr>
          </w:p>
        </w:tc>
        <w:tc>
          <w:tcPr>
            <w:tcW w:w="665" w:type="pct"/>
            <w:gridSpan w:val="2"/>
            <w:tcBorders>
              <w:top w:val="nil"/>
              <w:left w:val="nil"/>
              <w:bottom w:val="single" w:sz="8" w:space="0" w:color="auto"/>
              <w:right w:val="nil"/>
            </w:tcBorders>
            <w:shd w:val="clear" w:color="auto" w:fill="auto"/>
          </w:tcPr>
          <w:p w14:paraId="1AB0FDF3" w14:textId="19F68101" w:rsidR="00C20B8E" w:rsidRPr="007B60BF" w:rsidRDefault="00C20B8E" w:rsidP="00C20B8E">
            <w:pPr>
              <w:jc w:val="right"/>
              <w:rPr>
                <w:b/>
                <w:bCs/>
              </w:rPr>
            </w:pPr>
            <w:r w:rsidRPr="007B60BF">
              <w:rPr>
                <w:b/>
              </w:rPr>
              <w:t>Total</w:t>
            </w:r>
          </w:p>
        </w:tc>
        <w:tc>
          <w:tcPr>
            <w:tcW w:w="166" w:type="pct"/>
            <w:tcBorders>
              <w:top w:val="nil"/>
              <w:left w:val="nil"/>
              <w:bottom w:val="nil"/>
              <w:right w:val="nil"/>
            </w:tcBorders>
            <w:shd w:val="clear" w:color="auto" w:fill="auto"/>
            <w:vAlign w:val="center"/>
            <w:hideMark/>
          </w:tcPr>
          <w:p w14:paraId="130B1D62" w14:textId="77777777" w:rsidR="00C20B8E" w:rsidRPr="007B60BF" w:rsidRDefault="00C20B8E" w:rsidP="00C20B8E">
            <w:pPr>
              <w:rPr>
                <w:b/>
              </w:rPr>
            </w:pPr>
          </w:p>
        </w:tc>
        <w:tc>
          <w:tcPr>
            <w:tcW w:w="855" w:type="pct"/>
            <w:tcBorders>
              <w:top w:val="nil"/>
              <w:left w:val="nil"/>
              <w:bottom w:val="single" w:sz="8" w:space="0" w:color="auto"/>
              <w:right w:val="nil"/>
            </w:tcBorders>
            <w:shd w:val="clear" w:color="auto" w:fill="auto"/>
            <w:vAlign w:val="center"/>
            <w:hideMark/>
          </w:tcPr>
          <w:p w14:paraId="2C7304BB" w14:textId="77777777" w:rsidR="00C20B8E" w:rsidRPr="007B60BF" w:rsidRDefault="00C20B8E" w:rsidP="00C20B8E">
            <w:pPr>
              <w:jc w:val="right"/>
              <w:rPr>
                <w:b/>
                <w:bCs/>
              </w:rPr>
            </w:pPr>
            <w:r w:rsidRPr="007B60BF">
              <w:rPr>
                <w:b/>
                <w:bCs/>
              </w:rPr>
              <w:t>Total</w:t>
            </w:r>
          </w:p>
        </w:tc>
      </w:tr>
      <w:tr w:rsidR="002E327D" w:rsidRPr="007B60BF" w14:paraId="0D531E78" w14:textId="77777777" w:rsidTr="00567648">
        <w:tc>
          <w:tcPr>
            <w:tcW w:w="1678" w:type="pct"/>
            <w:tcBorders>
              <w:top w:val="nil"/>
              <w:left w:val="nil"/>
              <w:bottom w:val="nil"/>
              <w:right w:val="nil"/>
            </w:tcBorders>
            <w:shd w:val="clear" w:color="auto" w:fill="auto"/>
            <w:vAlign w:val="center"/>
            <w:hideMark/>
          </w:tcPr>
          <w:p w14:paraId="53C4C29B" w14:textId="5741ACAA" w:rsidR="002E327D" w:rsidRPr="007B60BF" w:rsidRDefault="002E327D" w:rsidP="002E327D">
            <w:r w:rsidRPr="007B60BF">
              <w:t>Trabalhistas</w:t>
            </w:r>
          </w:p>
        </w:tc>
        <w:tc>
          <w:tcPr>
            <w:tcW w:w="731" w:type="pct"/>
            <w:tcBorders>
              <w:top w:val="nil"/>
              <w:left w:val="nil"/>
              <w:right w:val="nil"/>
            </w:tcBorders>
            <w:shd w:val="clear" w:color="auto" w:fill="auto"/>
          </w:tcPr>
          <w:p w14:paraId="3E6A8AB4" w14:textId="24600CC6" w:rsidR="002E327D" w:rsidRPr="007B60BF" w:rsidRDefault="002E327D" w:rsidP="002E327D">
            <w:pPr>
              <w:jc w:val="right"/>
            </w:pPr>
            <w:r w:rsidRPr="007B60BF">
              <w:t>-</w:t>
            </w:r>
          </w:p>
        </w:tc>
        <w:tc>
          <w:tcPr>
            <w:tcW w:w="83" w:type="pct"/>
            <w:tcBorders>
              <w:top w:val="nil"/>
              <w:left w:val="nil"/>
              <w:bottom w:val="nil"/>
              <w:right w:val="nil"/>
            </w:tcBorders>
            <w:shd w:val="clear" w:color="auto" w:fill="auto"/>
          </w:tcPr>
          <w:p w14:paraId="1857DF6E" w14:textId="77777777" w:rsidR="002E327D" w:rsidRPr="007B60BF" w:rsidRDefault="002E327D" w:rsidP="002E327D">
            <w:pPr>
              <w:jc w:val="right"/>
            </w:pPr>
          </w:p>
        </w:tc>
        <w:tc>
          <w:tcPr>
            <w:tcW w:w="732" w:type="pct"/>
            <w:tcBorders>
              <w:top w:val="nil"/>
              <w:left w:val="nil"/>
              <w:right w:val="nil"/>
            </w:tcBorders>
            <w:shd w:val="clear" w:color="auto" w:fill="auto"/>
          </w:tcPr>
          <w:p w14:paraId="7E232FBC" w14:textId="34DA9F0C" w:rsidR="002E327D" w:rsidRPr="007B60BF" w:rsidRDefault="002E327D" w:rsidP="002E327D">
            <w:pPr>
              <w:jc w:val="right"/>
            </w:pPr>
            <w:r w:rsidRPr="007B60BF">
              <w:t>821.280</w:t>
            </w:r>
          </w:p>
        </w:tc>
        <w:tc>
          <w:tcPr>
            <w:tcW w:w="90" w:type="pct"/>
            <w:tcBorders>
              <w:top w:val="nil"/>
              <w:left w:val="nil"/>
              <w:bottom w:val="nil"/>
              <w:right w:val="nil"/>
            </w:tcBorders>
            <w:shd w:val="clear" w:color="auto" w:fill="auto"/>
          </w:tcPr>
          <w:p w14:paraId="26EB4904" w14:textId="77777777" w:rsidR="002E327D" w:rsidRPr="007B60BF" w:rsidRDefault="002E327D" w:rsidP="002E327D">
            <w:pPr>
              <w:jc w:val="right"/>
            </w:pPr>
          </w:p>
        </w:tc>
        <w:tc>
          <w:tcPr>
            <w:tcW w:w="665" w:type="pct"/>
            <w:gridSpan w:val="2"/>
            <w:tcBorders>
              <w:top w:val="nil"/>
              <w:left w:val="nil"/>
              <w:bottom w:val="nil"/>
              <w:right w:val="nil"/>
            </w:tcBorders>
            <w:shd w:val="clear" w:color="auto" w:fill="auto"/>
          </w:tcPr>
          <w:p w14:paraId="2B5CF2E6" w14:textId="151D901C" w:rsidR="002E327D" w:rsidRPr="007B60BF" w:rsidRDefault="002E327D" w:rsidP="002E327D">
            <w:pPr>
              <w:jc w:val="right"/>
            </w:pPr>
            <w:r w:rsidRPr="007B60BF">
              <w:t>821.280</w:t>
            </w:r>
          </w:p>
        </w:tc>
        <w:tc>
          <w:tcPr>
            <w:tcW w:w="166" w:type="pct"/>
            <w:tcBorders>
              <w:top w:val="nil"/>
              <w:left w:val="nil"/>
              <w:bottom w:val="nil"/>
              <w:right w:val="nil"/>
            </w:tcBorders>
            <w:shd w:val="clear" w:color="auto" w:fill="auto"/>
            <w:vAlign w:val="center"/>
            <w:hideMark/>
          </w:tcPr>
          <w:p w14:paraId="27DF303B" w14:textId="77777777" w:rsidR="002E327D" w:rsidRPr="007B60BF" w:rsidRDefault="002E327D" w:rsidP="002E327D"/>
        </w:tc>
        <w:tc>
          <w:tcPr>
            <w:tcW w:w="855" w:type="pct"/>
            <w:tcBorders>
              <w:top w:val="nil"/>
              <w:left w:val="nil"/>
              <w:right w:val="nil"/>
            </w:tcBorders>
            <w:shd w:val="clear" w:color="auto" w:fill="auto"/>
            <w:hideMark/>
          </w:tcPr>
          <w:p w14:paraId="384A16A2" w14:textId="46559B4C" w:rsidR="002E327D" w:rsidRPr="007B60BF" w:rsidRDefault="002E327D" w:rsidP="002E327D">
            <w:pPr>
              <w:jc w:val="right"/>
            </w:pPr>
            <w:r w:rsidRPr="007B60BF">
              <w:t>767.717</w:t>
            </w:r>
          </w:p>
        </w:tc>
      </w:tr>
      <w:tr w:rsidR="002E327D" w:rsidRPr="007B60BF" w14:paraId="5DB503AD" w14:textId="77777777" w:rsidTr="00567648">
        <w:tc>
          <w:tcPr>
            <w:tcW w:w="1678" w:type="pct"/>
            <w:tcBorders>
              <w:top w:val="nil"/>
              <w:left w:val="nil"/>
              <w:bottom w:val="nil"/>
              <w:right w:val="nil"/>
            </w:tcBorders>
            <w:shd w:val="clear" w:color="auto" w:fill="auto"/>
            <w:vAlign w:val="center"/>
            <w:hideMark/>
          </w:tcPr>
          <w:p w14:paraId="48C49E5C" w14:textId="0A63C5B1" w:rsidR="002E327D" w:rsidRPr="007B60BF" w:rsidRDefault="002E327D" w:rsidP="002E327D">
            <w:r w:rsidRPr="007B60BF">
              <w:t>Cíveis</w:t>
            </w:r>
          </w:p>
        </w:tc>
        <w:tc>
          <w:tcPr>
            <w:tcW w:w="731" w:type="pct"/>
            <w:tcBorders>
              <w:top w:val="nil"/>
              <w:left w:val="nil"/>
              <w:bottom w:val="single" w:sz="4" w:space="0" w:color="auto"/>
              <w:right w:val="nil"/>
            </w:tcBorders>
            <w:shd w:val="clear" w:color="auto" w:fill="auto"/>
          </w:tcPr>
          <w:p w14:paraId="39FC152D" w14:textId="0CBCCAA0" w:rsidR="002E327D" w:rsidRPr="007B60BF" w:rsidRDefault="002E327D" w:rsidP="002E327D">
            <w:pPr>
              <w:jc w:val="right"/>
            </w:pPr>
            <w:r w:rsidRPr="007B60BF">
              <w:t xml:space="preserve"> -   </w:t>
            </w:r>
          </w:p>
        </w:tc>
        <w:tc>
          <w:tcPr>
            <w:tcW w:w="83" w:type="pct"/>
            <w:tcBorders>
              <w:top w:val="nil"/>
              <w:left w:val="nil"/>
              <w:bottom w:val="nil"/>
              <w:right w:val="nil"/>
            </w:tcBorders>
            <w:shd w:val="clear" w:color="auto" w:fill="auto"/>
          </w:tcPr>
          <w:p w14:paraId="16C52C74" w14:textId="77777777" w:rsidR="002E327D" w:rsidRPr="007B60BF" w:rsidRDefault="002E327D" w:rsidP="002E327D">
            <w:pPr>
              <w:jc w:val="right"/>
            </w:pPr>
          </w:p>
        </w:tc>
        <w:tc>
          <w:tcPr>
            <w:tcW w:w="732" w:type="pct"/>
            <w:tcBorders>
              <w:top w:val="nil"/>
              <w:left w:val="nil"/>
              <w:bottom w:val="single" w:sz="4" w:space="0" w:color="auto"/>
              <w:right w:val="nil"/>
            </w:tcBorders>
            <w:shd w:val="clear" w:color="auto" w:fill="auto"/>
          </w:tcPr>
          <w:p w14:paraId="25470E19" w14:textId="1AB1DA6B" w:rsidR="002E327D" w:rsidRPr="007B60BF" w:rsidRDefault="002E327D" w:rsidP="002E327D">
            <w:pPr>
              <w:jc w:val="right"/>
            </w:pPr>
            <w:r w:rsidRPr="007B60BF">
              <w:t>33.068</w:t>
            </w:r>
          </w:p>
        </w:tc>
        <w:tc>
          <w:tcPr>
            <w:tcW w:w="90" w:type="pct"/>
            <w:tcBorders>
              <w:top w:val="nil"/>
              <w:left w:val="nil"/>
              <w:bottom w:val="nil"/>
              <w:right w:val="nil"/>
            </w:tcBorders>
            <w:shd w:val="clear" w:color="auto" w:fill="auto"/>
          </w:tcPr>
          <w:p w14:paraId="31F49226" w14:textId="77777777" w:rsidR="002E327D" w:rsidRPr="007B60BF" w:rsidRDefault="002E327D" w:rsidP="002E327D">
            <w:pPr>
              <w:jc w:val="right"/>
            </w:pPr>
          </w:p>
        </w:tc>
        <w:tc>
          <w:tcPr>
            <w:tcW w:w="665" w:type="pct"/>
            <w:gridSpan w:val="2"/>
            <w:tcBorders>
              <w:top w:val="nil"/>
              <w:left w:val="nil"/>
              <w:right w:val="nil"/>
            </w:tcBorders>
            <w:shd w:val="clear" w:color="auto" w:fill="auto"/>
          </w:tcPr>
          <w:p w14:paraId="0E979712" w14:textId="4A84EAB3" w:rsidR="002E327D" w:rsidRPr="007B60BF" w:rsidRDefault="002E327D" w:rsidP="002E327D">
            <w:pPr>
              <w:jc w:val="right"/>
            </w:pPr>
            <w:r w:rsidRPr="007B60BF">
              <w:t>33.068</w:t>
            </w:r>
          </w:p>
        </w:tc>
        <w:tc>
          <w:tcPr>
            <w:tcW w:w="166" w:type="pct"/>
            <w:tcBorders>
              <w:top w:val="nil"/>
              <w:left w:val="nil"/>
              <w:bottom w:val="nil"/>
              <w:right w:val="nil"/>
            </w:tcBorders>
            <w:shd w:val="clear" w:color="auto" w:fill="auto"/>
            <w:vAlign w:val="center"/>
            <w:hideMark/>
          </w:tcPr>
          <w:p w14:paraId="688B4A27" w14:textId="77777777" w:rsidR="002E327D" w:rsidRPr="007B60BF" w:rsidRDefault="002E327D" w:rsidP="002E327D"/>
        </w:tc>
        <w:tc>
          <w:tcPr>
            <w:tcW w:w="855" w:type="pct"/>
            <w:tcBorders>
              <w:top w:val="nil"/>
              <w:left w:val="nil"/>
              <w:bottom w:val="single" w:sz="4" w:space="0" w:color="auto"/>
              <w:right w:val="nil"/>
            </w:tcBorders>
            <w:shd w:val="clear" w:color="auto" w:fill="auto"/>
            <w:hideMark/>
          </w:tcPr>
          <w:p w14:paraId="42A8B859" w14:textId="1B69A2EE" w:rsidR="002E327D" w:rsidRPr="007B60BF" w:rsidRDefault="002E327D" w:rsidP="002E327D">
            <w:pPr>
              <w:jc w:val="right"/>
            </w:pPr>
            <w:r w:rsidRPr="007B60BF">
              <w:t>24.685</w:t>
            </w:r>
          </w:p>
        </w:tc>
      </w:tr>
      <w:tr w:rsidR="002E327D" w:rsidRPr="007B60BF" w14:paraId="44A8CF23" w14:textId="77777777" w:rsidTr="00567648">
        <w:tc>
          <w:tcPr>
            <w:tcW w:w="1678" w:type="pct"/>
            <w:tcBorders>
              <w:top w:val="nil"/>
              <w:left w:val="nil"/>
              <w:bottom w:val="nil"/>
              <w:right w:val="nil"/>
            </w:tcBorders>
            <w:shd w:val="clear" w:color="auto" w:fill="auto"/>
            <w:vAlign w:val="center"/>
            <w:hideMark/>
          </w:tcPr>
          <w:p w14:paraId="40BF6C63" w14:textId="2569F67C" w:rsidR="002E327D" w:rsidRPr="007B60BF" w:rsidRDefault="002E327D" w:rsidP="002E327D">
            <w:pPr>
              <w:rPr>
                <w:b/>
                <w:bCs/>
              </w:rPr>
            </w:pPr>
            <w:r w:rsidRPr="007B60BF">
              <w:rPr>
                <w:b/>
                <w:bCs/>
              </w:rPr>
              <w:t>Saldo de Contingências</w:t>
            </w:r>
          </w:p>
        </w:tc>
        <w:tc>
          <w:tcPr>
            <w:tcW w:w="731" w:type="pct"/>
            <w:tcBorders>
              <w:top w:val="single" w:sz="4" w:space="0" w:color="auto"/>
              <w:left w:val="nil"/>
              <w:bottom w:val="double" w:sz="6" w:space="0" w:color="auto"/>
              <w:right w:val="nil"/>
            </w:tcBorders>
            <w:shd w:val="clear" w:color="auto" w:fill="auto"/>
          </w:tcPr>
          <w:p w14:paraId="0AADE091" w14:textId="25F0E09F" w:rsidR="002E327D" w:rsidRPr="007B60BF" w:rsidRDefault="002E327D" w:rsidP="002E327D">
            <w:pPr>
              <w:jc w:val="right"/>
              <w:rPr>
                <w:b/>
              </w:rPr>
            </w:pPr>
            <w:r w:rsidRPr="007B60BF">
              <w:rPr>
                <w:b/>
              </w:rPr>
              <w:t>-</w:t>
            </w:r>
          </w:p>
        </w:tc>
        <w:tc>
          <w:tcPr>
            <w:tcW w:w="83" w:type="pct"/>
            <w:tcBorders>
              <w:top w:val="nil"/>
              <w:left w:val="nil"/>
              <w:bottom w:val="nil"/>
              <w:right w:val="nil"/>
            </w:tcBorders>
            <w:shd w:val="clear" w:color="auto" w:fill="auto"/>
          </w:tcPr>
          <w:p w14:paraId="4B8CE2E8" w14:textId="77777777" w:rsidR="002E327D" w:rsidRPr="007B60BF" w:rsidRDefault="002E327D" w:rsidP="002E327D">
            <w:pPr>
              <w:jc w:val="right"/>
              <w:rPr>
                <w:b/>
              </w:rPr>
            </w:pPr>
          </w:p>
        </w:tc>
        <w:tc>
          <w:tcPr>
            <w:tcW w:w="732" w:type="pct"/>
            <w:tcBorders>
              <w:top w:val="single" w:sz="4" w:space="0" w:color="auto"/>
              <w:left w:val="nil"/>
              <w:bottom w:val="double" w:sz="6" w:space="0" w:color="auto"/>
              <w:right w:val="nil"/>
            </w:tcBorders>
            <w:shd w:val="clear" w:color="auto" w:fill="auto"/>
          </w:tcPr>
          <w:p w14:paraId="76E9BC03" w14:textId="316515A8" w:rsidR="002E327D" w:rsidRPr="007B60BF" w:rsidRDefault="002E327D" w:rsidP="002E327D">
            <w:pPr>
              <w:jc w:val="right"/>
              <w:rPr>
                <w:b/>
              </w:rPr>
            </w:pPr>
            <w:r w:rsidRPr="007B60BF">
              <w:rPr>
                <w:b/>
              </w:rPr>
              <w:t>854.348</w:t>
            </w:r>
          </w:p>
        </w:tc>
        <w:tc>
          <w:tcPr>
            <w:tcW w:w="90" w:type="pct"/>
            <w:tcBorders>
              <w:top w:val="nil"/>
              <w:left w:val="nil"/>
              <w:bottom w:val="nil"/>
              <w:right w:val="nil"/>
            </w:tcBorders>
            <w:shd w:val="clear" w:color="auto" w:fill="auto"/>
          </w:tcPr>
          <w:p w14:paraId="7FDEC834" w14:textId="569805B9" w:rsidR="002E327D" w:rsidRPr="007B60BF" w:rsidRDefault="002E327D" w:rsidP="002E327D">
            <w:pPr>
              <w:jc w:val="right"/>
              <w:rPr>
                <w:b/>
              </w:rPr>
            </w:pPr>
          </w:p>
        </w:tc>
        <w:tc>
          <w:tcPr>
            <w:tcW w:w="665" w:type="pct"/>
            <w:gridSpan w:val="2"/>
            <w:tcBorders>
              <w:top w:val="single" w:sz="4" w:space="0" w:color="auto"/>
              <w:left w:val="nil"/>
              <w:bottom w:val="double" w:sz="6" w:space="0" w:color="auto"/>
              <w:right w:val="nil"/>
            </w:tcBorders>
            <w:shd w:val="clear" w:color="auto" w:fill="auto"/>
          </w:tcPr>
          <w:p w14:paraId="20B382AE" w14:textId="15E404D3" w:rsidR="002E327D" w:rsidRPr="007B60BF" w:rsidRDefault="002E327D" w:rsidP="002E327D">
            <w:pPr>
              <w:jc w:val="right"/>
              <w:rPr>
                <w:b/>
              </w:rPr>
            </w:pPr>
            <w:r w:rsidRPr="007B60BF">
              <w:rPr>
                <w:b/>
              </w:rPr>
              <w:t>854.348</w:t>
            </w:r>
          </w:p>
        </w:tc>
        <w:tc>
          <w:tcPr>
            <w:tcW w:w="166" w:type="pct"/>
            <w:tcBorders>
              <w:top w:val="nil"/>
              <w:left w:val="nil"/>
              <w:bottom w:val="nil"/>
              <w:right w:val="nil"/>
            </w:tcBorders>
            <w:shd w:val="clear" w:color="auto" w:fill="auto"/>
            <w:vAlign w:val="center"/>
            <w:hideMark/>
          </w:tcPr>
          <w:p w14:paraId="21A91691" w14:textId="77777777" w:rsidR="002E327D" w:rsidRPr="007B60BF" w:rsidRDefault="002E327D" w:rsidP="002E327D">
            <w:pPr>
              <w:rPr>
                <w:b/>
              </w:rPr>
            </w:pPr>
          </w:p>
        </w:tc>
        <w:tc>
          <w:tcPr>
            <w:tcW w:w="855" w:type="pct"/>
            <w:tcBorders>
              <w:top w:val="single" w:sz="4" w:space="0" w:color="auto"/>
              <w:left w:val="nil"/>
              <w:bottom w:val="double" w:sz="6" w:space="0" w:color="auto"/>
              <w:right w:val="nil"/>
            </w:tcBorders>
            <w:shd w:val="clear" w:color="auto" w:fill="auto"/>
            <w:hideMark/>
          </w:tcPr>
          <w:p w14:paraId="6ED38BD8" w14:textId="73B1F2E6" w:rsidR="002E327D" w:rsidRPr="007B60BF" w:rsidRDefault="002E327D" w:rsidP="002E327D">
            <w:pPr>
              <w:jc w:val="right"/>
              <w:rPr>
                <w:b/>
                <w:bCs/>
              </w:rPr>
            </w:pPr>
            <w:r w:rsidRPr="007B60BF">
              <w:rPr>
                <w:b/>
              </w:rPr>
              <w:t>792.402</w:t>
            </w:r>
          </w:p>
        </w:tc>
      </w:tr>
    </w:tbl>
    <w:p w14:paraId="7881E830" w14:textId="77777777" w:rsidR="008C57FE" w:rsidRPr="007B60BF" w:rsidRDefault="008C57FE" w:rsidP="00B37B93">
      <w:pPr>
        <w:ind w:left="851" w:hanging="851"/>
        <w:jc w:val="both"/>
        <w:rPr>
          <w:sz w:val="16"/>
          <w:szCs w:val="16"/>
        </w:rPr>
      </w:pPr>
    </w:p>
    <w:p w14:paraId="497BDD5B" w14:textId="6C23687E" w:rsidR="00B37B93" w:rsidRPr="007B60BF" w:rsidRDefault="00B37B93" w:rsidP="00B37B93">
      <w:pPr>
        <w:ind w:left="851" w:hanging="851"/>
        <w:jc w:val="both"/>
      </w:pPr>
      <w:r w:rsidRPr="007B60BF">
        <w:t>A movimentação de precatórios e provisões de contingências do período está demonstrada a seguir:</w:t>
      </w:r>
    </w:p>
    <w:tbl>
      <w:tblPr>
        <w:tblW w:w="5000" w:type="pct"/>
        <w:tblCellMar>
          <w:left w:w="70" w:type="dxa"/>
          <w:right w:w="70" w:type="dxa"/>
        </w:tblCellMar>
        <w:tblLook w:val="04A0" w:firstRow="1" w:lastRow="0" w:firstColumn="1" w:lastColumn="0" w:noHBand="0" w:noVBand="1"/>
      </w:tblPr>
      <w:tblGrid>
        <w:gridCol w:w="3318"/>
        <w:gridCol w:w="238"/>
        <w:gridCol w:w="225"/>
        <w:gridCol w:w="1555"/>
        <w:gridCol w:w="225"/>
        <w:gridCol w:w="1694"/>
        <w:gridCol w:w="225"/>
        <w:gridCol w:w="1591"/>
      </w:tblGrid>
      <w:tr w:rsidR="002E327D" w:rsidRPr="007B60BF" w14:paraId="25D6B62D" w14:textId="77777777" w:rsidTr="00B25AA8">
        <w:tc>
          <w:tcPr>
            <w:tcW w:w="1829" w:type="pct"/>
            <w:shd w:val="clear" w:color="auto" w:fill="FFFFFF"/>
            <w:vAlign w:val="center"/>
            <w:hideMark/>
          </w:tcPr>
          <w:p w14:paraId="342E0A4F" w14:textId="77777777" w:rsidR="002E327D" w:rsidRPr="00242840" w:rsidRDefault="002E327D" w:rsidP="00A917FF">
            <w:r w:rsidRPr="00242840">
              <w:lastRenderedPageBreak/>
              <w:t> </w:t>
            </w:r>
          </w:p>
        </w:tc>
        <w:tc>
          <w:tcPr>
            <w:tcW w:w="131" w:type="pct"/>
            <w:shd w:val="clear" w:color="auto" w:fill="FFFFFF"/>
            <w:vAlign w:val="center"/>
            <w:hideMark/>
          </w:tcPr>
          <w:p w14:paraId="654E3E61" w14:textId="77777777" w:rsidR="002E327D" w:rsidRPr="00242840" w:rsidRDefault="002E327D" w:rsidP="00A917FF">
            <w:r w:rsidRPr="00242840">
              <w:t> </w:t>
            </w:r>
          </w:p>
        </w:tc>
        <w:tc>
          <w:tcPr>
            <w:tcW w:w="124" w:type="pct"/>
            <w:shd w:val="clear" w:color="auto" w:fill="FFFFFF"/>
            <w:vAlign w:val="center"/>
            <w:hideMark/>
          </w:tcPr>
          <w:p w14:paraId="05BC0C99" w14:textId="77777777" w:rsidR="002E327D" w:rsidRPr="00242840" w:rsidRDefault="002E327D" w:rsidP="00A917FF">
            <w:pPr>
              <w:jc w:val="right"/>
            </w:pPr>
            <w:r w:rsidRPr="00242840">
              <w:t> </w:t>
            </w:r>
          </w:p>
        </w:tc>
        <w:tc>
          <w:tcPr>
            <w:tcW w:w="857" w:type="pct"/>
            <w:tcBorders>
              <w:top w:val="nil"/>
              <w:left w:val="nil"/>
              <w:bottom w:val="single" w:sz="8" w:space="0" w:color="auto"/>
              <w:right w:val="nil"/>
            </w:tcBorders>
            <w:shd w:val="clear" w:color="auto" w:fill="FFFFFF"/>
            <w:vAlign w:val="center"/>
            <w:hideMark/>
          </w:tcPr>
          <w:p w14:paraId="1A3BF8A4" w14:textId="77777777" w:rsidR="002E327D" w:rsidRPr="00242840" w:rsidRDefault="002E327D" w:rsidP="00A917FF">
            <w:pPr>
              <w:jc w:val="right"/>
              <w:rPr>
                <w:b/>
                <w:bCs/>
              </w:rPr>
            </w:pPr>
            <w:r w:rsidRPr="00242840">
              <w:rPr>
                <w:b/>
                <w:bCs/>
              </w:rPr>
              <w:t>Trabalhista</w:t>
            </w:r>
          </w:p>
        </w:tc>
        <w:tc>
          <w:tcPr>
            <w:tcW w:w="124" w:type="pct"/>
            <w:shd w:val="clear" w:color="auto" w:fill="FFFFFF"/>
            <w:vAlign w:val="center"/>
            <w:hideMark/>
          </w:tcPr>
          <w:p w14:paraId="09BE61C1" w14:textId="77777777" w:rsidR="002E327D" w:rsidRPr="00242840" w:rsidRDefault="002E327D" w:rsidP="00A917FF">
            <w:pPr>
              <w:jc w:val="right"/>
              <w:rPr>
                <w:b/>
                <w:bCs/>
              </w:rPr>
            </w:pPr>
            <w:r w:rsidRPr="00242840">
              <w:rPr>
                <w:b/>
                <w:bCs/>
              </w:rPr>
              <w:t> </w:t>
            </w:r>
          </w:p>
        </w:tc>
        <w:tc>
          <w:tcPr>
            <w:tcW w:w="934" w:type="pct"/>
            <w:tcBorders>
              <w:top w:val="nil"/>
              <w:left w:val="nil"/>
              <w:bottom w:val="single" w:sz="8" w:space="0" w:color="auto"/>
              <w:right w:val="nil"/>
            </w:tcBorders>
            <w:shd w:val="clear" w:color="auto" w:fill="FFFFFF"/>
            <w:vAlign w:val="center"/>
            <w:hideMark/>
          </w:tcPr>
          <w:p w14:paraId="67B8E91A" w14:textId="77777777" w:rsidR="002E327D" w:rsidRPr="00242840" w:rsidRDefault="002E327D" w:rsidP="00A917FF">
            <w:pPr>
              <w:jc w:val="right"/>
              <w:rPr>
                <w:b/>
                <w:bCs/>
              </w:rPr>
            </w:pPr>
            <w:r w:rsidRPr="00242840">
              <w:rPr>
                <w:b/>
                <w:bCs/>
              </w:rPr>
              <w:t>Cível e Administrativa</w:t>
            </w:r>
          </w:p>
        </w:tc>
        <w:tc>
          <w:tcPr>
            <w:tcW w:w="124" w:type="pct"/>
            <w:shd w:val="clear" w:color="auto" w:fill="FFFFFF"/>
            <w:vAlign w:val="center"/>
            <w:hideMark/>
          </w:tcPr>
          <w:p w14:paraId="3BD368EE" w14:textId="77777777" w:rsidR="002E327D" w:rsidRPr="00242840" w:rsidRDefault="002E327D" w:rsidP="00A917FF">
            <w:pPr>
              <w:jc w:val="right"/>
              <w:rPr>
                <w:b/>
                <w:bCs/>
              </w:rPr>
            </w:pPr>
            <w:r w:rsidRPr="00242840">
              <w:rPr>
                <w:b/>
                <w:bCs/>
              </w:rPr>
              <w:t> </w:t>
            </w:r>
          </w:p>
        </w:tc>
        <w:tc>
          <w:tcPr>
            <w:tcW w:w="877" w:type="pct"/>
            <w:tcBorders>
              <w:top w:val="nil"/>
              <w:left w:val="nil"/>
              <w:bottom w:val="single" w:sz="8" w:space="0" w:color="auto"/>
              <w:right w:val="nil"/>
            </w:tcBorders>
            <w:shd w:val="clear" w:color="auto" w:fill="FFFFFF"/>
            <w:vAlign w:val="center"/>
            <w:hideMark/>
          </w:tcPr>
          <w:p w14:paraId="084DA59A" w14:textId="77777777" w:rsidR="002E327D" w:rsidRPr="00242840" w:rsidRDefault="002E327D" w:rsidP="00A917FF">
            <w:pPr>
              <w:jc w:val="right"/>
              <w:rPr>
                <w:b/>
                <w:bCs/>
              </w:rPr>
            </w:pPr>
            <w:r w:rsidRPr="00242840">
              <w:rPr>
                <w:b/>
                <w:bCs/>
              </w:rPr>
              <w:t>Total</w:t>
            </w:r>
          </w:p>
        </w:tc>
      </w:tr>
      <w:tr w:rsidR="002E327D" w:rsidRPr="007B60BF" w14:paraId="51F11E97" w14:textId="77777777" w:rsidTr="00B25AA8">
        <w:tc>
          <w:tcPr>
            <w:tcW w:w="1829" w:type="pct"/>
            <w:vAlign w:val="center"/>
            <w:hideMark/>
          </w:tcPr>
          <w:p w14:paraId="39179CC9" w14:textId="2FAA71A1" w:rsidR="002E327D" w:rsidRPr="00242840" w:rsidRDefault="002E327D" w:rsidP="002E327D">
            <w:r w:rsidRPr="00242840">
              <w:t>Saldo Inicial em 01/01/2025</w:t>
            </w:r>
          </w:p>
        </w:tc>
        <w:tc>
          <w:tcPr>
            <w:tcW w:w="131" w:type="pct"/>
            <w:vAlign w:val="center"/>
            <w:hideMark/>
          </w:tcPr>
          <w:p w14:paraId="59E6ACF3" w14:textId="77777777" w:rsidR="002E327D" w:rsidRPr="00242840" w:rsidRDefault="002E327D" w:rsidP="002E327D">
            <w:r w:rsidRPr="00242840">
              <w:t> </w:t>
            </w:r>
          </w:p>
        </w:tc>
        <w:tc>
          <w:tcPr>
            <w:tcW w:w="124" w:type="pct"/>
            <w:vAlign w:val="center"/>
            <w:hideMark/>
          </w:tcPr>
          <w:p w14:paraId="0185CFA1" w14:textId="77777777" w:rsidR="002E327D" w:rsidRPr="00242840" w:rsidRDefault="002E327D" w:rsidP="002E327D">
            <w:pPr>
              <w:jc w:val="right"/>
            </w:pPr>
            <w:r w:rsidRPr="00242840">
              <w:t> </w:t>
            </w:r>
          </w:p>
        </w:tc>
        <w:tc>
          <w:tcPr>
            <w:tcW w:w="857" w:type="pct"/>
            <w:shd w:val="clear" w:color="auto" w:fill="FFFFFF"/>
            <w:hideMark/>
          </w:tcPr>
          <w:p w14:paraId="057B15CE" w14:textId="46311F0C" w:rsidR="002E327D" w:rsidRPr="00242840" w:rsidRDefault="002E327D" w:rsidP="002E327D">
            <w:pPr>
              <w:jc w:val="right"/>
            </w:pPr>
            <w:r w:rsidRPr="00242840">
              <w:t>767.717</w:t>
            </w:r>
          </w:p>
        </w:tc>
        <w:tc>
          <w:tcPr>
            <w:tcW w:w="124" w:type="pct"/>
            <w:shd w:val="clear" w:color="auto" w:fill="FFFFFF"/>
            <w:hideMark/>
          </w:tcPr>
          <w:p w14:paraId="5E0029CC" w14:textId="77777777" w:rsidR="002E327D" w:rsidRPr="00242840" w:rsidRDefault="002E327D" w:rsidP="002E327D"/>
        </w:tc>
        <w:tc>
          <w:tcPr>
            <w:tcW w:w="934" w:type="pct"/>
            <w:shd w:val="clear" w:color="auto" w:fill="FFFFFF"/>
            <w:hideMark/>
          </w:tcPr>
          <w:p w14:paraId="475051A8" w14:textId="1D70BBD9" w:rsidR="002E327D" w:rsidRPr="00242840" w:rsidRDefault="002E327D" w:rsidP="002E327D">
            <w:pPr>
              <w:jc w:val="right"/>
            </w:pPr>
            <w:r w:rsidRPr="00242840">
              <w:t>24.685</w:t>
            </w:r>
          </w:p>
        </w:tc>
        <w:tc>
          <w:tcPr>
            <w:tcW w:w="124" w:type="pct"/>
            <w:shd w:val="clear" w:color="auto" w:fill="FFFFFF"/>
            <w:hideMark/>
          </w:tcPr>
          <w:p w14:paraId="6F596CC0" w14:textId="77777777" w:rsidR="002E327D" w:rsidRPr="00242840" w:rsidRDefault="002E327D" w:rsidP="002E327D"/>
        </w:tc>
        <w:tc>
          <w:tcPr>
            <w:tcW w:w="877" w:type="pct"/>
            <w:shd w:val="clear" w:color="auto" w:fill="FFFFFF"/>
            <w:hideMark/>
          </w:tcPr>
          <w:p w14:paraId="20F0D391" w14:textId="11FD7C05" w:rsidR="002E327D" w:rsidRPr="00242840" w:rsidRDefault="002E327D" w:rsidP="002E327D">
            <w:pPr>
              <w:jc w:val="right"/>
            </w:pPr>
            <w:r w:rsidRPr="00242840">
              <w:t>792.402</w:t>
            </w:r>
          </w:p>
        </w:tc>
      </w:tr>
      <w:tr w:rsidR="008C3358" w:rsidRPr="008C3358" w14:paraId="34E2F68E" w14:textId="77777777" w:rsidTr="00B25AA8">
        <w:tc>
          <w:tcPr>
            <w:tcW w:w="1829" w:type="pct"/>
            <w:vAlign w:val="center"/>
            <w:hideMark/>
          </w:tcPr>
          <w:p w14:paraId="2A2F7A8C" w14:textId="77777777" w:rsidR="008C3358" w:rsidRPr="00242840" w:rsidRDefault="008C3358" w:rsidP="008C3358">
            <w:r w:rsidRPr="00242840">
              <w:t>Adições</w:t>
            </w:r>
          </w:p>
        </w:tc>
        <w:tc>
          <w:tcPr>
            <w:tcW w:w="131" w:type="pct"/>
            <w:vAlign w:val="center"/>
            <w:hideMark/>
          </w:tcPr>
          <w:p w14:paraId="7A7D11B7" w14:textId="77777777" w:rsidR="008C3358" w:rsidRPr="00242840" w:rsidRDefault="008C3358" w:rsidP="008C3358">
            <w:r w:rsidRPr="00242840">
              <w:t> </w:t>
            </w:r>
          </w:p>
        </w:tc>
        <w:tc>
          <w:tcPr>
            <w:tcW w:w="124" w:type="pct"/>
            <w:vAlign w:val="center"/>
            <w:hideMark/>
          </w:tcPr>
          <w:p w14:paraId="2B1D96E9" w14:textId="77777777" w:rsidR="008C3358" w:rsidRPr="00242840" w:rsidRDefault="008C3358" w:rsidP="008C3358">
            <w:pPr>
              <w:jc w:val="right"/>
            </w:pPr>
            <w:r w:rsidRPr="00242840">
              <w:t> </w:t>
            </w:r>
          </w:p>
        </w:tc>
        <w:tc>
          <w:tcPr>
            <w:tcW w:w="857" w:type="pct"/>
            <w:shd w:val="clear" w:color="auto" w:fill="FFFFFF"/>
          </w:tcPr>
          <w:p w14:paraId="2933452F" w14:textId="42A2D91C" w:rsidR="008C3358" w:rsidRPr="00242840" w:rsidRDefault="008C3358" w:rsidP="008C3358">
            <w:pPr>
              <w:jc w:val="right"/>
            </w:pPr>
            <w:r w:rsidRPr="00242840">
              <w:t xml:space="preserve"> 20.040 </w:t>
            </w:r>
          </w:p>
        </w:tc>
        <w:tc>
          <w:tcPr>
            <w:tcW w:w="124" w:type="pct"/>
            <w:shd w:val="clear" w:color="auto" w:fill="FFFFFF"/>
          </w:tcPr>
          <w:p w14:paraId="2EF1DC10" w14:textId="77777777" w:rsidR="008C3358" w:rsidRPr="00242840" w:rsidRDefault="008C3358" w:rsidP="008C3358"/>
        </w:tc>
        <w:tc>
          <w:tcPr>
            <w:tcW w:w="934" w:type="pct"/>
            <w:shd w:val="clear" w:color="auto" w:fill="FFFFFF"/>
          </w:tcPr>
          <w:p w14:paraId="0F94304D" w14:textId="6D1D6A7B" w:rsidR="008C3358" w:rsidRPr="00242840" w:rsidRDefault="008C3358" w:rsidP="008C3358">
            <w:pPr>
              <w:jc w:val="right"/>
            </w:pPr>
            <w:r w:rsidRPr="00242840">
              <w:t xml:space="preserve"> 15.328 </w:t>
            </w:r>
          </w:p>
        </w:tc>
        <w:tc>
          <w:tcPr>
            <w:tcW w:w="124" w:type="pct"/>
            <w:shd w:val="clear" w:color="auto" w:fill="FFFFFF"/>
            <w:hideMark/>
          </w:tcPr>
          <w:p w14:paraId="430DAF52" w14:textId="77777777" w:rsidR="008C3358" w:rsidRPr="00242840" w:rsidRDefault="008C3358" w:rsidP="008C3358"/>
        </w:tc>
        <w:tc>
          <w:tcPr>
            <w:tcW w:w="877" w:type="pct"/>
            <w:shd w:val="clear" w:color="auto" w:fill="FFFFFF"/>
            <w:hideMark/>
          </w:tcPr>
          <w:p w14:paraId="01304C12" w14:textId="174E1CFA" w:rsidR="008C3358" w:rsidRPr="00242840" w:rsidRDefault="008C3358" w:rsidP="008C3358">
            <w:pPr>
              <w:jc w:val="right"/>
            </w:pPr>
            <w:r w:rsidRPr="00242840">
              <w:t xml:space="preserve"> 35.368 </w:t>
            </w:r>
          </w:p>
        </w:tc>
      </w:tr>
      <w:tr w:rsidR="008C3358" w:rsidRPr="008C3358" w14:paraId="50EC4D81" w14:textId="77777777" w:rsidTr="00B25AA8">
        <w:tc>
          <w:tcPr>
            <w:tcW w:w="1829" w:type="pct"/>
            <w:vAlign w:val="center"/>
          </w:tcPr>
          <w:p w14:paraId="0219646A" w14:textId="77777777" w:rsidR="008C3358" w:rsidRPr="00242840" w:rsidRDefault="008C3358" w:rsidP="008C3358">
            <w:r w:rsidRPr="00242840">
              <w:t>Atualização</w:t>
            </w:r>
          </w:p>
        </w:tc>
        <w:tc>
          <w:tcPr>
            <w:tcW w:w="131" w:type="pct"/>
            <w:vAlign w:val="center"/>
          </w:tcPr>
          <w:p w14:paraId="232DF1E4" w14:textId="77777777" w:rsidR="008C3358" w:rsidRPr="00242840" w:rsidRDefault="008C3358" w:rsidP="008C3358"/>
        </w:tc>
        <w:tc>
          <w:tcPr>
            <w:tcW w:w="124" w:type="pct"/>
            <w:vAlign w:val="center"/>
          </w:tcPr>
          <w:p w14:paraId="34A57C94" w14:textId="77777777" w:rsidR="008C3358" w:rsidRPr="00242840" w:rsidRDefault="008C3358" w:rsidP="008C3358">
            <w:pPr>
              <w:jc w:val="right"/>
            </w:pPr>
          </w:p>
        </w:tc>
        <w:tc>
          <w:tcPr>
            <w:tcW w:w="857" w:type="pct"/>
            <w:shd w:val="clear" w:color="auto" w:fill="FFFFFF"/>
          </w:tcPr>
          <w:p w14:paraId="4BA90A33" w14:textId="49FD8E3D" w:rsidR="008C3358" w:rsidRPr="00242840" w:rsidRDefault="008C3358" w:rsidP="008C3358">
            <w:pPr>
              <w:jc w:val="right"/>
            </w:pPr>
            <w:r w:rsidRPr="00242840">
              <w:t xml:space="preserve"> 37.613 </w:t>
            </w:r>
          </w:p>
        </w:tc>
        <w:tc>
          <w:tcPr>
            <w:tcW w:w="124" w:type="pct"/>
            <w:shd w:val="clear" w:color="auto" w:fill="FFFFFF"/>
          </w:tcPr>
          <w:p w14:paraId="2EF93336" w14:textId="77777777" w:rsidR="008C3358" w:rsidRPr="00242840" w:rsidRDefault="008C3358" w:rsidP="008C3358"/>
        </w:tc>
        <w:tc>
          <w:tcPr>
            <w:tcW w:w="934" w:type="pct"/>
            <w:shd w:val="clear" w:color="auto" w:fill="FFFFFF"/>
          </w:tcPr>
          <w:p w14:paraId="292E7756" w14:textId="708082FD" w:rsidR="008C3358" w:rsidRPr="00242840" w:rsidRDefault="008C3358" w:rsidP="008C3358">
            <w:pPr>
              <w:jc w:val="right"/>
            </w:pPr>
            <w:r w:rsidRPr="00242840">
              <w:t xml:space="preserve"> 11.423 </w:t>
            </w:r>
          </w:p>
        </w:tc>
        <w:tc>
          <w:tcPr>
            <w:tcW w:w="124" w:type="pct"/>
            <w:shd w:val="clear" w:color="auto" w:fill="FFFFFF"/>
          </w:tcPr>
          <w:p w14:paraId="76A4D41D" w14:textId="77777777" w:rsidR="008C3358" w:rsidRPr="00242840" w:rsidRDefault="008C3358" w:rsidP="008C3358"/>
        </w:tc>
        <w:tc>
          <w:tcPr>
            <w:tcW w:w="877" w:type="pct"/>
            <w:shd w:val="clear" w:color="auto" w:fill="FFFFFF"/>
          </w:tcPr>
          <w:p w14:paraId="4F74DA6C" w14:textId="3E79DADE" w:rsidR="008C3358" w:rsidRPr="00242840" w:rsidRDefault="008C3358" w:rsidP="008C3358">
            <w:pPr>
              <w:jc w:val="right"/>
            </w:pPr>
            <w:r w:rsidRPr="00242840">
              <w:t xml:space="preserve"> 49.036 </w:t>
            </w:r>
          </w:p>
        </w:tc>
      </w:tr>
      <w:tr w:rsidR="00995A21" w:rsidRPr="007B60BF" w14:paraId="58703A38" w14:textId="77777777" w:rsidTr="00B25AA8">
        <w:tc>
          <w:tcPr>
            <w:tcW w:w="1829" w:type="pct"/>
            <w:vAlign w:val="center"/>
            <w:hideMark/>
          </w:tcPr>
          <w:p w14:paraId="146639C3" w14:textId="77777777" w:rsidR="00995A21" w:rsidRPr="00242840" w:rsidRDefault="00995A21" w:rsidP="00995A21">
            <w:r w:rsidRPr="00242840">
              <w:t>Baixas por Pagamento</w:t>
            </w:r>
          </w:p>
        </w:tc>
        <w:tc>
          <w:tcPr>
            <w:tcW w:w="131" w:type="pct"/>
            <w:vAlign w:val="center"/>
            <w:hideMark/>
          </w:tcPr>
          <w:p w14:paraId="30C2B6E5" w14:textId="77777777" w:rsidR="00995A21" w:rsidRPr="00242840" w:rsidRDefault="00995A21" w:rsidP="00995A21">
            <w:r w:rsidRPr="00242840">
              <w:t> </w:t>
            </w:r>
          </w:p>
        </w:tc>
        <w:tc>
          <w:tcPr>
            <w:tcW w:w="124" w:type="pct"/>
            <w:vAlign w:val="center"/>
            <w:hideMark/>
          </w:tcPr>
          <w:p w14:paraId="38EF4CDA" w14:textId="77777777" w:rsidR="00995A21" w:rsidRPr="00242840" w:rsidRDefault="00995A21" w:rsidP="00995A21">
            <w:pPr>
              <w:jc w:val="right"/>
            </w:pPr>
            <w:r w:rsidRPr="00242840">
              <w:t> </w:t>
            </w:r>
          </w:p>
        </w:tc>
        <w:tc>
          <w:tcPr>
            <w:tcW w:w="857" w:type="pct"/>
            <w:shd w:val="clear" w:color="auto" w:fill="FFFFFF"/>
          </w:tcPr>
          <w:p w14:paraId="4F6422FB" w14:textId="6BDA4499" w:rsidR="00995A21" w:rsidRPr="00242840" w:rsidRDefault="00995A21" w:rsidP="00995A21">
            <w:pPr>
              <w:jc w:val="right"/>
            </w:pPr>
            <w:r w:rsidRPr="00242840">
              <w:t>(2.914)</w:t>
            </w:r>
          </w:p>
        </w:tc>
        <w:tc>
          <w:tcPr>
            <w:tcW w:w="124" w:type="pct"/>
            <w:shd w:val="clear" w:color="auto" w:fill="FFFFFF"/>
          </w:tcPr>
          <w:p w14:paraId="4F9EE494" w14:textId="77777777" w:rsidR="00995A21" w:rsidRPr="00242840" w:rsidRDefault="00995A21" w:rsidP="00995A21"/>
        </w:tc>
        <w:tc>
          <w:tcPr>
            <w:tcW w:w="934" w:type="pct"/>
            <w:shd w:val="clear" w:color="auto" w:fill="FFFFFF"/>
          </w:tcPr>
          <w:p w14:paraId="1DB3E31A" w14:textId="55E62838" w:rsidR="00995A21" w:rsidRPr="00242840" w:rsidRDefault="00995A21" w:rsidP="00995A21">
            <w:pPr>
              <w:jc w:val="right"/>
            </w:pPr>
            <w:r w:rsidRPr="00242840">
              <w:t>(9.567)</w:t>
            </w:r>
          </w:p>
        </w:tc>
        <w:tc>
          <w:tcPr>
            <w:tcW w:w="124" w:type="pct"/>
            <w:shd w:val="clear" w:color="auto" w:fill="FFFFFF"/>
            <w:hideMark/>
          </w:tcPr>
          <w:p w14:paraId="191C0E0D" w14:textId="77777777" w:rsidR="00995A21" w:rsidRPr="00242840" w:rsidRDefault="00995A21" w:rsidP="00995A21"/>
        </w:tc>
        <w:tc>
          <w:tcPr>
            <w:tcW w:w="877" w:type="pct"/>
            <w:shd w:val="clear" w:color="auto" w:fill="FFFFFF"/>
          </w:tcPr>
          <w:p w14:paraId="1D3A1625" w14:textId="52673AC4" w:rsidR="00995A21" w:rsidRPr="00242840" w:rsidRDefault="00995A21" w:rsidP="00995A21">
            <w:pPr>
              <w:jc w:val="right"/>
            </w:pPr>
            <w:r w:rsidRPr="00242840">
              <w:t>(12.481)</w:t>
            </w:r>
          </w:p>
        </w:tc>
      </w:tr>
      <w:tr w:rsidR="00995A21" w:rsidRPr="007B60BF" w14:paraId="594A2F2C" w14:textId="77777777" w:rsidTr="00B25AA8">
        <w:tc>
          <w:tcPr>
            <w:tcW w:w="1829" w:type="pct"/>
            <w:vAlign w:val="center"/>
            <w:hideMark/>
          </w:tcPr>
          <w:p w14:paraId="647659B2" w14:textId="77777777" w:rsidR="00995A21" w:rsidRPr="00242840" w:rsidRDefault="00995A21" w:rsidP="00995A21">
            <w:r w:rsidRPr="00242840">
              <w:t>Baixas por Reversão</w:t>
            </w:r>
          </w:p>
        </w:tc>
        <w:tc>
          <w:tcPr>
            <w:tcW w:w="131" w:type="pct"/>
            <w:vAlign w:val="center"/>
            <w:hideMark/>
          </w:tcPr>
          <w:p w14:paraId="2B5BFC53" w14:textId="77777777" w:rsidR="00995A21" w:rsidRPr="00242840" w:rsidRDefault="00995A21" w:rsidP="00995A21">
            <w:r w:rsidRPr="00242840">
              <w:t> </w:t>
            </w:r>
          </w:p>
        </w:tc>
        <w:tc>
          <w:tcPr>
            <w:tcW w:w="124" w:type="pct"/>
            <w:vAlign w:val="center"/>
            <w:hideMark/>
          </w:tcPr>
          <w:p w14:paraId="02EBBCE5" w14:textId="77777777" w:rsidR="00995A21" w:rsidRPr="00242840" w:rsidRDefault="00995A21" w:rsidP="00995A21">
            <w:pPr>
              <w:jc w:val="right"/>
            </w:pPr>
            <w:r w:rsidRPr="00242840">
              <w:t> </w:t>
            </w:r>
          </w:p>
        </w:tc>
        <w:tc>
          <w:tcPr>
            <w:tcW w:w="857" w:type="pct"/>
            <w:tcBorders>
              <w:top w:val="nil"/>
              <w:left w:val="nil"/>
              <w:bottom w:val="single" w:sz="8" w:space="0" w:color="auto"/>
              <w:right w:val="nil"/>
            </w:tcBorders>
          </w:tcPr>
          <w:p w14:paraId="28BA4E45" w14:textId="6D82ED9D" w:rsidR="00995A21" w:rsidRPr="00242840" w:rsidRDefault="00995A21" w:rsidP="00995A21">
            <w:pPr>
              <w:jc w:val="right"/>
            </w:pPr>
            <w:r w:rsidRPr="00242840">
              <w:t>(1.176)</w:t>
            </w:r>
          </w:p>
        </w:tc>
        <w:tc>
          <w:tcPr>
            <w:tcW w:w="124" w:type="pct"/>
            <w:shd w:val="clear" w:color="auto" w:fill="FFFFFF"/>
          </w:tcPr>
          <w:p w14:paraId="0E5985F0" w14:textId="77777777" w:rsidR="00995A21" w:rsidRPr="00242840" w:rsidRDefault="00995A21" w:rsidP="00995A21"/>
        </w:tc>
        <w:tc>
          <w:tcPr>
            <w:tcW w:w="934" w:type="pct"/>
            <w:tcBorders>
              <w:top w:val="nil"/>
              <w:left w:val="nil"/>
              <w:bottom w:val="single" w:sz="8" w:space="0" w:color="auto"/>
              <w:right w:val="nil"/>
            </w:tcBorders>
            <w:shd w:val="clear" w:color="auto" w:fill="FFFFFF"/>
          </w:tcPr>
          <w:p w14:paraId="1B73FCA4" w14:textId="581C3915" w:rsidR="00995A21" w:rsidRPr="00242840" w:rsidRDefault="00995A21" w:rsidP="00995A21">
            <w:pPr>
              <w:jc w:val="right"/>
            </w:pPr>
            <w:r w:rsidRPr="00242840">
              <w:t>(8.801)</w:t>
            </w:r>
          </w:p>
        </w:tc>
        <w:tc>
          <w:tcPr>
            <w:tcW w:w="124" w:type="pct"/>
            <w:shd w:val="clear" w:color="auto" w:fill="FFFFFF"/>
            <w:hideMark/>
          </w:tcPr>
          <w:p w14:paraId="4BAFD8BF" w14:textId="77777777" w:rsidR="00995A21" w:rsidRPr="00242840" w:rsidRDefault="00995A21" w:rsidP="00995A21"/>
        </w:tc>
        <w:tc>
          <w:tcPr>
            <w:tcW w:w="877" w:type="pct"/>
            <w:tcBorders>
              <w:top w:val="nil"/>
              <w:left w:val="nil"/>
              <w:bottom w:val="single" w:sz="8" w:space="0" w:color="auto"/>
              <w:right w:val="nil"/>
            </w:tcBorders>
            <w:shd w:val="clear" w:color="auto" w:fill="FFFFFF"/>
          </w:tcPr>
          <w:p w14:paraId="44B11A49" w14:textId="5D423787" w:rsidR="00995A21" w:rsidRPr="00242840" w:rsidRDefault="00995A21" w:rsidP="00995A21">
            <w:pPr>
              <w:jc w:val="right"/>
            </w:pPr>
            <w:r w:rsidRPr="00242840">
              <w:t>(9.977)</w:t>
            </w:r>
          </w:p>
        </w:tc>
      </w:tr>
      <w:tr w:rsidR="002E327D" w:rsidRPr="007B60BF" w14:paraId="0D8EB8D0" w14:textId="77777777" w:rsidTr="00B25AA8">
        <w:tc>
          <w:tcPr>
            <w:tcW w:w="1829" w:type="pct"/>
            <w:vAlign w:val="center"/>
            <w:hideMark/>
          </w:tcPr>
          <w:p w14:paraId="0E007DDC" w14:textId="77777777" w:rsidR="002E327D" w:rsidRPr="00242840" w:rsidRDefault="002E327D" w:rsidP="00A917FF">
            <w:pPr>
              <w:rPr>
                <w:b/>
                <w:bCs/>
              </w:rPr>
            </w:pPr>
            <w:r w:rsidRPr="00242840">
              <w:rPr>
                <w:b/>
                <w:bCs/>
              </w:rPr>
              <w:t>Saldo de Contingências</w:t>
            </w:r>
          </w:p>
        </w:tc>
        <w:tc>
          <w:tcPr>
            <w:tcW w:w="131" w:type="pct"/>
            <w:vAlign w:val="center"/>
            <w:hideMark/>
          </w:tcPr>
          <w:p w14:paraId="43E9105A" w14:textId="77777777" w:rsidR="002E327D" w:rsidRPr="00242840" w:rsidRDefault="002E327D" w:rsidP="00A917FF">
            <w:pPr>
              <w:rPr>
                <w:b/>
                <w:bCs/>
              </w:rPr>
            </w:pPr>
            <w:r w:rsidRPr="00242840">
              <w:rPr>
                <w:b/>
                <w:bCs/>
              </w:rPr>
              <w:t> </w:t>
            </w:r>
          </w:p>
        </w:tc>
        <w:tc>
          <w:tcPr>
            <w:tcW w:w="124" w:type="pct"/>
            <w:vAlign w:val="center"/>
            <w:hideMark/>
          </w:tcPr>
          <w:p w14:paraId="5F2525B5" w14:textId="77777777" w:rsidR="002E327D" w:rsidRPr="00242840" w:rsidRDefault="002E327D" w:rsidP="00A917FF">
            <w:pPr>
              <w:jc w:val="right"/>
              <w:rPr>
                <w:b/>
                <w:bCs/>
              </w:rPr>
            </w:pPr>
            <w:r w:rsidRPr="00242840">
              <w:rPr>
                <w:b/>
                <w:bCs/>
              </w:rPr>
              <w:t> </w:t>
            </w:r>
          </w:p>
        </w:tc>
        <w:tc>
          <w:tcPr>
            <w:tcW w:w="857" w:type="pct"/>
            <w:tcBorders>
              <w:top w:val="nil"/>
              <w:left w:val="nil"/>
              <w:bottom w:val="double" w:sz="6" w:space="0" w:color="auto"/>
              <w:right w:val="nil"/>
            </w:tcBorders>
            <w:shd w:val="clear" w:color="auto" w:fill="FFFFFF"/>
          </w:tcPr>
          <w:p w14:paraId="2F2488DE" w14:textId="3792E484" w:rsidR="002E327D" w:rsidRPr="00242840" w:rsidRDefault="0002681A" w:rsidP="00A917FF">
            <w:pPr>
              <w:jc w:val="right"/>
              <w:rPr>
                <w:b/>
              </w:rPr>
            </w:pPr>
            <w:r w:rsidRPr="00242840">
              <w:rPr>
                <w:b/>
              </w:rPr>
              <w:t>821.280</w:t>
            </w:r>
          </w:p>
        </w:tc>
        <w:tc>
          <w:tcPr>
            <w:tcW w:w="124" w:type="pct"/>
            <w:shd w:val="clear" w:color="auto" w:fill="FFFFFF"/>
          </w:tcPr>
          <w:p w14:paraId="27A366A5" w14:textId="77777777" w:rsidR="002E327D" w:rsidRPr="00242840" w:rsidRDefault="002E327D" w:rsidP="00A917FF">
            <w:pPr>
              <w:rPr>
                <w:b/>
              </w:rPr>
            </w:pPr>
          </w:p>
        </w:tc>
        <w:tc>
          <w:tcPr>
            <w:tcW w:w="934" w:type="pct"/>
            <w:tcBorders>
              <w:top w:val="nil"/>
              <w:left w:val="nil"/>
              <w:bottom w:val="double" w:sz="6" w:space="0" w:color="auto"/>
              <w:right w:val="nil"/>
            </w:tcBorders>
            <w:shd w:val="clear" w:color="auto" w:fill="FFFFFF"/>
          </w:tcPr>
          <w:p w14:paraId="42A5920C" w14:textId="56421A65" w:rsidR="002E327D" w:rsidRPr="00242840" w:rsidRDefault="0002681A" w:rsidP="00A917FF">
            <w:pPr>
              <w:jc w:val="right"/>
              <w:rPr>
                <w:b/>
              </w:rPr>
            </w:pPr>
            <w:r w:rsidRPr="00242840">
              <w:rPr>
                <w:b/>
              </w:rPr>
              <w:t>33.068</w:t>
            </w:r>
          </w:p>
        </w:tc>
        <w:tc>
          <w:tcPr>
            <w:tcW w:w="124" w:type="pct"/>
            <w:shd w:val="clear" w:color="auto" w:fill="FFFFFF"/>
          </w:tcPr>
          <w:p w14:paraId="64E0A27C" w14:textId="77777777" w:rsidR="002E327D" w:rsidRPr="00242840" w:rsidRDefault="002E327D" w:rsidP="00A917FF">
            <w:pPr>
              <w:rPr>
                <w:b/>
              </w:rPr>
            </w:pPr>
          </w:p>
        </w:tc>
        <w:tc>
          <w:tcPr>
            <w:tcW w:w="877" w:type="pct"/>
            <w:tcBorders>
              <w:top w:val="nil"/>
              <w:left w:val="nil"/>
              <w:bottom w:val="double" w:sz="6" w:space="0" w:color="auto"/>
              <w:right w:val="nil"/>
            </w:tcBorders>
            <w:shd w:val="clear" w:color="auto" w:fill="FFFFFF"/>
          </w:tcPr>
          <w:p w14:paraId="1AB42F7E" w14:textId="54AD993A" w:rsidR="002E327D" w:rsidRPr="00242840" w:rsidRDefault="002E327D" w:rsidP="00A917FF">
            <w:pPr>
              <w:jc w:val="right"/>
              <w:rPr>
                <w:b/>
              </w:rPr>
            </w:pPr>
            <w:r w:rsidRPr="00242840">
              <w:rPr>
                <w:b/>
              </w:rPr>
              <w:t>854.348</w:t>
            </w:r>
          </w:p>
        </w:tc>
      </w:tr>
    </w:tbl>
    <w:p w14:paraId="1CDC859B" w14:textId="3F0DB8FD" w:rsidR="00B37B93" w:rsidRPr="007B60BF" w:rsidRDefault="00B37B93" w:rsidP="00852127">
      <w:pPr>
        <w:jc w:val="both"/>
      </w:pPr>
    </w:p>
    <w:p w14:paraId="484A96BD" w14:textId="22C41B10" w:rsidR="00852127" w:rsidRPr="007B60BF" w:rsidRDefault="000A6A29" w:rsidP="00852127">
      <w:pPr>
        <w:jc w:val="both"/>
      </w:pPr>
      <w:r w:rsidRPr="007B60BF">
        <w:t>São reconhecidas como contingências</w:t>
      </w:r>
      <w:r w:rsidR="00E82794" w:rsidRPr="007B60BF">
        <w:t xml:space="preserve"> </w:t>
      </w:r>
      <w:r w:rsidRPr="007B60BF">
        <w:t>a</w:t>
      </w:r>
      <w:r w:rsidR="007E750D" w:rsidRPr="007B60BF">
        <w:t>s ações judiciais, classificadas como perdas prováveis</w:t>
      </w:r>
      <w:r w:rsidR="001B1787" w:rsidRPr="007B60BF">
        <w:t>. D</w:t>
      </w:r>
      <w:r w:rsidR="004A0DE1" w:rsidRPr="007B60BF">
        <w:t>esta forma</w:t>
      </w:r>
      <w:r w:rsidR="00780D14" w:rsidRPr="007B60BF">
        <w:t>,</w:t>
      </w:r>
      <w:r w:rsidR="004A0DE1" w:rsidRPr="007B60BF">
        <w:t xml:space="preserve"> </w:t>
      </w:r>
      <w:r w:rsidR="0025677A" w:rsidRPr="007B60BF">
        <w:t>as con</w:t>
      </w:r>
      <w:r w:rsidRPr="007B60BF">
        <w:t>tingências</w:t>
      </w:r>
      <w:r w:rsidR="00852127" w:rsidRPr="007B60BF">
        <w:t xml:space="preserve"> (trabalhistas, cíveis e tributárias) </w:t>
      </w:r>
      <w:r w:rsidR="0025677A" w:rsidRPr="007B60BF">
        <w:t>seguem os seguintes critérios</w:t>
      </w:r>
      <w:r w:rsidR="001B1787" w:rsidRPr="007B60BF">
        <w:t xml:space="preserve"> para contabilização</w:t>
      </w:r>
      <w:r w:rsidR="00852127" w:rsidRPr="007B60BF">
        <w:t>: (i) a Instituição tem uma obrigação presente ou não formalizada como resultado de eventos já ocorridos; (ii) é provável que uma saída de recursos seja necessária para liquidar a obrigação e (iii) o valor puder ser estimado com segurança. As provisões são mensuradas pelo valor presente dos gastos que devem ser necessários para liquidar a obrigação, usando uma taxa antes dos efeitos tributários, a qual reflita as avaliações atuais de mercado do valor do dinheiro no tempo e dos r</w:t>
      </w:r>
      <w:r w:rsidR="00354015" w:rsidRPr="007B60BF">
        <w:t>iscos específicos da obrigação.</w:t>
      </w:r>
    </w:p>
    <w:p w14:paraId="0B2267C6" w14:textId="389D7C0A" w:rsidR="00200A7F" w:rsidRPr="007B60BF" w:rsidRDefault="00200A7F" w:rsidP="00852127">
      <w:pPr>
        <w:jc w:val="both"/>
        <w:rPr>
          <w:sz w:val="16"/>
          <w:szCs w:val="16"/>
        </w:rPr>
      </w:pPr>
    </w:p>
    <w:p w14:paraId="081E0310" w14:textId="3A084B0F" w:rsidR="007C62E7" w:rsidRPr="007B60BF" w:rsidRDefault="006E6910" w:rsidP="00852127">
      <w:pPr>
        <w:jc w:val="both"/>
      </w:pPr>
      <w:r w:rsidRPr="007B60BF">
        <w:t>O</w:t>
      </w:r>
      <w:r w:rsidR="00217FB1" w:rsidRPr="007B60BF">
        <w:t xml:space="preserve"> saldo das c</w:t>
      </w:r>
      <w:r w:rsidR="00200A7F" w:rsidRPr="007B60BF">
        <w:t>ontingência</w:t>
      </w:r>
      <w:r w:rsidR="00217FB1" w:rsidRPr="007B60BF">
        <w:t>s</w:t>
      </w:r>
      <w:r w:rsidR="00200A7F" w:rsidRPr="007B60BF">
        <w:t xml:space="preserve"> </w:t>
      </w:r>
      <w:r w:rsidR="00217FB1" w:rsidRPr="007B60BF">
        <w:t>t</w:t>
      </w:r>
      <w:r w:rsidR="00200A7F" w:rsidRPr="007B60BF">
        <w:t>rabalhista</w:t>
      </w:r>
      <w:r w:rsidR="00217FB1" w:rsidRPr="007B60BF">
        <w:t>s</w:t>
      </w:r>
      <w:r w:rsidR="00EB4443" w:rsidRPr="007B60BF">
        <w:t xml:space="preserve"> </w:t>
      </w:r>
      <w:r w:rsidRPr="007B60BF">
        <w:t>comporta, entre outras, a</w:t>
      </w:r>
      <w:r w:rsidR="00217FB1" w:rsidRPr="007B60BF">
        <w:t xml:space="preserve"> ação civil coletiva</w:t>
      </w:r>
      <w:r w:rsidR="00200A7F" w:rsidRPr="007B60BF">
        <w:t xml:space="preserve"> nº 0020639-29.2021.5.04.0014,  interpost</w:t>
      </w:r>
      <w:r w:rsidR="00217FB1" w:rsidRPr="007B60BF">
        <w:t>a</w:t>
      </w:r>
      <w:r w:rsidR="00200A7F" w:rsidRPr="007B60BF">
        <w:t xml:space="preserve"> pelo Sindicato Médico do Rio Grande do Sul (SIMERS)</w:t>
      </w:r>
      <w:r w:rsidR="00145F0D" w:rsidRPr="007B60BF">
        <w:t xml:space="preserve"> em </w:t>
      </w:r>
      <w:r w:rsidR="00217FB1" w:rsidRPr="007B60BF">
        <w:t xml:space="preserve">julho de 2021. A ação trata da </w:t>
      </w:r>
      <w:r w:rsidR="00C54A11" w:rsidRPr="007B60BF">
        <w:t>ausên</w:t>
      </w:r>
      <w:r w:rsidR="00145F0D" w:rsidRPr="007B60BF">
        <w:t xml:space="preserve">cia </w:t>
      </w:r>
      <w:r w:rsidR="00200A7F" w:rsidRPr="007B60BF">
        <w:t>d</w:t>
      </w:r>
      <w:r w:rsidR="00C54A11" w:rsidRPr="007B60BF">
        <w:t>e</w:t>
      </w:r>
      <w:r w:rsidR="00200A7F" w:rsidRPr="007B60BF">
        <w:t xml:space="preserve"> intervalos legais intrajornadas</w:t>
      </w:r>
      <w:r w:rsidR="00843D66" w:rsidRPr="007B60BF">
        <w:t xml:space="preserve"> de </w:t>
      </w:r>
      <w:r w:rsidR="00C54A11" w:rsidRPr="007B60BF">
        <w:t xml:space="preserve">profissionais </w:t>
      </w:r>
      <w:r w:rsidR="00843D66" w:rsidRPr="007B60BF">
        <w:t>médicos,</w:t>
      </w:r>
      <w:r w:rsidR="00200A7F" w:rsidRPr="007B60BF">
        <w:t xml:space="preserve"> </w:t>
      </w:r>
      <w:r w:rsidR="00843D66" w:rsidRPr="007B60BF">
        <w:t>previstos no artigo 71</w:t>
      </w:r>
      <w:r w:rsidR="00EB4443" w:rsidRPr="007B60BF">
        <w:t>º</w:t>
      </w:r>
      <w:r w:rsidR="004401FC" w:rsidRPr="007B60BF">
        <w:t>, § 4º,</w:t>
      </w:r>
      <w:r w:rsidR="0093716C" w:rsidRPr="007B60BF">
        <w:t xml:space="preserve"> </w:t>
      </w:r>
      <w:r w:rsidR="00843D66" w:rsidRPr="007B60BF">
        <w:t>da Consolidação das Leis do Trabalho (CLT)</w:t>
      </w:r>
      <w:r w:rsidR="00C54A11" w:rsidRPr="007B60BF">
        <w:t xml:space="preserve"> e no artigo 8º</w:t>
      </w:r>
      <w:r w:rsidR="004401FC" w:rsidRPr="007B60BF">
        <w:t>, § 1º, da Lei 3.999/61</w:t>
      </w:r>
      <w:r w:rsidR="00754325" w:rsidRPr="007B60BF">
        <w:t>, abrangendo em torno de 7</w:t>
      </w:r>
      <w:r w:rsidR="0060390F" w:rsidRPr="007B60BF">
        <w:t xml:space="preserve">40 médicos ativos e </w:t>
      </w:r>
      <w:r w:rsidR="00145F0D" w:rsidRPr="007B60BF">
        <w:t>220</w:t>
      </w:r>
      <w:r w:rsidR="00754325" w:rsidRPr="007B60BF">
        <w:t xml:space="preserve"> desligados, para os quais ainda</w:t>
      </w:r>
      <w:r w:rsidR="0060390F" w:rsidRPr="007B60BF">
        <w:t xml:space="preserve"> não prescreveu o direito. </w:t>
      </w:r>
      <w:r w:rsidR="003467FE" w:rsidRPr="007B60BF">
        <w:t>O SIMERS recorreu da decisão de primeira instância que extinguiu o processo sem resolução do mérito</w:t>
      </w:r>
      <w:r w:rsidR="00735724" w:rsidRPr="007B60BF">
        <w:t>, logo o</w:t>
      </w:r>
      <w:r w:rsidR="003467FE" w:rsidRPr="007B60BF">
        <w:t xml:space="preserve"> processo aguarda encaminhamento ao Tribunal Regional do Trabalho da 4ª. região para julgamento. </w:t>
      </w:r>
      <w:r w:rsidRPr="007B60BF">
        <w:t xml:space="preserve">Em </w:t>
      </w:r>
      <w:r w:rsidR="004602BA" w:rsidRPr="007B60BF">
        <w:t>31 de dezembro de 2025</w:t>
      </w:r>
      <w:r w:rsidR="008724C4" w:rsidRPr="007B60BF">
        <w:t>, a ação</w:t>
      </w:r>
      <w:r w:rsidR="00814BE7" w:rsidRPr="007B60BF">
        <w:t xml:space="preserve"> possui valor estimado em R$ </w:t>
      </w:r>
      <w:r w:rsidR="00426B6B" w:rsidRPr="007B60BF">
        <w:t>3</w:t>
      </w:r>
      <w:r w:rsidR="00AA7F67" w:rsidRPr="007B60BF">
        <w:t>89</w:t>
      </w:r>
      <w:r w:rsidR="00F91924" w:rsidRPr="007B60BF">
        <w:t>.</w:t>
      </w:r>
      <w:r w:rsidR="00AA7F67" w:rsidRPr="007B60BF">
        <w:t>548</w:t>
      </w:r>
      <w:r w:rsidR="008724C4" w:rsidRPr="007B60BF">
        <w:t xml:space="preserve"> mil</w:t>
      </w:r>
      <w:r w:rsidR="00754325" w:rsidRPr="007B60BF">
        <w:t xml:space="preserve"> e possui expectativa de perda provável conforme os advogados</w:t>
      </w:r>
      <w:r w:rsidR="00925D0D" w:rsidRPr="007B60BF">
        <w:t xml:space="preserve"> da Coordenadoria Jurídica </w:t>
      </w:r>
      <w:r w:rsidR="00DE6E63" w:rsidRPr="007B60BF">
        <w:t>do HCPA.</w:t>
      </w:r>
    </w:p>
    <w:p w14:paraId="52801AFD" w14:textId="77777777" w:rsidR="00A042D4" w:rsidRPr="007B60BF" w:rsidRDefault="00A042D4" w:rsidP="00852127">
      <w:pPr>
        <w:jc w:val="both"/>
        <w:rPr>
          <w:sz w:val="16"/>
          <w:szCs w:val="16"/>
        </w:rPr>
      </w:pPr>
    </w:p>
    <w:p w14:paraId="45A7DF90" w14:textId="77777777" w:rsidR="002B0EF6" w:rsidRPr="008F1108" w:rsidRDefault="009724CA" w:rsidP="002B0EF6">
      <w:pPr>
        <w:jc w:val="both"/>
      </w:pPr>
      <w:r w:rsidRPr="007B60BF">
        <w:t xml:space="preserve">Em </w:t>
      </w:r>
      <w:r w:rsidR="00DE6E63" w:rsidRPr="007B60BF">
        <w:t>2022 foi ajuizada pelo Sindicato dos Enfermeiro</w:t>
      </w:r>
      <w:r w:rsidR="00590F3F" w:rsidRPr="007B60BF">
        <w:t xml:space="preserve">s do Rio Grande do Sul (SERGS) </w:t>
      </w:r>
      <w:r w:rsidR="00DE6E63" w:rsidRPr="007B60BF">
        <w:t>a Ação Civil Pública nº 0020855-26.2022.5.04.0023. A ação trata de pedido de declaração de nulidade por ausência de previsão legal do regime de trabalho de 12 horas aos sábados, domingos e feriados para os substituídos e pagamento de horas extras excedentes à sexta hora diária e 36ª semanal, abrangendo em torno de 142 enfermeiro</w:t>
      </w:r>
      <w:r w:rsidR="00FD05A4" w:rsidRPr="007B60BF">
        <w:t>s</w:t>
      </w:r>
      <w:r w:rsidR="00CC27F7" w:rsidRPr="007B60BF">
        <w:t xml:space="preserve"> ativos e 66 </w:t>
      </w:r>
      <w:r w:rsidR="00DE6E63" w:rsidRPr="007B60BF">
        <w:t xml:space="preserve">desligados, para </w:t>
      </w:r>
      <w:r w:rsidR="00DE6E63" w:rsidRPr="008F1108">
        <w:t xml:space="preserve">os quais ainda não prescreveu o direito. </w:t>
      </w:r>
      <w:r w:rsidR="00590F3F" w:rsidRPr="008F1108">
        <w:t xml:space="preserve">Em </w:t>
      </w:r>
      <w:r w:rsidR="004602BA" w:rsidRPr="008F1108">
        <w:t>31 de dezembro de 2025</w:t>
      </w:r>
      <w:r w:rsidR="00DE6E63" w:rsidRPr="008F1108">
        <w:t xml:space="preserve">, a ação possui valor estimado </w:t>
      </w:r>
      <w:r w:rsidR="000D1B75" w:rsidRPr="008F1108">
        <w:t xml:space="preserve">em R$ </w:t>
      </w:r>
      <w:r w:rsidR="00F91924" w:rsidRPr="008F1108">
        <w:t>6</w:t>
      </w:r>
      <w:r w:rsidR="003F3E59" w:rsidRPr="008F1108">
        <w:t>5</w:t>
      </w:r>
      <w:r w:rsidR="000D1B75" w:rsidRPr="008F1108">
        <w:t>.</w:t>
      </w:r>
      <w:r w:rsidR="003F3E59" w:rsidRPr="008F1108">
        <w:t>563</w:t>
      </w:r>
      <w:r w:rsidR="000D1B75" w:rsidRPr="008F1108">
        <w:t xml:space="preserve"> mil </w:t>
      </w:r>
      <w:r w:rsidR="00DE6E63" w:rsidRPr="008F1108">
        <w:t>e possui expectat</w:t>
      </w:r>
      <w:r w:rsidR="00931F7C" w:rsidRPr="008F1108">
        <w:t xml:space="preserve">iva de perda provável, conforme </w:t>
      </w:r>
      <w:r w:rsidR="00CC27F7" w:rsidRPr="008F1108">
        <w:t>os advogados</w:t>
      </w:r>
      <w:r w:rsidR="00DE6E63" w:rsidRPr="008F1108">
        <w:t xml:space="preserve"> </w:t>
      </w:r>
      <w:r w:rsidR="002B0EF6" w:rsidRPr="008F1108">
        <w:t>da Coordenadoria Jurídica do HCPA.</w:t>
      </w:r>
    </w:p>
    <w:p w14:paraId="552D3A2E" w14:textId="0ECC10A9" w:rsidR="007E73CE" w:rsidRPr="008F1108" w:rsidRDefault="007E73CE" w:rsidP="00852127">
      <w:pPr>
        <w:jc w:val="both"/>
      </w:pPr>
    </w:p>
    <w:p w14:paraId="25629147" w14:textId="77777777" w:rsidR="007E73CE" w:rsidRPr="008F1108" w:rsidRDefault="007E73CE" w:rsidP="007E73CE">
      <w:pPr>
        <w:pStyle w:val="Textodecomentrio"/>
        <w:jc w:val="both"/>
        <w:rPr>
          <w:iCs/>
          <w:shd w:val="clear" w:color="auto" w:fill="FFFFFF"/>
        </w:rPr>
      </w:pPr>
      <w:r w:rsidRPr="008F1108">
        <w:rPr>
          <w:iCs/>
          <w:shd w:val="clear" w:color="auto" w:fill="FFFFFF"/>
        </w:rPr>
        <w:t>O contingenciamento das ações que possuem expectativa de perda provável conforme os advogados da Coordenadoria Jurídica do HCPA, acarretou na apresentação de um património líquido negativo da entidade a partir do mês de agosto de 2023, conforme relatado na nota explicativa nº 16.</w:t>
      </w:r>
    </w:p>
    <w:p w14:paraId="018B400B" w14:textId="7B5C67DA" w:rsidR="0074386F" w:rsidRPr="008F1108" w:rsidRDefault="0074386F">
      <w:pPr>
        <w:rPr>
          <w:sz w:val="16"/>
          <w:szCs w:val="16"/>
        </w:rPr>
      </w:pPr>
    </w:p>
    <w:p w14:paraId="517512FC" w14:textId="3B5330FD" w:rsidR="00F71BF5" w:rsidRPr="008F1108" w:rsidRDefault="00F71BF5" w:rsidP="00086B22">
      <w:pPr>
        <w:pStyle w:val="Subttulo"/>
        <w:numPr>
          <w:ilvl w:val="0"/>
          <w:numId w:val="3"/>
        </w:numPr>
      </w:pPr>
      <w:r w:rsidRPr="008F1108">
        <w:tab/>
      </w:r>
      <w:bookmarkStart w:id="51" w:name="_Ref466467866"/>
      <w:r w:rsidRPr="008F1108">
        <w:t>Férias a Pagar</w:t>
      </w:r>
      <w:bookmarkEnd w:id="51"/>
    </w:p>
    <w:tbl>
      <w:tblPr>
        <w:tblW w:w="4968" w:type="pct"/>
        <w:tblCellMar>
          <w:left w:w="70" w:type="dxa"/>
          <w:right w:w="70" w:type="dxa"/>
        </w:tblCellMar>
        <w:tblLook w:val="04A0" w:firstRow="1" w:lastRow="0" w:firstColumn="1" w:lastColumn="0" w:noHBand="0" w:noVBand="1"/>
      </w:tblPr>
      <w:tblGrid>
        <w:gridCol w:w="4517"/>
        <w:gridCol w:w="2066"/>
        <w:gridCol w:w="326"/>
        <w:gridCol w:w="2104"/>
      </w:tblGrid>
      <w:tr w:rsidR="0074386F" w:rsidRPr="008F1108" w14:paraId="575F1AAA" w14:textId="77777777" w:rsidTr="0074386F">
        <w:tc>
          <w:tcPr>
            <w:tcW w:w="2506" w:type="pct"/>
            <w:tcBorders>
              <w:top w:val="nil"/>
              <w:left w:val="nil"/>
              <w:bottom w:val="nil"/>
              <w:right w:val="nil"/>
            </w:tcBorders>
            <w:shd w:val="clear" w:color="auto" w:fill="auto"/>
            <w:vAlign w:val="center"/>
            <w:hideMark/>
          </w:tcPr>
          <w:p w14:paraId="13662597" w14:textId="77777777" w:rsidR="0074386F" w:rsidRPr="008F1108" w:rsidRDefault="0074386F" w:rsidP="0074386F">
            <w:pPr>
              <w:rPr>
                <w:b/>
              </w:rPr>
            </w:pPr>
          </w:p>
        </w:tc>
        <w:tc>
          <w:tcPr>
            <w:tcW w:w="1146" w:type="pct"/>
            <w:tcBorders>
              <w:top w:val="nil"/>
              <w:left w:val="nil"/>
              <w:bottom w:val="single" w:sz="8" w:space="0" w:color="auto"/>
              <w:right w:val="nil"/>
            </w:tcBorders>
            <w:shd w:val="clear" w:color="auto" w:fill="auto"/>
            <w:vAlign w:val="center"/>
            <w:hideMark/>
          </w:tcPr>
          <w:p w14:paraId="50BCD5BD" w14:textId="24764C0B" w:rsidR="00F0432E" w:rsidRPr="008F1108" w:rsidRDefault="00F0432E" w:rsidP="00F0432E">
            <w:pPr>
              <w:jc w:val="right"/>
              <w:rPr>
                <w:b/>
                <w:bCs/>
              </w:rPr>
            </w:pPr>
            <w:r w:rsidRPr="008F1108">
              <w:rPr>
                <w:b/>
                <w:bCs/>
              </w:rPr>
              <w:t>31/12/2025</w:t>
            </w:r>
          </w:p>
        </w:tc>
        <w:tc>
          <w:tcPr>
            <w:tcW w:w="181" w:type="pct"/>
            <w:tcBorders>
              <w:top w:val="nil"/>
              <w:left w:val="nil"/>
              <w:bottom w:val="nil"/>
              <w:right w:val="nil"/>
            </w:tcBorders>
            <w:shd w:val="clear" w:color="auto" w:fill="auto"/>
            <w:vAlign w:val="center"/>
            <w:hideMark/>
          </w:tcPr>
          <w:p w14:paraId="7760A33A" w14:textId="77777777" w:rsidR="0074386F" w:rsidRPr="008F1108" w:rsidRDefault="0074386F" w:rsidP="0074386F">
            <w:pPr>
              <w:rPr>
                <w:b/>
              </w:rPr>
            </w:pPr>
          </w:p>
        </w:tc>
        <w:tc>
          <w:tcPr>
            <w:tcW w:w="1167" w:type="pct"/>
            <w:tcBorders>
              <w:top w:val="nil"/>
              <w:left w:val="nil"/>
              <w:bottom w:val="single" w:sz="8" w:space="0" w:color="auto"/>
              <w:right w:val="nil"/>
            </w:tcBorders>
            <w:vAlign w:val="center"/>
          </w:tcPr>
          <w:p w14:paraId="381ED742" w14:textId="2B559354" w:rsidR="0074386F" w:rsidRPr="008F1108" w:rsidRDefault="0074386F" w:rsidP="0074386F">
            <w:pPr>
              <w:jc w:val="right"/>
              <w:rPr>
                <w:b/>
              </w:rPr>
            </w:pPr>
            <w:r w:rsidRPr="008F1108">
              <w:rPr>
                <w:b/>
                <w:bCs/>
              </w:rPr>
              <w:t>31/12/2024</w:t>
            </w:r>
          </w:p>
        </w:tc>
      </w:tr>
      <w:tr w:rsidR="0074386F" w:rsidRPr="008F1108" w14:paraId="268E9680" w14:textId="77777777" w:rsidTr="0074386F">
        <w:tc>
          <w:tcPr>
            <w:tcW w:w="2506" w:type="pct"/>
            <w:tcBorders>
              <w:top w:val="nil"/>
              <w:left w:val="nil"/>
              <w:bottom w:val="nil"/>
              <w:right w:val="nil"/>
            </w:tcBorders>
            <w:shd w:val="clear" w:color="auto" w:fill="auto"/>
            <w:vAlign w:val="center"/>
            <w:hideMark/>
          </w:tcPr>
          <w:p w14:paraId="768ED9E6" w14:textId="77777777" w:rsidR="0074386F" w:rsidRPr="008F1108" w:rsidRDefault="0074386F" w:rsidP="0074386F">
            <w:r w:rsidRPr="008F1108">
              <w:t>Férias</w:t>
            </w:r>
          </w:p>
        </w:tc>
        <w:tc>
          <w:tcPr>
            <w:tcW w:w="1146" w:type="pct"/>
            <w:tcBorders>
              <w:top w:val="nil"/>
              <w:left w:val="nil"/>
              <w:bottom w:val="nil"/>
              <w:right w:val="nil"/>
            </w:tcBorders>
            <w:shd w:val="clear" w:color="auto" w:fill="auto"/>
            <w:vAlign w:val="center"/>
            <w:hideMark/>
          </w:tcPr>
          <w:p w14:paraId="614A4D34" w14:textId="77777777" w:rsidR="0074386F" w:rsidRPr="008F1108" w:rsidRDefault="0074386F" w:rsidP="0074386F"/>
        </w:tc>
        <w:tc>
          <w:tcPr>
            <w:tcW w:w="181" w:type="pct"/>
            <w:tcBorders>
              <w:top w:val="nil"/>
              <w:left w:val="nil"/>
              <w:bottom w:val="nil"/>
              <w:right w:val="nil"/>
            </w:tcBorders>
            <w:shd w:val="clear" w:color="auto" w:fill="auto"/>
            <w:vAlign w:val="center"/>
            <w:hideMark/>
          </w:tcPr>
          <w:p w14:paraId="7A80BF72" w14:textId="77777777" w:rsidR="0074386F" w:rsidRPr="008F1108" w:rsidRDefault="0074386F" w:rsidP="0074386F"/>
        </w:tc>
        <w:tc>
          <w:tcPr>
            <w:tcW w:w="1167" w:type="pct"/>
            <w:tcBorders>
              <w:top w:val="nil"/>
              <w:left w:val="nil"/>
              <w:bottom w:val="nil"/>
              <w:right w:val="nil"/>
            </w:tcBorders>
            <w:vAlign w:val="center"/>
          </w:tcPr>
          <w:p w14:paraId="11A7ED81" w14:textId="77777777" w:rsidR="0074386F" w:rsidRPr="008F1108" w:rsidRDefault="0074386F" w:rsidP="0074386F"/>
        </w:tc>
      </w:tr>
      <w:tr w:rsidR="00F0432E" w:rsidRPr="008F1108" w14:paraId="5937CA24" w14:textId="77777777" w:rsidTr="003109E4">
        <w:tc>
          <w:tcPr>
            <w:tcW w:w="2506" w:type="pct"/>
            <w:tcBorders>
              <w:top w:val="nil"/>
              <w:left w:val="nil"/>
              <w:bottom w:val="nil"/>
              <w:right w:val="nil"/>
            </w:tcBorders>
            <w:shd w:val="clear" w:color="auto" w:fill="auto"/>
            <w:vAlign w:val="center"/>
            <w:hideMark/>
          </w:tcPr>
          <w:p w14:paraId="4730637F" w14:textId="77777777" w:rsidR="00F0432E" w:rsidRPr="008F1108" w:rsidRDefault="00F0432E" w:rsidP="00F0432E">
            <w:r w:rsidRPr="008F1108">
              <w:t xml:space="preserve">   Saldo Inicial</w:t>
            </w:r>
          </w:p>
        </w:tc>
        <w:tc>
          <w:tcPr>
            <w:tcW w:w="1146" w:type="pct"/>
            <w:tcBorders>
              <w:top w:val="nil"/>
              <w:left w:val="nil"/>
              <w:bottom w:val="nil"/>
              <w:right w:val="nil"/>
            </w:tcBorders>
            <w:shd w:val="clear" w:color="auto" w:fill="auto"/>
            <w:vAlign w:val="bottom"/>
          </w:tcPr>
          <w:p w14:paraId="2665E56A" w14:textId="374363FE" w:rsidR="00F0432E" w:rsidRPr="008F1108" w:rsidRDefault="00F0432E" w:rsidP="00F0432E">
            <w:pPr>
              <w:jc w:val="right"/>
            </w:pPr>
            <w:r w:rsidRPr="008F1108">
              <w:t xml:space="preserve">               120.105 </w:t>
            </w:r>
          </w:p>
        </w:tc>
        <w:tc>
          <w:tcPr>
            <w:tcW w:w="181" w:type="pct"/>
            <w:tcBorders>
              <w:top w:val="nil"/>
              <w:left w:val="nil"/>
              <w:bottom w:val="nil"/>
              <w:right w:val="nil"/>
            </w:tcBorders>
            <w:shd w:val="clear" w:color="auto" w:fill="auto"/>
            <w:vAlign w:val="center"/>
            <w:hideMark/>
          </w:tcPr>
          <w:p w14:paraId="2E1EEB07" w14:textId="77777777" w:rsidR="00F0432E" w:rsidRPr="008F1108" w:rsidRDefault="00F0432E" w:rsidP="00F0432E"/>
        </w:tc>
        <w:tc>
          <w:tcPr>
            <w:tcW w:w="1167" w:type="pct"/>
            <w:tcBorders>
              <w:top w:val="nil"/>
              <w:left w:val="nil"/>
              <w:bottom w:val="nil"/>
              <w:right w:val="nil"/>
            </w:tcBorders>
          </w:tcPr>
          <w:p w14:paraId="6259E5C8" w14:textId="0D01C85F" w:rsidR="00F0432E" w:rsidRPr="008F1108" w:rsidRDefault="00F0432E" w:rsidP="00F0432E">
            <w:pPr>
              <w:jc w:val="right"/>
            </w:pPr>
            <w:r w:rsidRPr="008F1108">
              <w:t>108.376</w:t>
            </w:r>
          </w:p>
        </w:tc>
      </w:tr>
      <w:tr w:rsidR="00F0432E" w:rsidRPr="008F1108" w14:paraId="1193DAD5" w14:textId="77777777" w:rsidTr="003109E4">
        <w:tc>
          <w:tcPr>
            <w:tcW w:w="2506" w:type="pct"/>
            <w:tcBorders>
              <w:top w:val="nil"/>
              <w:left w:val="nil"/>
              <w:bottom w:val="nil"/>
              <w:right w:val="nil"/>
            </w:tcBorders>
            <w:shd w:val="clear" w:color="auto" w:fill="auto"/>
            <w:vAlign w:val="center"/>
            <w:hideMark/>
          </w:tcPr>
          <w:p w14:paraId="4C52B034" w14:textId="77777777" w:rsidR="00F0432E" w:rsidRPr="008F1108" w:rsidRDefault="00F0432E" w:rsidP="00F0432E">
            <w:r w:rsidRPr="008F1108">
              <w:t xml:space="preserve">   Baixas</w:t>
            </w:r>
          </w:p>
        </w:tc>
        <w:tc>
          <w:tcPr>
            <w:tcW w:w="1146" w:type="pct"/>
            <w:tcBorders>
              <w:top w:val="nil"/>
              <w:left w:val="nil"/>
              <w:bottom w:val="nil"/>
              <w:right w:val="nil"/>
            </w:tcBorders>
            <w:shd w:val="clear" w:color="auto" w:fill="auto"/>
            <w:vAlign w:val="center"/>
          </w:tcPr>
          <w:p w14:paraId="1B3E8EAA" w14:textId="5966B0B3" w:rsidR="00F0432E" w:rsidRPr="008F1108" w:rsidRDefault="00F0432E" w:rsidP="00F0432E">
            <w:pPr>
              <w:jc w:val="right"/>
            </w:pPr>
            <w:r w:rsidRPr="008F1108">
              <w:t xml:space="preserve">                </w:t>
            </w:r>
            <w:r w:rsidR="00032EAA" w:rsidRPr="008F1108">
              <w:t>(</w:t>
            </w:r>
            <w:r w:rsidRPr="008F1108">
              <w:t>15.274</w:t>
            </w:r>
            <w:r w:rsidR="00032EAA" w:rsidRPr="008F1108">
              <w:t>)</w:t>
            </w:r>
            <w:r w:rsidRPr="008F1108">
              <w:t xml:space="preserve"> </w:t>
            </w:r>
          </w:p>
        </w:tc>
        <w:tc>
          <w:tcPr>
            <w:tcW w:w="181" w:type="pct"/>
            <w:tcBorders>
              <w:top w:val="nil"/>
              <w:left w:val="nil"/>
              <w:bottom w:val="nil"/>
              <w:right w:val="nil"/>
            </w:tcBorders>
            <w:shd w:val="clear" w:color="auto" w:fill="auto"/>
            <w:vAlign w:val="center"/>
            <w:hideMark/>
          </w:tcPr>
          <w:p w14:paraId="49F3C615" w14:textId="77777777" w:rsidR="00F0432E" w:rsidRPr="008F1108" w:rsidRDefault="00F0432E" w:rsidP="00F0432E"/>
        </w:tc>
        <w:tc>
          <w:tcPr>
            <w:tcW w:w="1167" w:type="pct"/>
            <w:tcBorders>
              <w:top w:val="nil"/>
              <w:left w:val="nil"/>
              <w:bottom w:val="nil"/>
              <w:right w:val="nil"/>
            </w:tcBorders>
          </w:tcPr>
          <w:p w14:paraId="4A1D872A" w14:textId="1870A999" w:rsidR="00F0432E" w:rsidRPr="008F1108" w:rsidRDefault="00F0432E" w:rsidP="00F0432E">
            <w:pPr>
              <w:jc w:val="right"/>
            </w:pPr>
            <w:r w:rsidRPr="008F1108">
              <w:t xml:space="preserve">(16.996) </w:t>
            </w:r>
          </w:p>
        </w:tc>
      </w:tr>
      <w:tr w:rsidR="00F0432E" w:rsidRPr="008F1108" w14:paraId="70C8CA4B" w14:textId="77777777" w:rsidTr="003109E4">
        <w:tc>
          <w:tcPr>
            <w:tcW w:w="2506" w:type="pct"/>
            <w:tcBorders>
              <w:top w:val="nil"/>
              <w:left w:val="nil"/>
              <w:bottom w:val="nil"/>
              <w:right w:val="nil"/>
            </w:tcBorders>
            <w:shd w:val="clear" w:color="auto" w:fill="auto"/>
            <w:vAlign w:val="center"/>
            <w:hideMark/>
          </w:tcPr>
          <w:p w14:paraId="703ED379" w14:textId="77777777" w:rsidR="00F0432E" w:rsidRPr="008F1108" w:rsidRDefault="00F0432E" w:rsidP="00F0432E">
            <w:r w:rsidRPr="008F1108">
              <w:t xml:space="preserve">   Apropriações</w:t>
            </w:r>
          </w:p>
        </w:tc>
        <w:tc>
          <w:tcPr>
            <w:tcW w:w="1146" w:type="pct"/>
            <w:tcBorders>
              <w:top w:val="nil"/>
              <w:left w:val="nil"/>
              <w:bottom w:val="single" w:sz="8" w:space="0" w:color="auto"/>
              <w:right w:val="nil"/>
            </w:tcBorders>
            <w:shd w:val="clear" w:color="auto" w:fill="auto"/>
            <w:vAlign w:val="bottom"/>
          </w:tcPr>
          <w:p w14:paraId="3543CEB4" w14:textId="0F2630E0" w:rsidR="00F0432E" w:rsidRPr="008F1108" w:rsidRDefault="00F0432E" w:rsidP="00F0432E">
            <w:pPr>
              <w:jc w:val="right"/>
            </w:pPr>
            <w:r w:rsidRPr="008F1108">
              <w:t xml:space="preserve">                  25.151 </w:t>
            </w:r>
          </w:p>
        </w:tc>
        <w:tc>
          <w:tcPr>
            <w:tcW w:w="181" w:type="pct"/>
            <w:tcBorders>
              <w:top w:val="nil"/>
              <w:left w:val="nil"/>
              <w:bottom w:val="nil"/>
              <w:right w:val="nil"/>
            </w:tcBorders>
            <w:shd w:val="clear" w:color="auto" w:fill="auto"/>
            <w:vAlign w:val="center"/>
            <w:hideMark/>
          </w:tcPr>
          <w:p w14:paraId="055DB213" w14:textId="77777777" w:rsidR="00F0432E" w:rsidRPr="008F1108" w:rsidRDefault="00F0432E" w:rsidP="00F0432E"/>
        </w:tc>
        <w:tc>
          <w:tcPr>
            <w:tcW w:w="1167" w:type="pct"/>
            <w:tcBorders>
              <w:top w:val="nil"/>
              <w:left w:val="nil"/>
              <w:bottom w:val="single" w:sz="8" w:space="0" w:color="auto"/>
              <w:right w:val="nil"/>
            </w:tcBorders>
          </w:tcPr>
          <w:p w14:paraId="01A76660" w14:textId="35271831" w:rsidR="00F0432E" w:rsidRPr="008F1108" w:rsidRDefault="00F0432E" w:rsidP="00F0432E">
            <w:pPr>
              <w:jc w:val="right"/>
            </w:pPr>
            <w:r w:rsidRPr="008F1108">
              <w:t>28.725</w:t>
            </w:r>
          </w:p>
        </w:tc>
      </w:tr>
      <w:tr w:rsidR="00F0432E" w:rsidRPr="008F1108" w14:paraId="657F20D1" w14:textId="77777777" w:rsidTr="003109E4">
        <w:tc>
          <w:tcPr>
            <w:tcW w:w="2506" w:type="pct"/>
            <w:tcBorders>
              <w:top w:val="nil"/>
              <w:left w:val="nil"/>
              <w:bottom w:val="nil"/>
              <w:right w:val="nil"/>
            </w:tcBorders>
            <w:shd w:val="clear" w:color="auto" w:fill="auto"/>
            <w:vAlign w:val="center"/>
            <w:hideMark/>
          </w:tcPr>
          <w:p w14:paraId="620599C1" w14:textId="77777777" w:rsidR="00F0432E" w:rsidRPr="008F1108" w:rsidRDefault="00F0432E" w:rsidP="00F0432E">
            <w:pPr>
              <w:rPr>
                <w:b/>
                <w:bCs/>
              </w:rPr>
            </w:pPr>
            <w:r w:rsidRPr="008F1108">
              <w:rPr>
                <w:b/>
                <w:bCs/>
              </w:rPr>
              <w:t xml:space="preserve">Total de Férias </w:t>
            </w:r>
          </w:p>
        </w:tc>
        <w:tc>
          <w:tcPr>
            <w:tcW w:w="1146" w:type="pct"/>
            <w:tcBorders>
              <w:top w:val="nil"/>
              <w:left w:val="nil"/>
              <w:bottom w:val="single" w:sz="8" w:space="0" w:color="auto"/>
              <w:right w:val="nil"/>
            </w:tcBorders>
            <w:shd w:val="clear" w:color="auto" w:fill="auto"/>
            <w:vAlign w:val="bottom"/>
          </w:tcPr>
          <w:p w14:paraId="0BE85A5B" w14:textId="4054974C" w:rsidR="00F0432E" w:rsidRPr="008F1108" w:rsidRDefault="00F0432E" w:rsidP="00F0432E">
            <w:pPr>
              <w:jc w:val="right"/>
              <w:rPr>
                <w:b/>
              </w:rPr>
            </w:pPr>
            <w:r w:rsidRPr="008F1108">
              <w:rPr>
                <w:b/>
                <w:bCs/>
              </w:rPr>
              <w:t xml:space="preserve">               129.982 </w:t>
            </w:r>
          </w:p>
        </w:tc>
        <w:tc>
          <w:tcPr>
            <w:tcW w:w="181" w:type="pct"/>
            <w:tcBorders>
              <w:top w:val="nil"/>
              <w:left w:val="nil"/>
              <w:bottom w:val="nil"/>
              <w:right w:val="nil"/>
            </w:tcBorders>
            <w:shd w:val="clear" w:color="auto" w:fill="auto"/>
            <w:vAlign w:val="center"/>
            <w:hideMark/>
          </w:tcPr>
          <w:p w14:paraId="6BDF1558" w14:textId="77777777" w:rsidR="00F0432E" w:rsidRPr="008F1108" w:rsidRDefault="00F0432E" w:rsidP="00F0432E">
            <w:pPr>
              <w:rPr>
                <w:b/>
              </w:rPr>
            </w:pPr>
          </w:p>
        </w:tc>
        <w:tc>
          <w:tcPr>
            <w:tcW w:w="1167" w:type="pct"/>
            <w:tcBorders>
              <w:top w:val="nil"/>
              <w:left w:val="nil"/>
              <w:bottom w:val="single" w:sz="8" w:space="0" w:color="auto"/>
              <w:right w:val="nil"/>
            </w:tcBorders>
          </w:tcPr>
          <w:p w14:paraId="765F9D73" w14:textId="37D7DFD3" w:rsidR="00F0432E" w:rsidRPr="008F1108" w:rsidRDefault="00F0432E" w:rsidP="00F0432E">
            <w:pPr>
              <w:jc w:val="right"/>
              <w:rPr>
                <w:b/>
              </w:rPr>
            </w:pPr>
            <w:r w:rsidRPr="008F1108">
              <w:rPr>
                <w:b/>
              </w:rPr>
              <w:t>120.105</w:t>
            </w:r>
          </w:p>
        </w:tc>
      </w:tr>
      <w:tr w:rsidR="00210B48" w:rsidRPr="008F1108" w14:paraId="2842AC38" w14:textId="77777777" w:rsidTr="0074386F">
        <w:tc>
          <w:tcPr>
            <w:tcW w:w="2506" w:type="pct"/>
            <w:tcBorders>
              <w:top w:val="nil"/>
              <w:left w:val="nil"/>
              <w:bottom w:val="nil"/>
              <w:right w:val="nil"/>
            </w:tcBorders>
            <w:shd w:val="clear" w:color="auto" w:fill="auto"/>
            <w:vAlign w:val="center"/>
            <w:hideMark/>
          </w:tcPr>
          <w:p w14:paraId="591AE0D2" w14:textId="77777777" w:rsidR="00210B48" w:rsidRPr="008F1108" w:rsidRDefault="00210B48" w:rsidP="00210B48"/>
        </w:tc>
        <w:tc>
          <w:tcPr>
            <w:tcW w:w="1146" w:type="pct"/>
            <w:tcBorders>
              <w:top w:val="nil"/>
              <w:left w:val="nil"/>
              <w:bottom w:val="nil"/>
              <w:right w:val="nil"/>
            </w:tcBorders>
            <w:shd w:val="clear" w:color="auto" w:fill="auto"/>
          </w:tcPr>
          <w:p w14:paraId="772FAB88" w14:textId="77777777" w:rsidR="00210B48" w:rsidRPr="008F1108" w:rsidRDefault="00210B48" w:rsidP="00210B48">
            <w:pPr>
              <w:jc w:val="right"/>
            </w:pPr>
          </w:p>
        </w:tc>
        <w:tc>
          <w:tcPr>
            <w:tcW w:w="181" w:type="pct"/>
            <w:tcBorders>
              <w:top w:val="nil"/>
              <w:left w:val="nil"/>
              <w:bottom w:val="nil"/>
              <w:right w:val="nil"/>
            </w:tcBorders>
            <w:shd w:val="clear" w:color="auto" w:fill="auto"/>
            <w:vAlign w:val="center"/>
            <w:hideMark/>
          </w:tcPr>
          <w:p w14:paraId="7AD4790A" w14:textId="77777777" w:rsidR="00210B48" w:rsidRPr="008F1108" w:rsidRDefault="00210B48" w:rsidP="00210B48"/>
        </w:tc>
        <w:tc>
          <w:tcPr>
            <w:tcW w:w="1167" w:type="pct"/>
            <w:tcBorders>
              <w:top w:val="nil"/>
              <w:left w:val="nil"/>
              <w:bottom w:val="nil"/>
              <w:right w:val="nil"/>
            </w:tcBorders>
          </w:tcPr>
          <w:p w14:paraId="1E1A6554" w14:textId="77777777" w:rsidR="00210B48" w:rsidRPr="008F1108" w:rsidRDefault="00210B48" w:rsidP="00210B48">
            <w:pPr>
              <w:jc w:val="right"/>
            </w:pPr>
          </w:p>
        </w:tc>
      </w:tr>
      <w:tr w:rsidR="00210B48" w:rsidRPr="008F1108" w14:paraId="6C6F682F" w14:textId="77777777" w:rsidTr="0074386F">
        <w:tc>
          <w:tcPr>
            <w:tcW w:w="2506" w:type="pct"/>
            <w:tcBorders>
              <w:top w:val="nil"/>
              <w:left w:val="nil"/>
              <w:bottom w:val="nil"/>
              <w:right w:val="nil"/>
            </w:tcBorders>
            <w:shd w:val="clear" w:color="auto" w:fill="auto"/>
            <w:vAlign w:val="center"/>
            <w:hideMark/>
          </w:tcPr>
          <w:p w14:paraId="20D5ADD2" w14:textId="77777777" w:rsidR="00210B48" w:rsidRPr="008F1108" w:rsidRDefault="00210B48" w:rsidP="00210B48">
            <w:r w:rsidRPr="008F1108">
              <w:t>Encargos Sobre Férias</w:t>
            </w:r>
          </w:p>
        </w:tc>
        <w:tc>
          <w:tcPr>
            <w:tcW w:w="1146" w:type="pct"/>
            <w:tcBorders>
              <w:top w:val="nil"/>
              <w:left w:val="nil"/>
              <w:bottom w:val="nil"/>
              <w:right w:val="nil"/>
            </w:tcBorders>
            <w:shd w:val="clear" w:color="auto" w:fill="auto"/>
          </w:tcPr>
          <w:p w14:paraId="407A2416" w14:textId="77777777" w:rsidR="00210B48" w:rsidRPr="008F1108" w:rsidRDefault="00210B48" w:rsidP="00210B48">
            <w:pPr>
              <w:jc w:val="right"/>
            </w:pPr>
          </w:p>
        </w:tc>
        <w:tc>
          <w:tcPr>
            <w:tcW w:w="181" w:type="pct"/>
            <w:tcBorders>
              <w:top w:val="nil"/>
              <w:left w:val="nil"/>
              <w:bottom w:val="nil"/>
              <w:right w:val="nil"/>
            </w:tcBorders>
            <w:shd w:val="clear" w:color="auto" w:fill="auto"/>
            <w:vAlign w:val="center"/>
            <w:hideMark/>
          </w:tcPr>
          <w:p w14:paraId="28C72ED2" w14:textId="77777777" w:rsidR="00210B48" w:rsidRPr="008F1108" w:rsidRDefault="00210B48" w:rsidP="00210B48"/>
        </w:tc>
        <w:tc>
          <w:tcPr>
            <w:tcW w:w="1167" w:type="pct"/>
            <w:tcBorders>
              <w:top w:val="nil"/>
              <w:left w:val="nil"/>
              <w:bottom w:val="nil"/>
              <w:right w:val="nil"/>
            </w:tcBorders>
          </w:tcPr>
          <w:p w14:paraId="2E1858BB" w14:textId="77777777" w:rsidR="00210B48" w:rsidRPr="008F1108" w:rsidRDefault="00210B48" w:rsidP="00210B48">
            <w:pPr>
              <w:jc w:val="right"/>
            </w:pPr>
          </w:p>
        </w:tc>
      </w:tr>
      <w:tr w:rsidR="00F0432E" w:rsidRPr="008F1108" w14:paraId="2B2E5A20" w14:textId="77777777" w:rsidTr="003109E4">
        <w:tc>
          <w:tcPr>
            <w:tcW w:w="2506" w:type="pct"/>
            <w:tcBorders>
              <w:top w:val="nil"/>
              <w:left w:val="nil"/>
              <w:bottom w:val="nil"/>
              <w:right w:val="nil"/>
            </w:tcBorders>
            <w:shd w:val="clear" w:color="auto" w:fill="auto"/>
            <w:vAlign w:val="center"/>
            <w:hideMark/>
          </w:tcPr>
          <w:p w14:paraId="08FCB71B" w14:textId="77777777" w:rsidR="00F0432E" w:rsidRPr="008F1108" w:rsidRDefault="00F0432E" w:rsidP="00F0432E">
            <w:r w:rsidRPr="008F1108">
              <w:t xml:space="preserve">   Saldo Inicial</w:t>
            </w:r>
          </w:p>
        </w:tc>
        <w:tc>
          <w:tcPr>
            <w:tcW w:w="1146" w:type="pct"/>
            <w:tcBorders>
              <w:top w:val="nil"/>
              <w:left w:val="nil"/>
              <w:bottom w:val="nil"/>
              <w:right w:val="nil"/>
            </w:tcBorders>
            <w:shd w:val="clear" w:color="auto" w:fill="auto"/>
            <w:vAlign w:val="bottom"/>
          </w:tcPr>
          <w:p w14:paraId="62094D2A" w14:textId="46D7B844" w:rsidR="00F0432E" w:rsidRPr="008F1108" w:rsidRDefault="00F0432E" w:rsidP="00F0432E">
            <w:pPr>
              <w:jc w:val="right"/>
            </w:pPr>
            <w:r w:rsidRPr="008F1108">
              <w:t xml:space="preserve">                  44.921 </w:t>
            </w:r>
          </w:p>
        </w:tc>
        <w:tc>
          <w:tcPr>
            <w:tcW w:w="181" w:type="pct"/>
            <w:tcBorders>
              <w:top w:val="nil"/>
              <w:left w:val="nil"/>
              <w:bottom w:val="nil"/>
              <w:right w:val="nil"/>
            </w:tcBorders>
            <w:shd w:val="clear" w:color="auto" w:fill="auto"/>
            <w:vAlign w:val="center"/>
            <w:hideMark/>
          </w:tcPr>
          <w:p w14:paraId="19E2339B" w14:textId="77777777" w:rsidR="00F0432E" w:rsidRPr="008F1108" w:rsidRDefault="00F0432E" w:rsidP="00F0432E"/>
        </w:tc>
        <w:tc>
          <w:tcPr>
            <w:tcW w:w="1167" w:type="pct"/>
            <w:tcBorders>
              <w:top w:val="nil"/>
              <w:left w:val="nil"/>
              <w:bottom w:val="nil"/>
              <w:right w:val="nil"/>
            </w:tcBorders>
          </w:tcPr>
          <w:p w14:paraId="5BFEDAEE" w14:textId="6FB27B30" w:rsidR="00F0432E" w:rsidRPr="008F1108" w:rsidRDefault="00F0432E" w:rsidP="00F0432E">
            <w:pPr>
              <w:jc w:val="right"/>
            </w:pPr>
            <w:r w:rsidRPr="008F1108">
              <w:t>40.528</w:t>
            </w:r>
          </w:p>
        </w:tc>
      </w:tr>
      <w:tr w:rsidR="00F0432E" w:rsidRPr="008F1108" w14:paraId="74D93962" w14:textId="77777777" w:rsidTr="003109E4">
        <w:tc>
          <w:tcPr>
            <w:tcW w:w="2506" w:type="pct"/>
            <w:tcBorders>
              <w:top w:val="nil"/>
              <w:left w:val="nil"/>
              <w:bottom w:val="nil"/>
              <w:right w:val="nil"/>
            </w:tcBorders>
            <w:shd w:val="clear" w:color="auto" w:fill="auto"/>
            <w:vAlign w:val="center"/>
            <w:hideMark/>
          </w:tcPr>
          <w:p w14:paraId="2C444449" w14:textId="77777777" w:rsidR="00F0432E" w:rsidRPr="008F1108" w:rsidRDefault="00F0432E" w:rsidP="00F0432E">
            <w:r w:rsidRPr="008F1108">
              <w:t xml:space="preserve">   Baixas</w:t>
            </w:r>
          </w:p>
        </w:tc>
        <w:tc>
          <w:tcPr>
            <w:tcW w:w="1146" w:type="pct"/>
            <w:tcBorders>
              <w:top w:val="nil"/>
              <w:left w:val="nil"/>
              <w:bottom w:val="nil"/>
              <w:right w:val="nil"/>
            </w:tcBorders>
            <w:shd w:val="clear" w:color="auto" w:fill="auto"/>
            <w:vAlign w:val="bottom"/>
          </w:tcPr>
          <w:p w14:paraId="51FC6302" w14:textId="0D2D80CA" w:rsidR="00F0432E" w:rsidRPr="008F1108" w:rsidRDefault="00F0432E" w:rsidP="00F0432E">
            <w:pPr>
              <w:jc w:val="right"/>
            </w:pPr>
            <w:r w:rsidRPr="008F1108">
              <w:t xml:space="preserve">                  </w:t>
            </w:r>
            <w:r w:rsidR="00032EAA" w:rsidRPr="008F1108">
              <w:t>(</w:t>
            </w:r>
            <w:r w:rsidRPr="008F1108">
              <w:t>5.641</w:t>
            </w:r>
            <w:r w:rsidR="00032EAA" w:rsidRPr="008F1108">
              <w:t>)</w:t>
            </w:r>
            <w:r w:rsidRPr="008F1108">
              <w:t xml:space="preserve"> </w:t>
            </w:r>
          </w:p>
        </w:tc>
        <w:tc>
          <w:tcPr>
            <w:tcW w:w="181" w:type="pct"/>
            <w:tcBorders>
              <w:top w:val="nil"/>
              <w:left w:val="nil"/>
              <w:bottom w:val="nil"/>
              <w:right w:val="nil"/>
            </w:tcBorders>
            <w:shd w:val="clear" w:color="auto" w:fill="auto"/>
            <w:vAlign w:val="center"/>
            <w:hideMark/>
          </w:tcPr>
          <w:p w14:paraId="5A6F304C" w14:textId="77777777" w:rsidR="00F0432E" w:rsidRPr="008F1108" w:rsidRDefault="00F0432E" w:rsidP="00F0432E"/>
        </w:tc>
        <w:tc>
          <w:tcPr>
            <w:tcW w:w="1167" w:type="pct"/>
            <w:tcBorders>
              <w:top w:val="nil"/>
              <w:left w:val="nil"/>
              <w:bottom w:val="nil"/>
              <w:right w:val="nil"/>
            </w:tcBorders>
          </w:tcPr>
          <w:p w14:paraId="36E87ED2" w14:textId="2D2CE2F7" w:rsidR="00F0432E" w:rsidRPr="008F1108" w:rsidRDefault="00F0432E" w:rsidP="00F0432E">
            <w:pPr>
              <w:jc w:val="right"/>
            </w:pPr>
            <w:r w:rsidRPr="008F1108">
              <w:t xml:space="preserve">(6.342) </w:t>
            </w:r>
          </w:p>
        </w:tc>
      </w:tr>
      <w:tr w:rsidR="00F0432E" w:rsidRPr="008F1108" w14:paraId="67E95FA5" w14:textId="77777777" w:rsidTr="003109E4">
        <w:tc>
          <w:tcPr>
            <w:tcW w:w="2506" w:type="pct"/>
            <w:tcBorders>
              <w:top w:val="nil"/>
              <w:left w:val="nil"/>
              <w:bottom w:val="nil"/>
              <w:right w:val="nil"/>
            </w:tcBorders>
            <w:shd w:val="clear" w:color="auto" w:fill="auto"/>
            <w:vAlign w:val="center"/>
            <w:hideMark/>
          </w:tcPr>
          <w:p w14:paraId="4C7B6A33" w14:textId="77777777" w:rsidR="00F0432E" w:rsidRPr="008F1108" w:rsidRDefault="00F0432E" w:rsidP="00F0432E">
            <w:r w:rsidRPr="008F1108">
              <w:t xml:space="preserve">   Apropriações</w:t>
            </w:r>
          </w:p>
        </w:tc>
        <w:tc>
          <w:tcPr>
            <w:tcW w:w="1146" w:type="pct"/>
            <w:tcBorders>
              <w:top w:val="nil"/>
              <w:left w:val="nil"/>
              <w:bottom w:val="single" w:sz="8" w:space="0" w:color="auto"/>
              <w:right w:val="nil"/>
            </w:tcBorders>
            <w:shd w:val="clear" w:color="auto" w:fill="auto"/>
            <w:vAlign w:val="bottom"/>
          </w:tcPr>
          <w:p w14:paraId="35A5FB46" w14:textId="4EC13282" w:rsidR="00F0432E" w:rsidRPr="008F1108" w:rsidRDefault="00F0432E" w:rsidP="00F0432E">
            <w:pPr>
              <w:jc w:val="right"/>
            </w:pPr>
            <w:r w:rsidRPr="008F1108">
              <w:t xml:space="preserve">                    9.393 </w:t>
            </w:r>
          </w:p>
        </w:tc>
        <w:tc>
          <w:tcPr>
            <w:tcW w:w="181" w:type="pct"/>
            <w:tcBorders>
              <w:top w:val="nil"/>
              <w:left w:val="nil"/>
              <w:bottom w:val="nil"/>
              <w:right w:val="nil"/>
            </w:tcBorders>
            <w:shd w:val="clear" w:color="auto" w:fill="auto"/>
            <w:vAlign w:val="center"/>
            <w:hideMark/>
          </w:tcPr>
          <w:p w14:paraId="3BA5709D" w14:textId="77777777" w:rsidR="00F0432E" w:rsidRPr="008F1108" w:rsidRDefault="00F0432E" w:rsidP="00F0432E"/>
        </w:tc>
        <w:tc>
          <w:tcPr>
            <w:tcW w:w="1167" w:type="pct"/>
            <w:tcBorders>
              <w:top w:val="nil"/>
              <w:left w:val="nil"/>
              <w:bottom w:val="single" w:sz="8" w:space="0" w:color="auto"/>
              <w:right w:val="nil"/>
            </w:tcBorders>
          </w:tcPr>
          <w:p w14:paraId="4DCC6AFE" w14:textId="2E0BE164" w:rsidR="00F0432E" w:rsidRPr="008F1108" w:rsidRDefault="00F0432E" w:rsidP="00F0432E">
            <w:pPr>
              <w:jc w:val="right"/>
            </w:pPr>
            <w:r w:rsidRPr="008F1108">
              <w:t xml:space="preserve"> 10.735 </w:t>
            </w:r>
          </w:p>
        </w:tc>
      </w:tr>
      <w:tr w:rsidR="00F0432E" w:rsidRPr="008F1108" w14:paraId="224E1913" w14:textId="77777777" w:rsidTr="003109E4">
        <w:tc>
          <w:tcPr>
            <w:tcW w:w="2506" w:type="pct"/>
            <w:tcBorders>
              <w:top w:val="nil"/>
              <w:left w:val="nil"/>
              <w:bottom w:val="nil"/>
              <w:right w:val="nil"/>
            </w:tcBorders>
            <w:shd w:val="clear" w:color="auto" w:fill="auto"/>
            <w:vAlign w:val="center"/>
            <w:hideMark/>
          </w:tcPr>
          <w:p w14:paraId="7F073858" w14:textId="77777777" w:rsidR="00F0432E" w:rsidRPr="008F1108" w:rsidRDefault="00F0432E" w:rsidP="00F0432E">
            <w:pPr>
              <w:rPr>
                <w:b/>
                <w:bCs/>
              </w:rPr>
            </w:pPr>
            <w:r w:rsidRPr="008F1108">
              <w:rPr>
                <w:b/>
                <w:bCs/>
              </w:rPr>
              <w:t>Total de Encargos sobre Férias</w:t>
            </w:r>
          </w:p>
        </w:tc>
        <w:tc>
          <w:tcPr>
            <w:tcW w:w="1146" w:type="pct"/>
            <w:tcBorders>
              <w:top w:val="nil"/>
              <w:left w:val="nil"/>
              <w:bottom w:val="single" w:sz="8" w:space="0" w:color="auto"/>
              <w:right w:val="nil"/>
            </w:tcBorders>
            <w:shd w:val="clear" w:color="auto" w:fill="auto"/>
            <w:vAlign w:val="bottom"/>
          </w:tcPr>
          <w:p w14:paraId="53098E64" w14:textId="08C43851" w:rsidR="00F0432E" w:rsidRPr="008F1108" w:rsidRDefault="00F0432E" w:rsidP="00F0432E">
            <w:pPr>
              <w:jc w:val="right"/>
              <w:rPr>
                <w:b/>
              </w:rPr>
            </w:pPr>
            <w:r w:rsidRPr="008F1108">
              <w:rPr>
                <w:b/>
                <w:bCs/>
              </w:rPr>
              <w:t xml:space="preserve">                  48.673 </w:t>
            </w:r>
          </w:p>
        </w:tc>
        <w:tc>
          <w:tcPr>
            <w:tcW w:w="181" w:type="pct"/>
            <w:tcBorders>
              <w:top w:val="nil"/>
              <w:left w:val="nil"/>
              <w:bottom w:val="nil"/>
              <w:right w:val="nil"/>
            </w:tcBorders>
            <w:shd w:val="clear" w:color="auto" w:fill="auto"/>
            <w:vAlign w:val="center"/>
            <w:hideMark/>
          </w:tcPr>
          <w:p w14:paraId="30A86713" w14:textId="77777777" w:rsidR="00F0432E" w:rsidRPr="008F1108" w:rsidRDefault="00F0432E" w:rsidP="00F0432E">
            <w:pPr>
              <w:rPr>
                <w:b/>
              </w:rPr>
            </w:pPr>
          </w:p>
        </w:tc>
        <w:tc>
          <w:tcPr>
            <w:tcW w:w="1167" w:type="pct"/>
            <w:tcBorders>
              <w:top w:val="nil"/>
              <w:left w:val="nil"/>
              <w:bottom w:val="single" w:sz="8" w:space="0" w:color="auto"/>
              <w:right w:val="nil"/>
            </w:tcBorders>
          </w:tcPr>
          <w:p w14:paraId="22CDD209" w14:textId="18D293FE" w:rsidR="00F0432E" w:rsidRPr="008F1108" w:rsidRDefault="00F0432E" w:rsidP="00F0432E">
            <w:pPr>
              <w:jc w:val="right"/>
              <w:rPr>
                <w:b/>
              </w:rPr>
            </w:pPr>
            <w:r w:rsidRPr="008F1108">
              <w:rPr>
                <w:b/>
              </w:rPr>
              <w:t>44.921</w:t>
            </w:r>
          </w:p>
        </w:tc>
      </w:tr>
      <w:tr w:rsidR="00F0432E" w:rsidRPr="008F1108" w14:paraId="597E22E7" w14:textId="77777777" w:rsidTr="003109E4">
        <w:tc>
          <w:tcPr>
            <w:tcW w:w="2506" w:type="pct"/>
            <w:tcBorders>
              <w:top w:val="nil"/>
              <w:left w:val="nil"/>
              <w:bottom w:val="nil"/>
              <w:right w:val="nil"/>
            </w:tcBorders>
            <w:shd w:val="clear" w:color="auto" w:fill="auto"/>
            <w:vAlign w:val="center"/>
            <w:hideMark/>
          </w:tcPr>
          <w:p w14:paraId="2924A2A7" w14:textId="77777777" w:rsidR="00F0432E" w:rsidRPr="008F1108" w:rsidRDefault="00F0432E" w:rsidP="00F0432E">
            <w:pPr>
              <w:rPr>
                <w:b/>
                <w:bCs/>
              </w:rPr>
            </w:pPr>
            <w:r w:rsidRPr="008F1108">
              <w:rPr>
                <w:b/>
                <w:bCs/>
              </w:rPr>
              <w:t>Saldo de Férias a Pagar</w:t>
            </w:r>
          </w:p>
        </w:tc>
        <w:tc>
          <w:tcPr>
            <w:tcW w:w="1146" w:type="pct"/>
            <w:tcBorders>
              <w:top w:val="nil"/>
              <w:left w:val="nil"/>
              <w:bottom w:val="double" w:sz="6" w:space="0" w:color="auto"/>
              <w:right w:val="nil"/>
            </w:tcBorders>
            <w:shd w:val="clear" w:color="auto" w:fill="auto"/>
            <w:vAlign w:val="bottom"/>
          </w:tcPr>
          <w:p w14:paraId="7D80B5B5" w14:textId="29CBAC51" w:rsidR="00F0432E" w:rsidRPr="008F1108" w:rsidRDefault="00F0432E" w:rsidP="00F0432E">
            <w:pPr>
              <w:jc w:val="right"/>
              <w:rPr>
                <w:b/>
              </w:rPr>
            </w:pPr>
            <w:r w:rsidRPr="008F1108">
              <w:rPr>
                <w:b/>
                <w:bCs/>
              </w:rPr>
              <w:t xml:space="preserve">               178.655 </w:t>
            </w:r>
          </w:p>
        </w:tc>
        <w:tc>
          <w:tcPr>
            <w:tcW w:w="181" w:type="pct"/>
            <w:tcBorders>
              <w:top w:val="nil"/>
              <w:left w:val="nil"/>
              <w:bottom w:val="nil"/>
              <w:right w:val="nil"/>
            </w:tcBorders>
            <w:shd w:val="clear" w:color="auto" w:fill="auto"/>
            <w:vAlign w:val="center"/>
            <w:hideMark/>
          </w:tcPr>
          <w:p w14:paraId="4DC7E72D" w14:textId="77777777" w:rsidR="00F0432E" w:rsidRPr="008F1108" w:rsidRDefault="00F0432E" w:rsidP="00F0432E">
            <w:pPr>
              <w:rPr>
                <w:b/>
              </w:rPr>
            </w:pPr>
          </w:p>
        </w:tc>
        <w:tc>
          <w:tcPr>
            <w:tcW w:w="1167" w:type="pct"/>
            <w:tcBorders>
              <w:top w:val="nil"/>
              <w:left w:val="nil"/>
              <w:bottom w:val="double" w:sz="6" w:space="0" w:color="auto"/>
              <w:right w:val="nil"/>
            </w:tcBorders>
          </w:tcPr>
          <w:p w14:paraId="7C02DFCB" w14:textId="618448DE" w:rsidR="00F0432E" w:rsidRPr="008F1108" w:rsidRDefault="00F0432E" w:rsidP="00F0432E">
            <w:pPr>
              <w:jc w:val="right"/>
              <w:rPr>
                <w:b/>
              </w:rPr>
            </w:pPr>
            <w:r w:rsidRPr="008F1108">
              <w:rPr>
                <w:b/>
              </w:rPr>
              <w:t>165.026</w:t>
            </w:r>
          </w:p>
        </w:tc>
      </w:tr>
    </w:tbl>
    <w:p w14:paraId="4E1C3A47" w14:textId="77777777" w:rsidR="00F71726" w:rsidRDefault="00F71726" w:rsidP="00F71726">
      <w:pPr>
        <w:pStyle w:val="Subttulo"/>
        <w:ind w:firstLine="0"/>
        <w:rPr>
          <w:b w:val="0"/>
          <w:sz w:val="16"/>
          <w:szCs w:val="16"/>
        </w:rPr>
      </w:pPr>
    </w:p>
    <w:p w14:paraId="611181B1" w14:textId="77777777" w:rsidR="00F71726" w:rsidRDefault="00F71726">
      <w:pPr>
        <w:rPr>
          <w:sz w:val="16"/>
          <w:szCs w:val="16"/>
        </w:rPr>
      </w:pPr>
      <w:r>
        <w:rPr>
          <w:b/>
          <w:sz w:val="16"/>
          <w:szCs w:val="16"/>
        </w:rPr>
        <w:br w:type="page"/>
      </w:r>
    </w:p>
    <w:p w14:paraId="48113594" w14:textId="2BF49554" w:rsidR="00F71BF5" w:rsidRPr="008F1108" w:rsidRDefault="00F71BF5" w:rsidP="00086B22">
      <w:pPr>
        <w:pStyle w:val="Subttulo"/>
        <w:numPr>
          <w:ilvl w:val="0"/>
          <w:numId w:val="3"/>
        </w:numPr>
      </w:pPr>
      <w:r w:rsidRPr="008F1108">
        <w:lastRenderedPageBreak/>
        <w:t>Licença Especial</w:t>
      </w:r>
    </w:p>
    <w:tbl>
      <w:tblPr>
        <w:tblW w:w="4963" w:type="pct"/>
        <w:tblCellMar>
          <w:left w:w="70" w:type="dxa"/>
          <w:right w:w="70" w:type="dxa"/>
        </w:tblCellMar>
        <w:tblLook w:val="04A0" w:firstRow="1" w:lastRow="0" w:firstColumn="1" w:lastColumn="0" w:noHBand="0" w:noVBand="1"/>
      </w:tblPr>
      <w:tblGrid>
        <w:gridCol w:w="4508"/>
        <w:gridCol w:w="2085"/>
        <w:gridCol w:w="277"/>
        <w:gridCol w:w="2134"/>
      </w:tblGrid>
      <w:tr w:rsidR="00F6158E" w:rsidRPr="008F1108" w14:paraId="78C8E6CB" w14:textId="77777777" w:rsidTr="005E7B50">
        <w:tc>
          <w:tcPr>
            <w:tcW w:w="2503" w:type="pct"/>
            <w:tcBorders>
              <w:top w:val="nil"/>
              <w:left w:val="nil"/>
              <w:bottom w:val="nil"/>
              <w:right w:val="nil"/>
            </w:tcBorders>
            <w:shd w:val="clear" w:color="auto" w:fill="auto"/>
            <w:vAlign w:val="center"/>
            <w:hideMark/>
          </w:tcPr>
          <w:p w14:paraId="57414FA6" w14:textId="77777777" w:rsidR="006C18C6" w:rsidRPr="008F1108" w:rsidRDefault="006C18C6" w:rsidP="006C18C6">
            <w:pPr>
              <w:rPr>
                <w:b/>
              </w:rPr>
            </w:pPr>
          </w:p>
        </w:tc>
        <w:tc>
          <w:tcPr>
            <w:tcW w:w="1158" w:type="pct"/>
            <w:tcBorders>
              <w:top w:val="nil"/>
              <w:left w:val="nil"/>
              <w:bottom w:val="single" w:sz="8" w:space="0" w:color="auto"/>
              <w:right w:val="nil"/>
            </w:tcBorders>
            <w:shd w:val="clear" w:color="auto" w:fill="auto"/>
            <w:vAlign w:val="center"/>
            <w:hideMark/>
          </w:tcPr>
          <w:p w14:paraId="7F9967D2" w14:textId="04714BC6" w:rsidR="006C18C6" w:rsidRPr="008F1108" w:rsidRDefault="006C18C6" w:rsidP="00F0432E">
            <w:pPr>
              <w:jc w:val="right"/>
              <w:rPr>
                <w:b/>
                <w:bCs/>
              </w:rPr>
            </w:pPr>
            <w:r w:rsidRPr="008F1108">
              <w:rPr>
                <w:b/>
                <w:bCs/>
              </w:rPr>
              <w:t>3</w:t>
            </w:r>
            <w:r w:rsidR="00F0432E" w:rsidRPr="008F1108">
              <w:rPr>
                <w:b/>
                <w:bCs/>
              </w:rPr>
              <w:t>1/12</w:t>
            </w:r>
            <w:r w:rsidRPr="008F1108">
              <w:rPr>
                <w:b/>
                <w:bCs/>
              </w:rPr>
              <w:t>/2025</w:t>
            </w:r>
          </w:p>
        </w:tc>
        <w:tc>
          <w:tcPr>
            <w:tcW w:w="154" w:type="pct"/>
            <w:tcBorders>
              <w:top w:val="nil"/>
              <w:left w:val="nil"/>
              <w:bottom w:val="nil"/>
              <w:right w:val="nil"/>
            </w:tcBorders>
            <w:shd w:val="clear" w:color="auto" w:fill="auto"/>
            <w:vAlign w:val="center"/>
            <w:hideMark/>
          </w:tcPr>
          <w:p w14:paraId="3B30DF4C" w14:textId="77777777" w:rsidR="006C18C6" w:rsidRPr="008F1108" w:rsidRDefault="006C18C6" w:rsidP="006C18C6">
            <w:pPr>
              <w:rPr>
                <w:b/>
              </w:rPr>
            </w:pPr>
          </w:p>
        </w:tc>
        <w:tc>
          <w:tcPr>
            <w:tcW w:w="1185" w:type="pct"/>
            <w:tcBorders>
              <w:top w:val="nil"/>
              <w:left w:val="nil"/>
              <w:bottom w:val="single" w:sz="8" w:space="0" w:color="auto"/>
              <w:right w:val="nil"/>
            </w:tcBorders>
          </w:tcPr>
          <w:p w14:paraId="1209A0B2" w14:textId="6D7EDD27" w:rsidR="006C18C6" w:rsidRPr="008F1108" w:rsidRDefault="006C18C6" w:rsidP="006C18C6">
            <w:pPr>
              <w:jc w:val="right"/>
              <w:rPr>
                <w:b/>
                <w:bCs/>
              </w:rPr>
            </w:pPr>
            <w:r w:rsidRPr="008F1108">
              <w:rPr>
                <w:b/>
              </w:rPr>
              <w:t>31/12/2024</w:t>
            </w:r>
          </w:p>
        </w:tc>
      </w:tr>
      <w:tr w:rsidR="00F6158E" w:rsidRPr="008F1108" w14:paraId="4B19F568" w14:textId="77777777" w:rsidTr="005E7B50">
        <w:tc>
          <w:tcPr>
            <w:tcW w:w="2503" w:type="pct"/>
            <w:tcBorders>
              <w:top w:val="nil"/>
              <w:left w:val="nil"/>
              <w:bottom w:val="nil"/>
              <w:right w:val="nil"/>
            </w:tcBorders>
            <w:shd w:val="clear" w:color="auto" w:fill="auto"/>
            <w:vAlign w:val="center"/>
            <w:hideMark/>
          </w:tcPr>
          <w:p w14:paraId="4E4AFB99" w14:textId="77777777" w:rsidR="006C18C6" w:rsidRPr="008F1108" w:rsidRDefault="006C18C6" w:rsidP="006C18C6">
            <w:r w:rsidRPr="008F1108">
              <w:t>Licença Especial</w:t>
            </w:r>
          </w:p>
        </w:tc>
        <w:tc>
          <w:tcPr>
            <w:tcW w:w="1158" w:type="pct"/>
            <w:tcBorders>
              <w:top w:val="nil"/>
              <w:left w:val="nil"/>
              <w:bottom w:val="nil"/>
              <w:right w:val="nil"/>
            </w:tcBorders>
            <w:shd w:val="clear" w:color="auto" w:fill="auto"/>
            <w:vAlign w:val="center"/>
            <w:hideMark/>
          </w:tcPr>
          <w:p w14:paraId="2DA2EE2E" w14:textId="77777777" w:rsidR="006C18C6" w:rsidRPr="008F1108" w:rsidRDefault="006C18C6" w:rsidP="006C18C6"/>
        </w:tc>
        <w:tc>
          <w:tcPr>
            <w:tcW w:w="154" w:type="pct"/>
            <w:tcBorders>
              <w:top w:val="nil"/>
              <w:left w:val="nil"/>
              <w:bottom w:val="nil"/>
              <w:right w:val="nil"/>
            </w:tcBorders>
            <w:shd w:val="clear" w:color="auto" w:fill="auto"/>
            <w:vAlign w:val="center"/>
            <w:hideMark/>
          </w:tcPr>
          <w:p w14:paraId="5E982D21" w14:textId="77777777" w:rsidR="006C18C6" w:rsidRPr="008F1108" w:rsidRDefault="006C18C6" w:rsidP="006C18C6"/>
        </w:tc>
        <w:tc>
          <w:tcPr>
            <w:tcW w:w="1185" w:type="pct"/>
            <w:tcBorders>
              <w:top w:val="nil"/>
              <w:left w:val="nil"/>
              <w:bottom w:val="nil"/>
              <w:right w:val="nil"/>
            </w:tcBorders>
          </w:tcPr>
          <w:p w14:paraId="76BEA631" w14:textId="77777777" w:rsidR="006C18C6" w:rsidRPr="008F1108" w:rsidRDefault="006C18C6" w:rsidP="006C18C6"/>
        </w:tc>
      </w:tr>
      <w:tr w:rsidR="00F0432E" w:rsidRPr="008F1108" w14:paraId="69142095" w14:textId="77777777" w:rsidTr="003109E4">
        <w:tc>
          <w:tcPr>
            <w:tcW w:w="2503" w:type="pct"/>
            <w:tcBorders>
              <w:top w:val="nil"/>
              <w:left w:val="nil"/>
              <w:bottom w:val="nil"/>
              <w:right w:val="nil"/>
            </w:tcBorders>
            <w:shd w:val="clear" w:color="auto" w:fill="auto"/>
            <w:vAlign w:val="center"/>
            <w:hideMark/>
          </w:tcPr>
          <w:p w14:paraId="3DE86648" w14:textId="77777777" w:rsidR="00F0432E" w:rsidRPr="008F1108" w:rsidRDefault="00F0432E" w:rsidP="00F0432E">
            <w:r w:rsidRPr="008F1108">
              <w:t xml:space="preserve">   Saldo Inicial</w:t>
            </w:r>
          </w:p>
        </w:tc>
        <w:tc>
          <w:tcPr>
            <w:tcW w:w="1158" w:type="pct"/>
            <w:tcBorders>
              <w:top w:val="nil"/>
              <w:left w:val="nil"/>
              <w:bottom w:val="nil"/>
              <w:right w:val="nil"/>
            </w:tcBorders>
            <w:shd w:val="clear" w:color="auto" w:fill="auto"/>
            <w:vAlign w:val="bottom"/>
          </w:tcPr>
          <w:p w14:paraId="17A8A749" w14:textId="17B66BBA" w:rsidR="00F0432E" w:rsidRPr="008F1108" w:rsidRDefault="00F0432E" w:rsidP="00F0432E">
            <w:pPr>
              <w:jc w:val="right"/>
            </w:pPr>
            <w:r w:rsidRPr="008F1108">
              <w:rPr>
                <w:szCs w:val="22"/>
              </w:rPr>
              <w:t xml:space="preserve">                  61.053 </w:t>
            </w:r>
          </w:p>
        </w:tc>
        <w:tc>
          <w:tcPr>
            <w:tcW w:w="154" w:type="pct"/>
            <w:tcBorders>
              <w:top w:val="nil"/>
              <w:left w:val="nil"/>
              <w:bottom w:val="nil"/>
              <w:right w:val="nil"/>
            </w:tcBorders>
            <w:shd w:val="clear" w:color="auto" w:fill="auto"/>
            <w:hideMark/>
          </w:tcPr>
          <w:p w14:paraId="3C2647CD" w14:textId="77777777" w:rsidR="00F0432E" w:rsidRPr="008F1108" w:rsidRDefault="00F0432E" w:rsidP="00F0432E"/>
        </w:tc>
        <w:tc>
          <w:tcPr>
            <w:tcW w:w="1185" w:type="pct"/>
            <w:tcBorders>
              <w:top w:val="nil"/>
              <w:left w:val="nil"/>
              <w:bottom w:val="nil"/>
              <w:right w:val="nil"/>
            </w:tcBorders>
          </w:tcPr>
          <w:p w14:paraId="4E1DF655" w14:textId="413851BA" w:rsidR="00F0432E" w:rsidRPr="008F1108" w:rsidRDefault="00F0432E" w:rsidP="00F0432E">
            <w:pPr>
              <w:jc w:val="right"/>
            </w:pPr>
            <w:r w:rsidRPr="008F1108">
              <w:t>58.698</w:t>
            </w:r>
          </w:p>
        </w:tc>
      </w:tr>
      <w:tr w:rsidR="00F0432E" w:rsidRPr="008F1108" w14:paraId="4C1A4086" w14:textId="77777777" w:rsidTr="003109E4">
        <w:tc>
          <w:tcPr>
            <w:tcW w:w="2503" w:type="pct"/>
            <w:tcBorders>
              <w:top w:val="nil"/>
              <w:left w:val="nil"/>
              <w:bottom w:val="nil"/>
              <w:right w:val="nil"/>
            </w:tcBorders>
            <w:shd w:val="clear" w:color="auto" w:fill="auto"/>
            <w:vAlign w:val="center"/>
            <w:hideMark/>
          </w:tcPr>
          <w:p w14:paraId="4432EB1D" w14:textId="77777777" w:rsidR="00F0432E" w:rsidRPr="008F1108" w:rsidRDefault="00F0432E" w:rsidP="00F0432E">
            <w:r w:rsidRPr="008F1108">
              <w:t xml:space="preserve">   Baixas</w:t>
            </w:r>
          </w:p>
        </w:tc>
        <w:tc>
          <w:tcPr>
            <w:tcW w:w="1158" w:type="pct"/>
            <w:tcBorders>
              <w:top w:val="nil"/>
              <w:left w:val="nil"/>
              <w:right w:val="nil"/>
            </w:tcBorders>
            <w:shd w:val="clear" w:color="auto" w:fill="auto"/>
            <w:vAlign w:val="bottom"/>
          </w:tcPr>
          <w:p w14:paraId="7072A275" w14:textId="35242E8C" w:rsidR="00F0432E" w:rsidRPr="008F1108" w:rsidRDefault="00F0432E" w:rsidP="00F0432E">
            <w:pPr>
              <w:jc w:val="right"/>
            </w:pPr>
            <w:r w:rsidRPr="008F1108">
              <w:rPr>
                <w:szCs w:val="22"/>
              </w:rPr>
              <w:t xml:space="preserve">                     </w:t>
            </w:r>
            <w:r w:rsidR="00032EAA" w:rsidRPr="008F1108">
              <w:rPr>
                <w:szCs w:val="22"/>
              </w:rPr>
              <w:t>(</w:t>
            </w:r>
            <w:r w:rsidRPr="008F1108">
              <w:rPr>
                <w:szCs w:val="22"/>
              </w:rPr>
              <w:t>559</w:t>
            </w:r>
            <w:r w:rsidR="00032EAA" w:rsidRPr="008F1108">
              <w:rPr>
                <w:szCs w:val="22"/>
              </w:rPr>
              <w:t>)</w:t>
            </w:r>
            <w:r w:rsidRPr="008F1108">
              <w:rPr>
                <w:szCs w:val="22"/>
              </w:rPr>
              <w:t xml:space="preserve"> </w:t>
            </w:r>
          </w:p>
        </w:tc>
        <w:tc>
          <w:tcPr>
            <w:tcW w:w="154" w:type="pct"/>
            <w:tcBorders>
              <w:top w:val="nil"/>
              <w:left w:val="nil"/>
              <w:bottom w:val="nil"/>
              <w:right w:val="nil"/>
            </w:tcBorders>
            <w:shd w:val="clear" w:color="auto" w:fill="auto"/>
            <w:hideMark/>
          </w:tcPr>
          <w:p w14:paraId="78CF440F" w14:textId="77777777" w:rsidR="00F0432E" w:rsidRPr="008F1108" w:rsidRDefault="00F0432E" w:rsidP="00F0432E"/>
        </w:tc>
        <w:tc>
          <w:tcPr>
            <w:tcW w:w="1185" w:type="pct"/>
            <w:tcBorders>
              <w:top w:val="nil"/>
              <w:left w:val="nil"/>
              <w:right w:val="nil"/>
            </w:tcBorders>
          </w:tcPr>
          <w:p w14:paraId="3E3AE440" w14:textId="39BEDA35" w:rsidR="00F0432E" w:rsidRPr="008F1108" w:rsidRDefault="00F0432E" w:rsidP="00F0432E">
            <w:pPr>
              <w:jc w:val="right"/>
            </w:pPr>
            <w:r w:rsidRPr="008F1108">
              <w:t xml:space="preserve">(2.320) </w:t>
            </w:r>
          </w:p>
        </w:tc>
      </w:tr>
      <w:tr w:rsidR="00F0432E" w:rsidRPr="007B60BF" w14:paraId="6C6D9EFE" w14:textId="77777777" w:rsidTr="003109E4">
        <w:tc>
          <w:tcPr>
            <w:tcW w:w="2503" w:type="pct"/>
            <w:tcBorders>
              <w:top w:val="nil"/>
              <w:left w:val="nil"/>
              <w:bottom w:val="nil"/>
              <w:right w:val="nil"/>
            </w:tcBorders>
            <w:shd w:val="clear" w:color="auto" w:fill="auto"/>
            <w:vAlign w:val="center"/>
            <w:hideMark/>
          </w:tcPr>
          <w:p w14:paraId="262A21DC" w14:textId="77777777" w:rsidR="00F0432E" w:rsidRPr="007B60BF" w:rsidRDefault="00F0432E" w:rsidP="00F0432E">
            <w:r w:rsidRPr="007B60BF">
              <w:t xml:space="preserve">   Apropriações</w:t>
            </w:r>
          </w:p>
        </w:tc>
        <w:tc>
          <w:tcPr>
            <w:tcW w:w="1158" w:type="pct"/>
            <w:tcBorders>
              <w:top w:val="nil"/>
              <w:left w:val="nil"/>
              <w:bottom w:val="single" w:sz="4" w:space="0" w:color="auto"/>
              <w:right w:val="nil"/>
            </w:tcBorders>
            <w:shd w:val="clear" w:color="auto" w:fill="auto"/>
            <w:vAlign w:val="bottom"/>
          </w:tcPr>
          <w:p w14:paraId="3961ABD8" w14:textId="3819C25F" w:rsidR="00F0432E" w:rsidRPr="007B60BF" w:rsidRDefault="00F0432E" w:rsidP="00F0432E">
            <w:pPr>
              <w:jc w:val="right"/>
            </w:pPr>
            <w:r w:rsidRPr="007B60BF">
              <w:rPr>
                <w:color w:val="000000"/>
                <w:szCs w:val="22"/>
              </w:rPr>
              <w:t xml:space="preserve">                  10.336 </w:t>
            </w:r>
          </w:p>
        </w:tc>
        <w:tc>
          <w:tcPr>
            <w:tcW w:w="154" w:type="pct"/>
            <w:tcBorders>
              <w:top w:val="nil"/>
              <w:left w:val="nil"/>
              <w:bottom w:val="nil"/>
              <w:right w:val="nil"/>
            </w:tcBorders>
            <w:shd w:val="clear" w:color="auto" w:fill="auto"/>
            <w:hideMark/>
          </w:tcPr>
          <w:p w14:paraId="730A5CC6" w14:textId="77777777" w:rsidR="00F0432E" w:rsidRPr="007B60BF" w:rsidRDefault="00F0432E" w:rsidP="00F0432E"/>
        </w:tc>
        <w:tc>
          <w:tcPr>
            <w:tcW w:w="1185" w:type="pct"/>
            <w:tcBorders>
              <w:top w:val="nil"/>
              <w:left w:val="nil"/>
              <w:bottom w:val="single" w:sz="4" w:space="0" w:color="auto"/>
              <w:right w:val="nil"/>
            </w:tcBorders>
          </w:tcPr>
          <w:p w14:paraId="365DF9C2" w14:textId="6CE16400" w:rsidR="00F0432E" w:rsidRPr="007B60BF" w:rsidRDefault="00F0432E" w:rsidP="00F0432E">
            <w:pPr>
              <w:jc w:val="right"/>
            </w:pPr>
            <w:r w:rsidRPr="007B60BF">
              <w:t xml:space="preserve"> 4.675 </w:t>
            </w:r>
          </w:p>
        </w:tc>
      </w:tr>
      <w:tr w:rsidR="00F0432E" w:rsidRPr="007B60BF" w14:paraId="03067D5E" w14:textId="77777777" w:rsidTr="003109E4">
        <w:tc>
          <w:tcPr>
            <w:tcW w:w="2503" w:type="pct"/>
            <w:tcBorders>
              <w:top w:val="nil"/>
              <w:left w:val="nil"/>
              <w:bottom w:val="nil"/>
              <w:right w:val="nil"/>
            </w:tcBorders>
            <w:shd w:val="clear" w:color="auto" w:fill="auto"/>
            <w:vAlign w:val="center"/>
            <w:hideMark/>
          </w:tcPr>
          <w:p w14:paraId="447966E4" w14:textId="77777777" w:rsidR="00F0432E" w:rsidRPr="007B60BF" w:rsidRDefault="00F0432E" w:rsidP="00F0432E">
            <w:pPr>
              <w:rPr>
                <w:b/>
                <w:bCs/>
              </w:rPr>
            </w:pPr>
            <w:r w:rsidRPr="007B60BF">
              <w:rPr>
                <w:b/>
                <w:bCs/>
              </w:rPr>
              <w:t xml:space="preserve">Total de Licença Especial </w:t>
            </w:r>
          </w:p>
        </w:tc>
        <w:tc>
          <w:tcPr>
            <w:tcW w:w="1158" w:type="pct"/>
            <w:tcBorders>
              <w:top w:val="single" w:sz="4" w:space="0" w:color="auto"/>
              <w:left w:val="nil"/>
              <w:bottom w:val="single" w:sz="8" w:space="0" w:color="auto"/>
              <w:right w:val="nil"/>
            </w:tcBorders>
            <w:shd w:val="clear" w:color="auto" w:fill="auto"/>
            <w:vAlign w:val="bottom"/>
          </w:tcPr>
          <w:p w14:paraId="006D12F9" w14:textId="44784319" w:rsidR="00F0432E" w:rsidRPr="007B60BF" w:rsidRDefault="00F0432E" w:rsidP="00F0432E">
            <w:pPr>
              <w:jc w:val="right"/>
              <w:rPr>
                <w:b/>
              </w:rPr>
            </w:pPr>
            <w:r w:rsidRPr="007B60BF">
              <w:rPr>
                <w:b/>
                <w:bCs/>
                <w:color w:val="000000"/>
                <w:szCs w:val="22"/>
              </w:rPr>
              <w:t xml:space="preserve">                  70.830 </w:t>
            </w:r>
          </w:p>
        </w:tc>
        <w:tc>
          <w:tcPr>
            <w:tcW w:w="154" w:type="pct"/>
            <w:tcBorders>
              <w:top w:val="nil"/>
              <w:left w:val="nil"/>
              <w:bottom w:val="nil"/>
              <w:right w:val="nil"/>
            </w:tcBorders>
            <w:shd w:val="clear" w:color="auto" w:fill="auto"/>
            <w:hideMark/>
          </w:tcPr>
          <w:p w14:paraId="737D7B46" w14:textId="77777777" w:rsidR="00F0432E" w:rsidRPr="007B60BF" w:rsidRDefault="00F0432E" w:rsidP="00F0432E">
            <w:pPr>
              <w:rPr>
                <w:b/>
              </w:rPr>
            </w:pPr>
          </w:p>
        </w:tc>
        <w:tc>
          <w:tcPr>
            <w:tcW w:w="1185" w:type="pct"/>
            <w:tcBorders>
              <w:top w:val="single" w:sz="4" w:space="0" w:color="auto"/>
              <w:left w:val="nil"/>
              <w:bottom w:val="single" w:sz="8" w:space="0" w:color="auto"/>
              <w:right w:val="nil"/>
            </w:tcBorders>
          </w:tcPr>
          <w:p w14:paraId="07195335" w14:textId="58073532" w:rsidR="00F0432E" w:rsidRPr="007B60BF" w:rsidRDefault="00F0432E" w:rsidP="00F0432E">
            <w:pPr>
              <w:jc w:val="right"/>
              <w:rPr>
                <w:b/>
                <w:bCs/>
              </w:rPr>
            </w:pPr>
            <w:r w:rsidRPr="007B60BF">
              <w:rPr>
                <w:b/>
              </w:rPr>
              <w:t>61.053</w:t>
            </w:r>
          </w:p>
        </w:tc>
      </w:tr>
      <w:tr w:rsidR="00210B48" w:rsidRPr="007B60BF" w14:paraId="784C399A" w14:textId="77777777" w:rsidTr="00FF4C8B">
        <w:tc>
          <w:tcPr>
            <w:tcW w:w="2503" w:type="pct"/>
            <w:tcBorders>
              <w:top w:val="nil"/>
              <w:left w:val="nil"/>
              <w:bottom w:val="nil"/>
              <w:right w:val="nil"/>
            </w:tcBorders>
            <w:shd w:val="clear" w:color="auto" w:fill="auto"/>
            <w:vAlign w:val="center"/>
          </w:tcPr>
          <w:p w14:paraId="674DBBDD" w14:textId="77777777" w:rsidR="00210B48" w:rsidRPr="007B60BF" w:rsidRDefault="00210B48" w:rsidP="00210B48">
            <w:pPr>
              <w:rPr>
                <w:sz w:val="16"/>
                <w:szCs w:val="16"/>
              </w:rPr>
            </w:pPr>
          </w:p>
        </w:tc>
        <w:tc>
          <w:tcPr>
            <w:tcW w:w="1158" w:type="pct"/>
            <w:tcBorders>
              <w:top w:val="nil"/>
              <w:left w:val="nil"/>
              <w:bottom w:val="nil"/>
              <w:right w:val="nil"/>
            </w:tcBorders>
            <w:shd w:val="clear" w:color="auto" w:fill="auto"/>
          </w:tcPr>
          <w:p w14:paraId="2C2CF6C9" w14:textId="77777777" w:rsidR="00210B48" w:rsidRPr="007B60BF" w:rsidRDefault="00210B48" w:rsidP="00210B48">
            <w:pPr>
              <w:jc w:val="right"/>
            </w:pPr>
          </w:p>
        </w:tc>
        <w:tc>
          <w:tcPr>
            <w:tcW w:w="154" w:type="pct"/>
            <w:tcBorders>
              <w:top w:val="nil"/>
              <w:left w:val="nil"/>
              <w:bottom w:val="nil"/>
              <w:right w:val="nil"/>
            </w:tcBorders>
            <w:shd w:val="clear" w:color="auto" w:fill="auto"/>
          </w:tcPr>
          <w:p w14:paraId="54044D44" w14:textId="77777777" w:rsidR="00210B48" w:rsidRPr="007B60BF" w:rsidRDefault="00210B48" w:rsidP="00210B48"/>
        </w:tc>
        <w:tc>
          <w:tcPr>
            <w:tcW w:w="1185" w:type="pct"/>
            <w:tcBorders>
              <w:top w:val="nil"/>
              <w:left w:val="nil"/>
              <w:bottom w:val="nil"/>
              <w:right w:val="nil"/>
            </w:tcBorders>
          </w:tcPr>
          <w:p w14:paraId="36F83646" w14:textId="77777777" w:rsidR="00210B48" w:rsidRPr="007B60BF" w:rsidRDefault="00210B48" w:rsidP="00210B48">
            <w:pPr>
              <w:rPr>
                <w:rFonts w:ascii="Helvetica" w:hAnsi="Helvetica" w:cs="Helvetica"/>
              </w:rPr>
            </w:pPr>
          </w:p>
        </w:tc>
      </w:tr>
      <w:tr w:rsidR="00210B48" w:rsidRPr="007B60BF" w14:paraId="1A1FFDC7" w14:textId="77777777" w:rsidTr="00FF4C8B">
        <w:tc>
          <w:tcPr>
            <w:tcW w:w="2503" w:type="pct"/>
            <w:tcBorders>
              <w:top w:val="nil"/>
              <w:left w:val="nil"/>
              <w:bottom w:val="nil"/>
              <w:right w:val="nil"/>
            </w:tcBorders>
            <w:shd w:val="clear" w:color="auto" w:fill="auto"/>
            <w:vAlign w:val="center"/>
            <w:hideMark/>
          </w:tcPr>
          <w:p w14:paraId="1092B258" w14:textId="77777777" w:rsidR="00210B48" w:rsidRPr="007B60BF" w:rsidRDefault="00210B48" w:rsidP="00210B48">
            <w:r w:rsidRPr="007B60BF">
              <w:t>Encargos Sobre Licença Especial</w:t>
            </w:r>
          </w:p>
        </w:tc>
        <w:tc>
          <w:tcPr>
            <w:tcW w:w="1158" w:type="pct"/>
            <w:tcBorders>
              <w:top w:val="nil"/>
              <w:left w:val="nil"/>
              <w:bottom w:val="nil"/>
              <w:right w:val="nil"/>
            </w:tcBorders>
            <w:shd w:val="clear" w:color="auto" w:fill="auto"/>
          </w:tcPr>
          <w:p w14:paraId="66D0813B" w14:textId="77777777" w:rsidR="00210B48" w:rsidRPr="007B60BF" w:rsidRDefault="00210B48" w:rsidP="00210B48">
            <w:pPr>
              <w:jc w:val="right"/>
            </w:pPr>
          </w:p>
        </w:tc>
        <w:tc>
          <w:tcPr>
            <w:tcW w:w="154" w:type="pct"/>
            <w:tcBorders>
              <w:top w:val="nil"/>
              <w:left w:val="nil"/>
              <w:bottom w:val="nil"/>
              <w:right w:val="nil"/>
            </w:tcBorders>
            <w:shd w:val="clear" w:color="auto" w:fill="auto"/>
            <w:hideMark/>
          </w:tcPr>
          <w:p w14:paraId="67FA952A" w14:textId="77777777" w:rsidR="00210B48" w:rsidRPr="007B60BF" w:rsidRDefault="00210B48" w:rsidP="00210B48"/>
        </w:tc>
        <w:tc>
          <w:tcPr>
            <w:tcW w:w="1185" w:type="pct"/>
            <w:tcBorders>
              <w:top w:val="nil"/>
              <w:left w:val="nil"/>
              <w:bottom w:val="nil"/>
              <w:right w:val="nil"/>
            </w:tcBorders>
          </w:tcPr>
          <w:p w14:paraId="1CFFA0F2" w14:textId="77777777" w:rsidR="00210B48" w:rsidRPr="007B60BF" w:rsidRDefault="00210B48" w:rsidP="00210B48">
            <w:pPr>
              <w:rPr>
                <w:rFonts w:ascii="Helvetica" w:hAnsi="Helvetica" w:cs="Helvetica"/>
              </w:rPr>
            </w:pPr>
          </w:p>
        </w:tc>
      </w:tr>
      <w:tr w:rsidR="00F0432E" w:rsidRPr="007B60BF" w14:paraId="06079814" w14:textId="77777777" w:rsidTr="003109E4">
        <w:tc>
          <w:tcPr>
            <w:tcW w:w="2503" w:type="pct"/>
            <w:tcBorders>
              <w:top w:val="nil"/>
              <w:left w:val="nil"/>
              <w:bottom w:val="nil"/>
              <w:right w:val="nil"/>
            </w:tcBorders>
            <w:shd w:val="clear" w:color="auto" w:fill="auto"/>
            <w:vAlign w:val="center"/>
            <w:hideMark/>
          </w:tcPr>
          <w:p w14:paraId="5857859F" w14:textId="77777777" w:rsidR="00F0432E" w:rsidRPr="007B60BF" w:rsidRDefault="00F0432E" w:rsidP="00F0432E">
            <w:r w:rsidRPr="007B60BF">
              <w:t xml:space="preserve">   Saldo Inicial</w:t>
            </w:r>
          </w:p>
        </w:tc>
        <w:tc>
          <w:tcPr>
            <w:tcW w:w="1158" w:type="pct"/>
            <w:tcBorders>
              <w:top w:val="nil"/>
              <w:left w:val="nil"/>
              <w:bottom w:val="nil"/>
              <w:right w:val="nil"/>
            </w:tcBorders>
            <w:shd w:val="clear" w:color="auto" w:fill="auto"/>
            <w:vAlign w:val="bottom"/>
          </w:tcPr>
          <w:p w14:paraId="30AE05CC" w14:textId="2D83D8EC" w:rsidR="00F0432E" w:rsidRPr="007B60BF" w:rsidRDefault="00F0432E" w:rsidP="00F0432E">
            <w:pPr>
              <w:jc w:val="right"/>
            </w:pPr>
            <w:r w:rsidRPr="007B60BF">
              <w:rPr>
                <w:color w:val="000000"/>
                <w:szCs w:val="22"/>
              </w:rPr>
              <w:t xml:space="preserve">                  22.800 </w:t>
            </w:r>
          </w:p>
        </w:tc>
        <w:tc>
          <w:tcPr>
            <w:tcW w:w="154" w:type="pct"/>
            <w:tcBorders>
              <w:top w:val="nil"/>
              <w:left w:val="nil"/>
              <w:bottom w:val="nil"/>
              <w:right w:val="nil"/>
            </w:tcBorders>
            <w:shd w:val="clear" w:color="auto" w:fill="auto"/>
            <w:hideMark/>
          </w:tcPr>
          <w:p w14:paraId="1F211F34" w14:textId="77777777" w:rsidR="00F0432E" w:rsidRPr="007B60BF" w:rsidRDefault="00F0432E" w:rsidP="00F0432E"/>
        </w:tc>
        <w:tc>
          <w:tcPr>
            <w:tcW w:w="1185" w:type="pct"/>
            <w:tcBorders>
              <w:top w:val="nil"/>
              <w:left w:val="nil"/>
              <w:bottom w:val="nil"/>
              <w:right w:val="nil"/>
            </w:tcBorders>
          </w:tcPr>
          <w:p w14:paraId="2257FB7B" w14:textId="755DFE16" w:rsidR="00F0432E" w:rsidRPr="007B60BF" w:rsidRDefault="00F0432E" w:rsidP="00F0432E">
            <w:pPr>
              <w:jc w:val="right"/>
            </w:pPr>
            <w:r w:rsidRPr="007B60BF">
              <w:t>21.924</w:t>
            </w:r>
          </w:p>
        </w:tc>
      </w:tr>
      <w:tr w:rsidR="00F0432E" w:rsidRPr="007B60BF" w14:paraId="0336EABB" w14:textId="77777777" w:rsidTr="003109E4">
        <w:tc>
          <w:tcPr>
            <w:tcW w:w="2503" w:type="pct"/>
            <w:tcBorders>
              <w:top w:val="nil"/>
              <w:left w:val="nil"/>
              <w:bottom w:val="nil"/>
              <w:right w:val="nil"/>
            </w:tcBorders>
            <w:shd w:val="clear" w:color="auto" w:fill="auto"/>
            <w:vAlign w:val="center"/>
            <w:hideMark/>
          </w:tcPr>
          <w:p w14:paraId="6C61E3D8" w14:textId="77777777" w:rsidR="00F0432E" w:rsidRPr="007B60BF" w:rsidRDefault="00F0432E" w:rsidP="00F0432E">
            <w:r w:rsidRPr="007B60BF">
              <w:t xml:space="preserve">   Baixas</w:t>
            </w:r>
          </w:p>
        </w:tc>
        <w:tc>
          <w:tcPr>
            <w:tcW w:w="1158" w:type="pct"/>
            <w:tcBorders>
              <w:top w:val="nil"/>
              <w:left w:val="nil"/>
              <w:bottom w:val="nil"/>
              <w:right w:val="nil"/>
            </w:tcBorders>
            <w:shd w:val="clear" w:color="auto" w:fill="auto"/>
            <w:vAlign w:val="bottom"/>
          </w:tcPr>
          <w:p w14:paraId="026ED899" w14:textId="77EE7D4A" w:rsidR="00F0432E" w:rsidRPr="007B60BF" w:rsidRDefault="00F0432E" w:rsidP="00F0432E">
            <w:pPr>
              <w:jc w:val="right"/>
            </w:pPr>
            <w:r w:rsidRPr="007B60BF">
              <w:rPr>
                <w:color w:val="000000"/>
                <w:szCs w:val="22"/>
              </w:rPr>
              <w:t xml:space="preserve">                     </w:t>
            </w:r>
            <w:r w:rsidR="00032EAA" w:rsidRPr="007B60BF">
              <w:rPr>
                <w:color w:val="000000"/>
                <w:szCs w:val="22"/>
              </w:rPr>
              <w:t>(</w:t>
            </w:r>
            <w:r w:rsidRPr="007B60BF">
              <w:rPr>
                <w:color w:val="000000"/>
                <w:szCs w:val="22"/>
              </w:rPr>
              <w:t>212</w:t>
            </w:r>
            <w:r w:rsidR="00032EAA" w:rsidRPr="007B60BF">
              <w:rPr>
                <w:color w:val="000000"/>
                <w:szCs w:val="22"/>
              </w:rPr>
              <w:t>)</w:t>
            </w:r>
            <w:r w:rsidRPr="007B60BF">
              <w:rPr>
                <w:color w:val="000000"/>
                <w:szCs w:val="22"/>
              </w:rPr>
              <w:t xml:space="preserve"> </w:t>
            </w:r>
          </w:p>
        </w:tc>
        <w:tc>
          <w:tcPr>
            <w:tcW w:w="154" w:type="pct"/>
            <w:tcBorders>
              <w:top w:val="nil"/>
              <w:left w:val="nil"/>
              <w:bottom w:val="nil"/>
              <w:right w:val="nil"/>
            </w:tcBorders>
            <w:shd w:val="clear" w:color="auto" w:fill="auto"/>
            <w:hideMark/>
          </w:tcPr>
          <w:p w14:paraId="71781442" w14:textId="77777777" w:rsidR="00F0432E" w:rsidRPr="007B60BF" w:rsidRDefault="00F0432E" w:rsidP="00F0432E"/>
        </w:tc>
        <w:tc>
          <w:tcPr>
            <w:tcW w:w="1185" w:type="pct"/>
            <w:tcBorders>
              <w:top w:val="nil"/>
              <w:left w:val="nil"/>
              <w:bottom w:val="nil"/>
              <w:right w:val="nil"/>
            </w:tcBorders>
          </w:tcPr>
          <w:p w14:paraId="45D417ED" w14:textId="6891BA39" w:rsidR="00F0432E" w:rsidRPr="007B60BF" w:rsidRDefault="00F0432E" w:rsidP="00F0432E">
            <w:pPr>
              <w:jc w:val="right"/>
            </w:pPr>
            <w:r w:rsidRPr="007B60BF">
              <w:t xml:space="preserve">(865) </w:t>
            </w:r>
          </w:p>
        </w:tc>
      </w:tr>
      <w:tr w:rsidR="00F0432E" w:rsidRPr="007B60BF" w14:paraId="3C941D2D" w14:textId="77777777" w:rsidTr="003109E4">
        <w:tc>
          <w:tcPr>
            <w:tcW w:w="2503" w:type="pct"/>
            <w:tcBorders>
              <w:top w:val="nil"/>
              <w:left w:val="nil"/>
              <w:bottom w:val="nil"/>
              <w:right w:val="nil"/>
            </w:tcBorders>
            <w:shd w:val="clear" w:color="auto" w:fill="auto"/>
            <w:vAlign w:val="center"/>
            <w:hideMark/>
          </w:tcPr>
          <w:p w14:paraId="6CD7BC15" w14:textId="77777777" w:rsidR="00F0432E" w:rsidRPr="007B60BF" w:rsidRDefault="00F0432E" w:rsidP="00F0432E">
            <w:r w:rsidRPr="007B60BF">
              <w:t xml:space="preserve">   Apropriações</w:t>
            </w:r>
          </w:p>
        </w:tc>
        <w:tc>
          <w:tcPr>
            <w:tcW w:w="1158" w:type="pct"/>
            <w:tcBorders>
              <w:top w:val="nil"/>
              <w:left w:val="nil"/>
              <w:bottom w:val="single" w:sz="8" w:space="0" w:color="auto"/>
              <w:right w:val="nil"/>
            </w:tcBorders>
            <w:shd w:val="clear" w:color="auto" w:fill="auto"/>
            <w:vAlign w:val="bottom"/>
          </w:tcPr>
          <w:p w14:paraId="2B575BA8" w14:textId="7DC5339B" w:rsidR="00F0432E" w:rsidRPr="007B60BF" w:rsidRDefault="00F0432E" w:rsidP="00F0432E">
            <w:pPr>
              <w:jc w:val="right"/>
            </w:pPr>
            <w:r w:rsidRPr="007B60BF">
              <w:rPr>
                <w:color w:val="000000"/>
                <w:szCs w:val="22"/>
              </w:rPr>
              <w:t xml:space="preserve">                    3.885 </w:t>
            </w:r>
          </w:p>
        </w:tc>
        <w:tc>
          <w:tcPr>
            <w:tcW w:w="154" w:type="pct"/>
            <w:tcBorders>
              <w:top w:val="nil"/>
              <w:left w:val="nil"/>
              <w:bottom w:val="nil"/>
              <w:right w:val="nil"/>
            </w:tcBorders>
            <w:shd w:val="clear" w:color="auto" w:fill="auto"/>
            <w:hideMark/>
          </w:tcPr>
          <w:p w14:paraId="51640755" w14:textId="77777777" w:rsidR="00F0432E" w:rsidRPr="007B60BF" w:rsidRDefault="00F0432E" w:rsidP="00F0432E"/>
        </w:tc>
        <w:tc>
          <w:tcPr>
            <w:tcW w:w="1185" w:type="pct"/>
            <w:tcBorders>
              <w:top w:val="nil"/>
              <w:left w:val="nil"/>
              <w:bottom w:val="single" w:sz="8" w:space="0" w:color="auto"/>
              <w:right w:val="nil"/>
            </w:tcBorders>
          </w:tcPr>
          <w:p w14:paraId="3CE90BA7" w14:textId="174535F9" w:rsidR="00F0432E" w:rsidRPr="007B60BF" w:rsidRDefault="00F0432E" w:rsidP="00F0432E">
            <w:pPr>
              <w:jc w:val="right"/>
            </w:pPr>
            <w:r w:rsidRPr="007B60BF">
              <w:t xml:space="preserve"> 1.741 </w:t>
            </w:r>
          </w:p>
        </w:tc>
      </w:tr>
      <w:tr w:rsidR="00F0432E" w:rsidRPr="007B60BF" w14:paraId="2E84BE9E" w14:textId="77777777" w:rsidTr="003109E4">
        <w:tc>
          <w:tcPr>
            <w:tcW w:w="2503" w:type="pct"/>
            <w:tcBorders>
              <w:top w:val="nil"/>
              <w:left w:val="nil"/>
              <w:bottom w:val="nil"/>
              <w:right w:val="nil"/>
            </w:tcBorders>
            <w:shd w:val="clear" w:color="auto" w:fill="auto"/>
            <w:vAlign w:val="center"/>
            <w:hideMark/>
          </w:tcPr>
          <w:p w14:paraId="1930199F" w14:textId="77777777" w:rsidR="00F0432E" w:rsidRPr="007B60BF" w:rsidRDefault="00F0432E" w:rsidP="00F0432E">
            <w:pPr>
              <w:rPr>
                <w:b/>
                <w:bCs/>
              </w:rPr>
            </w:pPr>
            <w:r w:rsidRPr="007B60BF">
              <w:rPr>
                <w:b/>
                <w:bCs/>
              </w:rPr>
              <w:t>Total de Encargos sobre Licença Especial</w:t>
            </w:r>
          </w:p>
        </w:tc>
        <w:tc>
          <w:tcPr>
            <w:tcW w:w="1158" w:type="pct"/>
            <w:tcBorders>
              <w:top w:val="nil"/>
              <w:left w:val="nil"/>
              <w:bottom w:val="single" w:sz="8" w:space="0" w:color="auto"/>
              <w:right w:val="nil"/>
            </w:tcBorders>
            <w:shd w:val="clear" w:color="auto" w:fill="auto"/>
            <w:vAlign w:val="bottom"/>
          </w:tcPr>
          <w:p w14:paraId="6553AD2B" w14:textId="3AB51819" w:rsidR="00F0432E" w:rsidRPr="007B60BF" w:rsidRDefault="00F0432E" w:rsidP="00F0432E">
            <w:pPr>
              <w:jc w:val="right"/>
              <w:rPr>
                <w:b/>
              </w:rPr>
            </w:pPr>
            <w:r w:rsidRPr="007B60BF">
              <w:rPr>
                <w:b/>
                <w:bCs/>
                <w:color w:val="000000"/>
                <w:szCs w:val="22"/>
              </w:rPr>
              <w:t xml:space="preserve">                  26.473 </w:t>
            </w:r>
          </w:p>
        </w:tc>
        <w:tc>
          <w:tcPr>
            <w:tcW w:w="154" w:type="pct"/>
            <w:tcBorders>
              <w:top w:val="nil"/>
              <w:left w:val="nil"/>
              <w:bottom w:val="nil"/>
              <w:right w:val="nil"/>
            </w:tcBorders>
            <w:shd w:val="clear" w:color="auto" w:fill="auto"/>
            <w:hideMark/>
          </w:tcPr>
          <w:p w14:paraId="5627449A" w14:textId="77777777" w:rsidR="00F0432E" w:rsidRPr="007B60BF" w:rsidRDefault="00F0432E" w:rsidP="00F0432E">
            <w:pPr>
              <w:rPr>
                <w:b/>
              </w:rPr>
            </w:pPr>
          </w:p>
        </w:tc>
        <w:tc>
          <w:tcPr>
            <w:tcW w:w="1185" w:type="pct"/>
            <w:tcBorders>
              <w:top w:val="nil"/>
              <w:left w:val="nil"/>
              <w:bottom w:val="single" w:sz="8" w:space="0" w:color="auto"/>
              <w:right w:val="nil"/>
            </w:tcBorders>
          </w:tcPr>
          <w:p w14:paraId="28A37949" w14:textId="50BE3C93" w:rsidR="00F0432E" w:rsidRPr="007B60BF" w:rsidRDefault="00F0432E" w:rsidP="00F0432E">
            <w:pPr>
              <w:jc w:val="right"/>
              <w:rPr>
                <w:b/>
                <w:bCs/>
              </w:rPr>
            </w:pPr>
            <w:r w:rsidRPr="007B60BF">
              <w:rPr>
                <w:b/>
              </w:rPr>
              <w:t>22.800</w:t>
            </w:r>
          </w:p>
        </w:tc>
      </w:tr>
      <w:tr w:rsidR="00F0432E" w:rsidRPr="00972BFE" w14:paraId="69AB5D3F" w14:textId="77777777" w:rsidTr="003109E4">
        <w:tc>
          <w:tcPr>
            <w:tcW w:w="2503" w:type="pct"/>
            <w:tcBorders>
              <w:top w:val="nil"/>
              <w:left w:val="nil"/>
              <w:bottom w:val="nil"/>
              <w:right w:val="nil"/>
            </w:tcBorders>
            <w:shd w:val="clear" w:color="auto" w:fill="auto"/>
            <w:vAlign w:val="center"/>
            <w:hideMark/>
          </w:tcPr>
          <w:p w14:paraId="359188E5" w14:textId="77777777" w:rsidR="00F0432E" w:rsidRPr="007B60BF" w:rsidRDefault="00F0432E" w:rsidP="00F0432E">
            <w:pPr>
              <w:rPr>
                <w:b/>
                <w:bCs/>
              </w:rPr>
            </w:pPr>
            <w:r w:rsidRPr="007B60BF">
              <w:rPr>
                <w:b/>
                <w:bCs/>
              </w:rPr>
              <w:t>Total de Licença Especial a Pagar</w:t>
            </w:r>
          </w:p>
        </w:tc>
        <w:tc>
          <w:tcPr>
            <w:tcW w:w="1158" w:type="pct"/>
            <w:tcBorders>
              <w:top w:val="nil"/>
              <w:left w:val="nil"/>
              <w:bottom w:val="double" w:sz="6" w:space="0" w:color="auto"/>
              <w:right w:val="nil"/>
            </w:tcBorders>
            <w:shd w:val="clear" w:color="auto" w:fill="auto"/>
            <w:vAlign w:val="bottom"/>
          </w:tcPr>
          <w:p w14:paraId="2B3D7656" w14:textId="1778F8E3" w:rsidR="00F0432E" w:rsidRPr="007B60BF" w:rsidRDefault="00F0432E" w:rsidP="00F0432E">
            <w:pPr>
              <w:jc w:val="right"/>
              <w:rPr>
                <w:b/>
              </w:rPr>
            </w:pPr>
            <w:r w:rsidRPr="007B60BF">
              <w:rPr>
                <w:b/>
                <w:bCs/>
                <w:color w:val="000000"/>
                <w:szCs w:val="22"/>
              </w:rPr>
              <w:t xml:space="preserve">                  97.303 </w:t>
            </w:r>
          </w:p>
        </w:tc>
        <w:tc>
          <w:tcPr>
            <w:tcW w:w="154" w:type="pct"/>
            <w:tcBorders>
              <w:top w:val="nil"/>
              <w:left w:val="nil"/>
              <w:bottom w:val="nil"/>
              <w:right w:val="nil"/>
            </w:tcBorders>
            <w:shd w:val="clear" w:color="auto" w:fill="auto"/>
            <w:hideMark/>
          </w:tcPr>
          <w:p w14:paraId="6FF17D1B" w14:textId="77777777" w:rsidR="00F0432E" w:rsidRPr="007B60BF" w:rsidRDefault="00F0432E" w:rsidP="00F0432E">
            <w:pPr>
              <w:rPr>
                <w:b/>
              </w:rPr>
            </w:pPr>
          </w:p>
        </w:tc>
        <w:tc>
          <w:tcPr>
            <w:tcW w:w="1185" w:type="pct"/>
            <w:tcBorders>
              <w:top w:val="nil"/>
              <w:left w:val="nil"/>
              <w:bottom w:val="double" w:sz="6" w:space="0" w:color="auto"/>
              <w:right w:val="nil"/>
            </w:tcBorders>
          </w:tcPr>
          <w:p w14:paraId="56C0E841" w14:textId="400792BD" w:rsidR="00F0432E" w:rsidRPr="00972BFE" w:rsidRDefault="00F0432E" w:rsidP="00F0432E">
            <w:pPr>
              <w:jc w:val="right"/>
              <w:rPr>
                <w:b/>
                <w:bCs/>
              </w:rPr>
            </w:pPr>
            <w:r w:rsidRPr="007B60BF">
              <w:rPr>
                <w:b/>
              </w:rPr>
              <w:t>83.853</w:t>
            </w:r>
          </w:p>
        </w:tc>
      </w:tr>
    </w:tbl>
    <w:p w14:paraId="1125FB1F" w14:textId="77777777" w:rsidR="00E34300" w:rsidRPr="008F1108" w:rsidRDefault="00E34300" w:rsidP="008F1108">
      <w:pPr>
        <w:pStyle w:val="Subttulo"/>
        <w:ind w:left="-709" w:firstLine="0"/>
      </w:pPr>
      <w:bookmarkStart w:id="52" w:name="_Ref466467744"/>
    </w:p>
    <w:p w14:paraId="69797D37" w14:textId="77777777" w:rsidR="00B37B93" w:rsidRPr="008F1108" w:rsidRDefault="00B37B93" w:rsidP="008F1108">
      <w:bookmarkStart w:id="53" w:name="_Toc1120452"/>
      <w:bookmarkStart w:id="54" w:name="_Toc31373366"/>
      <w:bookmarkStart w:id="55" w:name="_Toc65061178"/>
      <w:bookmarkEnd w:id="52"/>
    </w:p>
    <w:p w14:paraId="74C58370" w14:textId="0ABF4C66" w:rsidR="00B37B93" w:rsidRPr="00C41A5C" w:rsidRDefault="00B37B93" w:rsidP="00086B22">
      <w:pPr>
        <w:pStyle w:val="Ttulo1"/>
        <w:numPr>
          <w:ilvl w:val="0"/>
          <w:numId w:val="5"/>
        </w:numPr>
        <w:ind w:left="0" w:hanging="567"/>
        <w:jc w:val="left"/>
        <w:rPr>
          <w:color w:val="FF0000"/>
        </w:rPr>
      </w:pPr>
      <w:bookmarkStart w:id="56" w:name="_Toc159939233"/>
      <w:bookmarkStart w:id="57" w:name="_Toc192082750"/>
      <w:bookmarkStart w:id="58" w:name="_Toc223007864"/>
      <w:r w:rsidRPr="00C41A5C">
        <w:t>Obrigações com o Plano de Previdência Complementar</w:t>
      </w:r>
      <w:bookmarkEnd w:id="56"/>
      <w:bookmarkEnd w:id="57"/>
      <w:bookmarkEnd w:id="58"/>
      <w:r w:rsidR="00567DAE" w:rsidRPr="00C41A5C">
        <w:t xml:space="preserve"> </w:t>
      </w:r>
    </w:p>
    <w:p w14:paraId="5850656F" w14:textId="77777777" w:rsidR="00B37B93" w:rsidRPr="008F1108" w:rsidRDefault="00B37B93" w:rsidP="00B37B93">
      <w:pPr>
        <w:rPr>
          <w:highlight w:val="yellow"/>
        </w:rPr>
      </w:pPr>
    </w:p>
    <w:p w14:paraId="1F503602" w14:textId="77777777" w:rsidR="00B37B93" w:rsidRPr="00BE245C" w:rsidRDefault="00B37B93" w:rsidP="00B37B93">
      <w:pPr>
        <w:jc w:val="both"/>
      </w:pPr>
      <w:r w:rsidRPr="00BE245C">
        <w:t>O Plano de Benefícios HCPA PREV foi criado em 2009, é patrocinado pelo Hospital de Clínicas, administrado e executado pela BB Previdência – Fundo de Pensão Banco do Brasil, estruturado sob a modalidade de Contribuição Variável (CV), na forma definida pela Resolução MPS/CGPC nº 16, de 22 de novembro de 2005, observando ainda que os Benefícios Programados apresentam a conjugação das características das modalidades de Contribuição Definida (CD) e Benefício Definido (BD).</w:t>
      </w:r>
    </w:p>
    <w:p w14:paraId="6334A6AB" w14:textId="77777777" w:rsidR="00B37B93" w:rsidRPr="00BE245C" w:rsidRDefault="00B37B93" w:rsidP="00B37B93">
      <w:pPr>
        <w:jc w:val="both"/>
      </w:pPr>
    </w:p>
    <w:p w14:paraId="75EAD3F2" w14:textId="77777777" w:rsidR="00B37B93" w:rsidRPr="00B619A0" w:rsidRDefault="00B37B93" w:rsidP="00B37B93">
      <w:pPr>
        <w:jc w:val="both"/>
      </w:pPr>
      <w:r w:rsidRPr="00BE245C">
        <w:t xml:space="preserve">Assim, observamos características de CD durante a fase de acumulação dos Benefícios Programados, onde o valor desses benefícios a serem concedidos </w:t>
      </w:r>
      <w:r w:rsidRPr="00B619A0">
        <w:t>quando da implementação das condições previstas pelos dispositivos regulamentares é conhecido, a posteriori, a partir da transformação do saldo acumulado nos Fundos Individual e Patrocinado ao longo da vida laborativa, conforme opção do participante, em função do fator atuarial correspondente às características individuais dos participantes e o respectivo grupo familiar. Na modalidade BD está a parte de risco que, a partir da sua concessão, o pagamento é garantido vitaliciamente, independente da cobertura patrimonial existente nos saldos individuais.</w:t>
      </w:r>
    </w:p>
    <w:p w14:paraId="4CD1E559" w14:textId="77777777" w:rsidR="00B37B93" w:rsidRPr="00B619A0" w:rsidRDefault="00B37B93" w:rsidP="00B37B93">
      <w:pPr>
        <w:jc w:val="both"/>
        <w:rPr>
          <w:sz w:val="16"/>
          <w:szCs w:val="16"/>
        </w:rPr>
      </w:pPr>
    </w:p>
    <w:p w14:paraId="2B5859AE" w14:textId="1E015B21" w:rsidR="00B37B93" w:rsidRPr="00B619A0" w:rsidRDefault="00B37B93" w:rsidP="00B37B93">
      <w:pPr>
        <w:jc w:val="both"/>
      </w:pPr>
      <w:r w:rsidRPr="00B619A0">
        <w:t xml:space="preserve">Os mais recentes estudos atuariais do valor presente da obrigação de benefício definido foram realizados em 31 de </w:t>
      </w:r>
      <w:r w:rsidR="007A3FE9" w:rsidRPr="00B619A0">
        <w:t>dezembro</w:t>
      </w:r>
      <w:r w:rsidR="00FF7B5B" w:rsidRPr="00B619A0">
        <w:t xml:space="preserve"> de 2025</w:t>
      </w:r>
      <w:r w:rsidRPr="00B619A0">
        <w:t xml:space="preserve"> pela </w:t>
      </w:r>
      <w:r w:rsidR="00FF7B5B" w:rsidRPr="00B619A0">
        <w:t xml:space="preserve">Rumo </w:t>
      </w:r>
      <w:r w:rsidR="00BE245C" w:rsidRPr="00B619A0">
        <w:t>Atuarial</w:t>
      </w:r>
      <w:r w:rsidRPr="00B619A0">
        <w:t>, membro do Instituto Brasileiro de Atuários. O valor presente da obrigação de benefício definido, o custo do serviço corrente e custo do serviço passado foram medidos utilizando o método de crédito unitário projetado.</w:t>
      </w:r>
    </w:p>
    <w:p w14:paraId="77753396" w14:textId="77777777" w:rsidR="00B37B93" w:rsidRPr="00B619A0" w:rsidRDefault="00B37B93" w:rsidP="00B37B93">
      <w:pPr>
        <w:rPr>
          <w:sz w:val="16"/>
          <w:szCs w:val="16"/>
        </w:rPr>
      </w:pPr>
    </w:p>
    <w:tbl>
      <w:tblPr>
        <w:tblW w:w="4903" w:type="pct"/>
        <w:tblCellMar>
          <w:left w:w="70" w:type="dxa"/>
          <w:right w:w="70" w:type="dxa"/>
        </w:tblCellMar>
        <w:tblLook w:val="04A0" w:firstRow="1" w:lastRow="0" w:firstColumn="1" w:lastColumn="0" w:noHBand="0" w:noVBand="1"/>
      </w:tblPr>
      <w:tblGrid>
        <w:gridCol w:w="5202"/>
        <w:gridCol w:w="174"/>
        <w:gridCol w:w="564"/>
        <w:gridCol w:w="151"/>
        <w:gridCol w:w="690"/>
        <w:gridCol w:w="420"/>
        <w:gridCol w:w="765"/>
        <w:gridCol w:w="929"/>
      </w:tblGrid>
      <w:tr w:rsidR="00B37B93" w:rsidRPr="00B619A0" w14:paraId="43C681FC" w14:textId="77777777" w:rsidTr="00A917FF">
        <w:trPr>
          <w:gridAfter w:val="1"/>
          <w:wAfter w:w="522" w:type="pct"/>
          <w:trHeight w:val="20"/>
        </w:trPr>
        <w:tc>
          <w:tcPr>
            <w:tcW w:w="3339" w:type="pct"/>
            <w:gridSpan w:val="3"/>
            <w:vAlign w:val="center"/>
            <w:hideMark/>
          </w:tcPr>
          <w:p w14:paraId="6648F75A" w14:textId="77777777" w:rsidR="00B37B93" w:rsidRPr="00B619A0" w:rsidRDefault="00B37B93" w:rsidP="00A917FF">
            <w:pPr>
              <w:jc w:val="both"/>
              <w:rPr>
                <w:b/>
                <w:bCs/>
              </w:rPr>
            </w:pPr>
            <w:r w:rsidRPr="00B619A0">
              <w:rPr>
                <w:b/>
                <w:bCs/>
              </w:rPr>
              <w:t>Principais Premissas Utilizadas na Avaliação Atuarial</w:t>
            </w:r>
          </w:p>
        </w:tc>
        <w:tc>
          <w:tcPr>
            <w:tcW w:w="85" w:type="pct"/>
            <w:vAlign w:val="center"/>
            <w:hideMark/>
          </w:tcPr>
          <w:p w14:paraId="18462D43" w14:textId="77777777" w:rsidR="00B37B93" w:rsidRPr="00B619A0" w:rsidRDefault="00B37B93" w:rsidP="00A917FF">
            <w:pPr>
              <w:rPr>
                <w:b/>
                <w:bCs/>
              </w:rPr>
            </w:pPr>
          </w:p>
        </w:tc>
        <w:tc>
          <w:tcPr>
            <w:tcW w:w="1054" w:type="pct"/>
            <w:gridSpan w:val="3"/>
            <w:vAlign w:val="center"/>
            <w:hideMark/>
          </w:tcPr>
          <w:p w14:paraId="57431697" w14:textId="77777777" w:rsidR="00B37B93" w:rsidRPr="00B619A0" w:rsidRDefault="00B37B93" w:rsidP="00A917FF"/>
        </w:tc>
      </w:tr>
      <w:tr w:rsidR="00B37B93" w:rsidRPr="00B619A0" w14:paraId="2514C7C7" w14:textId="77777777" w:rsidTr="00A917FF">
        <w:trPr>
          <w:trHeight w:val="20"/>
        </w:trPr>
        <w:tc>
          <w:tcPr>
            <w:tcW w:w="3339" w:type="pct"/>
            <w:gridSpan w:val="3"/>
            <w:vAlign w:val="center"/>
            <w:hideMark/>
          </w:tcPr>
          <w:p w14:paraId="3175864D" w14:textId="77777777" w:rsidR="00B37B93" w:rsidRPr="00B619A0" w:rsidRDefault="00B37B93" w:rsidP="00A917FF">
            <w:pPr>
              <w:jc w:val="both"/>
            </w:pPr>
            <w:r w:rsidRPr="00B619A0">
              <w:t xml:space="preserve">   Expectativa de Inflação                                                    </w:t>
            </w:r>
          </w:p>
        </w:tc>
        <w:tc>
          <w:tcPr>
            <w:tcW w:w="85" w:type="pct"/>
            <w:vAlign w:val="center"/>
            <w:hideMark/>
          </w:tcPr>
          <w:p w14:paraId="04AE0514" w14:textId="77777777" w:rsidR="00B37B93" w:rsidRPr="00B619A0" w:rsidRDefault="00B37B93" w:rsidP="00A917FF"/>
        </w:tc>
        <w:tc>
          <w:tcPr>
            <w:tcW w:w="1576" w:type="pct"/>
            <w:gridSpan w:val="4"/>
            <w:vAlign w:val="center"/>
            <w:hideMark/>
          </w:tcPr>
          <w:p w14:paraId="23058039" w14:textId="4862C822" w:rsidR="00B37B93" w:rsidRPr="00B619A0" w:rsidRDefault="00BE245C" w:rsidP="00A917FF">
            <w:pPr>
              <w:ind w:left="-91"/>
              <w:jc w:val="right"/>
            </w:pPr>
            <w:r w:rsidRPr="00B619A0">
              <w:rPr>
                <w:lang w:val="en-GB"/>
              </w:rPr>
              <w:t>4,00</w:t>
            </w:r>
            <w:r w:rsidR="00B37B93" w:rsidRPr="00B619A0">
              <w:rPr>
                <w:lang w:val="en-GB"/>
              </w:rPr>
              <w:t>% a.a.</w:t>
            </w:r>
          </w:p>
        </w:tc>
      </w:tr>
      <w:tr w:rsidR="00BF0F35" w:rsidRPr="00B619A0" w14:paraId="54942B4D" w14:textId="77777777" w:rsidTr="00A917FF">
        <w:trPr>
          <w:trHeight w:val="20"/>
        </w:trPr>
        <w:tc>
          <w:tcPr>
            <w:tcW w:w="3339" w:type="pct"/>
            <w:gridSpan w:val="3"/>
            <w:vAlign w:val="center"/>
            <w:hideMark/>
          </w:tcPr>
          <w:p w14:paraId="2940D232" w14:textId="77777777" w:rsidR="00B37B93" w:rsidRPr="00B619A0" w:rsidRDefault="00B37B93" w:rsidP="00A917FF">
            <w:pPr>
              <w:jc w:val="both"/>
            </w:pPr>
            <w:r w:rsidRPr="00B619A0">
              <w:t xml:space="preserve">   Taxa de Rotatividade                                                      </w:t>
            </w:r>
          </w:p>
        </w:tc>
        <w:tc>
          <w:tcPr>
            <w:tcW w:w="85" w:type="pct"/>
            <w:vAlign w:val="center"/>
            <w:hideMark/>
          </w:tcPr>
          <w:p w14:paraId="36CC84C8" w14:textId="77777777" w:rsidR="00B37B93" w:rsidRPr="00B619A0" w:rsidRDefault="00B37B93" w:rsidP="00A917FF"/>
        </w:tc>
        <w:tc>
          <w:tcPr>
            <w:tcW w:w="1576" w:type="pct"/>
            <w:gridSpan w:val="4"/>
            <w:vAlign w:val="center"/>
            <w:hideMark/>
          </w:tcPr>
          <w:p w14:paraId="5F0EC478" w14:textId="77777777" w:rsidR="00B37B93" w:rsidRPr="00B619A0" w:rsidRDefault="00B37B93" w:rsidP="00A917FF">
            <w:pPr>
              <w:jc w:val="right"/>
            </w:pPr>
            <w:r w:rsidRPr="00B619A0">
              <w:t>3,71% a.a.</w:t>
            </w:r>
          </w:p>
        </w:tc>
      </w:tr>
      <w:tr w:rsidR="00B37B93" w:rsidRPr="00B619A0" w14:paraId="3E57EE1B" w14:textId="77777777" w:rsidTr="00A917FF">
        <w:trPr>
          <w:trHeight w:val="20"/>
        </w:trPr>
        <w:tc>
          <w:tcPr>
            <w:tcW w:w="3339" w:type="pct"/>
            <w:gridSpan w:val="3"/>
            <w:vAlign w:val="center"/>
            <w:hideMark/>
          </w:tcPr>
          <w:p w14:paraId="534DFE8A" w14:textId="77777777" w:rsidR="00B37B93" w:rsidRPr="00B619A0" w:rsidRDefault="00B37B93" w:rsidP="00A917FF">
            <w:pPr>
              <w:jc w:val="both"/>
            </w:pPr>
            <w:r w:rsidRPr="00B619A0">
              <w:t xml:space="preserve">   Projeção de Aumento Real Média dos Salários                </w:t>
            </w:r>
          </w:p>
        </w:tc>
        <w:tc>
          <w:tcPr>
            <w:tcW w:w="85" w:type="pct"/>
            <w:vAlign w:val="center"/>
            <w:hideMark/>
          </w:tcPr>
          <w:p w14:paraId="722ADE9A" w14:textId="77777777" w:rsidR="00B37B93" w:rsidRPr="00B619A0" w:rsidRDefault="00B37B93" w:rsidP="00A917FF">
            <w:pPr>
              <w:jc w:val="right"/>
            </w:pPr>
            <w:r w:rsidRPr="00B619A0">
              <w:t xml:space="preserve"> </w:t>
            </w:r>
          </w:p>
        </w:tc>
        <w:tc>
          <w:tcPr>
            <w:tcW w:w="1576" w:type="pct"/>
            <w:gridSpan w:val="4"/>
            <w:vAlign w:val="center"/>
            <w:hideMark/>
          </w:tcPr>
          <w:p w14:paraId="71AABE6A" w14:textId="7038596C" w:rsidR="00B37B93" w:rsidRPr="00B619A0" w:rsidRDefault="00BE245C" w:rsidP="00A917FF">
            <w:pPr>
              <w:jc w:val="right"/>
            </w:pPr>
            <w:r w:rsidRPr="00B619A0">
              <w:t>1,53</w:t>
            </w:r>
            <w:r w:rsidR="00B37B93" w:rsidRPr="00B619A0">
              <w:t xml:space="preserve">% a.a. </w:t>
            </w:r>
          </w:p>
        </w:tc>
      </w:tr>
      <w:tr w:rsidR="00BE245C" w:rsidRPr="00B619A0" w14:paraId="4703680E" w14:textId="77777777" w:rsidTr="00A917FF">
        <w:trPr>
          <w:trHeight w:val="20"/>
        </w:trPr>
        <w:tc>
          <w:tcPr>
            <w:tcW w:w="3339" w:type="pct"/>
            <w:gridSpan w:val="3"/>
            <w:vAlign w:val="center"/>
            <w:hideMark/>
          </w:tcPr>
          <w:p w14:paraId="4E56568D" w14:textId="77777777" w:rsidR="00B37B93" w:rsidRPr="00B619A0" w:rsidRDefault="00B37B93" w:rsidP="00A917FF">
            <w:pPr>
              <w:jc w:val="both"/>
            </w:pPr>
            <w:r w:rsidRPr="00B619A0">
              <w:t xml:space="preserve">   Tábua de Mortalidade/Sobrevivência de Ativos             </w:t>
            </w:r>
          </w:p>
        </w:tc>
        <w:tc>
          <w:tcPr>
            <w:tcW w:w="85" w:type="pct"/>
            <w:vAlign w:val="center"/>
            <w:hideMark/>
          </w:tcPr>
          <w:p w14:paraId="614349C5" w14:textId="77777777" w:rsidR="00B37B93" w:rsidRPr="00B619A0" w:rsidRDefault="00B37B93" w:rsidP="00A917FF"/>
        </w:tc>
        <w:tc>
          <w:tcPr>
            <w:tcW w:w="1576" w:type="pct"/>
            <w:gridSpan w:val="4"/>
            <w:vAlign w:val="center"/>
            <w:hideMark/>
          </w:tcPr>
          <w:p w14:paraId="6D71EFA4" w14:textId="4B504AC3" w:rsidR="00B37B93" w:rsidRPr="00B619A0" w:rsidRDefault="00B37B93" w:rsidP="00DA1420">
            <w:pPr>
              <w:jc w:val="right"/>
            </w:pPr>
            <w:r w:rsidRPr="00B619A0">
              <w:t>AT-2000 Masculino/Femini</w:t>
            </w:r>
            <w:r w:rsidR="00DA1420" w:rsidRPr="00B619A0">
              <w:t>n</w:t>
            </w:r>
            <w:r w:rsidRPr="00B619A0">
              <w:t xml:space="preserve">o </w:t>
            </w:r>
          </w:p>
        </w:tc>
      </w:tr>
      <w:tr w:rsidR="00BE245C" w:rsidRPr="00B619A0" w14:paraId="6623FD40" w14:textId="77777777" w:rsidTr="00A917FF">
        <w:trPr>
          <w:trHeight w:val="20"/>
        </w:trPr>
        <w:tc>
          <w:tcPr>
            <w:tcW w:w="3339" w:type="pct"/>
            <w:gridSpan w:val="3"/>
            <w:vAlign w:val="center"/>
            <w:hideMark/>
          </w:tcPr>
          <w:p w14:paraId="68BBB621" w14:textId="77777777" w:rsidR="00B37B93" w:rsidRPr="00B619A0" w:rsidRDefault="00B37B93" w:rsidP="00A917FF">
            <w:pPr>
              <w:jc w:val="both"/>
            </w:pPr>
            <w:r w:rsidRPr="00B619A0">
              <w:t xml:space="preserve">   Tábua de Mortalidade/Sobrevivência de Aposentados</w:t>
            </w:r>
          </w:p>
        </w:tc>
        <w:tc>
          <w:tcPr>
            <w:tcW w:w="85" w:type="pct"/>
            <w:vAlign w:val="center"/>
            <w:hideMark/>
          </w:tcPr>
          <w:p w14:paraId="0446F00D" w14:textId="77777777" w:rsidR="00B37B93" w:rsidRPr="00B619A0" w:rsidRDefault="00B37B93" w:rsidP="00A917FF"/>
        </w:tc>
        <w:tc>
          <w:tcPr>
            <w:tcW w:w="1576" w:type="pct"/>
            <w:gridSpan w:val="4"/>
            <w:vAlign w:val="center"/>
            <w:hideMark/>
          </w:tcPr>
          <w:p w14:paraId="3073D0F4" w14:textId="1AFAC546" w:rsidR="00B37B93" w:rsidRPr="00B619A0" w:rsidRDefault="00B37B93" w:rsidP="00DA1420">
            <w:pPr>
              <w:jc w:val="right"/>
            </w:pPr>
            <w:r w:rsidRPr="00B619A0">
              <w:t>AT-2000 Masculino/Femini</w:t>
            </w:r>
            <w:r w:rsidR="00DA1420" w:rsidRPr="00B619A0">
              <w:t>n</w:t>
            </w:r>
            <w:r w:rsidRPr="00B619A0">
              <w:t>o</w:t>
            </w:r>
          </w:p>
        </w:tc>
      </w:tr>
      <w:tr w:rsidR="00BE245C" w:rsidRPr="00B619A0" w14:paraId="079A6AC6" w14:textId="77777777" w:rsidTr="00A917FF">
        <w:trPr>
          <w:trHeight w:val="20"/>
        </w:trPr>
        <w:tc>
          <w:tcPr>
            <w:tcW w:w="3339" w:type="pct"/>
            <w:gridSpan w:val="3"/>
            <w:vAlign w:val="center"/>
            <w:hideMark/>
          </w:tcPr>
          <w:p w14:paraId="0DB76D93" w14:textId="77777777" w:rsidR="00B37B93" w:rsidRPr="00B619A0" w:rsidRDefault="00B37B93" w:rsidP="00A917FF">
            <w:pPr>
              <w:jc w:val="both"/>
            </w:pPr>
            <w:r w:rsidRPr="00B619A0">
              <w:t xml:space="preserve">   Tábua de Mortalidade/Sobrevivência de Inválidos          </w:t>
            </w:r>
          </w:p>
        </w:tc>
        <w:tc>
          <w:tcPr>
            <w:tcW w:w="85" w:type="pct"/>
            <w:vAlign w:val="center"/>
            <w:hideMark/>
          </w:tcPr>
          <w:p w14:paraId="50F35467" w14:textId="77777777" w:rsidR="00B37B93" w:rsidRPr="00B619A0" w:rsidRDefault="00B37B93" w:rsidP="00A917FF"/>
        </w:tc>
        <w:tc>
          <w:tcPr>
            <w:tcW w:w="1576" w:type="pct"/>
            <w:gridSpan w:val="4"/>
            <w:vAlign w:val="center"/>
            <w:hideMark/>
          </w:tcPr>
          <w:p w14:paraId="21F9CF82" w14:textId="77777777" w:rsidR="00B37B93" w:rsidRPr="00B619A0" w:rsidRDefault="00B37B93" w:rsidP="00A917FF">
            <w:pPr>
              <w:jc w:val="right"/>
            </w:pPr>
            <w:r w:rsidRPr="00B619A0">
              <w:t>EX-IAPC</w:t>
            </w:r>
          </w:p>
        </w:tc>
      </w:tr>
      <w:tr w:rsidR="00BE245C" w:rsidRPr="00B619A0" w14:paraId="05334A4E" w14:textId="77777777" w:rsidTr="00A917FF">
        <w:trPr>
          <w:trHeight w:val="20"/>
        </w:trPr>
        <w:tc>
          <w:tcPr>
            <w:tcW w:w="3339" w:type="pct"/>
            <w:gridSpan w:val="3"/>
            <w:vAlign w:val="center"/>
            <w:hideMark/>
          </w:tcPr>
          <w:p w14:paraId="49FED86A" w14:textId="77777777" w:rsidR="00B37B93" w:rsidRPr="00B619A0" w:rsidRDefault="00B37B93" w:rsidP="00A917FF">
            <w:pPr>
              <w:jc w:val="both"/>
            </w:pPr>
            <w:r w:rsidRPr="00B619A0">
              <w:t xml:space="preserve">   Tábua de Entrada em Invalidez                                    </w:t>
            </w:r>
          </w:p>
        </w:tc>
        <w:tc>
          <w:tcPr>
            <w:tcW w:w="85" w:type="pct"/>
            <w:vAlign w:val="center"/>
            <w:hideMark/>
          </w:tcPr>
          <w:p w14:paraId="50C133F9" w14:textId="77777777" w:rsidR="00B37B93" w:rsidRPr="00B619A0" w:rsidRDefault="00B37B93" w:rsidP="00A917FF"/>
        </w:tc>
        <w:tc>
          <w:tcPr>
            <w:tcW w:w="1576" w:type="pct"/>
            <w:gridSpan w:val="4"/>
            <w:vAlign w:val="center"/>
            <w:hideMark/>
          </w:tcPr>
          <w:p w14:paraId="1EF3ACA7" w14:textId="77777777" w:rsidR="00B37B93" w:rsidRPr="00B619A0" w:rsidRDefault="00B37B93" w:rsidP="00A917FF">
            <w:pPr>
              <w:jc w:val="right"/>
            </w:pPr>
            <w:r w:rsidRPr="00B619A0">
              <w:t>Grupo Americana</w:t>
            </w:r>
          </w:p>
        </w:tc>
      </w:tr>
      <w:tr w:rsidR="00B37B93" w:rsidRPr="00B619A0" w14:paraId="0F228F18" w14:textId="77777777" w:rsidTr="00A917FF">
        <w:trPr>
          <w:gridAfter w:val="1"/>
          <w:wAfter w:w="522" w:type="pct"/>
          <w:trHeight w:val="20"/>
        </w:trPr>
        <w:tc>
          <w:tcPr>
            <w:tcW w:w="2924" w:type="pct"/>
            <w:vAlign w:val="center"/>
          </w:tcPr>
          <w:p w14:paraId="1BB63854" w14:textId="77777777" w:rsidR="00B37B93" w:rsidRPr="00B619A0" w:rsidRDefault="00B37B93" w:rsidP="00A917FF">
            <w:pPr>
              <w:rPr>
                <w:b/>
                <w:bCs/>
              </w:rPr>
            </w:pPr>
          </w:p>
        </w:tc>
        <w:tc>
          <w:tcPr>
            <w:tcW w:w="415" w:type="pct"/>
            <w:gridSpan w:val="2"/>
            <w:vAlign w:val="center"/>
          </w:tcPr>
          <w:p w14:paraId="389BA584" w14:textId="77777777" w:rsidR="00B37B93" w:rsidRPr="00B619A0" w:rsidRDefault="00B37B93" w:rsidP="00A917FF">
            <w:pPr>
              <w:jc w:val="right"/>
              <w:rPr>
                <w:b/>
                <w:bCs/>
              </w:rPr>
            </w:pPr>
          </w:p>
        </w:tc>
        <w:tc>
          <w:tcPr>
            <w:tcW w:w="85" w:type="pct"/>
            <w:vAlign w:val="center"/>
          </w:tcPr>
          <w:p w14:paraId="462978DE" w14:textId="77777777" w:rsidR="00B37B93" w:rsidRPr="00B619A0" w:rsidRDefault="00B37B93" w:rsidP="00A917FF">
            <w:pPr>
              <w:jc w:val="right"/>
              <w:rPr>
                <w:b/>
                <w:bCs/>
              </w:rPr>
            </w:pPr>
          </w:p>
        </w:tc>
        <w:tc>
          <w:tcPr>
            <w:tcW w:w="1054" w:type="pct"/>
            <w:gridSpan w:val="3"/>
            <w:vAlign w:val="center"/>
          </w:tcPr>
          <w:p w14:paraId="400EB42A" w14:textId="77777777" w:rsidR="00B37B93" w:rsidRPr="00B619A0" w:rsidRDefault="00B37B93" w:rsidP="00A917FF">
            <w:pPr>
              <w:jc w:val="right"/>
              <w:rPr>
                <w:b/>
                <w:bCs/>
              </w:rPr>
            </w:pPr>
          </w:p>
        </w:tc>
      </w:tr>
      <w:tr w:rsidR="00BE245C" w:rsidRPr="00B619A0" w14:paraId="64F625AA" w14:textId="77777777" w:rsidTr="00A917FF">
        <w:trPr>
          <w:trHeight w:val="20"/>
        </w:trPr>
        <w:tc>
          <w:tcPr>
            <w:tcW w:w="3022" w:type="pct"/>
            <w:gridSpan w:val="2"/>
            <w:vAlign w:val="center"/>
            <w:hideMark/>
          </w:tcPr>
          <w:p w14:paraId="3BD84B69" w14:textId="77777777" w:rsidR="00DF6F1A" w:rsidRPr="00B619A0" w:rsidRDefault="00DF6F1A" w:rsidP="00DF6F1A">
            <w:pPr>
              <w:rPr>
                <w:b/>
                <w:bCs/>
              </w:rPr>
            </w:pPr>
            <w:r w:rsidRPr="00B619A0">
              <w:rPr>
                <w:b/>
                <w:bCs/>
              </w:rPr>
              <w:t xml:space="preserve">Status do Fundo e Passivo/Ativo                                    </w:t>
            </w:r>
          </w:p>
        </w:tc>
        <w:tc>
          <w:tcPr>
            <w:tcW w:w="790" w:type="pct"/>
            <w:gridSpan w:val="3"/>
            <w:tcBorders>
              <w:top w:val="nil"/>
              <w:left w:val="nil"/>
              <w:bottom w:val="single" w:sz="8" w:space="0" w:color="auto"/>
              <w:right w:val="nil"/>
            </w:tcBorders>
            <w:vAlign w:val="center"/>
            <w:hideMark/>
          </w:tcPr>
          <w:p w14:paraId="73D1BDC1" w14:textId="4D3194F8" w:rsidR="00DF6F1A" w:rsidRPr="00B619A0" w:rsidRDefault="00DF6F1A" w:rsidP="007A3FE9">
            <w:pPr>
              <w:jc w:val="right"/>
              <w:rPr>
                <w:b/>
                <w:bCs/>
              </w:rPr>
            </w:pPr>
            <w:r w:rsidRPr="00B619A0">
              <w:rPr>
                <w:b/>
                <w:bCs/>
              </w:rPr>
              <w:t>31/</w:t>
            </w:r>
            <w:r w:rsidR="007A3FE9" w:rsidRPr="00B619A0">
              <w:rPr>
                <w:b/>
                <w:bCs/>
              </w:rPr>
              <w:t>12</w:t>
            </w:r>
            <w:r w:rsidRPr="00B619A0">
              <w:rPr>
                <w:b/>
                <w:bCs/>
              </w:rPr>
              <w:t>/202</w:t>
            </w:r>
            <w:r w:rsidR="00357072" w:rsidRPr="00B619A0">
              <w:rPr>
                <w:b/>
                <w:bCs/>
              </w:rPr>
              <w:t>5</w:t>
            </w:r>
          </w:p>
        </w:tc>
        <w:tc>
          <w:tcPr>
            <w:tcW w:w="236" w:type="pct"/>
            <w:vAlign w:val="center"/>
            <w:hideMark/>
          </w:tcPr>
          <w:p w14:paraId="5069814F" w14:textId="77777777" w:rsidR="00DF6F1A" w:rsidRPr="00B619A0" w:rsidRDefault="00DF6F1A" w:rsidP="00DF6F1A">
            <w:pPr>
              <w:rPr>
                <w:b/>
                <w:bCs/>
              </w:rPr>
            </w:pPr>
          </w:p>
        </w:tc>
        <w:tc>
          <w:tcPr>
            <w:tcW w:w="952" w:type="pct"/>
            <w:gridSpan w:val="2"/>
            <w:tcBorders>
              <w:top w:val="nil"/>
              <w:left w:val="nil"/>
              <w:bottom w:val="single" w:sz="8" w:space="0" w:color="auto"/>
              <w:right w:val="nil"/>
            </w:tcBorders>
            <w:hideMark/>
          </w:tcPr>
          <w:p w14:paraId="7A9298A0" w14:textId="4156CB33" w:rsidR="00DF6F1A" w:rsidRPr="00B619A0" w:rsidRDefault="00DF6F1A" w:rsidP="00DF6F1A">
            <w:pPr>
              <w:jc w:val="right"/>
              <w:rPr>
                <w:b/>
                <w:bCs/>
              </w:rPr>
            </w:pPr>
            <w:r w:rsidRPr="00B619A0">
              <w:rPr>
                <w:b/>
              </w:rPr>
              <w:t>31/12/2024</w:t>
            </w:r>
          </w:p>
        </w:tc>
      </w:tr>
      <w:tr w:rsidR="00BE245C" w:rsidRPr="00B619A0" w14:paraId="6D15C051" w14:textId="77777777" w:rsidTr="00A917FF">
        <w:trPr>
          <w:trHeight w:val="20"/>
        </w:trPr>
        <w:tc>
          <w:tcPr>
            <w:tcW w:w="3022" w:type="pct"/>
            <w:gridSpan w:val="2"/>
            <w:vAlign w:val="center"/>
            <w:hideMark/>
          </w:tcPr>
          <w:p w14:paraId="520FC831" w14:textId="77777777" w:rsidR="00DF6F1A" w:rsidRPr="00B619A0" w:rsidRDefault="00DF6F1A" w:rsidP="00DF6F1A">
            <w:pPr>
              <w:jc w:val="both"/>
            </w:pPr>
            <w:r w:rsidRPr="00B619A0">
              <w:t xml:space="preserve">   Valor presente da Obrigação Atuarial Líquida               </w:t>
            </w:r>
          </w:p>
        </w:tc>
        <w:tc>
          <w:tcPr>
            <w:tcW w:w="790" w:type="pct"/>
            <w:gridSpan w:val="3"/>
            <w:vAlign w:val="center"/>
          </w:tcPr>
          <w:p w14:paraId="427FED0C" w14:textId="0EAAB1FB" w:rsidR="00DF6F1A" w:rsidRPr="00B619A0" w:rsidRDefault="00BE245C" w:rsidP="00DF6F1A">
            <w:pPr>
              <w:jc w:val="right"/>
            </w:pPr>
            <w:r w:rsidRPr="00B619A0">
              <w:t>(179.725)</w:t>
            </w:r>
          </w:p>
        </w:tc>
        <w:tc>
          <w:tcPr>
            <w:tcW w:w="236" w:type="pct"/>
            <w:vAlign w:val="center"/>
            <w:hideMark/>
          </w:tcPr>
          <w:p w14:paraId="40B5B8C1" w14:textId="77777777" w:rsidR="00DF6F1A" w:rsidRPr="00B619A0" w:rsidRDefault="00DF6F1A" w:rsidP="00DF6F1A"/>
        </w:tc>
        <w:tc>
          <w:tcPr>
            <w:tcW w:w="952" w:type="pct"/>
            <w:gridSpan w:val="2"/>
            <w:hideMark/>
          </w:tcPr>
          <w:p w14:paraId="167DA453" w14:textId="52CF1613" w:rsidR="00DF6F1A" w:rsidRPr="00B619A0" w:rsidRDefault="00DF6F1A" w:rsidP="00DF6F1A">
            <w:pPr>
              <w:jc w:val="right"/>
            </w:pPr>
            <w:r w:rsidRPr="00B619A0">
              <w:t>(164.377)</w:t>
            </w:r>
          </w:p>
        </w:tc>
      </w:tr>
      <w:tr w:rsidR="00BE245C" w:rsidRPr="00B619A0" w14:paraId="40F48C80" w14:textId="77777777" w:rsidTr="00A917FF">
        <w:trPr>
          <w:trHeight w:val="20"/>
        </w:trPr>
        <w:tc>
          <w:tcPr>
            <w:tcW w:w="3022" w:type="pct"/>
            <w:gridSpan w:val="2"/>
            <w:vAlign w:val="center"/>
            <w:hideMark/>
          </w:tcPr>
          <w:p w14:paraId="767FDE28" w14:textId="77777777" w:rsidR="00DF6F1A" w:rsidRPr="00B619A0" w:rsidRDefault="00DF6F1A" w:rsidP="00DF6F1A">
            <w:pPr>
              <w:jc w:val="both"/>
            </w:pPr>
            <w:r w:rsidRPr="00B619A0">
              <w:t xml:space="preserve">   Valor Justo dos Ativos do plano no Final do Período</w:t>
            </w:r>
          </w:p>
        </w:tc>
        <w:tc>
          <w:tcPr>
            <w:tcW w:w="790" w:type="pct"/>
            <w:gridSpan w:val="3"/>
            <w:tcBorders>
              <w:top w:val="nil"/>
              <w:left w:val="nil"/>
              <w:bottom w:val="single" w:sz="8" w:space="0" w:color="auto"/>
              <w:right w:val="nil"/>
            </w:tcBorders>
            <w:vAlign w:val="center"/>
          </w:tcPr>
          <w:p w14:paraId="227A92C1" w14:textId="013E9355" w:rsidR="00DF6F1A" w:rsidRPr="00B619A0" w:rsidRDefault="00BE245C" w:rsidP="007A3FE9">
            <w:pPr>
              <w:jc w:val="right"/>
            </w:pPr>
            <w:r w:rsidRPr="00B619A0">
              <w:t>2</w:t>
            </w:r>
            <w:r w:rsidR="007A3FE9" w:rsidRPr="00B619A0">
              <w:t>7</w:t>
            </w:r>
            <w:r w:rsidRPr="00B619A0">
              <w:t>2.</w:t>
            </w:r>
            <w:r w:rsidR="007A3FE9" w:rsidRPr="00B619A0">
              <w:t>437</w:t>
            </w:r>
          </w:p>
        </w:tc>
        <w:tc>
          <w:tcPr>
            <w:tcW w:w="236" w:type="pct"/>
            <w:vAlign w:val="center"/>
            <w:hideMark/>
          </w:tcPr>
          <w:p w14:paraId="535CB115" w14:textId="77777777" w:rsidR="00DF6F1A" w:rsidRPr="00B619A0" w:rsidRDefault="00DF6F1A" w:rsidP="00DF6F1A"/>
        </w:tc>
        <w:tc>
          <w:tcPr>
            <w:tcW w:w="952" w:type="pct"/>
            <w:gridSpan w:val="2"/>
            <w:tcBorders>
              <w:top w:val="nil"/>
              <w:left w:val="nil"/>
              <w:bottom w:val="single" w:sz="8" w:space="0" w:color="auto"/>
              <w:right w:val="nil"/>
            </w:tcBorders>
            <w:hideMark/>
          </w:tcPr>
          <w:p w14:paraId="26024A99" w14:textId="19B43171" w:rsidR="00DF6F1A" w:rsidRPr="00B619A0" w:rsidRDefault="00DF6F1A" w:rsidP="00DF6F1A">
            <w:pPr>
              <w:jc w:val="right"/>
            </w:pPr>
            <w:r w:rsidRPr="00B619A0">
              <w:t>232.325</w:t>
            </w:r>
          </w:p>
        </w:tc>
      </w:tr>
      <w:tr w:rsidR="00BE245C" w:rsidRPr="00B619A0" w14:paraId="1738785E" w14:textId="77777777" w:rsidTr="00A917FF">
        <w:trPr>
          <w:trHeight w:val="20"/>
        </w:trPr>
        <w:tc>
          <w:tcPr>
            <w:tcW w:w="3022" w:type="pct"/>
            <w:gridSpan w:val="2"/>
            <w:vAlign w:val="center"/>
            <w:hideMark/>
          </w:tcPr>
          <w:p w14:paraId="00BED7D5" w14:textId="77777777" w:rsidR="00DF6F1A" w:rsidRPr="00B619A0" w:rsidRDefault="00DF6F1A" w:rsidP="00DF6F1A">
            <w:pPr>
              <w:jc w:val="both"/>
              <w:rPr>
                <w:b/>
              </w:rPr>
            </w:pPr>
            <w:r w:rsidRPr="00B619A0">
              <w:rPr>
                <w:b/>
              </w:rPr>
              <w:t xml:space="preserve">   Status do Plano de Benefícios/Superávit                        </w:t>
            </w:r>
          </w:p>
        </w:tc>
        <w:tc>
          <w:tcPr>
            <w:tcW w:w="790" w:type="pct"/>
            <w:gridSpan w:val="3"/>
            <w:tcBorders>
              <w:top w:val="single" w:sz="8" w:space="0" w:color="auto"/>
              <w:left w:val="nil"/>
              <w:bottom w:val="single" w:sz="4" w:space="0" w:color="auto"/>
              <w:right w:val="nil"/>
            </w:tcBorders>
            <w:vAlign w:val="center"/>
          </w:tcPr>
          <w:p w14:paraId="346AA4E0" w14:textId="33F7B0C9" w:rsidR="00DF6F1A" w:rsidRPr="00B619A0" w:rsidRDefault="007A3FE9" w:rsidP="007A3FE9">
            <w:pPr>
              <w:jc w:val="right"/>
              <w:rPr>
                <w:b/>
              </w:rPr>
            </w:pPr>
            <w:r w:rsidRPr="00B619A0">
              <w:rPr>
                <w:b/>
              </w:rPr>
              <w:t>92.712</w:t>
            </w:r>
          </w:p>
        </w:tc>
        <w:tc>
          <w:tcPr>
            <w:tcW w:w="236" w:type="pct"/>
            <w:vAlign w:val="center"/>
            <w:hideMark/>
          </w:tcPr>
          <w:p w14:paraId="7A43FC71" w14:textId="77777777" w:rsidR="00DF6F1A" w:rsidRPr="00B619A0" w:rsidRDefault="00DF6F1A" w:rsidP="00DF6F1A">
            <w:pPr>
              <w:rPr>
                <w:b/>
              </w:rPr>
            </w:pPr>
          </w:p>
        </w:tc>
        <w:tc>
          <w:tcPr>
            <w:tcW w:w="952" w:type="pct"/>
            <w:gridSpan w:val="2"/>
            <w:tcBorders>
              <w:top w:val="nil"/>
              <w:left w:val="nil"/>
              <w:bottom w:val="double" w:sz="6" w:space="0" w:color="auto"/>
              <w:right w:val="nil"/>
            </w:tcBorders>
            <w:hideMark/>
          </w:tcPr>
          <w:p w14:paraId="1D3862F1" w14:textId="24BFEFDE" w:rsidR="00DF6F1A" w:rsidRPr="00B619A0" w:rsidRDefault="00DF6F1A" w:rsidP="00DF6F1A">
            <w:pPr>
              <w:jc w:val="right"/>
              <w:rPr>
                <w:b/>
              </w:rPr>
            </w:pPr>
            <w:r w:rsidRPr="00B619A0">
              <w:rPr>
                <w:b/>
              </w:rPr>
              <w:t>67.948</w:t>
            </w:r>
          </w:p>
        </w:tc>
      </w:tr>
    </w:tbl>
    <w:p w14:paraId="6C6E6631" w14:textId="77777777" w:rsidR="00B37B93" w:rsidRPr="00B619A0" w:rsidRDefault="00B37B93" w:rsidP="00B37B93">
      <w:pPr>
        <w:jc w:val="both"/>
        <w:rPr>
          <w:sz w:val="16"/>
          <w:szCs w:val="16"/>
        </w:rPr>
      </w:pPr>
    </w:p>
    <w:p w14:paraId="625360E8" w14:textId="5ECCACD6" w:rsidR="00B37B93" w:rsidRPr="008F1108" w:rsidRDefault="00B37B93" w:rsidP="00B37B93">
      <w:pPr>
        <w:jc w:val="both"/>
      </w:pPr>
      <w:r w:rsidRPr="00B619A0">
        <w:t xml:space="preserve">Considerando a posição de </w:t>
      </w:r>
      <w:r w:rsidR="00357072" w:rsidRPr="00B619A0">
        <w:t xml:space="preserve">31 de </w:t>
      </w:r>
      <w:r w:rsidR="007A3FE9" w:rsidRPr="00B619A0">
        <w:t>dezembro</w:t>
      </w:r>
      <w:r w:rsidR="00357072" w:rsidRPr="00B619A0">
        <w:t xml:space="preserve"> de 2025</w:t>
      </w:r>
      <w:r w:rsidRPr="00B619A0">
        <w:t>, o Plano HCPA Previdência apresentou resultado superavitário.</w:t>
      </w:r>
    </w:p>
    <w:p w14:paraId="33B98EE8" w14:textId="525E25FE" w:rsidR="00B37B93" w:rsidRPr="008F1108" w:rsidRDefault="00B37B93" w:rsidP="00B37B93">
      <w:pPr>
        <w:jc w:val="both"/>
        <w:rPr>
          <w:sz w:val="16"/>
          <w:szCs w:val="16"/>
        </w:rPr>
      </w:pPr>
    </w:p>
    <w:p w14:paraId="0BD442B8" w14:textId="77777777" w:rsidR="00074139" w:rsidRDefault="00074139">
      <w:pPr>
        <w:rPr>
          <w:sz w:val="16"/>
          <w:szCs w:val="16"/>
        </w:rPr>
      </w:pPr>
      <w:bookmarkStart w:id="59" w:name="_Toc223007865"/>
      <w:r>
        <w:rPr>
          <w:b/>
          <w:sz w:val="16"/>
          <w:szCs w:val="16"/>
        </w:rPr>
        <w:br w:type="page"/>
      </w:r>
    </w:p>
    <w:p w14:paraId="40B9EC0A" w14:textId="4AD5EC3A" w:rsidR="00D46228" w:rsidRPr="007B60BF" w:rsidRDefault="00257494" w:rsidP="00086B22">
      <w:pPr>
        <w:pStyle w:val="Ttulo1"/>
        <w:numPr>
          <w:ilvl w:val="0"/>
          <w:numId w:val="5"/>
        </w:numPr>
        <w:ind w:left="0" w:hanging="567"/>
        <w:jc w:val="left"/>
      </w:pPr>
      <w:r w:rsidRPr="007B60BF">
        <w:lastRenderedPageBreak/>
        <w:t>Patrimônio Líquido</w:t>
      </w:r>
      <w:bookmarkEnd w:id="59"/>
    </w:p>
    <w:p w14:paraId="35B58007" w14:textId="3F494BE8" w:rsidR="00FA21A0" w:rsidRPr="007B60BF" w:rsidRDefault="00FA21A0" w:rsidP="005A646C">
      <w:pPr>
        <w:pStyle w:val="Textodecomentrio"/>
        <w:jc w:val="both"/>
      </w:pPr>
    </w:p>
    <w:p w14:paraId="7498BFA6" w14:textId="21CE298E" w:rsidR="007E73CE" w:rsidRDefault="007E73CE" w:rsidP="007E73CE">
      <w:pPr>
        <w:jc w:val="both"/>
      </w:pPr>
      <w:r w:rsidRPr="007B60BF">
        <w:t>A partir da competência de agosto de 2023, a entidade passou a apresentar Patrimônio Líquido negativo, o que indica que a soma das obrigações da entidade supera a soma de seus ativos. Pelo fato de o HCPA ser uma empresa pública dependente do governo federal, conforme explicitado na nota explicativa nº 1, não há objetivo de auferir lucros. Os constantes resultados negativos repetidos a cada exercício foram ocasionados pelo registro de despesas com base no fato gerador (regime de competência), sendo em maioria montantes referentes ao contingenciamento de ações judiciais trabalhistas, conforme mencionado na nota explicativa nº 14 (a). Ressalta-se que, mesmo com o Patrimônio Líquido negativo, não houve e não há comprometimento das atividades desempenhadas pela entidade e que o Governo Federal realiza repasses financeiros mensalmente para quitar obrigações com terceiros e colaboradores.</w:t>
      </w:r>
    </w:p>
    <w:p w14:paraId="7D1D018D" w14:textId="2E9A9BA2" w:rsidR="00482DA1" w:rsidRDefault="00482DA1" w:rsidP="007E73CE">
      <w:pPr>
        <w:jc w:val="both"/>
      </w:pPr>
    </w:p>
    <w:p w14:paraId="7C516EDD" w14:textId="1D806C1F" w:rsidR="00482DA1" w:rsidRPr="007B60BF" w:rsidRDefault="00482DA1" w:rsidP="00482DA1">
      <w:pPr>
        <w:pStyle w:val="Textodecomentrio"/>
      </w:pPr>
      <w:r w:rsidRPr="00521E40">
        <w:t>Em 31 de dez</w:t>
      </w:r>
      <w:r w:rsidR="00521E40" w:rsidRPr="00521E40">
        <w:t>e</w:t>
      </w:r>
      <w:r w:rsidRPr="00521E40">
        <w:t>mbro de 2025, o patrimônio líquido estava negativo em R$ 55.861.</w:t>
      </w:r>
    </w:p>
    <w:p w14:paraId="03CE27A9" w14:textId="77777777" w:rsidR="007E73CE" w:rsidRPr="007B60BF" w:rsidRDefault="007E73CE" w:rsidP="005A646C">
      <w:pPr>
        <w:pStyle w:val="Textodecomentrio"/>
        <w:jc w:val="both"/>
      </w:pPr>
    </w:p>
    <w:p w14:paraId="40752A75" w14:textId="77777777" w:rsidR="00FA21A0" w:rsidRPr="007B60BF" w:rsidRDefault="00FA21A0" w:rsidP="00086B22">
      <w:pPr>
        <w:pStyle w:val="Subttulo"/>
        <w:numPr>
          <w:ilvl w:val="0"/>
          <w:numId w:val="7"/>
        </w:numPr>
        <w:ind w:hanging="563"/>
        <w:jc w:val="both"/>
      </w:pPr>
      <w:r w:rsidRPr="007B60BF">
        <w:t>Capital Social</w:t>
      </w:r>
    </w:p>
    <w:p w14:paraId="69EA9428" w14:textId="77777777" w:rsidR="00FA21A0" w:rsidRPr="008F1108" w:rsidRDefault="00FA21A0" w:rsidP="00FA21A0">
      <w:pPr>
        <w:jc w:val="both"/>
        <w:rPr>
          <w:sz w:val="16"/>
          <w:szCs w:val="16"/>
        </w:rPr>
      </w:pPr>
    </w:p>
    <w:p w14:paraId="3B8E9C48" w14:textId="21CBBAD0" w:rsidR="00B37B93" w:rsidRPr="007B60BF" w:rsidRDefault="00B37B93" w:rsidP="00B37B93">
      <w:pPr>
        <w:jc w:val="both"/>
      </w:pPr>
      <w:r w:rsidRPr="007B60BF">
        <w:t>O Capital Social da entidade pertence integralmente a União, sendo seu</w:t>
      </w:r>
      <w:r w:rsidR="00AA4FBC" w:rsidRPr="007B60BF">
        <w:t xml:space="preserve"> valor em 31 de dezembro de 2025</w:t>
      </w:r>
      <w:r w:rsidRPr="007B60BF">
        <w:t xml:space="preserve"> de R$ </w:t>
      </w:r>
      <w:r w:rsidR="00AA4FBC" w:rsidRPr="007B60BF">
        <w:t>R$ 1.293.468 (um bilhão, duzentos e noventa e três milhões, quatrocentos e sessenta e oito mil reais)</w:t>
      </w:r>
      <w:r w:rsidRPr="007B60BF">
        <w:t xml:space="preserve">, composto da seguinte forma: </w:t>
      </w:r>
    </w:p>
    <w:p w14:paraId="690E3CD0" w14:textId="77777777" w:rsidR="00B37B93" w:rsidRPr="008F1108" w:rsidRDefault="00B37B93" w:rsidP="00B37B93">
      <w:pPr>
        <w:jc w:val="both"/>
        <w:rPr>
          <w:sz w:val="16"/>
          <w:szCs w:val="16"/>
        </w:rPr>
      </w:pPr>
    </w:p>
    <w:tbl>
      <w:tblPr>
        <w:tblStyle w:val="Tabelacomgrad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84"/>
      </w:tblGrid>
      <w:tr w:rsidR="00B37B93" w:rsidRPr="007B60BF" w14:paraId="28D0CFAD" w14:textId="77777777" w:rsidTr="00A917FF">
        <w:tc>
          <w:tcPr>
            <w:tcW w:w="7088" w:type="dxa"/>
            <w:hideMark/>
          </w:tcPr>
          <w:p w14:paraId="623FDC6A" w14:textId="2DF3B337" w:rsidR="00B37B93" w:rsidRPr="007B60BF" w:rsidRDefault="00B37B93" w:rsidP="00A917FF">
            <w:pPr>
              <w:jc w:val="both"/>
            </w:pPr>
            <w:r w:rsidRPr="007B60BF">
              <w:t>Saldo em 31/12/202</w:t>
            </w:r>
            <w:r w:rsidR="00AA4FBC" w:rsidRPr="007B60BF">
              <w:t>4</w:t>
            </w:r>
          </w:p>
        </w:tc>
        <w:tc>
          <w:tcPr>
            <w:tcW w:w="1984" w:type="dxa"/>
            <w:hideMark/>
          </w:tcPr>
          <w:p w14:paraId="46F7BB14" w14:textId="5CB40B76" w:rsidR="00B37B93" w:rsidRPr="007B60BF" w:rsidRDefault="00AA4FBC" w:rsidP="00A917FF">
            <w:pPr>
              <w:jc w:val="right"/>
            </w:pPr>
            <w:r w:rsidRPr="007B60BF">
              <w:t>1.284.791</w:t>
            </w:r>
          </w:p>
        </w:tc>
      </w:tr>
      <w:tr w:rsidR="00B37B93" w:rsidRPr="007B60BF" w14:paraId="3DF2E0C2" w14:textId="77777777" w:rsidTr="00A917FF">
        <w:tc>
          <w:tcPr>
            <w:tcW w:w="7088" w:type="dxa"/>
            <w:hideMark/>
          </w:tcPr>
          <w:p w14:paraId="6DBBD86B" w14:textId="77777777" w:rsidR="00B37B93" w:rsidRPr="007B60BF" w:rsidRDefault="00B37B93" w:rsidP="00A917FF">
            <w:pPr>
              <w:jc w:val="both"/>
            </w:pPr>
            <w:r w:rsidRPr="007B60BF">
              <w:t>Capitalização do AFAC</w:t>
            </w:r>
          </w:p>
        </w:tc>
        <w:tc>
          <w:tcPr>
            <w:tcW w:w="1984" w:type="dxa"/>
            <w:tcBorders>
              <w:top w:val="nil"/>
              <w:left w:val="nil"/>
              <w:bottom w:val="single" w:sz="4" w:space="0" w:color="auto"/>
              <w:right w:val="nil"/>
            </w:tcBorders>
            <w:hideMark/>
          </w:tcPr>
          <w:p w14:paraId="5A6A6007" w14:textId="074C568B" w:rsidR="00B37B93" w:rsidRPr="007B60BF" w:rsidRDefault="00AA4FBC" w:rsidP="00A917FF">
            <w:pPr>
              <w:jc w:val="right"/>
            </w:pPr>
            <w:r w:rsidRPr="007B60BF">
              <w:t>8.677</w:t>
            </w:r>
          </w:p>
        </w:tc>
      </w:tr>
      <w:tr w:rsidR="00B37B93" w:rsidRPr="007B60BF" w14:paraId="5A9BF2E3" w14:textId="77777777" w:rsidTr="00A917FF">
        <w:tc>
          <w:tcPr>
            <w:tcW w:w="7088" w:type="dxa"/>
            <w:hideMark/>
          </w:tcPr>
          <w:p w14:paraId="29A541C1" w14:textId="15DBC43A" w:rsidR="00B37B93" w:rsidRPr="007B60BF" w:rsidRDefault="00B37B93" w:rsidP="00A917FF">
            <w:pPr>
              <w:jc w:val="both"/>
              <w:rPr>
                <w:b/>
              </w:rPr>
            </w:pPr>
            <w:r w:rsidRPr="007B60BF">
              <w:rPr>
                <w:b/>
              </w:rPr>
              <w:t>Total em 31/12/202</w:t>
            </w:r>
            <w:r w:rsidR="00AA4FBC" w:rsidRPr="007B60BF">
              <w:rPr>
                <w:b/>
              </w:rPr>
              <w:t>5</w:t>
            </w:r>
          </w:p>
        </w:tc>
        <w:tc>
          <w:tcPr>
            <w:tcW w:w="1984" w:type="dxa"/>
            <w:tcBorders>
              <w:top w:val="single" w:sz="4" w:space="0" w:color="auto"/>
              <w:left w:val="nil"/>
              <w:bottom w:val="double" w:sz="4" w:space="0" w:color="auto"/>
              <w:right w:val="nil"/>
            </w:tcBorders>
            <w:hideMark/>
          </w:tcPr>
          <w:p w14:paraId="43D84355" w14:textId="385FD066" w:rsidR="00B37B93" w:rsidRPr="007B60BF" w:rsidRDefault="00AA4FBC" w:rsidP="00A917FF">
            <w:pPr>
              <w:jc w:val="right"/>
              <w:rPr>
                <w:b/>
              </w:rPr>
            </w:pPr>
            <w:r w:rsidRPr="007B60BF">
              <w:rPr>
                <w:b/>
              </w:rPr>
              <w:t>1.293.468</w:t>
            </w:r>
          </w:p>
        </w:tc>
      </w:tr>
    </w:tbl>
    <w:p w14:paraId="2BC1D498" w14:textId="77777777" w:rsidR="00B37B93" w:rsidRPr="008F1108" w:rsidRDefault="00B37B93" w:rsidP="00B37B93">
      <w:pPr>
        <w:jc w:val="both"/>
        <w:rPr>
          <w:sz w:val="16"/>
          <w:szCs w:val="16"/>
        </w:rPr>
      </w:pPr>
    </w:p>
    <w:p w14:paraId="460594CC" w14:textId="45785127" w:rsidR="00B37B93" w:rsidRDefault="00B37B93" w:rsidP="00B37B93">
      <w:pPr>
        <w:jc w:val="both"/>
      </w:pPr>
      <w:r w:rsidRPr="007B60BF">
        <w:t xml:space="preserve">A capitalização foi autorizada na Assembleia Geral Extraordinária </w:t>
      </w:r>
      <w:r w:rsidR="009944D6" w:rsidRPr="007B60BF">
        <w:t>de nº 039</w:t>
      </w:r>
      <w:r w:rsidRPr="007B60BF">
        <w:t>/202</w:t>
      </w:r>
      <w:r w:rsidR="009944D6" w:rsidRPr="007B60BF">
        <w:t>5, realizada em 17</w:t>
      </w:r>
      <w:r w:rsidRPr="007B60BF">
        <w:t xml:space="preserve"> de abril de 202</w:t>
      </w:r>
      <w:r w:rsidR="009944D6" w:rsidRPr="007B60BF">
        <w:t>5</w:t>
      </w:r>
      <w:r w:rsidRPr="007B60BF">
        <w:t>, sendo os valores incorporados referentes a repasses recebidos da União para investimento e registrados em conta de Adiantamento para Futuro Aumento de Capital – AFAC.</w:t>
      </w:r>
    </w:p>
    <w:p w14:paraId="33CE15F1" w14:textId="77777777" w:rsidR="00B1050E" w:rsidRPr="007B60BF" w:rsidRDefault="00B1050E" w:rsidP="00B37B93">
      <w:pPr>
        <w:jc w:val="both"/>
      </w:pPr>
    </w:p>
    <w:p w14:paraId="60307C7C" w14:textId="309CDB5C" w:rsidR="00257494" w:rsidRPr="007B60BF" w:rsidRDefault="00257494" w:rsidP="00086B22">
      <w:pPr>
        <w:pStyle w:val="Subttulo"/>
        <w:numPr>
          <w:ilvl w:val="0"/>
          <w:numId w:val="7"/>
        </w:numPr>
        <w:ind w:hanging="563"/>
        <w:jc w:val="both"/>
      </w:pPr>
      <w:r w:rsidRPr="007B60BF">
        <w:t>Ajuste de Avaliação Patrimonial</w:t>
      </w:r>
    </w:p>
    <w:p w14:paraId="5BD0E3AE" w14:textId="77777777" w:rsidR="00257494" w:rsidRPr="008F1108" w:rsidRDefault="00257494" w:rsidP="00AF7ACB">
      <w:pPr>
        <w:jc w:val="both"/>
        <w:rPr>
          <w:sz w:val="16"/>
          <w:szCs w:val="16"/>
        </w:rPr>
      </w:pPr>
    </w:p>
    <w:p w14:paraId="0D5F1DBB" w14:textId="2D21E490" w:rsidR="00257494" w:rsidRPr="007B60BF" w:rsidRDefault="00257494" w:rsidP="00257494">
      <w:pPr>
        <w:jc w:val="both"/>
      </w:pPr>
      <w:r w:rsidRPr="007B60BF">
        <w:t>Desde o exercício de 2010, na medida em que o valor dos bens, objetos do ajuste de avaliação patrimon</w:t>
      </w:r>
      <w:r w:rsidR="00800D25" w:rsidRPr="007B60BF">
        <w:t>ial, são depreciados, amortizados</w:t>
      </w:r>
      <w:r w:rsidRPr="007B60BF">
        <w:t xml:space="preserve"> ou baixados, com contrapartida no resultado, simultaneamente, o mesmo valor é transferido da conta de ajuste de avaliação patrimonial para a conta de Lucros ou Prejuízos Acumulados.</w:t>
      </w:r>
    </w:p>
    <w:p w14:paraId="36B0A5F1" w14:textId="77777777" w:rsidR="00CC27F7" w:rsidRPr="008F1108" w:rsidRDefault="00CC27F7" w:rsidP="00257494">
      <w:pPr>
        <w:jc w:val="both"/>
        <w:rPr>
          <w:sz w:val="16"/>
          <w:szCs w:val="16"/>
        </w:rPr>
      </w:pPr>
    </w:p>
    <w:tbl>
      <w:tblPr>
        <w:tblW w:w="5000" w:type="pct"/>
        <w:tblCellMar>
          <w:left w:w="70" w:type="dxa"/>
          <w:right w:w="70" w:type="dxa"/>
        </w:tblCellMar>
        <w:tblLook w:val="04A0" w:firstRow="1" w:lastRow="0" w:firstColumn="1" w:lastColumn="0" w:noHBand="0" w:noVBand="1"/>
      </w:tblPr>
      <w:tblGrid>
        <w:gridCol w:w="5334"/>
        <w:gridCol w:w="1803"/>
        <w:gridCol w:w="180"/>
        <w:gridCol w:w="1754"/>
      </w:tblGrid>
      <w:tr w:rsidR="006E2BC1" w:rsidRPr="007B60BF" w14:paraId="0632AC03" w14:textId="77777777" w:rsidTr="00E7337C">
        <w:trPr>
          <w:trHeight w:val="230"/>
        </w:trPr>
        <w:tc>
          <w:tcPr>
            <w:tcW w:w="2940" w:type="pct"/>
            <w:tcBorders>
              <w:top w:val="nil"/>
              <w:left w:val="nil"/>
              <w:bottom w:val="nil"/>
              <w:right w:val="nil"/>
            </w:tcBorders>
            <w:vAlign w:val="center"/>
            <w:hideMark/>
          </w:tcPr>
          <w:p w14:paraId="6051DDDB" w14:textId="77777777" w:rsidR="006E2BC1" w:rsidRPr="007B60BF" w:rsidRDefault="006E2BC1" w:rsidP="006E2BC1">
            <w:pPr>
              <w:jc w:val="right"/>
              <w:rPr>
                <w:b/>
              </w:rPr>
            </w:pPr>
          </w:p>
        </w:tc>
        <w:tc>
          <w:tcPr>
            <w:tcW w:w="994" w:type="pct"/>
            <w:tcBorders>
              <w:top w:val="nil"/>
              <w:left w:val="nil"/>
              <w:bottom w:val="single" w:sz="8" w:space="0" w:color="000000"/>
              <w:right w:val="nil"/>
            </w:tcBorders>
            <w:shd w:val="clear" w:color="auto" w:fill="FFFFFF" w:themeFill="background1"/>
            <w:vAlign w:val="center"/>
            <w:hideMark/>
          </w:tcPr>
          <w:p w14:paraId="3FB90FE6" w14:textId="7D1F6430" w:rsidR="006E2BC1" w:rsidRPr="007B60BF" w:rsidRDefault="000A41C4" w:rsidP="00590EEE">
            <w:pPr>
              <w:jc w:val="right"/>
              <w:rPr>
                <w:b/>
                <w:bCs/>
              </w:rPr>
            </w:pPr>
            <w:r w:rsidRPr="007B60BF">
              <w:rPr>
                <w:b/>
                <w:bCs/>
              </w:rPr>
              <w:t>31/12</w:t>
            </w:r>
            <w:r w:rsidR="006E2BC1" w:rsidRPr="007B60BF">
              <w:rPr>
                <w:b/>
                <w:bCs/>
              </w:rPr>
              <w:t>/2025</w:t>
            </w:r>
          </w:p>
        </w:tc>
        <w:tc>
          <w:tcPr>
            <w:tcW w:w="99" w:type="pct"/>
            <w:tcBorders>
              <w:top w:val="nil"/>
              <w:left w:val="nil"/>
              <w:bottom w:val="nil"/>
              <w:right w:val="nil"/>
            </w:tcBorders>
            <w:shd w:val="clear" w:color="auto" w:fill="FFFFFF" w:themeFill="background1"/>
            <w:vAlign w:val="center"/>
            <w:hideMark/>
          </w:tcPr>
          <w:p w14:paraId="39A3AF44" w14:textId="77777777" w:rsidR="006E2BC1" w:rsidRPr="007B60BF" w:rsidRDefault="006E2BC1" w:rsidP="006E2BC1">
            <w:pPr>
              <w:jc w:val="right"/>
              <w:rPr>
                <w:b/>
                <w:bCs/>
              </w:rPr>
            </w:pPr>
          </w:p>
        </w:tc>
        <w:tc>
          <w:tcPr>
            <w:tcW w:w="967" w:type="pct"/>
            <w:tcBorders>
              <w:top w:val="nil"/>
              <w:left w:val="nil"/>
              <w:bottom w:val="single" w:sz="8" w:space="0" w:color="000000"/>
              <w:right w:val="nil"/>
            </w:tcBorders>
            <w:shd w:val="clear" w:color="auto" w:fill="FFFFFF" w:themeFill="background1"/>
            <w:hideMark/>
          </w:tcPr>
          <w:p w14:paraId="57878CD5" w14:textId="2A3906F6" w:rsidR="006E2BC1" w:rsidRPr="007B60BF" w:rsidRDefault="006E2BC1" w:rsidP="006E2BC1">
            <w:pPr>
              <w:jc w:val="right"/>
              <w:rPr>
                <w:b/>
                <w:bCs/>
              </w:rPr>
            </w:pPr>
            <w:r w:rsidRPr="007B60BF">
              <w:rPr>
                <w:b/>
              </w:rPr>
              <w:t>31/12/2024</w:t>
            </w:r>
          </w:p>
        </w:tc>
      </w:tr>
      <w:tr w:rsidR="006E2BC1" w:rsidRPr="007B60BF" w14:paraId="4E35F860" w14:textId="77777777" w:rsidTr="000603DF">
        <w:tc>
          <w:tcPr>
            <w:tcW w:w="2940" w:type="pct"/>
            <w:tcBorders>
              <w:top w:val="nil"/>
              <w:left w:val="nil"/>
              <w:bottom w:val="nil"/>
              <w:right w:val="nil"/>
            </w:tcBorders>
            <w:shd w:val="clear" w:color="auto" w:fill="auto"/>
            <w:vAlign w:val="center"/>
            <w:hideMark/>
          </w:tcPr>
          <w:p w14:paraId="60FDA064" w14:textId="77777777" w:rsidR="006E2BC1" w:rsidRPr="007B60BF" w:rsidRDefault="006E2BC1" w:rsidP="006E2BC1">
            <w:pPr>
              <w:jc w:val="both"/>
            </w:pPr>
            <w:r w:rsidRPr="007B60BF">
              <w:t xml:space="preserve">   Saldo inicial</w:t>
            </w:r>
          </w:p>
        </w:tc>
        <w:tc>
          <w:tcPr>
            <w:tcW w:w="994" w:type="pct"/>
            <w:tcBorders>
              <w:top w:val="nil"/>
              <w:left w:val="nil"/>
              <w:bottom w:val="nil"/>
              <w:right w:val="nil"/>
            </w:tcBorders>
            <w:shd w:val="clear" w:color="auto" w:fill="FFFFFF" w:themeFill="background1"/>
          </w:tcPr>
          <w:p w14:paraId="7CFF0A18" w14:textId="07585FEC" w:rsidR="006E2BC1" w:rsidRPr="007B60BF" w:rsidRDefault="006E2BC1" w:rsidP="006E2BC1">
            <w:pPr>
              <w:jc w:val="right"/>
            </w:pPr>
            <w:r w:rsidRPr="007B60BF">
              <w:t xml:space="preserve">(20.113) </w:t>
            </w:r>
          </w:p>
        </w:tc>
        <w:tc>
          <w:tcPr>
            <w:tcW w:w="99" w:type="pct"/>
            <w:tcBorders>
              <w:top w:val="nil"/>
              <w:left w:val="nil"/>
              <w:bottom w:val="nil"/>
              <w:right w:val="nil"/>
            </w:tcBorders>
            <w:shd w:val="clear" w:color="auto" w:fill="FFFFFF" w:themeFill="background1"/>
            <w:vAlign w:val="center"/>
            <w:hideMark/>
          </w:tcPr>
          <w:p w14:paraId="5F333EE4" w14:textId="77777777" w:rsidR="006E2BC1" w:rsidRPr="007B60BF" w:rsidRDefault="006E2BC1" w:rsidP="006E2BC1">
            <w:pPr>
              <w:jc w:val="right"/>
            </w:pPr>
          </w:p>
        </w:tc>
        <w:tc>
          <w:tcPr>
            <w:tcW w:w="967" w:type="pct"/>
            <w:tcBorders>
              <w:top w:val="nil"/>
              <w:left w:val="nil"/>
              <w:bottom w:val="nil"/>
              <w:right w:val="nil"/>
            </w:tcBorders>
            <w:shd w:val="clear" w:color="auto" w:fill="FFFFFF" w:themeFill="background1"/>
            <w:hideMark/>
          </w:tcPr>
          <w:p w14:paraId="4C009A8D" w14:textId="133AD0B4" w:rsidR="006E2BC1" w:rsidRPr="007B60BF" w:rsidRDefault="006E2BC1" w:rsidP="006E2BC1">
            <w:pPr>
              <w:jc w:val="right"/>
            </w:pPr>
            <w:r w:rsidRPr="007B60BF">
              <w:t xml:space="preserve">(19.297) </w:t>
            </w:r>
          </w:p>
        </w:tc>
      </w:tr>
      <w:tr w:rsidR="00683721" w:rsidRPr="007B60BF" w14:paraId="3DBD32DA" w14:textId="77777777" w:rsidTr="000603DF">
        <w:tc>
          <w:tcPr>
            <w:tcW w:w="2940" w:type="pct"/>
            <w:tcBorders>
              <w:top w:val="nil"/>
              <w:left w:val="nil"/>
              <w:bottom w:val="nil"/>
              <w:right w:val="nil"/>
            </w:tcBorders>
            <w:shd w:val="clear" w:color="auto" w:fill="auto"/>
            <w:vAlign w:val="center"/>
            <w:hideMark/>
          </w:tcPr>
          <w:p w14:paraId="135D238B" w14:textId="77777777" w:rsidR="00683721" w:rsidRPr="007B60BF" w:rsidRDefault="00683721" w:rsidP="00683721">
            <w:pPr>
              <w:jc w:val="both"/>
            </w:pPr>
            <w:r w:rsidRPr="007B60BF">
              <w:t xml:space="preserve">   Recomposição pela Baixa ou Depreciação de Bens </w:t>
            </w:r>
          </w:p>
        </w:tc>
        <w:tc>
          <w:tcPr>
            <w:tcW w:w="994" w:type="pct"/>
            <w:tcBorders>
              <w:top w:val="nil"/>
              <w:left w:val="nil"/>
              <w:bottom w:val="nil"/>
              <w:right w:val="nil"/>
            </w:tcBorders>
            <w:shd w:val="clear" w:color="auto" w:fill="FFFFFF" w:themeFill="background1"/>
          </w:tcPr>
          <w:p w14:paraId="77293AC6" w14:textId="4612628B" w:rsidR="00683721" w:rsidRPr="007B60BF" w:rsidRDefault="00CF3DBC" w:rsidP="000A41C4">
            <w:pPr>
              <w:jc w:val="right"/>
            </w:pPr>
            <w:r w:rsidRPr="007B60BF">
              <w:t>(</w:t>
            </w:r>
            <w:r w:rsidR="000A41C4" w:rsidRPr="007B60BF">
              <w:t>780</w:t>
            </w:r>
            <w:r w:rsidRPr="007B60BF">
              <w:t>)</w:t>
            </w:r>
          </w:p>
        </w:tc>
        <w:tc>
          <w:tcPr>
            <w:tcW w:w="99" w:type="pct"/>
            <w:tcBorders>
              <w:top w:val="nil"/>
              <w:left w:val="nil"/>
              <w:bottom w:val="nil"/>
              <w:right w:val="nil"/>
            </w:tcBorders>
            <w:shd w:val="clear" w:color="auto" w:fill="FFFFFF" w:themeFill="background1"/>
            <w:vAlign w:val="center"/>
            <w:hideMark/>
          </w:tcPr>
          <w:p w14:paraId="03C0AF60" w14:textId="77777777" w:rsidR="00683721" w:rsidRPr="007B60BF" w:rsidRDefault="00683721" w:rsidP="00683721">
            <w:pPr>
              <w:jc w:val="right"/>
            </w:pPr>
          </w:p>
        </w:tc>
        <w:tc>
          <w:tcPr>
            <w:tcW w:w="967" w:type="pct"/>
            <w:tcBorders>
              <w:top w:val="nil"/>
              <w:left w:val="nil"/>
              <w:bottom w:val="nil"/>
              <w:right w:val="nil"/>
            </w:tcBorders>
            <w:shd w:val="clear" w:color="auto" w:fill="FFFFFF" w:themeFill="background1"/>
            <w:hideMark/>
          </w:tcPr>
          <w:p w14:paraId="1214A9A7" w14:textId="1294AE89" w:rsidR="00683721" w:rsidRPr="007B60BF" w:rsidRDefault="00683721" w:rsidP="00683721">
            <w:pPr>
              <w:jc w:val="right"/>
            </w:pPr>
            <w:r w:rsidRPr="007B60BF">
              <w:t>(789)</w:t>
            </w:r>
          </w:p>
        </w:tc>
      </w:tr>
      <w:tr w:rsidR="00683721" w:rsidRPr="007B60BF" w14:paraId="4491A3B1" w14:textId="77777777" w:rsidTr="000603DF">
        <w:tc>
          <w:tcPr>
            <w:tcW w:w="2940" w:type="pct"/>
            <w:tcBorders>
              <w:top w:val="nil"/>
              <w:left w:val="nil"/>
              <w:bottom w:val="nil"/>
              <w:right w:val="nil"/>
            </w:tcBorders>
            <w:shd w:val="clear" w:color="auto" w:fill="auto"/>
            <w:vAlign w:val="center"/>
            <w:hideMark/>
          </w:tcPr>
          <w:p w14:paraId="07865CF6" w14:textId="1783EFA4" w:rsidR="00683721" w:rsidRPr="007B60BF" w:rsidRDefault="00683721" w:rsidP="00683721">
            <w:pPr>
              <w:jc w:val="both"/>
            </w:pPr>
            <w:r w:rsidRPr="007B60BF">
              <w:t xml:space="preserve">   Reversão de Menos Valia </w:t>
            </w:r>
          </w:p>
        </w:tc>
        <w:tc>
          <w:tcPr>
            <w:tcW w:w="994" w:type="pct"/>
            <w:tcBorders>
              <w:top w:val="nil"/>
              <w:left w:val="nil"/>
              <w:bottom w:val="nil"/>
              <w:right w:val="nil"/>
            </w:tcBorders>
            <w:shd w:val="clear" w:color="auto" w:fill="FFFFFF" w:themeFill="background1"/>
          </w:tcPr>
          <w:p w14:paraId="48A8F3ED" w14:textId="51511E12" w:rsidR="00683721" w:rsidRPr="007B60BF" w:rsidRDefault="002A51E3" w:rsidP="00683721">
            <w:pPr>
              <w:jc w:val="right"/>
            </w:pPr>
            <w:r w:rsidRPr="007B60BF">
              <w:t>-</w:t>
            </w:r>
          </w:p>
        </w:tc>
        <w:tc>
          <w:tcPr>
            <w:tcW w:w="99" w:type="pct"/>
            <w:tcBorders>
              <w:top w:val="nil"/>
              <w:left w:val="nil"/>
              <w:bottom w:val="nil"/>
              <w:right w:val="nil"/>
            </w:tcBorders>
            <w:shd w:val="clear" w:color="auto" w:fill="FFFFFF" w:themeFill="background1"/>
            <w:vAlign w:val="center"/>
            <w:hideMark/>
          </w:tcPr>
          <w:p w14:paraId="14A2AB89" w14:textId="77777777" w:rsidR="00683721" w:rsidRPr="007B60BF" w:rsidRDefault="00683721" w:rsidP="00683721">
            <w:pPr>
              <w:jc w:val="right"/>
            </w:pPr>
          </w:p>
        </w:tc>
        <w:tc>
          <w:tcPr>
            <w:tcW w:w="967" w:type="pct"/>
            <w:tcBorders>
              <w:top w:val="nil"/>
              <w:left w:val="nil"/>
              <w:bottom w:val="nil"/>
              <w:right w:val="nil"/>
            </w:tcBorders>
            <w:shd w:val="clear" w:color="auto" w:fill="FFFFFF" w:themeFill="background1"/>
            <w:hideMark/>
          </w:tcPr>
          <w:p w14:paraId="3F9B517B" w14:textId="154ACAF6" w:rsidR="00683721" w:rsidRPr="007B60BF" w:rsidRDefault="00683721" w:rsidP="00683721">
            <w:pPr>
              <w:jc w:val="right"/>
            </w:pPr>
            <w:r w:rsidRPr="007B60BF">
              <w:t>(27)</w:t>
            </w:r>
          </w:p>
        </w:tc>
      </w:tr>
      <w:tr w:rsidR="00683721" w:rsidRPr="007B60BF" w14:paraId="71913653" w14:textId="77777777" w:rsidTr="000603DF">
        <w:tc>
          <w:tcPr>
            <w:tcW w:w="2940" w:type="pct"/>
            <w:tcBorders>
              <w:top w:val="nil"/>
              <w:left w:val="nil"/>
              <w:bottom w:val="nil"/>
              <w:right w:val="nil"/>
            </w:tcBorders>
            <w:shd w:val="clear" w:color="auto" w:fill="auto"/>
            <w:vAlign w:val="center"/>
            <w:hideMark/>
          </w:tcPr>
          <w:p w14:paraId="22418622" w14:textId="77777777" w:rsidR="00683721" w:rsidRPr="007B60BF" w:rsidRDefault="00683721" w:rsidP="00683721">
            <w:pPr>
              <w:jc w:val="both"/>
              <w:rPr>
                <w:b/>
              </w:rPr>
            </w:pPr>
            <w:r w:rsidRPr="007B60BF">
              <w:rPr>
                <w:b/>
              </w:rPr>
              <w:t xml:space="preserve">   Saldo final</w:t>
            </w:r>
          </w:p>
        </w:tc>
        <w:tc>
          <w:tcPr>
            <w:tcW w:w="994" w:type="pct"/>
            <w:tcBorders>
              <w:top w:val="single" w:sz="8" w:space="0" w:color="auto"/>
              <w:left w:val="nil"/>
              <w:bottom w:val="double" w:sz="6" w:space="0" w:color="auto"/>
              <w:right w:val="nil"/>
            </w:tcBorders>
            <w:shd w:val="clear" w:color="auto" w:fill="FFFFFF" w:themeFill="background1"/>
          </w:tcPr>
          <w:p w14:paraId="46C38F1B" w14:textId="13A17044" w:rsidR="00683721" w:rsidRPr="007B60BF" w:rsidRDefault="00CF3DBC" w:rsidP="000A41C4">
            <w:pPr>
              <w:jc w:val="right"/>
              <w:rPr>
                <w:b/>
              </w:rPr>
            </w:pPr>
            <w:r w:rsidRPr="007B60BF">
              <w:rPr>
                <w:b/>
              </w:rPr>
              <w:t>(20.</w:t>
            </w:r>
            <w:r w:rsidR="000A41C4" w:rsidRPr="007B60BF">
              <w:rPr>
                <w:b/>
              </w:rPr>
              <w:t>893</w:t>
            </w:r>
            <w:r w:rsidRPr="007B60BF">
              <w:rPr>
                <w:b/>
              </w:rPr>
              <w:t>)</w:t>
            </w:r>
          </w:p>
        </w:tc>
        <w:tc>
          <w:tcPr>
            <w:tcW w:w="99" w:type="pct"/>
            <w:tcBorders>
              <w:top w:val="nil"/>
              <w:left w:val="nil"/>
              <w:bottom w:val="nil"/>
              <w:right w:val="nil"/>
            </w:tcBorders>
            <w:shd w:val="clear" w:color="auto" w:fill="FFFFFF" w:themeFill="background1"/>
            <w:vAlign w:val="center"/>
            <w:hideMark/>
          </w:tcPr>
          <w:p w14:paraId="5755E6F5" w14:textId="77777777" w:rsidR="00683721" w:rsidRPr="007B60BF" w:rsidRDefault="00683721" w:rsidP="00683721">
            <w:pPr>
              <w:jc w:val="right"/>
              <w:rPr>
                <w:b/>
              </w:rPr>
            </w:pPr>
          </w:p>
        </w:tc>
        <w:tc>
          <w:tcPr>
            <w:tcW w:w="967" w:type="pct"/>
            <w:tcBorders>
              <w:top w:val="single" w:sz="8" w:space="0" w:color="auto"/>
              <w:left w:val="nil"/>
              <w:bottom w:val="double" w:sz="6" w:space="0" w:color="auto"/>
              <w:right w:val="nil"/>
            </w:tcBorders>
            <w:shd w:val="clear" w:color="auto" w:fill="FFFFFF" w:themeFill="background1"/>
            <w:hideMark/>
          </w:tcPr>
          <w:p w14:paraId="158A3147" w14:textId="7FCD3315" w:rsidR="00683721" w:rsidRPr="007B60BF" w:rsidRDefault="00683721" w:rsidP="00683721">
            <w:pPr>
              <w:jc w:val="right"/>
              <w:rPr>
                <w:b/>
              </w:rPr>
            </w:pPr>
            <w:r w:rsidRPr="007B60BF">
              <w:rPr>
                <w:b/>
              </w:rPr>
              <w:t>(20.113)</w:t>
            </w:r>
          </w:p>
        </w:tc>
      </w:tr>
    </w:tbl>
    <w:p w14:paraId="54226F8F" w14:textId="626BA5B1" w:rsidR="00D46228" w:rsidRPr="008F1108" w:rsidRDefault="00D46228" w:rsidP="00673D18">
      <w:pPr>
        <w:tabs>
          <w:tab w:val="left" w:pos="1020"/>
        </w:tabs>
        <w:jc w:val="both"/>
        <w:rPr>
          <w:sz w:val="16"/>
          <w:szCs w:val="16"/>
        </w:rPr>
      </w:pPr>
    </w:p>
    <w:p w14:paraId="56C072EE" w14:textId="43CF3CE1" w:rsidR="00FF14E2" w:rsidRPr="007B60BF" w:rsidRDefault="00E97843" w:rsidP="00673D18">
      <w:pPr>
        <w:tabs>
          <w:tab w:val="left" w:pos="1020"/>
        </w:tabs>
        <w:jc w:val="both"/>
      </w:pPr>
      <w:r w:rsidRPr="007B60BF">
        <w:t>O valor</w:t>
      </w:r>
      <w:r w:rsidR="00FF14E2" w:rsidRPr="007B60BF">
        <w:t xml:space="preserve"> de R$ 2</w:t>
      </w:r>
      <w:r w:rsidR="007F53AD" w:rsidRPr="007B60BF">
        <w:t>7</w:t>
      </w:r>
      <w:r w:rsidR="00FF14E2" w:rsidRPr="007B60BF">
        <w:t xml:space="preserve"> </w:t>
      </w:r>
      <w:r w:rsidR="0081701D" w:rsidRPr="007B60BF">
        <w:t>em</w:t>
      </w:r>
      <w:r w:rsidR="00683721" w:rsidRPr="007B60BF">
        <w:t xml:space="preserve"> 2024</w:t>
      </w:r>
      <w:r w:rsidR="00FF14E2" w:rsidRPr="007B60BF">
        <w:t xml:space="preserve"> refere-se à reversão do valor de menos-valia (reavaliação negativa) incidente sobre bens patrimoniais com saldo residual, em 2010, insuficiente para o seu registro. Este ajuste recompôs o saldo do Imobilizado e da Reserva de Reavaliação no Patrimônio Líquido.</w:t>
      </w:r>
      <w:r w:rsidR="00683721" w:rsidRPr="007B60BF">
        <w:t xml:space="preserve"> </w:t>
      </w:r>
      <w:r w:rsidR="000A41C4" w:rsidRPr="007B60BF">
        <w:t>No exercício</w:t>
      </w:r>
      <w:r w:rsidR="006F2DF8" w:rsidRPr="007B60BF">
        <w:t xml:space="preserve"> </w:t>
      </w:r>
      <w:r w:rsidR="00683721" w:rsidRPr="007B60BF">
        <w:t>de 2025 não houve reversões.</w:t>
      </w:r>
    </w:p>
    <w:p w14:paraId="2505EFC2" w14:textId="42762026" w:rsidR="00FF14E2" w:rsidRDefault="00FF14E2" w:rsidP="00673D18">
      <w:pPr>
        <w:tabs>
          <w:tab w:val="left" w:pos="1020"/>
        </w:tabs>
        <w:jc w:val="both"/>
      </w:pPr>
    </w:p>
    <w:p w14:paraId="10162579" w14:textId="77777777" w:rsidR="00074139" w:rsidRDefault="00074139">
      <w:bookmarkStart w:id="60" w:name="_Toc31373369"/>
      <w:bookmarkStart w:id="61" w:name="_Toc223007866"/>
      <w:bookmarkEnd w:id="53"/>
      <w:bookmarkEnd w:id="54"/>
      <w:bookmarkEnd w:id="55"/>
      <w:r>
        <w:rPr>
          <w:b/>
        </w:rPr>
        <w:br w:type="page"/>
      </w:r>
    </w:p>
    <w:p w14:paraId="4A8B8AE8" w14:textId="42DF6AEF" w:rsidR="004B5A89" w:rsidRPr="007B60BF" w:rsidRDefault="004B5A89" w:rsidP="00086B22">
      <w:pPr>
        <w:pStyle w:val="Ttulo1"/>
        <w:numPr>
          <w:ilvl w:val="0"/>
          <w:numId w:val="5"/>
        </w:numPr>
        <w:ind w:left="0" w:hanging="567"/>
        <w:jc w:val="left"/>
      </w:pPr>
      <w:r w:rsidRPr="007B60BF">
        <w:lastRenderedPageBreak/>
        <w:t>Receita Operacional Líquida</w:t>
      </w:r>
      <w:bookmarkEnd w:id="60"/>
      <w:bookmarkEnd w:id="61"/>
    </w:p>
    <w:tbl>
      <w:tblPr>
        <w:tblW w:w="4962" w:type="pct"/>
        <w:tblCellMar>
          <w:left w:w="70" w:type="dxa"/>
          <w:right w:w="70" w:type="dxa"/>
        </w:tblCellMar>
        <w:tblLook w:val="04A0" w:firstRow="1" w:lastRow="0" w:firstColumn="1" w:lastColumn="0" w:noHBand="0" w:noVBand="1"/>
      </w:tblPr>
      <w:tblGrid>
        <w:gridCol w:w="5146"/>
        <w:gridCol w:w="295"/>
        <w:gridCol w:w="1633"/>
        <w:gridCol w:w="367"/>
        <w:gridCol w:w="1561"/>
      </w:tblGrid>
      <w:tr w:rsidR="00B37B93" w:rsidRPr="007B60BF" w14:paraId="5873EA8C" w14:textId="77777777" w:rsidTr="00D158A0">
        <w:tc>
          <w:tcPr>
            <w:tcW w:w="2858" w:type="pct"/>
            <w:tcBorders>
              <w:top w:val="nil"/>
              <w:left w:val="nil"/>
              <w:bottom w:val="nil"/>
              <w:right w:val="nil"/>
            </w:tcBorders>
            <w:shd w:val="clear" w:color="auto" w:fill="auto"/>
            <w:vAlign w:val="center"/>
            <w:hideMark/>
          </w:tcPr>
          <w:p w14:paraId="665CB6C1" w14:textId="77777777" w:rsidR="00B37B93" w:rsidRPr="007B60BF" w:rsidRDefault="00B37B93" w:rsidP="00B37B93">
            <w:pPr>
              <w:rPr>
                <w:b/>
              </w:rPr>
            </w:pPr>
            <w:r w:rsidRPr="007B60BF">
              <w:rPr>
                <w:b/>
              </w:rPr>
              <w:t> </w:t>
            </w:r>
          </w:p>
        </w:tc>
        <w:tc>
          <w:tcPr>
            <w:tcW w:w="164" w:type="pct"/>
            <w:tcBorders>
              <w:top w:val="nil"/>
              <w:left w:val="nil"/>
              <w:bottom w:val="nil"/>
              <w:right w:val="nil"/>
            </w:tcBorders>
            <w:shd w:val="clear" w:color="auto" w:fill="auto"/>
            <w:noWrap/>
            <w:vAlign w:val="center"/>
            <w:hideMark/>
          </w:tcPr>
          <w:p w14:paraId="0DDBE71A" w14:textId="77777777" w:rsidR="00B37B93" w:rsidRPr="007B60BF" w:rsidRDefault="00B37B93" w:rsidP="00B37B93">
            <w:pPr>
              <w:rPr>
                <w:rFonts w:ascii="Calibri" w:hAnsi="Calibri"/>
                <w:b/>
              </w:rPr>
            </w:pPr>
            <w:r w:rsidRPr="007B60BF">
              <w:rPr>
                <w:rFonts w:ascii="Calibri" w:hAnsi="Calibri"/>
                <w:b/>
              </w:rPr>
              <w:t> </w:t>
            </w:r>
          </w:p>
        </w:tc>
        <w:tc>
          <w:tcPr>
            <w:tcW w:w="907" w:type="pct"/>
            <w:tcBorders>
              <w:top w:val="nil"/>
              <w:left w:val="nil"/>
              <w:bottom w:val="single" w:sz="8" w:space="0" w:color="auto"/>
              <w:right w:val="nil"/>
            </w:tcBorders>
            <w:shd w:val="clear" w:color="auto" w:fill="auto"/>
            <w:vAlign w:val="center"/>
            <w:hideMark/>
          </w:tcPr>
          <w:p w14:paraId="483D93E1" w14:textId="1BE9B372" w:rsidR="00B37B93" w:rsidRPr="007B60BF" w:rsidRDefault="00B37B93" w:rsidP="00B37B93">
            <w:pPr>
              <w:jc w:val="right"/>
              <w:rPr>
                <w:b/>
                <w:bCs/>
              </w:rPr>
            </w:pPr>
            <w:r w:rsidRPr="007B60BF">
              <w:rPr>
                <w:b/>
                <w:bCs/>
              </w:rPr>
              <w:t>31/12/2025</w:t>
            </w:r>
          </w:p>
        </w:tc>
        <w:tc>
          <w:tcPr>
            <w:tcW w:w="204" w:type="pct"/>
            <w:tcBorders>
              <w:top w:val="nil"/>
              <w:left w:val="nil"/>
              <w:bottom w:val="nil"/>
              <w:right w:val="nil"/>
            </w:tcBorders>
            <w:shd w:val="clear" w:color="auto" w:fill="auto"/>
            <w:vAlign w:val="center"/>
            <w:hideMark/>
          </w:tcPr>
          <w:p w14:paraId="7D5F0ADB" w14:textId="77777777" w:rsidR="00B37B93" w:rsidRPr="007B60BF" w:rsidRDefault="00B37B93" w:rsidP="00B37B93">
            <w:pPr>
              <w:rPr>
                <w:b/>
                <w:bCs/>
              </w:rPr>
            </w:pPr>
            <w:r w:rsidRPr="007B60BF">
              <w:rPr>
                <w:b/>
                <w:bCs/>
              </w:rPr>
              <w:t> </w:t>
            </w:r>
          </w:p>
        </w:tc>
        <w:tc>
          <w:tcPr>
            <w:tcW w:w="867" w:type="pct"/>
            <w:tcBorders>
              <w:top w:val="nil"/>
              <w:left w:val="nil"/>
              <w:bottom w:val="single" w:sz="8" w:space="0" w:color="auto"/>
              <w:right w:val="nil"/>
            </w:tcBorders>
            <w:shd w:val="clear" w:color="auto" w:fill="auto"/>
          </w:tcPr>
          <w:p w14:paraId="423077E2" w14:textId="411948C8" w:rsidR="00B37B93" w:rsidRPr="007B60BF" w:rsidRDefault="00B37B93" w:rsidP="00B37B93">
            <w:pPr>
              <w:jc w:val="right"/>
              <w:rPr>
                <w:b/>
                <w:bCs/>
              </w:rPr>
            </w:pPr>
            <w:r w:rsidRPr="007B60BF">
              <w:rPr>
                <w:b/>
              </w:rPr>
              <w:t>31/12/2024</w:t>
            </w:r>
          </w:p>
        </w:tc>
      </w:tr>
      <w:tr w:rsidR="00B37B93" w:rsidRPr="007B60BF" w14:paraId="71F6D0AE" w14:textId="77777777" w:rsidTr="00D158A0">
        <w:tc>
          <w:tcPr>
            <w:tcW w:w="2858" w:type="pct"/>
            <w:tcBorders>
              <w:top w:val="nil"/>
              <w:left w:val="nil"/>
              <w:bottom w:val="nil"/>
              <w:right w:val="nil"/>
            </w:tcBorders>
            <w:shd w:val="clear" w:color="auto" w:fill="auto"/>
            <w:vAlign w:val="center"/>
            <w:hideMark/>
          </w:tcPr>
          <w:p w14:paraId="71F9E7B4" w14:textId="77777777" w:rsidR="00B37B93" w:rsidRPr="007B60BF" w:rsidRDefault="00B37B93" w:rsidP="00B37B93">
            <w:r w:rsidRPr="007B60BF">
              <w:t>Serviços Prestados</w:t>
            </w:r>
          </w:p>
        </w:tc>
        <w:tc>
          <w:tcPr>
            <w:tcW w:w="164" w:type="pct"/>
            <w:tcBorders>
              <w:top w:val="nil"/>
              <w:left w:val="nil"/>
              <w:bottom w:val="nil"/>
              <w:right w:val="nil"/>
            </w:tcBorders>
            <w:shd w:val="clear" w:color="auto" w:fill="auto"/>
            <w:noWrap/>
            <w:vAlign w:val="center"/>
            <w:hideMark/>
          </w:tcPr>
          <w:p w14:paraId="1B3AE558"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vAlign w:val="center"/>
          </w:tcPr>
          <w:p w14:paraId="3D7D2BAC" w14:textId="380DE596" w:rsidR="00B37B93" w:rsidRPr="007B60BF" w:rsidRDefault="00B37B93" w:rsidP="00B37B93">
            <w:pPr>
              <w:jc w:val="right"/>
              <w:rPr>
                <w:b/>
                <w:bCs/>
              </w:rPr>
            </w:pPr>
          </w:p>
        </w:tc>
        <w:tc>
          <w:tcPr>
            <w:tcW w:w="204" w:type="pct"/>
            <w:tcBorders>
              <w:top w:val="nil"/>
              <w:left w:val="nil"/>
              <w:bottom w:val="nil"/>
              <w:right w:val="nil"/>
            </w:tcBorders>
            <w:shd w:val="clear" w:color="auto" w:fill="auto"/>
            <w:vAlign w:val="center"/>
            <w:hideMark/>
          </w:tcPr>
          <w:p w14:paraId="06014300" w14:textId="77777777" w:rsidR="00B37B93" w:rsidRPr="007B60BF" w:rsidRDefault="00B37B93" w:rsidP="00B37B93">
            <w:r w:rsidRPr="007B60BF">
              <w:t> </w:t>
            </w:r>
          </w:p>
        </w:tc>
        <w:tc>
          <w:tcPr>
            <w:tcW w:w="867" w:type="pct"/>
            <w:tcBorders>
              <w:top w:val="nil"/>
              <w:left w:val="nil"/>
              <w:bottom w:val="nil"/>
              <w:right w:val="nil"/>
            </w:tcBorders>
            <w:shd w:val="clear" w:color="auto" w:fill="auto"/>
          </w:tcPr>
          <w:p w14:paraId="7973FE7C" w14:textId="0209EC90" w:rsidR="00B37B93" w:rsidRPr="007B60BF" w:rsidRDefault="00B37B93" w:rsidP="00B37B93">
            <w:pPr>
              <w:jc w:val="right"/>
              <w:rPr>
                <w:b/>
                <w:bCs/>
              </w:rPr>
            </w:pPr>
          </w:p>
        </w:tc>
      </w:tr>
      <w:tr w:rsidR="00B37B93" w:rsidRPr="007B60BF" w14:paraId="1451F8E7" w14:textId="77777777" w:rsidTr="00D158A0">
        <w:tc>
          <w:tcPr>
            <w:tcW w:w="2858" w:type="pct"/>
            <w:tcBorders>
              <w:top w:val="nil"/>
              <w:left w:val="nil"/>
              <w:bottom w:val="nil"/>
              <w:right w:val="nil"/>
            </w:tcBorders>
            <w:shd w:val="clear" w:color="auto" w:fill="auto"/>
            <w:vAlign w:val="center"/>
            <w:hideMark/>
          </w:tcPr>
          <w:p w14:paraId="24B0AA4F" w14:textId="77777777" w:rsidR="00B37B93" w:rsidRPr="007B60BF" w:rsidRDefault="00B37B93" w:rsidP="00B37B93">
            <w:r w:rsidRPr="007B60BF">
              <w:t xml:space="preserve">   Sistema Único de Saúde – SUS</w:t>
            </w:r>
          </w:p>
        </w:tc>
        <w:tc>
          <w:tcPr>
            <w:tcW w:w="164" w:type="pct"/>
            <w:tcBorders>
              <w:top w:val="nil"/>
              <w:left w:val="nil"/>
              <w:bottom w:val="nil"/>
              <w:right w:val="nil"/>
            </w:tcBorders>
            <w:shd w:val="clear" w:color="auto" w:fill="auto"/>
            <w:noWrap/>
            <w:vAlign w:val="center"/>
            <w:hideMark/>
          </w:tcPr>
          <w:p w14:paraId="28825F5C"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tcPr>
          <w:p w14:paraId="2C910AEA" w14:textId="57C426CE" w:rsidR="00B37B93" w:rsidRPr="007B60BF" w:rsidRDefault="000F5414" w:rsidP="00B37B93">
            <w:pPr>
              <w:jc w:val="right"/>
            </w:pPr>
            <w:r w:rsidRPr="007B60BF">
              <w:t>290.669</w:t>
            </w:r>
          </w:p>
        </w:tc>
        <w:tc>
          <w:tcPr>
            <w:tcW w:w="204" w:type="pct"/>
            <w:tcBorders>
              <w:top w:val="nil"/>
              <w:left w:val="nil"/>
              <w:bottom w:val="nil"/>
              <w:right w:val="nil"/>
            </w:tcBorders>
            <w:shd w:val="clear" w:color="auto" w:fill="auto"/>
            <w:vAlign w:val="center"/>
          </w:tcPr>
          <w:p w14:paraId="535C7937" w14:textId="5DD19E35" w:rsidR="00B37B93" w:rsidRPr="007B60BF" w:rsidRDefault="00B37B93" w:rsidP="00B37B93">
            <w:pPr>
              <w:jc w:val="right"/>
            </w:pPr>
          </w:p>
        </w:tc>
        <w:tc>
          <w:tcPr>
            <w:tcW w:w="867" w:type="pct"/>
            <w:tcBorders>
              <w:top w:val="nil"/>
              <w:left w:val="nil"/>
              <w:bottom w:val="nil"/>
              <w:right w:val="nil"/>
            </w:tcBorders>
            <w:shd w:val="clear" w:color="auto" w:fill="auto"/>
          </w:tcPr>
          <w:p w14:paraId="1DA31464" w14:textId="0E320DEE" w:rsidR="00B37B93" w:rsidRPr="007B60BF" w:rsidRDefault="00B37B93" w:rsidP="00B37B93">
            <w:pPr>
              <w:jc w:val="right"/>
              <w:rPr>
                <w:bCs/>
              </w:rPr>
            </w:pPr>
            <w:r w:rsidRPr="007B60BF">
              <w:t>252.531</w:t>
            </w:r>
          </w:p>
        </w:tc>
      </w:tr>
      <w:tr w:rsidR="00B37B93" w:rsidRPr="007B60BF" w14:paraId="44E6BA2A" w14:textId="77777777" w:rsidTr="00D158A0">
        <w:tc>
          <w:tcPr>
            <w:tcW w:w="2858" w:type="pct"/>
            <w:tcBorders>
              <w:top w:val="nil"/>
              <w:left w:val="nil"/>
              <w:bottom w:val="nil"/>
              <w:right w:val="nil"/>
            </w:tcBorders>
            <w:shd w:val="clear" w:color="auto" w:fill="auto"/>
            <w:vAlign w:val="center"/>
            <w:hideMark/>
          </w:tcPr>
          <w:p w14:paraId="27C66EB7" w14:textId="77777777" w:rsidR="00B37B93" w:rsidRPr="007B60BF" w:rsidRDefault="00B37B93" w:rsidP="00B37B93">
            <w:r w:rsidRPr="007B60BF">
              <w:t xml:space="preserve">   Convênios</w:t>
            </w:r>
          </w:p>
        </w:tc>
        <w:tc>
          <w:tcPr>
            <w:tcW w:w="164" w:type="pct"/>
            <w:tcBorders>
              <w:top w:val="nil"/>
              <w:left w:val="nil"/>
              <w:bottom w:val="nil"/>
              <w:right w:val="nil"/>
            </w:tcBorders>
            <w:shd w:val="clear" w:color="auto" w:fill="auto"/>
            <w:noWrap/>
            <w:vAlign w:val="center"/>
            <w:hideMark/>
          </w:tcPr>
          <w:p w14:paraId="0292302F"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tcPr>
          <w:p w14:paraId="3D4F3C6A" w14:textId="7CA5C9CA" w:rsidR="00B37B93" w:rsidRPr="007B60BF" w:rsidRDefault="000F5414" w:rsidP="00B37B93">
            <w:pPr>
              <w:jc w:val="right"/>
            </w:pPr>
            <w:r w:rsidRPr="007B60BF">
              <w:t>63.793</w:t>
            </w:r>
          </w:p>
        </w:tc>
        <w:tc>
          <w:tcPr>
            <w:tcW w:w="204" w:type="pct"/>
            <w:tcBorders>
              <w:top w:val="nil"/>
              <w:left w:val="nil"/>
              <w:bottom w:val="nil"/>
              <w:right w:val="nil"/>
            </w:tcBorders>
            <w:shd w:val="clear" w:color="auto" w:fill="auto"/>
            <w:vAlign w:val="center"/>
          </w:tcPr>
          <w:p w14:paraId="23CD70F9" w14:textId="5670E694" w:rsidR="00B37B93" w:rsidRPr="007B60BF" w:rsidRDefault="00B37B93" w:rsidP="00B37B93">
            <w:pPr>
              <w:jc w:val="right"/>
            </w:pPr>
          </w:p>
        </w:tc>
        <w:tc>
          <w:tcPr>
            <w:tcW w:w="867" w:type="pct"/>
            <w:tcBorders>
              <w:top w:val="nil"/>
              <w:left w:val="nil"/>
              <w:bottom w:val="nil"/>
              <w:right w:val="nil"/>
            </w:tcBorders>
            <w:shd w:val="clear" w:color="auto" w:fill="auto"/>
          </w:tcPr>
          <w:p w14:paraId="1B73CF5C" w14:textId="7838E70B" w:rsidR="00B37B93" w:rsidRPr="007B60BF" w:rsidRDefault="00B37B93" w:rsidP="00B37B93">
            <w:pPr>
              <w:jc w:val="right"/>
              <w:rPr>
                <w:bCs/>
              </w:rPr>
            </w:pPr>
            <w:r w:rsidRPr="007B60BF">
              <w:t>54.637</w:t>
            </w:r>
          </w:p>
        </w:tc>
      </w:tr>
      <w:tr w:rsidR="00B37B93" w:rsidRPr="007B60BF" w14:paraId="4C2734A1" w14:textId="77777777" w:rsidTr="00D158A0">
        <w:tc>
          <w:tcPr>
            <w:tcW w:w="2858" w:type="pct"/>
            <w:tcBorders>
              <w:top w:val="nil"/>
              <w:left w:val="nil"/>
              <w:bottom w:val="nil"/>
              <w:right w:val="nil"/>
            </w:tcBorders>
            <w:shd w:val="clear" w:color="auto" w:fill="auto"/>
            <w:vAlign w:val="center"/>
            <w:hideMark/>
          </w:tcPr>
          <w:p w14:paraId="6280AA82" w14:textId="77777777" w:rsidR="00B37B93" w:rsidRPr="007B60BF" w:rsidRDefault="00B37B93" w:rsidP="00B37B93">
            <w:r w:rsidRPr="007B60BF">
              <w:t xml:space="preserve">   Particulares</w:t>
            </w:r>
          </w:p>
        </w:tc>
        <w:tc>
          <w:tcPr>
            <w:tcW w:w="164" w:type="pct"/>
            <w:tcBorders>
              <w:top w:val="nil"/>
              <w:left w:val="nil"/>
              <w:bottom w:val="nil"/>
              <w:right w:val="nil"/>
            </w:tcBorders>
            <w:shd w:val="clear" w:color="auto" w:fill="auto"/>
            <w:noWrap/>
            <w:vAlign w:val="center"/>
            <w:hideMark/>
          </w:tcPr>
          <w:p w14:paraId="7D1A217A"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tcPr>
          <w:p w14:paraId="6E8346DE" w14:textId="24116D7B" w:rsidR="00B37B93" w:rsidRPr="007B60BF" w:rsidRDefault="000F5414" w:rsidP="00B37B93">
            <w:pPr>
              <w:jc w:val="right"/>
            </w:pPr>
            <w:r w:rsidRPr="007B60BF">
              <w:t>12.182</w:t>
            </w:r>
          </w:p>
        </w:tc>
        <w:tc>
          <w:tcPr>
            <w:tcW w:w="204" w:type="pct"/>
            <w:tcBorders>
              <w:top w:val="nil"/>
              <w:left w:val="nil"/>
              <w:bottom w:val="nil"/>
              <w:right w:val="nil"/>
            </w:tcBorders>
            <w:shd w:val="clear" w:color="auto" w:fill="auto"/>
            <w:vAlign w:val="center"/>
          </w:tcPr>
          <w:p w14:paraId="3D42B519" w14:textId="7C7CAB6D" w:rsidR="00B37B93" w:rsidRPr="007B60BF" w:rsidRDefault="00B37B93" w:rsidP="00B37B93">
            <w:pPr>
              <w:jc w:val="right"/>
            </w:pPr>
          </w:p>
        </w:tc>
        <w:tc>
          <w:tcPr>
            <w:tcW w:w="867" w:type="pct"/>
            <w:tcBorders>
              <w:top w:val="nil"/>
              <w:left w:val="nil"/>
              <w:bottom w:val="nil"/>
              <w:right w:val="nil"/>
            </w:tcBorders>
            <w:shd w:val="clear" w:color="auto" w:fill="auto"/>
          </w:tcPr>
          <w:p w14:paraId="432A6310" w14:textId="59BF403E" w:rsidR="00B37B93" w:rsidRPr="007B60BF" w:rsidRDefault="00B37B93" w:rsidP="00B37B93">
            <w:pPr>
              <w:jc w:val="right"/>
              <w:rPr>
                <w:bCs/>
              </w:rPr>
            </w:pPr>
            <w:r w:rsidRPr="007B60BF">
              <w:t>12.071</w:t>
            </w:r>
          </w:p>
        </w:tc>
      </w:tr>
      <w:tr w:rsidR="00B37B93" w:rsidRPr="007B60BF" w14:paraId="63EB1425" w14:textId="77777777" w:rsidTr="00D158A0">
        <w:tc>
          <w:tcPr>
            <w:tcW w:w="2858" w:type="pct"/>
            <w:tcBorders>
              <w:top w:val="nil"/>
              <w:left w:val="nil"/>
              <w:bottom w:val="nil"/>
              <w:right w:val="nil"/>
            </w:tcBorders>
            <w:shd w:val="clear" w:color="auto" w:fill="auto"/>
            <w:vAlign w:val="center"/>
            <w:hideMark/>
          </w:tcPr>
          <w:p w14:paraId="171AD9D6" w14:textId="4153984E" w:rsidR="00B37B93" w:rsidRPr="007B60BF" w:rsidRDefault="00B37B93" w:rsidP="00B37B93">
            <w:r w:rsidRPr="007B60BF">
              <w:t xml:space="preserve">   Pesquisa e Ensino</w:t>
            </w:r>
          </w:p>
        </w:tc>
        <w:tc>
          <w:tcPr>
            <w:tcW w:w="164" w:type="pct"/>
            <w:tcBorders>
              <w:top w:val="nil"/>
              <w:left w:val="nil"/>
              <w:bottom w:val="nil"/>
              <w:right w:val="nil"/>
            </w:tcBorders>
            <w:shd w:val="clear" w:color="auto" w:fill="auto"/>
            <w:noWrap/>
            <w:vAlign w:val="center"/>
            <w:hideMark/>
          </w:tcPr>
          <w:p w14:paraId="7C2395F2"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tcPr>
          <w:p w14:paraId="7C3C4F62" w14:textId="57506910" w:rsidR="00B37B93" w:rsidRPr="007B60BF" w:rsidRDefault="000F5414" w:rsidP="00B37B93">
            <w:pPr>
              <w:jc w:val="right"/>
            </w:pPr>
            <w:r w:rsidRPr="007B60BF">
              <w:t>12.963</w:t>
            </w:r>
          </w:p>
        </w:tc>
        <w:tc>
          <w:tcPr>
            <w:tcW w:w="204" w:type="pct"/>
            <w:tcBorders>
              <w:top w:val="nil"/>
              <w:left w:val="nil"/>
              <w:bottom w:val="nil"/>
              <w:right w:val="nil"/>
            </w:tcBorders>
            <w:shd w:val="clear" w:color="auto" w:fill="auto"/>
            <w:vAlign w:val="center"/>
          </w:tcPr>
          <w:p w14:paraId="30BE6727" w14:textId="2AD80223" w:rsidR="00B37B93" w:rsidRPr="007B60BF" w:rsidRDefault="00B37B93" w:rsidP="00B37B93">
            <w:pPr>
              <w:jc w:val="right"/>
            </w:pPr>
          </w:p>
        </w:tc>
        <w:tc>
          <w:tcPr>
            <w:tcW w:w="867" w:type="pct"/>
            <w:tcBorders>
              <w:top w:val="nil"/>
              <w:left w:val="nil"/>
              <w:bottom w:val="nil"/>
              <w:right w:val="nil"/>
            </w:tcBorders>
            <w:shd w:val="clear" w:color="auto" w:fill="auto"/>
          </w:tcPr>
          <w:p w14:paraId="13880316" w14:textId="263D2612" w:rsidR="00B37B93" w:rsidRPr="007B60BF" w:rsidRDefault="00B37B93" w:rsidP="00B37B93">
            <w:pPr>
              <w:jc w:val="right"/>
              <w:rPr>
                <w:bCs/>
              </w:rPr>
            </w:pPr>
            <w:r w:rsidRPr="007B60BF">
              <w:t>54.483</w:t>
            </w:r>
          </w:p>
        </w:tc>
      </w:tr>
      <w:tr w:rsidR="00B37B93" w:rsidRPr="007B60BF" w14:paraId="54DE752D" w14:textId="77777777" w:rsidTr="00D158A0">
        <w:tc>
          <w:tcPr>
            <w:tcW w:w="2858" w:type="pct"/>
            <w:tcBorders>
              <w:top w:val="nil"/>
              <w:left w:val="nil"/>
              <w:bottom w:val="nil"/>
              <w:right w:val="nil"/>
            </w:tcBorders>
            <w:shd w:val="clear" w:color="auto" w:fill="auto"/>
            <w:vAlign w:val="center"/>
            <w:hideMark/>
          </w:tcPr>
          <w:p w14:paraId="4C70AF46" w14:textId="77777777" w:rsidR="00B37B93" w:rsidRPr="007B60BF" w:rsidRDefault="00B37B93" w:rsidP="00B37B93">
            <w:r w:rsidRPr="007B60BF">
              <w:t xml:space="preserve">   Outros Serviços</w:t>
            </w:r>
          </w:p>
        </w:tc>
        <w:tc>
          <w:tcPr>
            <w:tcW w:w="164" w:type="pct"/>
            <w:tcBorders>
              <w:top w:val="nil"/>
              <w:left w:val="nil"/>
              <w:bottom w:val="nil"/>
              <w:right w:val="nil"/>
            </w:tcBorders>
            <w:shd w:val="clear" w:color="auto" w:fill="auto"/>
            <w:noWrap/>
            <w:vAlign w:val="center"/>
            <w:hideMark/>
          </w:tcPr>
          <w:p w14:paraId="1A00F67C"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single" w:sz="8" w:space="0" w:color="auto"/>
              <w:right w:val="nil"/>
            </w:tcBorders>
            <w:shd w:val="clear" w:color="auto" w:fill="auto"/>
          </w:tcPr>
          <w:p w14:paraId="31FCB5A9" w14:textId="34ED8FAD" w:rsidR="00B37B93" w:rsidRPr="007B60BF" w:rsidRDefault="000F5414" w:rsidP="00B37B93">
            <w:pPr>
              <w:jc w:val="right"/>
            </w:pPr>
            <w:r w:rsidRPr="007B60BF">
              <w:t>3.011</w:t>
            </w:r>
          </w:p>
        </w:tc>
        <w:tc>
          <w:tcPr>
            <w:tcW w:w="204" w:type="pct"/>
            <w:tcBorders>
              <w:top w:val="nil"/>
              <w:left w:val="nil"/>
              <w:bottom w:val="nil"/>
              <w:right w:val="nil"/>
            </w:tcBorders>
            <w:shd w:val="clear" w:color="auto" w:fill="auto"/>
            <w:vAlign w:val="center"/>
          </w:tcPr>
          <w:p w14:paraId="46D1DA3A" w14:textId="39B1D645" w:rsidR="00B37B93" w:rsidRPr="007B60BF" w:rsidRDefault="00B37B93" w:rsidP="00B37B93">
            <w:pPr>
              <w:jc w:val="right"/>
            </w:pPr>
          </w:p>
        </w:tc>
        <w:tc>
          <w:tcPr>
            <w:tcW w:w="867" w:type="pct"/>
            <w:tcBorders>
              <w:top w:val="nil"/>
              <w:left w:val="nil"/>
              <w:bottom w:val="single" w:sz="8" w:space="0" w:color="auto"/>
              <w:right w:val="nil"/>
            </w:tcBorders>
            <w:shd w:val="clear" w:color="auto" w:fill="auto"/>
          </w:tcPr>
          <w:p w14:paraId="7BADC7FF" w14:textId="3F08218C" w:rsidR="00B37B93" w:rsidRPr="007B60BF" w:rsidRDefault="00B37B93" w:rsidP="00B37B93">
            <w:pPr>
              <w:jc w:val="right"/>
              <w:rPr>
                <w:bCs/>
              </w:rPr>
            </w:pPr>
            <w:r w:rsidRPr="007B60BF">
              <w:t>5.616</w:t>
            </w:r>
          </w:p>
        </w:tc>
      </w:tr>
      <w:tr w:rsidR="00B37B93" w:rsidRPr="007B60BF" w14:paraId="5E71B25B" w14:textId="77777777" w:rsidTr="00D158A0">
        <w:tc>
          <w:tcPr>
            <w:tcW w:w="2858" w:type="pct"/>
            <w:tcBorders>
              <w:top w:val="nil"/>
              <w:left w:val="nil"/>
              <w:bottom w:val="nil"/>
              <w:right w:val="nil"/>
            </w:tcBorders>
            <w:shd w:val="clear" w:color="auto" w:fill="auto"/>
            <w:vAlign w:val="center"/>
            <w:hideMark/>
          </w:tcPr>
          <w:p w14:paraId="75421CC8" w14:textId="77777777" w:rsidR="00B37B93" w:rsidRPr="007B60BF" w:rsidRDefault="00B37B93" w:rsidP="00B37B93">
            <w:pPr>
              <w:rPr>
                <w:b/>
                <w:bCs/>
              </w:rPr>
            </w:pPr>
            <w:r w:rsidRPr="007B60BF">
              <w:rPr>
                <w:b/>
                <w:bCs/>
              </w:rPr>
              <w:t>Total de Serviços Prestados</w:t>
            </w:r>
          </w:p>
        </w:tc>
        <w:tc>
          <w:tcPr>
            <w:tcW w:w="164" w:type="pct"/>
            <w:tcBorders>
              <w:top w:val="nil"/>
              <w:left w:val="nil"/>
              <w:bottom w:val="nil"/>
              <w:right w:val="nil"/>
            </w:tcBorders>
            <w:shd w:val="clear" w:color="auto" w:fill="auto"/>
            <w:noWrap/>
            <w:vAlign w:val="center"/>
            <w:hideMark/>
          </w:tcPr>
          <w:p w14:paraId="045711E8" w14:textId="77777777" w:rsidR="00B37B93" w:rsidRPr="007B60BF" w:rsidRDefault="00B37B93" w:rsidP="00B37B93">
            <w:pPr>
              <w:rPr>
                <w:rFonts w:ascii="Calibri" w:hAnsi="Calibri"/>
                <w:b/>
                <w:bCs/>
              </w:rPr>
            </w:pPr>
            <w:r w:rsidRPr="007B60BF">
              <w:rPr>
                <w:rFonts w:ascii="Calibri" w:hAnsi="Calibri"/>
                <w:b/>
                <w:bCs/>
              </w:rPr>
              <w:t> </w:t>
            </w:r>
          </w:p>
        </w:tc>
        <w:tc>
          <w:tcPr>
            <w:tcW w:w="907" w:type="pct"/>
            <w:tcBorders>
              <w:top w:val="nil"/>
              <w:left w:val="nil"/>
              <w:bottom w:val="single" w:sz="8" w:space="0" w:color="auto"/>
              <w:right w:val="nil"/>
            </w:tcBorders>
            <w:shd w:val="clear" w:color="auto" w:fill="auto"/>
          </w:tcPr>
          <w:p w14:paraId="1B569E77" w14:textId="6584BAAB" w:rsidR="00B37B93" w:rsidRPr="007B60BF" w:rsidRDefault="000F5414" w:rsidP="00B37B93">
            <w:pPr>
              <w:tabs>
                <w:tab w:val="left" w:pos="1407"/>
              </w:tabs>
              <w:jc w:val="right"/>
              <w:rPr>
                <w:b/>
              </w:rPr>
            </w:pPr>
            <w:r w:rsidRPr="007B60BF">
              <w:rPr>
                <w:b/>
              </w:rPr>
              <w:t>382.618</w:t>
            </w:r>
          </w:p>
        </w:tc>
        <w:tc>
          <w:tcPr>
            <w:tcW w:w="204" w:type="pct"/>
            <w:tcBorders>
              <w:top w:val="nil"/>
              <w:left w:val="nil"/>
              <w:bottom w:val="nil"/>
              <w:right w:val="nil"/>
            </w:tcBorders>
            <w:shd w:val="clear" w:color="auto" w:fill="auto"/>
            <w:vAlign w:val="center"/>
          </w:tcPr>
          <w:p w14:paraId="650A0303" w14:textId="24163A92" w:rsidR="00B37B93" w:rsidRPr="007B60BF" w:rsidRDefault="00B37B93" w:rsidP="00B37B93">
            <w:pPr>
              <w:rPr>
                <w:b/>
                <w:bCs/>
              </w:rPr>
            </w:pPr>
          </w:p>
        </w:tc>
        <w:tc>
          <w:tcPr>
            <w:tcW w:w="867" w:type="pct"/>
            <w:tcBorders>
              <w:top w:val="nil"/>
              <w:left w:val="nil"/>
              <w:bottom w:val="single" w:sz="8" w:space="0" w:color="auto"/>
              <w:right w:val="nil"/>
            </w:tcBorders>
            <w:shd w:val="clear" w:color="auto" w:fill="auto"/>
          </w:tcPr>
          <w:p w14:paraId="4C226461" w14:textId="16FC44F9" w:rsidR="00B37B93" w:rsidRPr="007B60BF" w:rsidRDefault="00B37B93" w:rsidP="00B37B93">
            <w:pPr>
              <w:jc w:val="right"/>
              <w:rPr>
                <w:b/>
                <w:bCs/>
              </w:rPr>
            </w:pPr>
            <w:r w:rsidRPr="007B60BF">
              <w:rPr>
                <w:b/>
              </w:rPr>
              <w:t>379.338</w:t>
            </w:r>
          </w:p>
        </w:tc>
      </w:tr>
      <w:tr w:rsidR="00B37B93" w:rsidRPr="007B60BF" w14:paraId="0CF6DF79" w14:textId="77777777" w:rsidTr="00D158A0">
        <w:tc>
          <w:tcPr>
            <w:tcW w:w="2858" w:type="pct"/>
            <w:tcBorders>
              <w:top w:val="nil"/>
              <w:left w:val="nil"/>
              <w:bottom w:val="nil"/>
              <w:right w:val="nil"/>
            </w:tcBorders>
            <w:shd w:val="clear" w:color="auto" w:fill="auto"/>
            <w:vAlign w:val="center"/>
            <w:hideMark/>
          </w:tcPr>
          <w:p w14:paraId="4AD43416" w14:textId="77777777" w:rsidR="00B37B93" w:rsidRPr="007B60BF" w:rsidRDefault="00B37B93" w:rsidP="00B37B93">
            <w:r w:rsidRPr="007B60BF">
              <w:t>Deduções da Receita Bruta</w:t>
            </w:r>
          </w:p>
        </w:tc>
        <w:tc>
          <w:tcPr>
            <w:tcW w:w="164" w:type="pct"/>
            <w:tcBorders>
              <w:top w:val="nil"/>
              <w:left w:val="nil"/>
              <w:bottom w:val="nil"/>
              <w:right w:val="nil"/>
            </w:tcBorders>
            <w:shd w:val="clear" w:color="auto" w:fill="auto"/>
            <w:noWrap/>
            <w:vAlign w:val="center"/>
            <w:hideMark/>
          </w:tcPr>
          <w:p w14:paraId="49DF0077"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bottom w:val="nil"/>
              <w:right w:val="nil"/>
            </w:tcBorders>
            <w:shd w:val="clear" w:color="auto" w:fill="auto"/>
          </w:tcPr>
          <w:p w14:paraId="0B21B238" w14:textId="27267F0F" w:rsidR="00B37B93" w:rsidRPr="007B60BF" w:rsidRDefault="00B37B93" w:rsidP="00B37B93">
            <w:pPr>
              <w:jc w:val="right"/>
            </w:pPr>
          </w:p>
        </w:tc>
        <w:tc>
          <w:tcPr>
            <w:tcW w:w="204" w:type="pct"/>
            <w:tcBorders>
              <w:top w:val="nil"/>
              <w:left w:val="nil"/>
              <w:bottom w:val="nil"/>
              <w:right w:val="nil"/>
            </w:tcBorders>
            <w:shd w:val="clear" w:color="auto" w:fill="auto"/>
            <w:vAlign w:val="center"/>
          </w:tcPr>
          <w:p w14:paraId="26BED1C8" w14:textId="1DAB9F18" w:rsidR="00B37B93" w:rsidRPr="007B60BF" w:rsidRDefault="00B37B93" w:rsidP="00B37B93"/>
        </w:tc>
        <w:tc>
          <w:tcPr>
            <w:tcW w:w="867" w:type="pct"/>
            <w:tcBorders>
              <w:top w:val="nil"/>
              <w:left w:val="nil"/>
              <w:bottom w:val="nil"/>
              <w:right w:val="nil"/>
            </w:tcBorders>
            <w:shd w:val="clear" w:color="auto" w:fill="auto"/>
          </w:tcPr>
          <w:p w14:paraId="0182AB6B" w14:textId="5982F0AC" w:rsidR="00B37B93" w:rsidRPr="007B60BF" w:rsidRDefault="00B37B93" w:rsidP="00B37B93">
            <w:pPr>
              <w:jc w:val="right"/>
              <w:rPr>
                <w:b/>
                <w:bCs/>
              </w:rPr>
            </w:pPr>
          </w:p>
        </w:tc>
      </w:tr>
      <w:tr w:rsidR="00B37B93" w:rsidRPr="007B60BF" w14:paraId="0FF057AD" w14:textId="77777777" w:rsidTr="00D158A0">
        <w:tc>
          <w:tcPr>
            <w:tcW w:w="2858" w:type="pct"/>
            <w:tcBorders>
              <w:top w:val="nil"/>
              <w:left w:val="nil"/>
              <w:bottom w:val="nil"/>
              <w:right w:val="nil"/>
            </w:tcBorders>
            <w:shd w:val="clear" w:color="auto" w:fill="auto"/>
            <w:vAlign w:val="center"/>
            <w:hideMark/>
          </w:tcPr>
          <w:p w14:paraId="75E7CFE4" w14:textId="77777777" w:rsidR="00B37B93" w:rsidRPr="007B60BF" w:rsidRDefault="00B37B93" w:rsidP="00B37B93">
            <w:r w:rsidRPr="007B60BF">
              <w:t xml:space="preserve">   PIS sobre Faturamento</w:t>
            </w:r>
          </w:p>
        </w:tc>
        <w:tc>
          <w:tcPr>
            <w:tcW w:w="164" w:type="pct"/>
            <w:tcBorders>
              <w:top w:val="nil"/>
              <w:left w:val="nil"/>
              <w:bottom w:val="nil"/>
              <w:right w:val="nil"/>
            </w:tcBorders>
            <w:shd w:val="clear" w:color="auto" w:fill="auto"/>
            <w:noWrap/>
            <w:vAlign w:val="center"/>
            <w:hideMark/>
          </w:tcPr>
          <w:p w14:paraId="591F463D"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right w:val="nil"/>
            </w:tcBorders>
            <w:shd w:val="clear" w:color="auto" w:fill="auto"/>
          </w:tcPr>
          <w:p w14:paraId="1FD683AE" w14:textId="43E30B8F" w:rsidR="00B37B93" w:rsidRPr="007B60BF" w:rsidRDefault="000F5414" w:rsidP="00B37B93">
            <w:pPr>
              <w:jc w:val="right"/>
            </w:pPr>
            <w:r w:rsidRPr="007B60BF">
              <w:t>(598)</w:t>
            </w:r>
          </w:p>
        </w:tc>
        <w:tc>
          <w:tcPr>
            <w:tcW w:w="204" w:type="pct"/>
            <w:tcBorders>
              <w:top w:val="nil"/>
              <w:left w:val="nil"/>
              <w:right w:val="nil"/>
            </w:tcBorders>
            <w:shd w:val="clear" w:color="auto" w:fill="auto"/>
            <w:vAlign w:val="center"/>
          </w:tcPr>
          <w:p w14:paraId="038664CF" w14:textId="5C030B4C" w:rsidR="00B37B93" w:rsidRPr="007B60BF" w:rsidRDefault="00B37B93" w:rsidP="00B37B93"/>
        </w:tc>
        <w:tc>
          <w:tcPr>
            <w:tcW w:w="867" w:type="pct"/>
            <w:tcBorders>
              <w:top w:val="nil"/>
              <w:left w:val="nil"/>
              <w:right w:val="nil"/>
            </w:tcBorders>
            <w:shd w:val="clear" w:color="auto" w:fill="auto"/>
          </w:tcPr>
          <w:p w14:paraId="55D60E53" w14:textId="6F0A7DE2" w:rsidR="00B37B93" w:rsidRPr="007B60BF" w:rsidRDefault="00B37B93" w:rsidP="00B37B93">
            <w:pPr>
              <w:jc w:val="right"/>
              <w:rPr>
                <w:bCs/>
              </w:rPr>
            </w:pPr>
            <w:r w:rsidRPr="007B60BF">
              <w:t>(802)</w:t>
            </w:r>
          </w:p>
        </w:tc>
      </w:tr>
      <w:tr w:rsidR="00B37B93" w:rsidRPr="007B60BF" w14:paraId="714176E7" w14:textId="77777777" w:rsidTr="00D158A0">
        <w:tc>
          <w:tcPr>
            <w:tcW w:w="2858" w:type="pct"/>
            <w:tcBorders>
              <w:top w:val="nil"/>
              <w:left w:val="nil"/>
              <w:bottom w:val="nil"/>
              <w:right w:val="nil"/>
            </w:tcBorders>
            <w:shd w:val="clear" w:color="auto" w:fill="auto"/>
            <w:vAlign w:val="center"/>
            <w:hideMark/>
          </w:tcPr>
          <w:p w14:paraId="1260534E" w14:textId="77777777" w:rsidR="00B37B93" w:rsidRPr="007B60BF" w:rsidRDefault="00B37B93" w:rsidP="00B37B93">
            <w:r w:rsidRPr="007B60BF">
              <w:t xml:space="preserve">   COFINS sobre Faturamento</w:t>
            </w:r>
          </w:p>
        </w:tc>
        <w:tc>
          <w:tcPr>
            <w:tcW w:w="164" w:type="pct"/>
            <w:tcBorders>
              <w:top w:val="nil"/>
              <w:left w:val="nil"/>
              <w:bottom w:val="nil"/>
              <w:right w:val="nil"/>
            </w:tcBorders>
            <w:shd w:val="clear" w:color="auto" w:fill="auto"/>
            <w:noWrap/>
            <w:vAlign w:val="center"/>
            <w:hideMark/>
          </w:tcPr>
          <w:p w14:paraId="14688771" w14:textId="77777777" w:rsidR="00B37B93" w:rsidRPr="007B60BF" w:rsidRDefault="00B37B93" w:rsidP="00B37B93">
            <w:pPr>
              <w:rPr>
                <w:rFonts w:ascii="Calibri" w:hAnsi="Calibri"/>
              </w:rPr>
            </w:pPr>
            <w:r w:rsidRPr="007B60BF">
              <w:rPr>
                <w:rFonts w:ascii="Calibri" w:hAnsi="Calibri"/>
              </w:rPr>
              <w:t> </w:t>
            </w:r>
          </w:p>
        </w:tc>
        <w:tc>
          <w:tcPr>
            <w:tcW w:w="907" w:type="pct"/>
            <w:tcBorders>
              <w:top w:val="nil"/>
              <w:left w:val="nil"/>
              <w:right w:val="nil"/>
            </w:tcBorders>
            <w:shd w:val="clear" w:color="auto" w:fill="auto"/>
          </w:tcPr>
          <w:p w14:paraId="0920C50F" w14:textId="46CEF8DD" w:rsidR="00B37B93" w:rsidRPr="007B60BF" w:rsidRDefault="000F5414" w:rsidP="00B37B93">
            <w:pPr>
              <w:jc w:val="right"/>
            </w:pPr>
            <w:r w:rsidRPr="007B60BF">
              <w:t>(2.758)</w:t>
            </w:r>
          </w:p>
        </w:tc>
        <w:tc>
          <w:tcPr>
            <w:tcW w:w="204" w:type="pct"/>
            <w:tcBorders>
              <w:top w:val="nil"/>
              <w:left w:val="nil"/>
              <w:right w:val="nil"/>
            </w:tcBorders>
            <w:shd w:val="clear" w:color="auto" w:fill="auto"/>
            <w:vAlign w:val="center"/>
          </w:tcPr>
          <w:p w14:paraId="49347D1B" w14:textId="4073E2D1" w:rsidR="00B37B93" w:rsidRPr="007B60BF" w:rsidRDefault="00B37B93" w:rsidP="00B37B93">
            <w:pPr>
              <w:jc w:val="right"/>
            </w:pPr>
          </w:p>
        </w:tc>
        <w:tc>
          <w:tcPr>
            <w:tcW w:w="867" w:type="pct"/>
            <w:tcBorders>
              <w:top w:val="nil"/>
              <w:left w:val="nil"/>
              <w:right w:val="nil"/>
            </w:tcBorders>
            <w:shd w:val="clear" w:color="auto" w:fill="auto"/>
          </w:tcPr>
          <w:p w14:paraId="7DB05889" w14:textId="1CA19AD0" w:rsidR="00B37B93" w:rsidRPr="007B60BF" w:rsidRDefault="00B37B93" w:rsidP="00B37B93">
            <w:pPr>
              <w:jc w:val="right"/>
              <w:rPr>
                <w:bCs/>
              </w:rPr>
            </w:pPr>
            <w:r w:rsidRPr="007B60BF">
              <w:t>(3.703)</w:t>
            </w:r>
          </w:p>
        </w:tc>
      </w:tr>
      <w:tr w:rsidR="00B37B93" w:rsidRPr="007B60BF" w14:paraId="14BFC44B" w14:textId="77777777" w:rsidTr="00D158A0">
        <w:tc>
          <w:tcPr>
            <w:tcW w:w="2858" w:type="pct"/>
            <w:tcBorders>
              <w:top w:val="nil"/>
              <w:left w:val="nil"/>
              <w:bottom w:val="nil"/>
              <w:right w:val="nil"/>
            </w:tcBorders>
            <w:shd w:val="clear" w:color="auto" w:fill="auto"/>
            <w:vAlign w:val="center"/>
            <w:hideMark/>
          </w:tcPr>
          <w:p w14:paraId="031562B9" w14:textId="77777777" w:rsidR="00B37B93" w:rsidRPr="007B60BF" w:rsidRDefault="00B37B93" w:rsidP="00B37B93">
            <w:pPr>
              <w:rPr>
                <w:b/>
                <w:bCs/>
              </w:rPr>
            </w:pPr>
            <w:r w:rsidRPr="007B60BF">
              <w:rPr>
                <w:b/>
                <w:bCs/>
              </w:rPr>
              <w:t>Total das Deduções da Receita Bruta</w:t>
            </w:r>
          </w:p>
        </w:tc>
        <w:tc>
          <w:tcPr>
            <w:tcW w:w="164" w:type="pct"/>
            <w:tcBorders>
              <w:top w:val="nil"/>
              <w:left w:val="nil"/>
              <w:bottom w:val="nil"/>
              <w:right w:val="nil"/>
            </w:tcBorders>
            <w:shd w:val="clear" w:color="auto" w:fill="auto"/>
            <w:noWrap/>
            <w:vAlign w:val="center"/>
            <w:hideMark/>
          </w:tcPr>
          <w:p w14:paraId="66791764" w14:textId="77777777" w:rsidR="00B37B93" w:rsidRPr="007B60BF" w:rsidRDefault="00B37B93" w:rsidP="00B37B93">
            <w:pPr>
              <w:rPr>
                <w:rFonts w:ascii="Calibri" w:hAnsi="Calibri"/>
                <w:b/>
                <w:bCs/>
              </w:rPr>
            </w:pPr>
            <w:r w:rsidRPr="007B60BF">
              <w:rPr>
                <w:rFonts w:ascii="Calibri" w:hAnsi="Calibri"/>
                <w:b/>
                <w:bCs/>
              </w:rPr>
              <w:t> </w:t>
            </w:r>
          </w:p>
        </w:tc>
        <w:tc>
          <w:tcPr>
            <w:tcW w:w="907" w:type="pct"/>
            <w:tcBorders>
              <w:top w:val="single" w:sz="4" w:space="0" w:color="auto"/>
              <w:left w:val="nil"/>
              <w:bottom w:val="single" w:sz="8" w:space="0" w:color="auto"/>
              <w:right w:val="nil"/>
            </w:tcBorders>
            <w:shd w:val="clear" w:color="auto" w:fill="auto"/>
          </w:tcPr>
          <w:p w14:paraId="4E833C68" w14:textId="0D9E8800" w:rsidR="00B37B93" w:rsidRPr="007B60BF" w:rsidRDefault="000F5414" w:rsidP="00B37B93">
            <w:pPr>
              <w:jc w:val="right"/>
              <w:rPr>
                <w:b/>
              </w:rPr>
            </w:pPr>
            <w:r w:rsidRPr="007B60BF">
              <w:rPr>
                <w:b/>
              </w:rPr>
              <w:t>(3.356)</w:t>
            </w:r>
          </w:p>
        </w:tc>
        <w:tc>
          <w:tcPr>
            <w:tcW w:w="204" w:type="pct"/>
            <w:tcBorders>
              <w:top w:val="nil"/>
              <w:left w:val="nil"/>
              <w:bottom w:val="nil"/>
              <w:right w:val="nil"/>
            </w:tcBorders>
            <w:shd w:val="clear" w:color="auto" w:fill="auto"/>
            <w:vAlign w:val="center"/>
          </w:tcPr>
          <w:p w14:paraId="1BB153E6" w14:textId="5087F533" w:rsidR="00B37B93" w:rsidRPr="007B60BF" w:rsidRDefault="00B37B93" w:rsidP="00B37B93">
            <w:pPr>
              <w:rPr>
                <w:b/>
                <w:bCs/>
              </w:rPr>
            </w:pPr>
          </w:p>
        </w:tc>
        <w:tc>
          <w:tcPr>
            <w:tcW w:w="867" w:type="pct"/>
            <w:tcBorders>
              <w:top w:val="single" w:sz="4" w:space="0" w:color="auto"/>
              <w:left w:val="nil"/>
              <w:bottom w:val="single" w:sz="8" w:space="0" w:color="auto"/>
              <w:right w:val="nil"/>
            </w:tcBorders>
            <w:shd w:val="clear" w:color="auto" w:fill="auto"/>
          </w:tcPr>
          <w:p w14:paraId="7CEC6A87" w14:textId="2E3BD7D5" w:rsidR="00B37B93" w:rsidRPr="007B60BF" w:rsidRDefault="00B37B93" w:rsidP="00B37B93">
            <w:pPr>
              <w:jc w:val="right"/>
              <w:rPr>
                <w:b/>
                <w:bCs/>
              </w:rPr>
            </w:pPr>
            <w:r w:rsidRPr="007B60BF">
              <w:rPr>
                <w:b/>
              </w:rPr>
              <w:t>(4.505)</w:t>
            </w:r>
          </w:p>
        </w:tc>
      </w:tr>
      <w:tr w:rsidR="00B37B93" w:rsidRPr="007B60BF" w14:paraId="7C0F84D2" w14:textId="77777777" w:rsidTr="00D158A0">
        <w:tc>
          <w:tcPr>
            <w:tcW w:w="2858" w:type="pct"/>
            <w:tcBorders>
              <w:top w:val="nil"/>
              <w:left w:val="nil"/>
              <w:bottom w:val="nil"/>
              <w:right w:val="nil"/>
            </w:tcBorders>
            <w:shd w:val="clear" w:color="auto" w:fill="auto"/>
            <w:vAlign w:val="center"/>
            <w:hideMark/>
          </w:tcPr>
          <w:p w14:paraId="1BDA1F7B" w14:textId="77777777" w:rsidR="00B37B93" w:rsidRPr="007B60BF" w:rsidRDefault="00B37B93" w:rsidP="00B37B93">
            <w:pPr>
              <w:rPr>
                <w:b/>
                <w:bCs/>
              </w:rPr>
            </w:pPr>
            <w:r w:rsidRPr="007B60BF">
              <w:rPr>
                <w:b/>
                <w:bCs/>
              </w:rPr>
              <w:t>Receita Líquida Operacional</w:t>
            </w:r>
          </w:p>
        </w:tc>
        <w:tc>
          <w:tcPr>
            <w:tcW w:w="164" w:type="pct"/>
            <w:tcBorders>
              <w:top w:val="nil"/>
              <w:left w:val="nil"/>
              <w:bottom w:val="nil"/>
              <w:right w:val="nil"/>
            </w:tcBorders>
            <w:shd w:val="clear" w:color="auto" w:fill="auto"/>
            <w:noWrap/>
            <w:vAlign w:val="center"/>
            <w:hideMark/>
          </w:tcPr>
          <w:p w14:paraId="19F667EF" w14:textId="77777777" w:rsidR="00B37B93" w:rsidRPr="007B60BF" w:rsidRDefault="00B37B93" w:rsidP="00B37B93">
            <w:pPr>
              <w:rPr>
                <w:rFonts w:ascii="Calibri" w:hAnsi="Calibri"/>
                <w:b/>
                <w:bCs/>
              </w:rPr>
            </w:pPr>
            <w:r w:rsidRPr="007B60BF">
              <w:rPr>
                <w:rFonts w:ascii="Calibri" w:hAnsi="Calibri"/>
                <w:b/>
                <w:bCs/>
              </w:rPr>
              <w:t> </w:t>
            </w:r>
          </w:p>
        </w:tc>
        <w:tc>
          <w:tcPr>
            <w:tcW w:w="907" w:type="pct"/>
            <w:tcBorders>
              <w:top w:val="nil"/>
              <w:left w:val="nil"/>
              <w:bottom w:val="double" w:sz="6" w:space="0" w:color="auto"/>
              <w:right w:val="nil"/>
            </w:tcBorders>
            <w:shd w:val="clear" w:color="auto" w:fill="auto"/>
          </w:tcPr>
          <w:p w14:paraId="1CFE02C9" w14:textId="01809590" w:rsidR="00B37B93" w:rsidRPr="007B60BF" w:rsidRDefault="000F5414" w:rsidP="00B37B93">
            <w:pPr>
              <w:jc w:val="right"/>
              <w:rPr>
                <w:b/>
              </w:rPr>
            </w:pPr>
            <w:r w:rsidRPr="007B60BF">
              <w:rPr>
                <w:b/>
              </w:rPr>
              <w:t>379.262</w:t>
            </w:r>
          </w:p>
        </w:tc>
        <w:tc>
          <w:tcPr>
            <w:tcW w:w="204" w:type="pct"/>
            <w:tcBorders>
              <w:top w:val="nil"/>
              <w:left w:val="nil"/>
              <w:bottom w:val="nil"/>
              <w:right w:val="nil"/>
            </w:tcBorders>
            <w:shd w:val="clear" w:color="auto" w:fill="auto"/>
            <w:vAlign w:val="center"/>
          </w:tcPr>
          <w:p w14:paraId="57BD8D05" w14:textId="64876C4C" w:rsidR="00B37B93" w:rsidRPr="007B60BF" w:rsidRDefault="00B37B93" w:rsidP="00B37B93">
            <w:pPr>
              <w:rPr>
                <w:b/>
                <w:bCs/>
              </w:rPr>
            </w:pPr>
          </w:p>
        </w:tc>
        <w:tc>
          <w:tcPr>
            <w:tcW w:w="867" w:type="pct"/>
            <w:tcBorders>
              <w:top w:val="nil"/>
              <w:left w:val="nil"/>
              <w:bottom w:val="double" w:sz="6" w:space="0" w:color="auto"/>
              <w:right w:val="nil"/>
            </w:tcBorders>
            <w:shd w:val="clear" w:color="auto" w:fill="auto"/>
          </w:tcPr>
          <w:p w14:paraId="1DD7D4E8" w14:textId="00177B02" w:rsidR="00B37B93" w:rsidRPr="007B60BF" w:rsidRDefault="00B37B93" w:rsidP="00B37B93">
            <w:pPr>
              <w:jc w:val="right"/>
              <w:rPr>
                <w:b/>
                <w:bCs/>
              </w:rPr>
            </w:pPr>
            <w:r w:rsidRPr="007B60BF">
              <w:rPr>
                <w:b/>
              </w:rPr>
              <w:t>374.833</w:t>
            </w:r>
          </w:p>
        </w:tc>
      </w:tr>
    </w:tbl>
    <w:p w14:paraId="7A67637F" w14:textId="77777777" w:rsidR="004B5A89" w:rsidRPr="007B60BF" w:rsidRDefault="004B5A89" w:rsidP="00247020">
      <w:pPr>
        <w:jc w:val="both"/>
      </w:pPr>
    </w:p>
    <w:p w14:paraId="3D527B91" w14:textId="30553823" w:rsidR="00C65F56" w:rsidRPr="007B60BF" w:rsidRDefault="002858D8" w:rsidP="00673D18">
      <w:pPr>
        <w:jc w:val="both"/>
      </w:pPr>
      <w:r w:rsidRPr="007B60BF">
        <w:t>A apresentação</w:t>
      </w:r>
      <w:r w:rsidR="005518A4" w:rsidRPr="007B60BF">
        <w:t xml:space="preserve"> do Demonstrat</w:t>
      </w:r>
      <w:r w:rsidR="0081701D" w:rsidRPr="007B60BF">
        <w:t>ivo de Resultado</w:t>
      </w:r>
      <w:r w:rsidR="00692C3A" w:rsidRPr="007B60BF">
        <w:t xml:space="preserve"> está</w:t>
      </w:r>
      <w:r w:rsidR="005518A4" w:rsidRPr="007B60BF">
        <w:t xml:space="preserve"> adequada </w:t>
      </w:r>
      <w:r w:rsidR="00167D19" w:rsidRPr="007B60BF">
        <w:t xml:space="preserve">à estrutura </w:t>
      </w:r>
      <w:r w:rsidR="0098715D" w:rsidRPr="007B60BF">
        <w:t xml:space="preserve">da Secretaria </w:t>
      </w:r>
      <w:r w:rsidR="00167D19" w:rsidRPr="007B60BF">
        <w:t>de Coordenação e Gov</w:t>
      </w:r>
      <w:r w:rsidR="0098715D" w:rsidRPr="007B60BF">
        <w:t>ernança das Empresas Estatais (S</w:t>
      </w:r>
      <w:r w:rsidR="00167D19" w:rsidRPr="007B60BF">
        <w:t>EST)</w:t>
      </w:r>
      <w:r w:rsidR="0052271A" w:rsidRPr="007B60BF">
        <w:t>. D</w:t>
      </w:r>
      <w:r w:rsidR="007E1D17" w:rsidRPr="007B60BF">
        <w:t>esta forma</w:t>
      </w:r>
      <w:r w:rsidRPr="007B60BF">
        <w:t>,</w:t>
      </w:r>
      <w:r w:rsidR="00167D19" w:rsidRPr="007B60BF">
        <w:t xml:space="preserve"> os repasses recebidos </w:t>
      </w:r>
      <w:r w:rsidR="00692C3A" w:rsidRPr="007B60BF">
        <w:t>não</w:t>
      </w:r>
      <w:r w:rsidR="00205C9B" w:rsidRPr="007B60BF">
        <w:t xml:space="preserve"> comp</w:t>
      </w:r>
      <w:r w:rsidR="00692C3A" w:rsidRPr="007B60BF">
        <w:t>õem</w:t>
      </w:r>
      <w:r w:rsidRPr="007B60BF">
        <w:t xml:space="preserve"> o grupo de</w:t>
      </w:r>
      <w:r w:rsidR="00205C9B" w:rsidRPr="007B60BF">
        <w:t xml:space="preserve"> receitas operacionais</w:t>
      </w:r>
      <w:r w:rsidRPr="007B60BF">
        <w:t>,</w:t>
      </w:r>
      <w:r w:rsidR="00692C3A" w:rsidRPr="007B60BF">
        <w:t xml:space="preserve"> sendo apresentados</w:t>
      </w:r>
      <w:r w:rsidR="003E4760" w:rsidRPr="007B60BF">
        <w:t xml:space="preserve"> </w:t>
      </w:r>
      <w:r w:rsidR="00205C9B" w:rsidRPr="007B60BF">
        <w:t>separadamente</w:t>
      </w:r>
      <w:r w:rsidR="007325ED" w:rsidRPr="007B60BF">
        <w:t>.</w:t>
      </w:r>
    </w:p>
    <w:p w14:paraId="3EF6EAF4" w14:textId="4187765F" w:rsidR="00A94B35" w:rsidRPr="007B60BF" w:rsidRDefault="00A94B35" w:rsidP="00673D18">
      <w:pPr>
        <w:jc w:val="both"/>
      </w:pPr>
    </w:p>
    <w:p w14:paraId="04D4FD92" w14:textId="77777777" w:rsidR="00FA21A0" w:rsidRPr="007B60BF" w:rsidRDefault="00FA21A0" w:rsidP="00673D18">
      <w:pPr>
        <w:jc w:val="both"/>
      </w:pPr>
    </w:p>
    <w:p w14:paraId="205B3941" w14:textId="1C6313A3" w:rsidR="00940536" w:rsidRPr="007B60BF" w:rsidRDefault="00940536" w:rsidP="00086B22">
      <w:pPr>
        <w:pStyle w:val="Ttulo1"/>
        <w:numPr>
          <w:ilvl w:val="0"/>
          <w:numId w:val="5"/>
        </w:numPr>
        <w:ind w:left="0" w:hanging="567"/>
        <w:jc w:val="left"/>
      </w:pPr>
      <w:bookmarkStart w:id="62" w:name="_Ref466466536"/>
      <w:bookmarkStart w:id="63" w:name="_Ref466466548"/>
      <w:bookmarkStart w:id="64" w:name="_Ref466472624"/>
      <w:bookmarkStart w:id="65" w:name="_Ref476905318"/>
      <w:bookmarkStart w:id="66" w:name="_Toc1120457"/>
      <w:bookmarkStart w:id="67" w:name="_Toc223007867"/>
      <w:r w:rsidRPr="007B60BF">
        <w:t xml:space="preserve">Custos dos Serviços e Despesas </w:t>
      </w:r>
      <w:r w:rsidR="00D45A90" w:rsidRPr="007B60BF">
        <w:t>Operacionais</w:t>
      </w:r>
      <w:r w:rsidRPr="007B60BF">
        <w:t xml:space="preserve"> por Natureza</w:t>
      </w:r>
      <w:bookmarkEnd w:id="62"/>
      <w:bookmarkEnd w:id="63"/>
      <w:bookmarkEnd w:id="64"/>
      <w:bookmarkEnd w:id="65"/>
      <w:bookmarkEnd w:id="66"/>
      <w:bookmarkEnd w:id="67"/>
    </w:p>
    <w:p w14:paraId="66B03958" w14:textId="77777777" w:rsidR="00940536" w:rsidRPr="007B60BF" w:rsidRDefault="00940536" w:rsidP="00D454E8"/>
    <w:tbl>
      <w:tblPr>
        <w:tblW w:w="5000" w:type="pct"/>
        <w:tblCellMar>
          <w:left w:w="70" w:type="dxa"/>
          <w:right w:w="70" w:type="dxa"/>
        </w:tblCellMar>
        <w:tblLook w:val="04A0" w:firstRow="1" w:lastRow="0" w:firstColumn="1" w:lastColumn="0" w:noHBand="0" w:noVBand="1"/>
      </w:tblPr>
      <w:tblGrid>
        <w:gridCol w:w="2630"/>
        <w:gridCol w:w="940"/>
        <w:gridCol w:w="185"/>
        <w:gridCol w:w="884"/>
        <w:gridCol w:w="185"/>
        <w:gridCol w:w="1030"/>
        <w:gridCol w:w="146"/>
        <w:gridCol w:w="860"/>
        <w:gridCol w:w="146"/>
        <w:gridCol w:w="887"/>
        <w:gridCol w:w="146"/>
        <w:gridCol w:w="1032"/>
      </w:tblGrid>
      <w:tr w:rsidR="00B37B93" w:rsidRPr="007B60BF" w14:paraId="00A7B532" w14:textId="77777777" w:rsidTr="00B22017">
        <w:tc>
          <w:tcPr>
            <w:tcW w:w="1450" w:type="pct"/>
            <w:tcBorders>
              <w:top w:val="nil"/>
              <w:left w:val="nil"/>
              <w:bottom w:val="nil"/>
              <w:right w:val="nil"/>
            </w:tcBorders>
            <w:shd w:val="clear" w:color="000000" w:fill="FFFFFF"/>
            <w:vAlign w:val="center"/>
            <w:hideMark/>
          </w:tcPr>
          <w:p w14:paraId="1194D0CB" w14:textId="77777777" w:rsidR="00B37B93" w:rsidRPr="007B60BF" w:rsidRDefault="00B37B93" w:rsidP="00B37B93">
            <w:pPr>
              <w:rPr>
                <w:b/>
                <w:sz w:val="18"/>
                <w:szCs w:val="18"/>
              </w:rPr>
            </w:pPr>
          </w:p>
        </w:tc>
        <w:tc>
          <w:tcPr>
            <w:tcW w:w="518" w:type="pct"/>
            <w:tcBorders>
              <w:top w:val="nil"/>
              <w:left w:val="nil"/>
              <w:bottom w:val="single" w:sz="4" w:space="0" w:color="auto"/>
              <w:right w:val="nil"/>
            </w:tcBorders>
            <w:shd w:val="clear" w:color="auto" w:fill="auto"/>
            <w:vAlign w:val="center"/>
            <w:hideMark/>
          </w:tcPr>
          <w:p w14:paraId="151ABDD6" w14:textId="77777777" w:rsidR="00B37B93" w:rsidRPr="007B60BF" w:rsidRDefault="00B37B93" w:rsidP="00B37B93">
            <w:pPr>
              <w:jc w:val="right"/>
              <w:rPr>
                <w:b/>
                <w:sz w:val="18"/>
                <w:szCs w:val="18"/>
              </w:rPr>
            </w:pPr>
            <w:r w:rsidRPr="007B60BF">
              <w:rPr>
                <w:b/>
                <w:sz w:val="18"/>
                <w:szCs w:val="18"/>
              </w:rPr>
              <w:t> </w:t>
            </w:r>
          </w:p>
        </w:tc>
        <w:tc>
          <w:tcPr>
            <w:tcW w:w="102" w:type="pct"/>
            <w:tcBorders>
              <w:top w:val="nil"/>
              <w:left w:val="nil"/>
              <w:bottom w:val="single" w:sz="4" w:space="0" w:color="auto"/>
              <w:right w:val="nil"/>
            </w:tcBorders>
            <w:shd w:val="clear" w:color="000000" w:fill="FFFFFF"/>
            <w:vAlign w:val="center"/>
            <w:hideMark/>
          </w:tcPr>
          <w:p w14:paraId="3DF17629" w14:textId="77777777" w:rsidR="00B37B93" w:rsidRPr="007B60BF" w:rsidRDefault="00B37B93" w:rsidP="00B37B93">
            <w:pPr>
              <w:jc w:val="right"/>
              <w:rPr>
                <w:b/>
                <w:sz w:val="18"/>
                <w:szCs w:val="18"/>
              </w:rPr>
            </w:pPr>
            <w:r w:rsidRPr="007B60BF">
              <w:rPr>
                <w:b/>
                <w:sz w:val="18"/>
                <w:szCs w:val="18"/>
              </w:rPr>
              <w:t> </w:t>
            </w:r>
          </w:p>
        </w:tc>
        <w:tc>
          <w:tcPr>
            <w:tcW w:w="487" w:type="pct"/>
            <w:tcBorders>
              <w:top w:val="nil"/>
              <w:left w:val="nil"/>
              <w:bottom w:val="single" w:sz="4" w:space="0" w:color="auto"/>
              <w:right w:val="nil"/>
            </w:tcBorders>
            <w:shd w:val="clear" w:color="000000" w:fill="FFFFFF"/>
            <w:vAlign w:val="center"/>
            <w:hideMark/>
          </w:tcPr>
          <w:p w14:paraId="734EDE4E" w14:textId="77777777" w:rsidR="00B37B93" w:rsidRPr="007B60BF" w:rsidRDefault="00B37B93" w:rsidP="00B37B93">
            <w:pPr>
              <w:jc w:val="right"/>
              <w:rPr>
                <w:b/>
                <w:sz w:val="18"/>
                <w:szCs w:val="18"/>
              </w:rPr>
            </w:pPr>
            <w:r w:rsidRPr="007B60BF">
              <w:rPr>
                <w:b/>
                <w:sz w:val="18"/>
                <w:szCs w:val="18"/>
              </w:rPr>
              <w:t> </w:t>
            </w:r>
          </w:p>
        </w:tc>
        <w:tc>
          <w:tcPr>
            <w:tcW w:w="102" w:type="pct"/>
            <w:tcBorders>
              <w:top w:val="nil"/>
              <w:left w:val="nil"/>
              <w:bottom w:val="single" w:sz="4" w:space="0" w:color="auto"/>
              <w:right w:val="nil"/>
            </w:tcBorders>
            <w:shd w:val="clear" w:color="000000" w:fill="FFFFFF"/>
            <w:vAlign w:val="center"/>
            <w:hideMark/>
          </w:tcPr>
          <w:p w14:paraId="33B34741" w14:textId="77777777" w:rsidR="00B37B93" w:rsidRPr="007B60BF" w:rsidRDefault="00B37B93" w:rsidP="00B37B93">
            <w:pPr>
              <w:jc w:val="right"/>
              <w:rPr>
                <w:b/>
                <w:sz w:val="18"/>
                <w:szCs w:val="18"/>
              </w:rPr>
            </w:pPr>
            <w:r w:rsidRPr="007B60BF">
              <w:rPr>
                <w:b/>
                <w:sz w:val="18"/>
                <w:szCs w:val="18"/>
              </w:rPr>
              <w:t> </w:t>
            </w:r>
          </w:p>
        </w:tc>
        <w:tc>
          <w:tcPr>
            <w:tcW w:w="568" w:type="pct"/>
            <w:tcBorders>
              <w:top w:val="nil"/>
              <w:left w:val="nil"/>
              <w:bottom w:val="single" w:sz="4" w:space="0" w:color="auto"/>
              <w:right w:val="nil"/>
            </w:tcBorders>
            <w:shd w:val="clear" w:color="000000" w:fill="FFFFFF"/>
            <w:vAlign w:val="center"/>
            <w:hideMark/>
          </w:tcPr>
          <w:p w14:paraId="7FC15842" w14:textId="14970409" w:rsidR="00B37B93" w:rsidRPr="007B60BF" w:rsidRDefault="00B37B93" w:rsidP="00B37B93">
            <w:pPr>
              <w:jc w:val="right"/>
              <w:rPr>
                <w:b/>
                <w:bCs/>
                <w:sz w:val="18"/>
                <w:szCs w:val="18"/>
              </w:rPr>
            </w:pPr>
            <w:r w:rsidRPr="007B60BF">
              <w:rPr>
                <w:b/>
                <w:bCs/>
                <w:sz w:val="18"/>
                <w:szCs w:val="18"/>
              </w:rPr>
              <w:t>31/12/2025</w:t>
            </w:r>
          </w:p>
        </w:tc>
        <w:tc>
          <w:tcPr>
            <w:tcW w:w="80" w:type="pct"/>
            <w:tcBorders>
              <w:top w:val="nil"/>
              <w:left w:val="nil"/>
              <w:bottom w:val="nil"/>
              <w:right w:val="nil"/>
            </w:tcBorders>
            <w:shd w:val="clear" w:color="000000" w:fill="FFFFFF"/>
          </w:tcPr>
          <w:p w14:paraId="3763DF67" w14:textId="77777777" w:rsidR="00B37B93" w:rsidRPr="007B60BF" w:rsidRDefault="00B37B93" w:rsidP="00B37B93">
            <w:pPr>
              <w:rPr>
                <w:b/>
                <w:bCs/>
                <w:sz w:val="18"/>
                <w:szCs w:val="18"/>
              </w:rPr>
            </w:pPr>
          </w:p>
        </w:tc>
        <w:tc>
          <w:tcPr>
            <w:tcW w:w="474" w:type="pct"/>
            <w:tcBorders>
              <w:top w:val="nil"/>
              <w:left w:val="nil"/>
              <w:bottom w:val="single" w:sz="4" w:space="0" w:color="auto"/>
              <w:right w:val="nil"/>
            </w:tcBorders>
            <w:shd w:val="clear" w:color="000000" w:fill="FFFFFF"/>
          </w:tcPr>
          <w:p w14:paraId="0D7E3CFA" w14:textId="39C4D9A1" w:rsidR="00B37B93" w:rsidRPr="007B60BF" w:rsidRDefault="00B37B93" w:rsidP="00B37B93">
            <w:pPr>
              <w:rPr>
                <w:b/>
                <w:bCs/>
                <w:sz w:val="18"/>
                <w:szCs w:val="18"/>
              </w:rPr>
            </w:pPr>
            <w:r w:rsidRPr="007B60BF">
              <w:rPr>
                <w:b/>
                <w:sz w:val="18"/>
                <w:szCs w:val="18"/>
              </w:rPr>
              <w:t xml:space="preserve"> </w:t>
            </w:r>
          </w:p>
        </w:tc>
        <w:tc>
          <w:tcPr>
            <w:tcW w:w="80" w:type="pct"/>
            <w:tcBorders>
              <w:top w:val="nil"/>
              <w:left w:val="nil"/>
              <w:bottom w:val="single" w:sz="4" w:space="0" w:color="auto"/>
              <w:right w:val="nil"/>
            </w:tcBorders>
            <w:shd w:val="clear" w:color="000000" w:fill="FFFFFF"/>
          </w:tcPr>
          <w:p w14:paraId="3EF5EC08" w14:textId="097EF12D" w:rsidR="00B37B93" w:rsidRPr="007B60BF" w:rsidRDefault="00B37B93" w:rsidP="00B37B93">
            <w:pPr>
              <w:rPr>
                <w:b/>
                <w:bCs/>
                <w:sz w:val="18"/>
                <w:szCs w:val="18"/>
              </w:rPr>
            </w:pPr>
            <w:r w:rsidRPr="007B60BF">
              <w:rPr>
                <w:b/>
                <w:sz w:val="18"/>
                <w:szCs w:val="18"/>
              </w:rPr>
              <w:t xml:space="preserve"> </w:t>
            </w:r>
          </w:p>
        </w:tc>
        <w:tc>
          <w:tcPr>
            <w:tcW w:w="489" w:type="pct"/>
            <w:tcBorders>
              <w:top w:val="nil"/>
              <w:left w:val="nil"/>
              <w:bottom w:val="single" w:sz="4" w:space="0" w:color="auto"/>
              <w:right w:val="nil"/>
            </w:tcBorders>
            <w:shd w:val="clear" w:color="000000" w:fill="FFFFFF"/>
          </w:tcPr>
          <w:p w14:paraId="7B6CC4FF" w14:textId="510AA5C5" w:rsidR="00B37B93" w:rsidRPr="007B60BF" w:rsidRDefault="00B37B93" w:rsidP="00B37B93">
            <w:pPr>
              <w:rPr>
                <w:b/>
                <w:bCs/>
                <w:sz w:val="18"/>
                <w:szCs w:val="18"/>
              </w:rPr>
            </w:pPr>
            <w:r w:rsidRPr="007B60BF">
              <w:rPr>
                <w:b/>
                <w:sz w:val="18"/>
                <w:szCs w:val="18"/>
              </w:rPr>
              <w:t xml:space="preserve"> </w:t>
            </w:r>
          </w:p>
        </w:tc>
        <w:tc>
          <w:tcPr>
            <w:tcW w:w="80" w:type="pct"/>
            <w:tcBorders>
              <w:top w:val="nil"/>
              <w:left w:val="nil"/>
              <w:bottom w:val="single" w:sz="4" w:space="0" w:color="auto"/>
              <w:right w:val="nil"/>
            </w:tcBorders>
            <w:shd w:val="clear" w:color="000000" w:fill="FFFFFF"/>
            <w:hideMark/>
          </w:tcPr>
          <w:p w14:paraId="16CE5F87" w14:textId="5D2627AD" w:rsidR="00B37B93" w:rsidRPr="007B60BF" w:rsidRDefault="00B37B93" w:rsidP="00B37B93">
            <w:pPr>
              <w:rPr>
                <w:b/>
                <w:bCs/>
                <w:sz w:val="18"/>
                <w:szCs w:val="18"/>
              </w:rPr>
            </w:pPr>
            <w:r w:rsidRPr="007B60BF">
              <w:rPr>
                <w:b/>
                <w:sz w:val="18"/>
                <w:szCs w:val="18"/>
              </w:rPr>
              <w:t xml:space="preserve"> </w:t>
            </w:r>
          </w:p>
        </w:tc>
        <w:tc>
          <w:tcPr>
            <w:tcW w:w="569" w:type="pct"/>
            <w:tcBorders>
              <w:top w:val="nil"/>
              <w:left w:val="nil"/>
              <w:bottom w:val="single" w:sz="4" w:space="0" w:color="auto"/>
              <w:right w:val="nil"/>
            </w:tcBorders>
            <w:shd w:val="clear" w:color="000000" w:fill="FFFFFF"/>
            <w:hideMark/>
          </w:tcPr>
          <w:p w14:paraId="06337F4F" w14:textId="1FB4465F" w:rsidR="00B37B93" w:rsidRPr="007B60BF" w:rsidRDefault="00B37B93" w:rsidP="00B37B93">
            <w:pPr>
              <w:jc w:val="right"/>
              <w:rPr>
                <w:b/>
                <w:sz w:val="18"/>
                <w:szCs w:val="18"/>
              </w:rPr>
            </w:pPr>
            <w:r w:rsidRPr="007B60BF">
              <w:rPr>
                <w:b/>
                <w:sz w:val="18"/>
                <w:szCs w:val="18"/>
              </w:rPr>
              <w:t>31/12/2024</w:t>
            </w:r>
          </w:p>
        </w:tc>
      </w:tr>
      <w:tr w:rsidR="00B37B93" w:rsidRPr="007B60BF" w14:paraId="4965A93C" w14:textId="77777777" w:rsidTr="00B22017">
        <w:tc>
          <w:tcPr>
            <w:tcW w:w="1450" w:type="pct"/>
            <w:tcBorders>
              <w:top w:val="nil"/>
              <w:left w:val="nil"/>
              <w:bottom w:val="nil"/>
              <w:right w:val="nil"/>
            </w:tcBorders>
            <w:shd w:val="clear" w:color="000000" w:fill="FFFFFF"/>
            <w:vAlign w:val="center"/>
            <w:hideMark/>
          </w:tcPr>
          <w:p w14:paraId="3CDEFB2F" w14:textId="77777777" w:rsidR="00B37B93" w:rsidRPr="007B60BF" w:rsidRDefault="00B37B93" w:rsidP="00B37B93">
            <w:pPr>
              <w:rPr>
                <w:b/>
                <w:sz w:val="18"/>
                <w:szCs w:val="18"/>
              </w:rPr>
            </w:pPr>
          </w:p>
        </w:tc>
        <w:tc>
          <w:tcPr>
            <w:tcW w:w="518" w:type="pct"/>
            <w:tcBorders>
              <w:top w:val="single" w:sz="4" w:space="0" w:color="auto"/>
              <w:left w:val="nil"/>
              <w:bottom w:val="single" w:sz="8" w:space="0" w:color="auto"/>
              <w:right w:val="nil"/>
            </w:tcBorders>
            <w:shd w:val="clear" w:color="auto" w:fill="auto"/>
            <w:vAlign w:val="center"/>
            <w:hideMark/>
          </w:tcPr>
          <w:p w14:paraId="51570082" w14:textId="77777777" w:rsidR="00B37B93" w:rsidRPr="007B60BF" w:rsidRDefault="00B37B93" w:rsidP="00B37B93">
            <w:pPr>
              <w:jc w:val="right"/>
              <w:rPr>
                <w:b/>
                <w:bCs/>
                <w:sz w:val="18"/>
                <w:szCs w:val="18"/>
              </w:rPr>
            </w:pPr>
            <w:r w:rsidRPr="007B60BF">
              <w:rPr>
                <w:b/>
                <w:bCs/>
                <w:sz w:val="18"/>
                <w:szCs w:val="18"/>
              </w:rPr>
              <w:t xml:space="preserve">Custos </w:t>
            </w:r>
          </w:p>
        </w:tc>
        <w:tc>
          <w:tcPr>
            <w:tcW w:w="102" w:type="pct"/>
            <w:tcBorders>
              <w:top w:val="single" w:sz="4" w:space="0" w:color="auto"/>
              <w:left w:val="nil"/>
              <w:bottom w:val="nil"/>
              <w:right w:val="nil"/>
            </w:tcBorders>
            <w:shd w:val="clear" w:color="000000" w:fill="FFFFFF"/>
            <w:vAlign w:val="center"/>
            <w:hideMark/>
          </w:tcPr>
          <w:p w14:paraId="11BB56A4" w14:textId="77777777" w:rsidR="00B37B93" w:rsidRPr="007B60BF" w:rsidRDefault="00B37B93" w:rsidP="00B37B93">
            <w:pPr>
              <w:jc w:val="right"/>
              <w:rPr>
                <w:b/>
                <w:bCs/>
                <w:sz w:val="18"/>
                <w:szCs w:val="18"/>
              </w:rPr>
            </w:pPr>
            <w:r w:rsidRPr="007B60BF">
              <w:rPr>
                <w:b/>
                <w:bCs/>
                <w:sz w:val="18"/>
                <w:szCs w:val="18"/>
              </w:rPr>
              <w:t> </w:t>
            </w:r>
          </w:p>
        </w:tc>
        <w:tc>
          <w:tcPr>
            <w:tcW w:w="487" w:type="pct"/>
            <w:tcBorders>
              <w:top w:val="single" w:sz="4" w:space="0" w:color="auto"/>
              <w:left w:val="nil"/>
              <w:bottom w:val="single" w:sz="8" w:space="0" w:color="auto"/>
              <w:right w:val="nil"/>
            </w:tcBorders>
            <w:shd w:val="clear" w:color="000000" w:fill="FFFFFF"/>
            <w:vAlign w:val="center"/>
            <w:hideMark/>
          </w:tcPr>
          <w:p w14:paraId="5AF79C21" w14:textId="77777777" w:rsidR="00B37B93" w:rsidRPr="007B60BF" w:rsidRDefault="00B37B93" w:rsidP="00B37B93">
            <w:pPr>
              <w:jc w:val="right"/>
              <w:rPr>
                <w:b/>
                <w:bCs/>
                <w:sz w:val="18"/>
                <w:szCs w:val="18"/>
              </w:rPr>
            </w:pPr>
            <w:r w:rsidRPr="007B60BF">
              <w:rPr>
                <w:b/>
                <w:bCs/>
                <w:sz w:val="18"/>
                <w:szCs w:val="18"/>
              </w:rPr>
              <w:t xml:space="preserve">Despesas </w:t>
            </w:r>
          </w:p>
        </w:tc>
        <w:tc>
          <w:tcPr>
            <w:tcW w:w="102" w:type="pct"/>
            <w:tcBorders>
              <w:top w:val="single" w:sz="4" w:space="0" w:color="auto"/>
              <w:left w:val="nil"/>
              <w:bottom w:val="nil"/>
              <w:right w:val="nil"/>
            </w:tcBorders>
            <w:shd w:val="clear" w:color="000000" w:fill="FFFFFF"/>
            <w:vAlign w:val="center"/>
            <w:hideMark/>
          </w:tcPr>
          <w:p w14:paraId="682D93EC" w14:textId="77777777" w:rsidR="00B37B93" w:rsidRPr="007B60BF" w:rsidRDefault="00B37B93" w:rsidP="00B37B93">
            <w:pPr>
              <w:jc w:val="right"/>
              <w:rPr>
                <w:b/>
                <w:bCs/>
                <w:sz w:val="18"/>
                <w:szCs w:val="18"/>
              </w:rPr>
            </w:pPr>
            <w:r w:rsidRPr="007B60BF">
              <w:rPr>
                <w:b/>
                <w:bCs/>
                <w:sz w:val="18"/>
                <w:szCs w:val="18"/>
              </w:rPr>
              <w:t> </w:t>
            </w:r>
          </w:p>
        </w:tc>
        <w:tc>
          <w:tcPr>
            <w:tcW w:w="568" w:type="pct"/>
            <w:tcBorders>
              <w:top w:val="single" w:sz="4" w:space="0" w:color="auto"/>
              <w:left w:val="nil"/>
              <w:bottom w:val="single" w:sz="8" w:space="0" w:color="auto"/>
              <w:right w:val="nil"/>
            </w:tcBorders>
            <w:shd w:val="clear" w:color="000000" w:fill="FFFFFF"/>
            <w:vAlign w:val="center"/>
            <w:hideMark/>
          </w:tcPr>
          <w:p w14:paraId="3790C131" w14:textId="77777777" w:rsidR="00B37B93" w:rsidRPr="007B60BF" w:rsidRDefault="00B37B93" w:rsidP="00B37B93">
            <w:pPr>
              <w:jc w:val="right"/>
              <w:rPr>
                <w:b/>
                <w:bCs/>
                <w:sz w:val="18"/>
                <w:szCs w:val="18"/>
              </w:rPr>
            </w:pPr>
            <w:r w:rsidRPr="007B60BF">
              <w:rPr>
                <w:b/>
                <w:bCs/>
                <w:sz w:val="18"/>
                <w:szCs w:val="18"/>
              </w:rPr>
              <w:t>Total</w:t>
            </w:r>
          </w:p>
        </w:tc>
        <w:tc>
          <w:tcPr>
            <w:tcW w:w="80" w:type="pct"/>
            <w:tcBorders>
              <w:top w:val="nil"/>
              <w:left w:val="nil"/>
              <w:bottom w:val="nil"/>
              <w:right w:val="nil"/>
            </w:tcBorders>
            <w:shd w:val="clear" w:color="000000" w:fill="FFFFFF"/>
          </w:tcPr>
          <w:p w14:paraId="47504353" w14:textId="77777777" w:rsidR="00B37B93" w:rsidRPr="007B60BF" w:rsidRDefault="00B37B93" w:rsidP="00B37B93">
            <w:pPr>
              <w:jc w:val="right"/>
              <w:rPr>
                <w:b/>
                <w:bCs/>
                <w:sz w:val="18"/>
                <w:szCs w:val="18"/>
              </w:rPr>
            </w:pPr>
          </w:p>
        </w:tc>
        <w:tc>
          <w:tcPr>
            <w:tcW w:w="474" w:type="pct"/>
            <w:tcBorders>
              <w:top w:val="single" w:sz="4" w:space="0" w:color="auto"/>
              <w:left w:val="nil"/>
              <w:bottom w:val="single" w:sz="4" w:space="0" w:color="auto"/>
              <w:right w:val="nil"/>
            </w:tcBorders>
            <w:shd w:val="clear" w:color="000000" w:fill="FFFFFF"/>
          </w:tcPr>
          <w:p w14:paraId="6D33AEC7" w14:textId="2C2CA7E0" w:rsidR="00B37B93" w:rsidRPr="007B60BF" w:rsidRDefault="00B37B93" w:rsidP="00B37B93">
            <w:pPr>
              <w:jc w:val="right"/>
              <w:rPr>
                <w:b/>
                <w:bCs/>
                <w:sz w:val="18"/>
                <w:szCs w:val="18"/>
              </w:rPr>
            </w:pPr>
            <w:r w:rsidRPr="007B60BF">
              <w:rPr>
                <w:b/>
                <w:sz w:val="18"/>
                <w:szCs w:val="18"/>
              </w:rPr>
              <w:t xml:space="preserve">Custos </w:t>
            </w:r>
          </w:p>
        </w:tc>
        <w:tc>
          <w:tcPr>
            <w:tcW w:w="80" w:type="pct"/>
            <w:tcBorders>
              <w:top w:val="single" w:sz="4" w:space="0" w:color="auto"/>
              <w:left w:val="nil"/>
              <w:bottom w:val="nil"/>
              <w:right w:val="nil"/>
            </w:tcBorders>
            <w:shd w:val="clear" w:color="000000" w:fill="FFFFFF"/>
          </w:tcPr>
          <w:p w14:paraId="72C4EA26" w14:textId="193D468F" w:rsidR="00B37B93" w:rsidRPr="007B60BF" w:rsidRDefault="00B37B93" w:rsidP="00B37B93">
            <w:pPr>
              <w:jc w:val="right"/>
              <w:rPr>
                <w:b/>
                <w:bCs/>
                <w:sz w:val="18"/>
                <w:szCs w:val="18"/>
              </w:rPr>
            </w:pPr>
            <w:r w:rsidRPr="007B60BF">
              <w:rPr>
                <w:b/>
                <w:sz w:val="18"/>
                <w:szCs w:val="18"/>
              </w:rPr>
              <w:t xml:space="preserve"> </w:t>
            </w:r>
          </w:p>
        </w:tc>
        <w:tc>
          <w:tcPr>
            <w:tcW w:w="489" w:type="pct"/>
            <w:tcBorders>
              <w:top w:val="single" w:sz="4" w:space="0" w:color="auto"/>
              <w:left w:val="nil"/>
              <w:bottom w:val="single" w:sz="4" w:space="0" w:color="auto"/>
              <w:right w:val="nil"/>
            </w:tcBorders>
            <w:shd w:val="clear" w:color="000000" w:fill="FFFFFF"/>
          </w:tcPr>
          <w:p w14:paraId="07579657" w14:textId="50A8C975" w:rsidR="00B37B93" w:rsidRPr="007B60BF" w:rsidRDefault="00B37B93" w:rsidP="00B37B93">
            <w:pPr>
              <w:jc w:val="right"/>
              <w:rPr>
                <w:b/>
                <w:bCs/>
                <w:sz w:val="18"/>
                <w:szCs w:val="18"/>
              </w:rPr>
            </w:pPr>
            <w:r w:rsidRPr="007B60BF">
              <w:rPr>
                <w:b/>
                <w:sz w:val="18"/>
                <w:szCs w:val="18"/>
              </w:rPr>
              <w:t xml:space="preserve">Despesas </w:t>
            </w:r>
          </w:p>
        </w:tc>
        <w:tc>
          <w:tcPr>
            <w:tcW w:w="80" w:type="pct"/>
            <w:tcBorders>
              <w:top w:val="single" w:sz="4" w:space="0" w:color="auto"/>
              <w:left w:val="nil"/>
              <w:bottom w:val="nil"/>
              <w:right w:val="nil"/>
            </w:tcBorders>
            <w:shd w:val="clear" w:color="000000" w:fill="FFFFFF"/>
            <w:hideMark/>
          </w:tcPr>
          <w:p w14:paraId="462F35B0" w14:textId="5FBCEB16" w:rsidR="00B37B93" w:rsidRPr="007B60BF" w:rsidRDefault="00B37B93" w:rsidP="00B37B93">
            <w:pPr>
              <w:jc w:val="right"/>
              <w:rPr>
                <w:b/>
                <w:bCs/>
                <w:sz w:val="18"/>
                <w:szCs w:val="18"/>
              </w:rPr>
            </w:pPr>
            <w:r w:rsidRPr="007B60BF">
              <w:rPr>
                <w:b/>
                <w:sz w:val="18"/>
                <w:szCs w:val="18"/>
              </w:rPr>
              <w:t xml:space="preserve"> </w:t>
            </w:r>
          </w:p>
        </w:tc>
        <w:tc>
          <w:tcPr>
            <w:tcW w:w="569" w:type="pct"/>
            <w:tcBorders>
              <w:top w:val="single" w:sz="4" w:space="0" w:color="auto"/>
              <w:left w:val="nil"/>
              <w:bottom w:val="single" w:sz="8" w:space="0" w:color="auto"/>
              <w:right w:val="nil"/>
            </w:tcBorders>
            <w:shd w:val="clear" w:color="000000" w:fill="FFFFFF"/>
            <w:hideMark/>
          </w:tcPr>
          <w:p w14:paraId="1C2B6F9D" w14:textId="5366827E" w:rsidR="00B37B93" w:rsidRPr="007B60BF" w:rsidRDefault="00B37B93" w:rsidP="00B37B93">
            <w:pPr>
              <w:jc w:val="right"/>
              <w:rPr>
                <w:b/>
                <w:sz w:val="18"/>
                <w:szCs w:val="18"/>
              </w:rPr>
            </w:pPr>
            <w:r w:rsidRPr="007B60BF">
              <w:rPr>
                <w:b/>
                <w:sz w:val="18"/>
                <w:szCs w:val="18"/>
              </w:rPr>
              <w:t>Total</w:t>
            </w:r>
          </w:p>
        </w:tc>
      </w:tr>
      <w:tr w:rsidR="0058577B" w:rsidRPr="007B60BF" w14:paraId="55DFFCA3" w14:textId="77777777" w:rsidTr="00B22017">
        <w:tc>
          <w:tcPr>
            <w:tcW w:w="1450" w:type="pct"/>
            <w:tcBorders>
              <w:top w:val="nil"/>
              <w:left w:val="nil"/>
              <w:bottom w:val="nil"/>
              <w:right w:val="nil"/>
            </w:tcBorders>
            <w:shd w:val="clear" w:color="000000" w:fill="FFFFFF"/>
            <w:vAlign w:val="center"/>
            <w:hideMark/>
          </w:tcPr>
          <w:p w14:paraId="32A799E4" w14:textId="77777777" w:rsidR="0058577B" w:rsidRPr="007B60BF" w:rsidRDefault="0058577B" w:rsidP="0058577B">
            <w:pPr>
              <w:rPr>
                <w:sz w:val="18"/>
                <w:szCs w:val="18"/>
              </w:rPr>
            </w:pPr>
            <w:r w:rsidRPr="007B60BF">
              <w:rPr>
                <w:sz w:val="18"/>
                <w:szCs w:val="18"/>
              </w:rPr>
              <w:t>Salários e Encargos</w:t>
            </w:r>
          </w:p>
        </w:tc>
        <w:tc>
          <w:tcPr>
            <w:tcW w:w="518" w:type="pct"/>
            <w:tcBorders>
              <w:top w:val="nil"/>
              <w:left w:val="nil"/>
              <w:bottom w:val="nil"/>
              <w:right w:val="nil"/>
            </w:tcBorders>
            <w:shd w:val="clear" w:color="auto" w:fill="auto"/>
          </w:tcPr>
          <w:p w14:paraId="62C7813D" w14:textId="7F57203F" w:rsidR="0058577B" w:rsidRPr="007B60BF" w:rsidRDefault="0058577B" w:rsidP="0058577B">
            <w:pPr>
              <w:jc w:val="right"/>
              <w:rPr>
                <w:sz w:val="18"/>
                <w:szCs w:val="18"/>
              </w:rPr>
            </w:pPr>
            <w:r w:rsidRPr="007B60BF">
              <w:rPr>
                <w:sz w:val="18"/>
                <w:szCs w:val="18"/>
              </w:rPr>
              <w:t xml:space="preserve"> 1.559.734 </w:t>
            </w:r>
          </w:p>
        </w:tc>
        <w:tc>
          <w:tcPr>
            <w:tcW w:w="102" w:type="pct"/>
            <w:tcBorders>
              <w:top w:val="nil"/>
              <w:left w:val="nil"/>
              <w:bottom w:val="nil"/>
              <w:right w:val="nil"/>
            </w:tcBorders>
            <w:shd w:val="clear" w:color="000000" w:fill="FFFFFF"/>
          </w:tcPr>
          <w:p w14:paraId="1AB5F0F5" w14:textId="5DE0D62D" w:rsidR="0058577B" w:rsidRPr="007B60BF" w:rsidRDefault="0058577B" w:rsidP="0058577B">
            <w:pPr>
              <w:jc w:val="right"/>
              <w:rPr>
                <w:sz w:val="18"/>
                <w:szCs w:val="18"/>
              </w:rPr>
            </w:pPr>
          </w:p>
        </w:tc>
        <w:tc>
          <w:tcPr>
            <w:tcW w:w="487" w:type="pct"/>
            <w:tcBorders>
              <w:top w:val="nil"/>
              <w:left w:val="nil"/>
              <w:bottom w:val="nil"/>
              <w:right w:val="nil"/>
            </w:tcBorders>
            <w:shd w:val="clear" w:color="000000" w:fill="FFFFFF"/>
          </w:tcPr>
          <w:p w14:paraId="50E99AC7" w14:textId="4C7D0181" w:rsidR="0058577B" w:rsidRPr="007B60BF" w:rsidRDefault="0058577B" w:rsidP="0058577B">
            <w:pPr>
              <w:jc w:val="right"/>
              <w:rPr>
                <w:sz w:val="18"/>
                <w:szCs w:val="18"/>
              </w:rPr>
            </w:pPr>
            <w:r w:rsidRPr="007B60BF">
              <w:rPr>
                <w:sz w:val="18"/>
                <w:szCs w:val="18"/>
              </w:rPr>
              <w:t xml:space="preserve"> 240.437 </w:t>
            </w:r>
          </w:p>
        </w:tc>
        <w:tc>
          <w:tcPr>
            <w:tcW w:w="102" w:type="pct"/>
            <w:tcBorders>
              <w:top w:val="nil"/>
              <w:left w:val="nil"/>
              <w:bottom w:val="nil"/>
              <w:right w:val="nil"/>
            </w:tcBorders>
            <w:shd w:val="clear" w:color="000000" w:fill="FFFFFF"/>
          </w:tcPr>
          <w:p w14:paraId="2CE3B1D7" w14:textId="4115D1DA" w:rsidR="0058577B" w:rsidRPr="007B60BF" w:rsidRDefault="0058577B" w:rsidP="0058577B">
            <w:pPr>
              <w:jc w:val="right"/>
              <w:rPr>
                <w:sz w:val="18"/>
                <w:szCs w:val="18"/>
              </w:rPr>
            </w:pPr>
          </w:p>
        </w:tc>
        <w:tc>
          <w:tcPr>
            <w:tcW w:w="568" w:type="pct"/>
            <w:tcBorders>
              <w:top w:val="nil"/>
              <w:left w:val="nil"/>
              <w:bottom w:val="nil"/>
              <w:right w:val="nil"/>
            </w:tcBorders>
            <w:shd w:val="clear" w:color="000000" w:fill="FFFFFF"/>
          </w:tcPr>
          <w:p w14:paraId="362A4E03" w14:textId="72AF8C00" w:rsidR="0058577B" w:rsidRPr="007B60BF" w:rsidRDefault="0058577B" w:rsidP="0058577B">
            <w:pPr>
              <w:jc w:val="right"/>
              <w:rPr>
                <w:sz w:val="18"/>
                <w:szCs w:val="18"/>
              </w:rPr>
            </w:pPr>
            <w:r w:rsidRPr="007B60BF">
              <w:rPr>
                <w:sz w:val="18"/>
                <w:szCs w:val="18"/>
              </w:rPr>
              <w:t xml:space="preserve"> 1.800.171 </w:t>
            </w:r>
          </w:p>
        </w:tc>
        <w:tc>
          <w:tcPr>
            <w:tcW w:w="80" w:type="pct"/>
            <w:tcBorders>
              <w:top w:val="nil"/>
              <w:left w:val="nil"/>
              <w:bottom w:val="nil"/>
              <w:right w:val="nil"/>
            </w:tcBorders>
            <w:shd w:val="clear" w:color="000000" w:fill="FFFFFF"/>
            <w:vAlign w:val="center"/>
          </w:tcPr>
          <w:p w14:paraId="0FFF98D1" w14:textId="77777777" w:rsidR="0058577B" w:rsidRPr="007B60BF" w:rsidRDefault="0058577B" w:rsidP="0058577B">
            <w:pPr>
              <w:jc w:val="right"/>
              <w:rPr>
                <w:sz w:val="16"/>
                <w:szCs w:val="16"/>
              </w:rPr>
            </w:pPr>
          </w:p>
        </w:tc>
        <w:tc>
          <w:tcPr>
            <w:tcW w:w="474" w:type="pct"/>
            <w:tcBorders>
              <w:top w:val="nil"/>
              <w:left w:val="nil"/>
              <w:bottom w:val="nil"/>
              <w:right w:val="nil"/>
            </w:tcBorders>
            <w:shd w:val="clear" w:color="auto" w:fill="auto"/>
          </w:tcPr>
          <w:p w14:paraId="5B964797" w14:textId="54BAC47F" w:rsidR="0058577B" w:rsidRPr="007B60BF" w:rsidRDefault="0058577B" w:rsidP="0058577B">
            <w:pPr>
              <w:jc w:val="right"/>
              <w:rPr>
                <w:sz w:val="18"/>
                <w:szCs w:val="18"/>
              </w:rPr>
            </w:pPr>
            <w:r w:rsidRPr="007B60BF">
              <w:rPr>
                <w:sz w:val="18"/>
                <w:szCs w:val="18"/>
              </w:rPr>
              <w:t xml:space="preserve">1.415.178 </w:t>
            </w:r>
          </w:p>
        </w:tc>
        <w:tc>
          <w:tcPr>
            <w:tcW w:w="80" w:type="pct"/>
            <w:tcBorders>
              <w:top w:val="nil"/>
              <w:left w:val="nil"/>
              <w:bottom w:val="nil"/>
              <w:right w:val="nil"/>
            </w:tcBorders>
            <w:shd w:val="clear" w:color="000000" w:fill="FFFFFF"/>
          </w:tcPr>
          <w:p w14:paraId="2F455881" w14:textId="7B1B8169" w:rsidR="0058577B" w:rsidRPr="007B60BF" w:rsidRDefault="0058577B" w:rsidP="0058577B">
            <w:pPr>
              <w:jc w:val="right"/>
              <w:rPr>
                <w:sz w:val="18"/>
                <w:szCs w:val="18"/>
              </w:rPr>
            </w:pPr>
          </w:p>
        </w:tc>
        <w:tc>
          <w:tcPr>
            <w:tcW w:w="489" w:type="pct"/>
            <w:tcBorders>
              <w:top w:val="nil"/>
              <w:left w:val="nil"/>
              <w:bottom w:val="nil"/>
              <w:right w:val="nil"/>
            </w:tcBorders>
            <w:shd w:val="clear" w:color="000000" w:fill="FFFFFF"/>
          </w:tcPr>
          <w:p w14:paraId="12610EE1" w14:textId="58A710EB" w:rsidR="0058577B" w:rsidRPr="007B60BF" w:rsidRDefault="0058577B" w:rsidP="0058577B">
            <w:pPr>
              <w:jc w:val="right"/>
              <w:rPr>
                <w:sz w:val="18"/>
                <w:szCs w:val="18"/>
              </w:rPr>
            </w:pPr>
            <w:r w:rsidRPr="007B60BF">
              <w:rPr>
                <w:sz w:val="18"/>
                <w:szCs w:val="18"/>
              </w:rPr>
              <w:t xml:space="preserve"> 222.692 </w:t>
            </w:r>
          </w:p>
        </w:tc>
        <w:tc>
          <w:tcPr>
            <w:tcW w:w="80" w:type="pct"/>
            <w:tcBorders>
              <w:top w:val="nil"/>
              <w:left w:val="nil"/>
              <w:bottom w:val="nil"/>
              <w:right w:val="nil"/>
            </w:tcBorders>
            <w:shd w:val="clear" w:color="000000" w:fill="FFFFFF"/>
          </w:tcPr>
          <w:p w14:paraId="30848230" w14:textId="3BA34A84" w:rsidR="0058577B" w:rsidRPr="007B60BF" w:rsidRDefault="0058577B" w:rsidP="0058577B">
            <w:pPr>
              <w:jc w:val="right"/>
              <w:rPr>
                <w:sz w:val="18"/>
                <w:szCs w:val="18"/>
              </w:rPr>
            </w:pPr>
          </w:p>
        </w:tc>
        <w:tc>
          <w:tcPr>
            <w:tcW w:w="569" w:type="pct"/>
            <w:tcBorders>
              <w:top w:val="nil"/>
              <w:left w:val="nil"/>
              <w:bottom w:val="nil"/>
              <w:right w:val="nil"/>
            </w:tcBorders>
            <w:shd w:val="clear" w:color="000000" w:fill="FFFFFF"/>
          </w:tcPr>
          <w:p w14:paraId="66834AF8" w14:textId="035F8003" w:rsidR="0058577B" w:rsidRPr="007B60BF" w:rsidRDefault="0058577B" w:rsidP="0058577B">
            <w:pPr>
              <w:jc w:val="right"/>
              <w:rPr>
                <w:sz w:val="18"/>
                <w:szCs w:val="18"/>
              </w:rPr>
            </w:pPr>
            <w:r w:rsidRPr="007B60BF">
              <w:rPr>
                <w:sz w:val="18"/>
                <w:szCs w:val="18"/>
              </w:rPr>
              <w:t xml:space="preserve"> 1.637.870 </w:t>
            </w:r>
          </w:p>
        </w:tc>
      </w:tr>
      <w:tr w:rsidR="0058577B" w:rsidRPr="007B60BF" w14:paraId="11FBB9AF" w14:textId="77777777" w:rsidTr="00B22017">
        <w:tc>
          <w:tcPr>
            <w:tcW w:w="1450" w:type="pct"/>
            <w:tcBorders>
              <w:top w:val="nil"/>
              <w:left w:val="nil"/>
              <w:bottom w:val="nil"/>
              <w:right w:val="nil"/>
            </w:tcBorders>
            <w:shd w:val="clear" w:color="000000" w:fill="FFFFFF"/>
            <w:vAlign w:val="center"/>
            <w:hideMark/>
          </w:tcPr>
          <w:p w14:paraId="0CEBCC50" w14:textId="77777777" w:rsidR="0058577B" w:rsidRPr="007B60BF" w:rsidRDefault="0058577B" w:rsidP="0058577B">
            <w:pPr>
              <w:rPr>
                <w:sz w:val="18"/>
                <w:szCs w:val="18"/>
              </w:rPr>
            </w:pPr>
            <w:r w:rsidRPr="007B60BF">
              <w:rPr>
                <w:sz w:val="18"/>
                <w:szCs w:val="18"/>
              </w:rPr>
              <w:t>Benefícios de Pessoal</w:t>
            </w:r>
          </w:p>
        </w:tc>
        <w:tc>
          <w:tcPr>
            <w:tcW w:w="518" w:type="pct"/>
            <w:tcBorders>
              <w:top w:val="nil"/>
              <w:left w:val="nil"/>
              <w:bottom w:val="nil"/>
              <w:right w:val="nil"/>
            </w:tcBorders>
            <w:shd w:val="clear" w:color="auto" w:fill="auto"/>
          </w:tcPr>
          <w:p w14:paraId="4D09DD66" w14:textId="539AC98B" w:rsidR="0058577B" w:rsidRPr="007B60BF" w:rsidRDefault="0058577B" w:rsidP="0058577B">
            <w:pPr>
              <w:jc w:val="right"/>
              <w:rPr>
                <w:sz w:val="18"/>
                <w:szCs w:val="18"/>
              </w:rPr>
            </w:pPr>
            <w:r w:rsidRPr="007B60BF">
              <w:rPr>
                <w:sz w:val="18"/>
                <w:szCs w:val="18"/>
              </w:rPr>
              <w:t xml:space="preserve"> 121.514 </w:t>
            </w:r>
          </w:p>
        </w:tc>
        <w:tc>
          <w:tcPr>
            <w:tcW w:w="102" w:type="pct"/>
            <w:tcBorders>
              <w:top w:val="nil"/>
              <w:left w:val="nil"/>
              <w:bottom w:val="nil"/>
              <w:right w:val="nil"/>
            </w:tcBorders>
            <w:shd w:val="clear" w:color="000000" w:fill="FFFFFF"/>
          </w:tcPr>
          <w:p w14:paraId="0E7F5EB6" w14:textId="221E6ACD" w:rsidR="0058577B" w:rsidRPr="007B60BF" w:rsidRDefault="0058577B" w:rsidP="0058577B">
            <w:pPr>
              <w:jc w:val="right"/>
              <w:rPr>
                <w:sz w:val="18"/>
                <w:szCs w:val="18"/>
              </w:rPr>
            </w:pPr>
          </w:p>
        </w:tc>
        <w:tc>
          <w:tcPr>
            <w:tcW w:w="487" w:type="pct"/>
            <w:tcBorders>
              <w:top w:val="nil"/>
              <w:left w:val="nil"/>
              <w:bottom w:val="nil"/>
              <w:right w:val="nil"/>
            </w:tcBorders>
            <w:shd w:val="clear" w:color="000000" w:fill="FFFFFF"/>
          </w:tcPr>
          <w:p w14:paraId="476118A0" w14:textId="7432C8E9" w:rsidR="0058577B" w:rsidRPr="007B60BF" w:rsidRDefault="0058577B" w:rsidP="0058577B">
            <w:pPr>
              <w:jc w:val="right"/>
              <w:rPr>
                <w:sz w:val="18"/>
                <w:szCs w:val="18"/>
              </w:rPr>
            </w:pPr>
            <w:r w:rsidRPr="007B60BF">
              <w:rPr>
                <w:sz w:val="18"/>
                <w:szCs w:val="18"/>
              </w:rPr>
              <w:t xml:space="preserve"> 23.624 </w:t>
            </w:r>
          </w:p>
        </w:tc>
        <w:tc>
          <w:tcPr>
            <w:tcW w:w="102" w:type="pct"/>
            <w:tcBorders>
              <w:top w:val="nil"/>
              <w:left w:val="nil"/>
              <w:bottom w:val="nil"/>
              <w:right w:val="nil"/>
            </w:tcBorders>
            <w:shd w:val="clear" w:color="000000" w:fill="FFFFFF"/>
          </w:tcPr>
          <w:p w14:paraId="72FA87EA" w14:textId="3A213B1B" w:rsidR="0058577B" w:rsidRPr="007B60BF" w:rsidRDefault="0058577B" w:rsidP="0058577B">
            <w:pPr>
              <w:jc w:val="right"/>
              <w:rPr>
                <w:sz w:val="18"/>
                <w:szCs w:val="18"/>
              </w:rPr>
            </w:pPr>
          </w:p>
        </w:tc>
        <w:tc>
          <w:tcPr>
            <w:tcW w:w="568" w:type="pct"/>
            <w:tcBorders>
              <w:top w:val="nil"/>
              <w:left w:val="nil"/>
              <w:bottom w:val="nil"/>
              <w:right w:val="nil"/>
            </w:tcBorders>
            <w:shd w:val="clear" w:color="000000" w:fill="FFFFFF"/>
          </w:tcPr>
          <w:p w14:paraId="103D1B64" w14:textId="5B5296AB" w:rsidR="0058577B" w:rsidRPr="007B60BF" w:rsidRDefault="0058577B" w:rsidP="0058577B">
            <w:pPr>
              <w:jc w:val="right"/>
              <w:rPr>
                <w:sz w:val="18"/>
                <w:szCs w:val="18"/>
              </w:rPr>
            </w:pPr>
            <w:r w:rsidRPr="007B60BF">
              <w:rPr>
                <w:sz w:val="18"/>
                <w:szCs w:val="18"/>
              </w:rPr>
              <w:t xml:space="preserve"> 145.138 </w:t>
            </w:r>
          </w:p>
        </w:tc>
        <w:tc>
          <w:tcPr>
            <w:tcW w:w="80" w:type="pct"/>
            <w:tcBorders>
              <w:top w:val="nil"/>
              <w:left w:val="nil"/>
              <w:bottom w:val="nil"/>
              <w:right w:val="nil"/>
            </w:tcBorders>
            <w:shd w:val="clear" w:color="000000" w:fill="FFFFFF"/>
            <w:vAlign w:val="center"/>
          </w:tcPr>
          <w:p w14:paraId="135076B7" w14:textId="77777777" w:rsidR="0058577B" w:rsidRPr="007B60BF" w:rsidRDefault="0058577B" w:rsidP="0058577B">
            <w:pPr>
              <w:jc w:val="right"/>
              <w:rPr>
                <w:sz w:val="16"/>
                <w:szCs w:val="16"/>
              </w:rPr>
            </w:pPr>
          </w:p>
        </w:tc>
        <w:tc>
          <w:tcPr>
            <w:tcW w:w="474" w:type="pct"/>
            <w:tcBorders>
              <w:top w:val="nil"/>
              <w:left w:val="nil"/>
              <w:bottom w:val="nil"/>
              <w:right w:val="nil"/>
            </w:tcBorders>
            <w:shd w:val="clear" w:color="auto" w:fill="auto"/>
          </w:tcPr>
          <w:p w14:paraId="10E7047A" w14:textId="0B228DAD" w:rsidR="0058577B" w:rsidRPr="007B60BF" w:rsidRDefault="0058577B" w:rsidP="0058577B">
            <w:pPr>
              <w:jc w:val="right"/>
              <w:rPr>
                <w:sz w:val="18"/>
                <w:szCs w:val="18"/>
              </w:rPr>
            </w:pPr>
            <w:r w:rsidRPr="007B60BF">
              <w:rPr>
                <w:sz w:val="18"/>
                <w:szCs w:val="18"/>
              </w:rPr>
              <w:t xml:space="preserve"> 98.322 </w:t>
            </w:r>
          </w:p>
        </w:tc>
        <w:tc>
          <w:tcPr>
            <w:tcW w:w="80" w:type="pct"/>
            <w:tcBorders>
              <w:top w:val="nil"/>
              <w:left w:val="nil"/>
              <w:bottom w:val="nil"/>
              <w:right w:val="nil"/>
            </w:tcBorders>
            <w:shd w:val="clear" w:color="000000" w:fill="FFFFFF"/>
          </w:tcPr>
          <w:p w14:paraId="09A3866E" w14:textId="186A6A34" w:rsidR="0058577B" w:rsidRPr="007B60BF" w:rsidRDefault="0058577B" w:rsidP="0058577B">
            <w:pPr>
              <w:jc w:val="right"/>
              <w:rPr>
                <w:sz w:val="18"/>
                <w:szCs w:val="18"/>
              </w:rPr>
            </w:pPr>
          </w:p>
        </w:tc>
        <w:tc>
          <w:tcPr>
            <w:tcW w:w="489" w:type="pct"/>
            <w:tcBorders>
              <w:top w:val="nil"/>
              <w:left w:val="nil"/>
              <w:bottom w:val="nil"/>
              <w:right w:val="nil"/>
            </w:tcBorders>
            <w:shd w:val="clear" w:color="000000" w:fill="FFFFFF"/>
          </w:tcPr>
          <w:p w14:paraId="6168CFB9" w14:textId="29C18F4C" w:rsidR="0058577B" w:rsidRPr="007B60BF" w:rsidRDefault="0058577B" w:rsidP="0058577B">
            <w:pPr>
              <w:jc w:val="right"/>
              <w:rPr>
                <w:sz w:val="18"/>
                <w:szCs w:val="18"/>
              </w:rPr>
            </w:pPr>
            <w:r w:rsidRPr="007B60BF">
              <w:rPr>
                <w:sz w:val="18"/>
                <w:szCs w:val="18"/>
              </w:rPr>
              <w:t xml:space="preserve"> 21.461 </w:t>
            </w:r>
          </w:p>
        </w:tc>
        <w:tc>
          <w:tcPr>
            <w:tcW w:w="80" w:type="pct"/>
            <w:tcBorders>
              <w:top w:val="nil"/>
              <w:left w:val="nil"/>
              <w:bottom w:val="nil"/>
              <w:right w:val="nil"/>
            </w:tcBorders>
            <w:shd w:val="clear" w:color="000000" w:fill="FFFFFF"/>
          </w:tcPr>
          <w:p w14:paraId="0CF5DB08" w14:textId="0BDA6FD1" w:rsidR="0058577B" w:rsidRPr="007B60BF" w:rsidRDefault="0058577B" w:rsidP="0058577B">
            <w:pPr>
              <w:jc w:val="right"/>
              <w:rPr>
                <w:sz w:val="18"/>
                <w:szCs w:val="18"/>
              </w:rPr>
            </w:pPr>
          </w:p>
        </w:tc>
        <w:tc>
          <w:tcPr>
            <w:tcW w:w="569" w:type="pct"/>
            <w:tcBorders>
              <w:top w:val="nil"/>
              <w:left w:val="nil"/>
              <w:bottom w:val="nil"/>
              <w:right w:val="nil"/>
            </w:tcBorders>
            <w:shd w:val="clear" w:color="000000" w:fill="FFFFFF"/>
          </w:tcPr>
          <w:p w14:paraId="4EE067D2" w14:textId="6C895D51" w:rsidR="0058577B" w:rsidRPr="007B60BF" w:rsidRDefault="0058577B" w:rsidP="0058577B">
            <w:pPr>
              <w:jc w:val="right"/>
              <w:rPr>
                <w:sz w:val="18"/>
                <w:szCs w:val="18"/>
              </w:rPr>
            </w:pPr>
            <w:r w:rsidRPr="007B60BF">
              <w:rPr>
                <w:sz w:val="18"/>
                <w:szCs w:val="18"/>
              </w:rPr>
              <w:t xml:space="preserve"> 119.783 </w:t>
            </w:r>
          </w:p>
        </w:tc>
      </w:tr>
      <w:tr w:rsidR="0058577B" w:rsidRPr="007B60BF" w14:paraId="5556F8CD" w14:textId="77777777" w:rsidTr="00B22017">
        <w:tc>
          <w:tcPr>
            <w:tcW w:w="1450" w:type="pct"/>
            <w:tcBorders>
              <w:top w:val="nil"/>
              <w:left w:val="nil"/>
              <w:bottom w:val="nil"/>
              <w:right w:val="nil"/>
            </w:tcBorders>
            <w:shd w:val="clear" w:color="000000" w:fill="FFFFFF"/>
            <w:vAlign w:val="center"/>
            <w:hideMark/>
          </w:tcPr>
          <w:p w14:paraId="010F329D" w14:textId="77777777" w:rsidR="0058577B" w:rsidRPr="007B60BF" w:rsidRDefault="0058577B" w:rsidP="0058577B">
            <w:pPr>
              <w:rPr>
                <w:sz w:val="18"/>
                <w:szCs w:val="18"/>
              </w:rPr>
            </w:pPr>
            <w:r w:rsidRPr="007B60BF">
              <w:rPr>
                <w:sz w:val="18"/>
                <w:szCs w:val="18"/>
              </w:rPr>
              <w:t>Consumo de Materiais</w:t>
            </w:r>
          </w:p>
        </w:tc>
        <w:tc>
          <w:tcPr>
            <w:tcW w:w="518" w:type="pct"/>
            <w:tcBorders>
              <w:top w:val="nil"/>
              <w:left w:val="nil"/>
              <w:bottom w:val="nil"/>
              <w:right w:val="nil"/>
            </w:tcBorders>
            <w:shd w:val="clear" w:color="auto" w:fill="auto"/>
          </w:tcPr>
          <w:p w14:paraId="3F1561D0" w14:textId="0A6AFA10" w:rsidR="0058577B" w:rsidRPr="007B60BF" w:rsidRDefault="0058577B" w:rsidP="0058577B">
            <w:pPr>
              <w:jc w:val="right"/>
              <w:rPr>
                <w:sz w:val="18"/>
                <w:szCs w:val="18"/>
              </w:rPr>
            </w:pPr>
            <w:r w:rsidRPr="007B60BF">
              <w:rPr>
                <w:sz w:val="18"/>
                <w:szCs w:val="18"/>
              </w:rPr>
              <w:t xml:space="preserve"> 257.496 </w:t>
            </w:r>
          </w:p>
        </w:tc>
        <w:tc>
          <w:tcPr>
            <w:tcW w:w="102" w:type="pct"/>
            <w:tcBorders>
              <w:top w:val="nil"/>
              <w:left w:val="nil"/>
              <w:bottom w:val="nil"/>
              <w:right w:val="nil"/>
            </w:tcBorders>
            <w:shd w:val="clear" w:color="000000" w:fill="FFFFFF"/>
          </w:tcPr>
          <w:p w14:paraId="32564BEB" w14:textId="40305397" w:rsidR="0058577B" w:rsidRPr="007B60BF" w:rsidRDefault="0058577B" w:rsidP="0058577B">
            <w:pPr>
              <w:jc w:val="right"/>
              <w:rPr>
                <w:sz w:val="18"/>
                <w:szCs w:val="18"/>
              </w:rPr>
            </w:pPr>
          </w:p>
        </w:tc>
        <w:tc>
          <w:tcPr>
            <w:tcW w:w="487" w:type="pct"/>
            <w:tcBorders>
              <w:top w:val="nil"/>
              <w:left w:val="nil"/>
              <w:bottom w:val="nil"/>
              <w:right w:val="nil"/>
            </w:tcBorders>
            <w:shd w:val="clear" w:color="000000" w:fill="FFFFFF"/>
          </w:tcPr>
          <w:p w14:paraId="33AB5621" w14:textId="4507E66B" w:rsidR="0058577B" w:rsidRPr="007B60BF" w:rsidRDefault="0058577B" w:rsidP="0058577B">
            <w:pPr>
              <w:jc w:val="right"/>
              <w:rPr>
                <w:sz w:val="18"/>
                <w:szCs w:val="18"/>
              </w:rPr>
            </w:pPr>
            <w:r w:rsidRPr="007B60BF">
              <w:rPr>
                <w:sz w:val="18"/>
                <w:szCs w:val="18"/>
              </w:rPr>
              <w:t xml:space="preserve"> 7.720 </w:t>
            </w:r>
          </w:p>
        </w:tc>
        <w:tc>
          <w:tcPr>
            <w:tcW w:w="102" w:type="pct"/>
            <w:tcBorders>
              <w:top w:val="nil"/>
              <w:left w:val="nil"/>
              <w:bottom w:val="nil"/>
              <w:right w:val="nil"/>
            </w:tcBorders>
            <w:shd w:val="clear" w:color="000000" w:fill="FFFFFF"/>
          </w:tcPr>
          <w:p w14:paraId="4F140F12" w14:textId="4435C1D0" w:rsidR="0058577B" w:rsidRPr="007B60BF" w:rsidRDefault="0058577B" w:rsidP="0058577B">
            <w:pPr>
              <w:jc w:val="right"/>
              <w:rPr>
                <w:sz w:val="18"/>
                <w:szCs w:val="18"/>
              </w:rPr>
            </w:pPr>
          </w:p>
        </w:tc>
        <w:tc>
          <w:tcPr>
            <w:tcW w:w="568" w:type="pct"/>
            <w:tcBorders>
              <w:top w:val="nil"/>
              <w:left w:val="nil"/>
              <w:bottom w:val="nil"/>
              <w:right w:val="nil"/>
            </w:tcBorders>
            <w:shd w:val="clear" w:color="000000" w:fill="FFFFFF"/>
          </w:tcPr>
          <w:p w14:paraId="4F9312A2" w14:textId="5B1F6FF6" w:rsidR="0058577B" w:rsidRPr="007B60BF" w:rsidRDefault="0058577B" w:rsidP="0058577B">
            <w:pPr>
              <w:jc w:val="right"/>
              <w:rPr>
                <w:sz w:val="18"/>
                <w:szCs w:val="18"/>
              </w:rPr>
            </w:pPr>
            <w:r w:rsidRPr="007B60BF">
              <w:rPr>
                <w:sz w:val="18"/>
                <w:szCs w:val="18"/>
              </w:rPr>
              <w:t xml:space="preserve"> 265.216 </w:t>
            </w:r>
          </w:p>
        </w:tc>
        <w:tc>
          <w:tcPr>
            <w:tcW w:w="80" w:type="pct"/>
            <w:tcBorders>
              <w:top w:val="nil"/>
              <w:left w:val="nil"/>
              <w:bottom w:val="nil"/>
              <w:right w:val="nil"/>
            </w:tcBorders>
            <w:shd w:val="clear" w:color="000000" w:fill="FFFFFF"/>
            <w:vAlign w:val="center"/>
          </w:tcPr>
          <w:p w14:paraId="583EBCAC" w14:textId="77777777" w:rsidR="0058577B" w:rsidRPr="007B60BF" w:rsidRDefault="0058577B" w:rsidP="0058577B">
            <w:pPr>
              <w:jc w:val="right"/>
              <w:rPr>
                <w:sz w:val="16"/>
                <w:szCs w:val="16"/>
              </w:rPr>
            </w:pPr>
          </w:p>
        </w:tc>
        <w:tc>
          <w:tcPr>
            <w:tcW w:w="474" w:type="pct"/>
            <w:tcBorders>
              <w:top w:val="nil"/>
              <w:left w:val="nil"/>
              <w:bottom w:val="nil"/>
              <w:right w:val="nil"/>
            </w:tcBorders>
            <w:shd w:val="clear" w:color="auto" w:fill="auto"/>
          </w:tcPr>
          <w:p w14:paraId="79D8FAEE" w14:textId="324C6197" w:rsidR="0058577B" w:rsidRPr="007B60BF" w:rsidRDefault="0058577B" w:rsidP="0058577B">
            <w:pPr>
              <w:jc w:val="right"/>
              <w:rPr>
                <w:sz w:val="18"/>
                <w:szCs w:val="18"/>
              </w:rPr>
            </w:pPr>
            <w:r w:rsidRPr="007B60BF">
              <w:rPr>
                <w:sz w:val="18"/>
                <w:szCs w:val="18"/>
              </w:rPr>
              <w:t xml:space="preserve"> 235.664 </w:t>
            </w:r>
          </w:p>
        </w:tc>
        <w:tc>
          <w:tcPr>
            <w:tcW w:w="80" w:type="pct"/>
            <w:tcBorders>
              <w:top w:val="nil"/>
              <w:left w:val="nil"/>
              <w:bottom w:val="nil"/>
              <w:right w:val="nil"/>
            </w:tcBorders>
            <w:shd w:val="clear" w:color="000000" w:fill="FFFFFF"/>
          </w:tcPr>
          <w:p w14:paraId="141F849C" w14:textId="09248AD2" w:rsidR="0058577B" w:rsidRPr="007B60BF" w:rsidRDefault="0058577B" w:rsidP="0058577B">
            <w:pPr>
              <w:jc w:val="right"/>
              <w:rPr>
                <w:sz w:val="18"/>
                <w:szCs w:val="18"/>
              </w:rPr>
            </w:pPr>
          </w:p>
        </w:tc>
        <w:tc>
          <w:tcPr>
            <w:tcW w:w="489" w:type="pct"/>
            <w:tcBorders>
              <w:top w:val="nil"/>
              <w:left w:val="nil"/>
              <w:bottom w:val="nil"/>
              <w:right w:val="nil"/>
            </w:tcBorders>
            <w:shd w:val="clear" w:color="000000" w:fill="FFFFFF"/>
          </w:tcPr>
          <w:p w14:paraId="182F09CC" w14:textId="78F31968" w:rsidR="0058577B" w:rsidRPr="007B60BF" w:rsidRDefault="0058577B" w:rsidP="0058577B">
            <w:pPr>
              <w:jc w:val="right"/>
              <w:rPr>
                <w:sz w:val="18"/>
                <w:szCs w:val="18"/>
              </w:rPr>
            </w:pPr>
            <w:r w:rsidRPr="007B60BF">
              <w:rPr>
                <w:sz w:val="18"/>
                <w:szCs w:val="18"/>
              </w:rPr>
              <w:t xml:space="preserve"> 5.339 </w:t>
            </w:r>
          </w:p>
        </w:tc>
        <w:tc>
          <w:tcPr>
            <w:tcW w:w="80" w:type="pct"/>
            <w:tcBorders>
              <w:top w:val="nil"/>
              <w:left w:val="nil"/>
              <w:bottom w:val="nil"/>
              <w:right w:val="nil"/>
            </w:tcBorders>
            <w:shd w:val="clear" w:color="000000" w:fill="FFFFFF"/>
          </w:tcPr>
          <w:p w14:paraId="5F97A8A1" w14:textId="0D617504" w:rsidR="0058577B" w:rsidRPr="007B60BF" w:rsidRDefault="0058577B" w:rsidP="0058577B">
            <w:pPr>
              <w:jc w:val="right"/>
              <w:rPr>
                <w:sz w:val="18"/>
                <w:szCs w:val="18"/>
              </w:rPr>
            </w:pPr>
          </w:p>
        </w:tc>
        <w:tc>
          <w:tcPr>
            <w:tcW w:w="569" w:type="pct"/>
            <w:tcBorders>
              <w:top w:val="nil"/>
              <w:left w:val="nil"/>
              <w:bottom w:val="nil"/>
              <w:right w:val="nil"/>
            </w:tcBorders>
            <w:shd w:val="clear" w:color="000000" w:fill="FFFFFF"/>
          </w:tcPr>
          <w:p w14:paraId="582D1A4E" w14:textId="47E42FDE" w:rsidR="0058577B" w:rsidRPr="007B60BF" w:rsidRDefault="0058577B" w:rsidP="0058577B">
            <w:pPr>
              <w:jc w:val="right"/>
              <w:rPr>
                <w:sz w:val="18"/>
                <w:szCs w:val="18"/>
              </w:rPr>
            </w:pPr>
            <w:r w:rsidRPr="007B60BF">
              <w:rPr>
                <w:sz w:val="18"/>
                <w:szCs w:val="18"/>
              </w:rPr>
              <w:t xml:space="preserve"> 241.003 </w:t>
            </w:r>
          </w:p>
        </w:tc>
      </w:tr>
      <w:tr w:rsidR="0058577B" w:rsidRPr="007B60BF" w14:paraId="4A1F7761" w14:textId="77777777" w:rsidTr="00B22017">
        <w:tc>
          <w:tcPr>
            <w:tcW w:w="1450" w:type="pct"/>
            <w:tcBorders>
              <w:top w:val="nil"/>
              <w:left w:val="nil"/>
              <w:bottom w:val="nil"/>
              <w:right w:val="nil"/>
            </w:tcBorders>
            <w:shd w:val="clear" w:color="000000" w:fill="FFFFFF"/>
            <w:vAlign w:val="center"/>
            <w:hideMark/>
          </w:tcPr>
          <w:p w14:paraId="0493C1D8" w14:textId="77777777" w:rsidR="0058577B" w:rsidRPr="007B60BF" w:rsidRDefault="0058577B" w:rsidP="0058577B">
            <w:pPr>
              <w:rPr>
                <w:sz w:val="18"/>
                <w:szCs w:val="18"/>
              </w:rPr>
            </w:pPr>
            <w:r w:rsidRPr="007B60BF">
              <w:rPr>
                <w:sz w:val="18"/>
                <w:szCs w:val="18"/>
              </w:rPr>
              <w:t>Depreciações/Amortizações</w:t>
            </w:r>
          </w:p>
        </w:tc>
        <w:tc>
          <w:tcPr>
            <w:tcW w:w="518" w:type="pct"/>
            <w:tcBorders>
              <w:top w:val="nil"/>
              <w:left w:val="nil"/>
              <w:bottom w:val="nil"/>
              <w:right w:val="nil"/>
            </w:tcBorders>
            <w:shd w:val="clear" w:color="auto" w:fill="auto"/>
          </w:tcPr>
          <w:p w14:paraId="33802821" w14:textId="60170915" w:rsidR="0058577B" w:rsidRPr="007B60BF" w:rsidRDefault="0058577B" w:rsidP="0058577B">
            <w:pPr>
              <w:jc w:val="right"/>
              <w:rPr>
                <w:sz w:val="18"/>
                <w:szCs w:val="18"/>
              </w:rPr>
            </w:pPr>
            <w:r w:rsidRPr="007B60BF">
              <w:rPr>
                <w:sz w:val="18"/>
                <w:szCs w:val="18"/>
              </w:rPr>
              <w:t xml:space="preserve"> 22.771 </w:t>
            </w:r>
          </w:p>
        </w:tc>
        <w:tc>
          <w:tcPr>
            <w:tcW w:w="102" w:type="pct"/>
            <w:tcBorders>
              <w:top w:val="nil"/>
              <w:left w:val="nil"/>
              <w:bottom w:val="nil"/>
              <w:right w:val="nil"/>
            </w:tcBorders>
            <w:shd w:val="clear" w:color="000000" w:fill="FFFFFF"/>
          </w:tcPr>
          <w:p w14:paraId="5690375A" w14:textId="0BB19D44" w:rsidR="0058577B" w:rsidRPr="007B60BF" w:rsidRDefault="0058577B" w:rsidP="0058577B">
            <w:pPr>
              <w:jc w:val="right"/>
              <w:rPr>
                <w:sz w:val="18"/>
                <w:szCs w:val="18"/>
              </w:rPr>
            </w:pPr>
          </w:p>
        </w:tc>
        <w:tc>
          <w:tcPr>
            <w:tcW w:w="487" w:type="pct"/>
            <w:tcBorders>
              <w:top w:val="nil"/>
              <w:left w:val="nil"/>
              <w:bottom w:val="nil"/>
              <w:right w:val="nil"/>
            </w:tcBorders>
            <w:shd w:val="clear" w:color="000000" w:fill="FFFFFF"/>
          </w:tcPr>
          <w:p w14:paraId="75A86ED4" w14:textId="6EC446DD" w:rsidR="0058577B" w:rsidRPr="007B60BF" w:rsidRDefault="0058577B" w:rsidP="0058577B">
            <w:pPr>
              <w:jc w:val="right"/>
              <w:rPr>
                <w:sz w:val="18"/>
                <w:szCs w:val="18"/>
              </w:rPr>
            </w:pPr>
            <w:r w:rsidRPr="007B60BF">
              <w:rPr>
                <w:sz w:val="18"/>
                <w:szCs w:val="18"/>
              </w:rPr>
              <w:t xml:space="preserve"> 16.183 </w:t>
            </w:r>
          </w:p>
        </w:tc>
        <w:tc>
          <w:tcPr>
            <w:tcW w:w="102" w:type="pct"/>
            <w:tcBorders>
              <w:top w:val="nil"/>
              <w:left w:val="nil"/>
              <w:bottom w:val="nil"/>
              <w:right w:val="nil"/>
            </w:tcBorders>
            <w:shd w:val="clear" w:color="000000" w:fill="FFFFFF"/>
          </w:tcPr>
          <w:p w14:paraId="59B0B3E0" w14:textId="5BC1A130" w:rsidR="0058577B" w:rsidRPr="007B60BF" w:rsidRDefault="0058577B" w:rsidP="0058577B">
            <w:pPr>
              <w:jc w:val="right"/>
              <w:rPr>
                <w:sz w:val="18"/>
                <w:szCs w:val="18"/>
              </w:rPr>
            </w:pPr>
          </w:p>
        </w:tc>
        <w:tc>
          <w:tcPr>
            <w:tcW w:w="568" w:type="pct"/>
            <w:tcBorders>
              <w:top w:val="nil"/>
              <w:left w:val="nil"/>
              <w:bottom w:val="nil"/>
              <w:right w:val="nil"/>
            </w:tcBorders>
            <w:shd w:val="clear" w:color="000000" w:fill="FFFFFF"/>
          </w:tcPr>
          <w:p w14:paraId="6AF171C3" w14:textId="7ADF7D20" w:rsidR="0058577B" w:rsidRPr="007B60BF" w:rsidRDefault="0058577B" w:rsidP="0058577B">
            <w:pPr>
              <w:jc w:val="right"/>
              <w:rPr>
                <w:sz w:val="18"/>
                <w:szCs w:val="18"/>
              </w:rPr>
            </w:pPr>
            <w:r w:rsidRPr="007B60BF">
              <w:rPr>
                <w:sz w:val="18"/>
                <w:szCs w:val="18"/>
              </w:rPr>
              <w:t xml:space="preserve"> 38.954 </w:t>
            </w:r>
          </w:p>
        </w:tc>
        <w:tc>
          <w:tcPr>
            <w:tcW w:w="80" w:type="pct"/>
            <w:tcBorders>
              <w:top w:val="nil"/>
              <w:left w:val="nil"/>
              <w:bottom w:val="nil"/>
              <w:right w:val="nil"/>
            </w:tcBorders>
            <w:shd w:val="clear" w:color="000000" w:fill="FFFFFF"/>
            <w:vAlign w:val="center"/>
          </w:tcPr>
          <w:p w14:paraId="4BA63A6E" w14:textId="77777777" w:rsidR="0058577B" w:rsidRPr="007B60BF" w:rsidRDefault="0058577B" w:rsidP="0058577B">
            <w:pPr>
              <w:jc w:val="right"/>
              <w:rPr>
                <w:sz w:val="16"/>
                <w:szCs w:val="16"/>
              </w:rPr>
            </w:pPr>
          </w:p>
        </w:tc>
        <w:tc>
          <w:tcPr>
            <w:tcW w:w="474" w:type="pct"/>
            <w:tcBorders>
              <w:top w:val="nil"/>
              <w:left w:val="nil"/>
              <w:bottom w:val="nil"/>
              <w:right w:val="nil"/>
            </w:tcBorders>
            <w:shd w:val="clear" w:color="auto" w:fill="auto"/>
          </w:tcPr>
          <w:p w14:paraId="431C59B7" w14:textId="4AC655E3" w:rsidR="0058577B" w:rsidRPr="007B60BF" w:rsidRDefault="0058577B" w:rsidP="0058577B">
            <w:pPr>
              <w:jc w:val="right"/>
              <w:rPr>
                <w:sz w:val="18"/>
                <w:szCs w:val="18"/>
              </w:rPr>
            </w:pPr>
            <w:r w:rsidRPr="007B60BF">
              <w:rPr>
                <w:sz w:val="18"/>
                <w:szCs w:val="18"/>
              </w:rPr>
              <w:t xml:space="preserve"> 21.543 </w:t>
            </w:r>
          </w:p>
        </w:tc>
        <w:tc>
          <w:tcPr>
            <w:tcW w:w="80" w:type="pct"/>
            <w:tcBorders>
              <w:top w:val="nil"/>
              <w:left w:val="nil"/>
              <w:bottom w:val="nil"/>
              <w:right w:val="nil"/>
            </w:tcBorders>
            <w:shd w:val="clear" w:color="000000" w:fill="FFFFFF"/>
          </w:tcPr>
          <w:p w14:paraId="31AA8D75" w14:textId="65D20810" w:rsidR="0058577B" w:rsidRPr="007B60BF" w:rsidRDefault="0058577B" w:rsidP="0058577B">
            <w:pPr>
              <w:jc w:val="right"/>
              <w:rPr>
                <w:sz w:val="18"/>
                <w:szCs w:val="18"/>
              </w:rPr>
            </w:pPr>
          </w:p>
        </w:tc>
        <w:tc>
          <w:tcPr>
            <w:tcW w:w="489" w:type="pct"/>
            <w:tcBorders>
              <w:top w:val="nil"/>
              <w:left w:val="nil"/>
              <w:bottom w:val="nil"/>
              <w:right w:val="nil"/>
            </w:tcBorders>
            <w:shd w:val="clear" w:color="000000" w:fill="FFFFFF"/>
          </w:tcPr>
          <w:p w14:paraId="7701A262" w14:textId="7E087F71" w:rsidR="0058577B" w:rsidRPr="007B60BF" w:rsidRDefault="0058577B" w:rsidP="0058577B">
            <w:pPr>
              <w:jc w:val="right"/>
              <w:rPr>
                <w:sz w:val="18"/>
                <w:szCs w:val="18"/>
              </w:rPr>
            </w:pPr>
            <w:r w:rsidRPr="007B60BF">
              <w:rPr>
                <w:sz w:val="18"/>
                <w:szCs w:val="18"/>
              </w:rPr>
              <w:t xml:space="preserve"> 16.302 </w:t>
            </w:r>
          </w:p>
        </w:tc>
        <w:tc>
          <w:tcPr>
            <w:tcW w:w="80" w:type="pct"/>
            <w:tcBorders>
              <w:top w:val="nil"/>
              <w:left w:val="nil"/>
              <w:bottom w:val="nil"/>
              <w:right w:val="nil"/>
            </w:tcBorders>
            <w:shd w:val="clear" w:color="000000" w:fill="FFFFFF"/>
          </w:tcPr>
          <w:p w14:paraId="14BF847D" w14:textId="2A57CED7" w:rsidR="0058577B" w:rsidRPr="007B60BF" w:rsidRDefault="0058577B" w:rsidP="0058577B">
            <w:pPr>
              <w:jc w:val="right"/>
              <w:rPr>
                <w:sz w:val="18"/>
                <w:szCs w:val="18"/>
              </w:rPr>
            </w:pPr>
          </w:p>
        </w:tc>
        <w:tc>
          <w:tcPr>
            <w:tcW w:w="569" w:type="pct"/>
            <w:tcBorders>
              <w:top w:val="nil"/>
              <w:left w:val="nil"/>
              <w:bottom w:val="nil"/>
              <w:right w:val="nil"/>
            </w:tcBorders>
            <w:shd w:val="clear" w:color="000000" w:fill="FFFFFF"/>
          </w:tcPr>
          <w:p w14:paraId="124A5EB1" w14:textId="63FE60D7" w:rsidR="0058577B" w:rsidRPr="007B60BF" w:rsidRDefault="0058577B" w:rsidP="0058577B">
            <w:pPr>
              <w:jc w:val="right"/>
              <w:rPr>
                <w:sz w:val="18"/>
                <w:szCs w:val="18"/>
              </w:rPr>
            </w:pPr>
            <w:r w:rsidRPr="007B60BF">
              <w:rPr>
                <w:sz w:val="18"/>
                <w:szCs w:val="18"/>
              </w:rPr>
              <w:t xml:space="preserve"> 37.845 </w:t>
            </w:r>
          </w:p>
        </w:tc>
      </w:tr>
      <w:tr w:rsidR="0058577B" w:rsidRPr="007B60BF" w14:paraId="00B3C262" w14:textId="77777777" w:rsidTr="00B22017">
        <w:tc>
          <w:tcPr>
            <w:tcW w:w="1450" w:type="pct"/>
            <w:tcBorders>
              <w:top w:val="nil"/>
              <w:left w:val="nil"/>
              <w:bottom w:val="nil"/>
              <w:right w:val="nil"/>
            </w:tcBorders>
            <w:shd w:val="clear" w:color="000000" w:fill="FFFFFF"/>
            <w:vAlign w:val="center"/>
            <w:hideMark/>
          </w:tcPr>
          <w:p w14:paraId="34339E3A" w14:textId="720A022C" w:rsidR="0058577B" w:rsidRPr="007B60BF" w:rsidRDefault="0058577B" w:rsidP="0058577B">
            <w:pPr>
              <w:rPr>
                <w:sz w:val="18"/>
                <w:szCs w:val="18"/>
              </w:rPr>
            </w:pPr>
            <w:r w:rsidRPr="007B60BF">
              <w:rPr>
                <w:sz w:val="18"/>
                <w:szCs w:val="18"/>
              </w:rPr>
              <w:t>Despesas c/ Serviços PF e PJ</w:t>
            </w:r>
          </w:p>
        </w:tc>
        <w:tc>
          <w:tcPr>
            <w:tcW w:w="518" w:type="pct"/>
            <w:tcBorders>
              <w:top w:val="nil"/>
              <w:left w:val="nil"/>
              <w:bottom w:val="nil"/>
              <w:right w:val="nil"/>
            </w:tcBorders>
            <w:shd w:val="clear" w:color="000000" w:fill="FFFFFF"/>
          </w:tcPr>
          <w:p w14:paraId="3B49F6AE" w14:textId="6AD023BE" w:rsidR="0058577B" w:rsidRPr="007B60BF" w:rsidRDefault="0058577B" w:rsidP="0058577B">
            <w:pPr>
              <w:jc w:val="right"/>
              <w:rPr>
                <w:sz w:val="18"/>
                <w:szCs w:val="18"/>
              </w:rPr>
            </w:pPr>
            <w:r w:rsidRPr="007B60BF">
              <w:rPr>
                <w:sz w:val="18"/>
                <w:szCs w:val="18"/>
              </w:rPr>
              <w:t xml:space="preserve"> 116.851 </w:t>
            </w:r>
          </w:p>
        </w:tc>
        <w:tc>
          <w:tcPr>
            <w:tcW w:w="102" w:type="pct"/>
            <w:tcBorders>
              <w:top w:val="nil"/>
              <w:left w:val="nil"/>
              <w:bottom w:val="nil"/>
              <w:right w:val="nil"/>
            </w:tcBorders>
            <w:shd w:val="clear" w:color="000000" w:fill="FFFFFF"/>
          </w:tcPr>
          <w:p w14:paraId="1F89425C" w14:textId="0894EDA5" w:rsidR="0058577B" w:rsidRPr="007B60BF" w:rsidRDefault="0058577B" w:rsidP="0058577B">
            <w:pPr>
              <w:jc w:val="right"/>
              <w:rPr>
                <w:sz w:val="18"/>
                <w:szCs w:val="18"/>
              </w:rPr>
            </w:pPr>
          </w:p>
        </w:tc>
        <w:tc>
          <w:tcPr>
            <w:tcW w:w="487" w:type="pct"/>
            <w:tcBorders>
              <w:top w:val="nil"/>
              <w:left w:val="nil"/>
              <w:bottom w:val="nil"/>
              <w:right w:val="nil"/>
            </w:tcBorders>
            <w:shd w:val="clear" w:color="000000" w:fill="FFFFFF"/>
          </w:tcPr>
          <w:p w14:paraId="6FC39265" w14:textId="4DF81840" w:rsidR="0058577B" w:rsidRPr="007B60BF" w:rsidRDefault="0058577B" w:rsidP="0058577B">
            <w:pPr>
              <w:jc w:val="right"/>
              <w:rPr>
                <w:sz w:val="18"/>
                <w:szCs w:val="18"/>
              </w:rPr>
            </w:pPr>
            <w:r w:rsidRPr="007B60BF">
              <w:rPr>
                <w:sz w:val="18"/>
                <w:szCs w:val="18"/>
              </w:rPr>
              <w:t xml:space="preserve"> 48.028 </w:t>
            </w:r>
          </w:p>
        </w:tc>
        <w:tc>
          <w:tcPr>
            <w:tcW w:w="102" w:type="pct"/>
            <w:tcBorders>
              <w:top w:val="nil"/>
              <w:left w:val="nil"/>
              <w:bottom w:val="nil"/>
              <w:right w:val="nil"/>
            </w:tcBorders>
            <w:shd w:val="clear" w:color="000000" w:fill="FFFFFF"/>
          </w:tcPr>
          <w:p w14:paraId="3CD417C4" w14:textId="058A9C8C" w:rsidR="0058577B" w:rsidRPr="007B60BF" w:rsidRDefault="0058577B" w:rsidP="0058577B">
            <w:pPr>
              <w:jc w:val="right"/>
              <w:rPr>
                <w:sz w:val="18"/>
                <w:szCs w:val="18"/>
              </w:rPr>
            </w:pPr>
          </w:p>
        </w:tc>
        <w:tc>
          <w:tcPr>
            <w:tcW w:w="568" w:type="pct"/>
            <w:tcBorders>
              <w:top w:val="nil"/>
              <w:left w:val="nil"/>
              <w:bottom w:val="nil"/>
              <w:right w:val="nil"/>
            </w:tcBorders>
            <w:shd w:val="clear" w:color="000000" w:fill="FFFFFF"/>
          </w:tcPr>
          <w:p w14:paraId="2FA08369" w14:textId="6DF8436E" w:rsidR="0058577B" w:rsidRPr="007B60BF" w:rsidRDefault="0058577B" w:rsidP="00111C02">
            <w:pPr>
              <w:jc w:val="right"/>
              <w:rPr>
                <w:sz w:val="18"/>
                <w:szCs w:val="18"/>
              </w:rPr>
            </w:pPr>
            <w:r w:rsidRPr="007B60BF">
              <w:rPr>
                <w:sz w:val="18"/>
                <w:szCs w:val="18"/>
              </w:rPr>
              <w:t xml:space="preserve"> 164.8</w:t>
            </w:r>
            <w:r w:rsidR="00111C02" w:rsidRPr="007B60BF">
              <w:rPr>
                <w:sz w:val="18"/>
                <w:szCs w:val="18"/>
              </w:rPr>
              <w:t>79</w:t>
            </w:r>
            <w:r w:rsidRPr="007B60BF">
              <w:rPr>
                <w:sz w:val="18"/>
                <w:szCs w:val="18"/>
              </w:rPr>
              <w:t xml:space="preserve"> </w:t>
            </w:r>
          </w:p>
        </w:tc>
        <w:tc>
          <w:tcPr>
            <w:tcW w:w="80" w:type="pct"/>
            <w:tcBorders>
              <w:top w:val="nil"/>
              <w:left w:val="nil"/>
              <w:bottom w:val="nil"/>
              <w:right w:val="nil"/>
            </w:tcBorders>
            <w:shd w:val="clear" w:color="000000" w:fill="FFFFFF"/>
            <w:vAlign w:val="center"/>
          </w:tcPr>
          <w:p w14:paraId="3BDE1861" w14:textId="77777777" w:rsidR="0058577B" w:rsidRPr="007B60BF" w:rsidRDefault="0058577B" w:rsidP="0058577B">
            <w:pPr>
              <w:jc w:val="right"/>
              <w:rPr>
                <w:sz w:val="16"/>
                <w:szCs w:val="16"/>
              </w:rPr>
            </w:pPr>
          </w:p>
        </w:tc>
        <w:tc>
          <w:tcPr>
            <w:tcW w:w="474" w:type="pct"/>
            <w:tcBorders>
              <w:top w:val="nil"/>
              <w:left w:val="nil"/>
              <w:bottom w:val="nil"/>
              <w:right w:val="nil"/>
            </w:tcBorders>
            <w:shd w:val="clear" w:color="000000" w:fill="FFFFFF"/>
          </w:tcPr>
          <w:p w14:paraId="525A14C8" w14:textId="1EA09532" w:rsidR="0058577B" w:rsidRPr="007B60BF" w:rsidRDefault="0058577B" w:rsidP="0058577B">
            <w:pPr>
              <w:jc w:val="right"/>
              <w:rPr>
                <w:sz w:val="18"/>
                <w:szCs w:val="18"/>
              </w:rPr>
            </w:pPr>
            <w:r w:rsidRPr="007B60BF">
              <w:rPr>
                <w:sz w:val="18"/>
                <w:szCs w:val="18"/>
              </w:rPr>
              <w:t xml:space="preserve"> 106.756 </w:t>
            </w:r>
          </w:p>
        </w:tc>
        <w:tc>
          <w:tcPr>
            <w:tcW w:w="80" w:type="pct"/>
            <w:tcBorders>
              <w:top w:val="nil"/>
              <w:left w:val="nil"/>
              <w:bottom w:val="nil"/>
              <w:right w:val="nil"/>
            </w:tcBorders>
            <w:shd w:val="clear" w:color="000000" w:fill="FFFFFF"/>
          </w:tcPr>
          <w:p w14:paraId="64DC2ACD" w14:textId="7978D037" w:rsidR="0058577B" w:rsidRPr="007B60BF" w:rsidRDefault="0058577B" w:rsidP="0058577B">
            <w:pPr>
              <w:jc w:val="right"/>
              <w:rPr>
                <w:sz w:val="18"/>
                <w:szCs w:val="18"/>
              </w:rPr>
            </w:pPr>
          </w:p>
        </w:tc>
        <w:tc>
          <w:tcPr>
            <w:tcW w:w="489" w:type="pct"/>
            <w:tcBorders>
              <w:top w:val="nil"/>
              <w:left w:val="nil"/>
              <w:bottom w:val="nil"/>
              <w:right w:val="nil"/>
            </w:tcBorders>
            <w:shd w:val="clear" w:color="000000" w:fill="FFFFFF"/>
          </w:tcPr>
          <w:p w14:paraId="6D62D4C2" w14:textId="3777FC80" w:rsidR="0058577B" w:rsidRPr="007B60BF" w:rsidRDefault="0058577B" w:rsidP="0058577B">
            <w:pPr>
              <w:jc w:val="right"/>
              <w:rPr>
                <w:sz w:val="18"/>
                <w:szCs w:val="18"/>
              </w:rPr>
            </w:pPr>
            <w:r w:rsidRPr="007B60BF">
              <w:rPr>
                <w:sz w:val="18"/>
                <w:szCs w:val="18"/>
              </w:rPr>
              <w:t xml:space="preserve"> 47.487 </w:t>
            </w:r>
          </w:p>
        </w:tc>
        <w:tc>
          <w:tcPr>
            <w:tcW w:w="80" w:type="pct"/>
            <w:tcBorders>
              <w:top w:val="nil"/>
              <w:left w:val="nil"/>
              <w:bottom w:val="nil"/>
              <w:right w:val="nil"/>
            </w:tcBorders>
            <w:shd w:val="clear" w:color="000000" w:fill="FFFFFF"/>
          </w:tcPr>
          <w:p w14:paraId="038911F6" w14:textId="1D65621C" w:rsidR="0058577B" w:rsidRPr="007B60BF" w:rsidRDefault="0058577B" w:rsidP="0058577B">
            <w:pPr>
              <w:jc w:val="right"/>
              <w:rPr>
                <w:sz w:val="18"/>
                <w:szCs w:val="18"/>
              </w:rPr>
            </w:pPr>
          </w:p>
        </w:tc>
        <w:tc>
          <w:tcPr>
            <w:tcW w:w="569" w:type="pct"/>
            <w:tcBorders>
              <w:top w:val="nil"/>
              <w:left w:val="nil"/>
              <w:bottom w:val="nil"/>
              <w:right w:val="nil"/>
            </w:tcBorders>
            <w:shd w:val="clear" w:color="000000" w:fill="FFFFFF"/>
          </w:tcPr>
          <w:p w14:paraId="3C82CB08" w14:textId="59CC6634" w:rsidR="0058577B" w:rsidRPr="007B60BF" w:rsidRDefault="0058577B" w:rsidP="0058577B">
            <w:pPr>
              <w:jc w:val="right"/>
              <w:rPr>
                <w:sz w:val="18"/>
                <w:szCs w:val="18"/>
              </w:rPr>
            </w:pPr>
            <w:r w:rsidRPr="007B60BF">
              <w:rPr>
                <w:sz w:val="18"/>
                <w:szCs w:val="18"/>
              </w:rPr>
              <w:t xml:space="preserve"> 154.243 </w:t>
            </w:r>
          </w:p>
        </w:tc>
      </w:tr>
      <w:tr w:rsidR="0058577B" w:rsidRPr="007B60BF" w14:paraId="7E2A8CF5" w14:textId="77777777" w:rsidTr="00B22017">
        <w:tc>
          <w:tcPr>
            <w:tcW w:w="1450" w:type="pct"/>
            <w:tcBorders>
              <w:top w:val="nil"/>
              <w:left w:val="nil"/>
              <w:bottom w:val="nil"/>
              <w:right w:val="nil"/>
            </w:tcBorders>
            <w:shd w:val="clear" w:color="000000" w:fill="FFFFFF"/>
            <w:vAlign w:val="center"/>
            <w:hideMark/>
          </w:tcPr>
          <w:p w14:paraId="0B34E03A" w14:textId="77777777" w:rsidR="0058577B" w:rsidRPr="007B60BF" w:rsidRDefault="0058577B" w:rsidP="0058577B">
            <w:pPr>
              <w:rPr>
                <w:b/>
                <w:bCs/>
                <w:sz w:val="18"/>
                <w:szCs w:val="18"/>
              </w:rPr>
            </w:pPr>
            <w:r w:rsidRPr="007B60BF">
              <w:rPr>
                <w:b/>
                <w:bCs/>
                <w:sz w:val="18"/>
                <w:szCs w:val="18"/>
              </w:rPr>
              <w:t>Subtotais</w:t>
            </w:r>
          </w:p>
        </w:tc>
        <w:tc>
          <w:tcPr>
            <w:tcW w:w="518" w:type="pct"/>
            <w:tcBorders>
              <w:top w:val="single" w:sz="4" w:space="0" w:color="auto"/>
              <w:left w:val="nil"/>
              <w:bottom w:val="nil"/>
              <w:right w:val="nil"/>
            </w:tcBorders>
            <w:shd w:val="clear" w:color="000000" w:fill="FFFFFF"/>
          </w:tcPr>
          <w:p w14:paraId="068AD483" w14:textId="0E91BF46" w:rsidR="0058577B" w:rsidRPr="007B60BF" w:rsidRDefault="0058577B" w:rsidP="0058577B">
            <w:pPr>
              <w:jc w:val="right"/>
              <w:rPr>
                <w:b/>
                <w:sz w:val="18"/>
                <w:szCs w:val="18"/>
              </w:rPr>
            </w:pPr>
            <w:r w:rsidRPr="007B60BF">
              <w:rPr>
                <w:sz w:val="18"/>
                <w:szCs w:val="18"/>
              </w:rPr>
              <w:t xml:space="preserve"> 2.078.366 </w:t>
            </w:r>
          </w:p>
        </w:tc>
        <w:tc>
          <w:tcPr>
            <w:tcW w:w="102" w:type="pct"/>
            <w:tcBorders>
              <w:top w:val="nil"/>
              <w:left w:val="nil"/>
              <w:bottom w:val="nil"/>
              <w:right w:val="nil"/>
            </w:tcBorders>
            <w:shd w:val="clear" w:color="000000" w:fill="FFFFFF"/>
          </w:tcPr>
          <w:p w14:paraId="1707507D" w14:textId="04BCB2C4" w:rsidR="0058577B" w:rsidRPr="007B60BF" w:rsidRDefault="0058577B" w:rsidP="0058577B">
            <w:pPr>
              <w:jc w:val="right"/>
              <w:rPr>
                <w:b/>
                <w:sz w:val="18"/>
                <w:szCs w:val="18"/>
              </w:rPr>
            </w:pPr>
          </w:p>
        </w:tc>
        <w:tc>
          <w:tcPr>
            <w:tcW w:w="487" w:type="pct"/>
            <w:tcBorders>
              <w:top w:val="single" w:sz="4" w:space="0" w:color="auto"/>
              <w:left w:val="nil"/>
              <w:bottom w:val="nil"/>
              <w:right w:val="nil"/>
            </w:tcBorders>
            <w:shd w:val="clear" w:color="000000" w:fill="FFFFFF"/>
          </w:tcPr>
          <w:p w14:paraId="0EA791A9" w14:textId="0863A5BE" w:rsidR="0058577B" w:rsidRPr="007B60BF" w:rsidRDefault="0058577B" w:rsidP="0058577B">
            <w:pPr>
              <w:jc w:val="right"/>
              <w:rPr>
                <w:b/>
                <w:sz w:val="18"/>
                <w:szCs w:val="18"/>
              </w:rPr>
            </w:pPr>
            <w:r w:rsidRPr="007B60BF">
              <w:rPr>
                <w:sz w:val="18"/>
                <w:szCs w:val="18"/>
              </w:rPr>
              <w:t xml:space="preserve"> 335.992 </w:t>
            </w:r>
          </w:p>
        </w:tc>
        <w:tc>
          <w:tcPr>
            <w:tcW w:w="102" w:type="pct"/>
            <w:tcBorders>
              <w:top w:val="nil"/>
              <w:left w:val="nil"/>
              <w:bottom w:val="nil"/>
              <w:right w:val="nil"/>
            </w:tcBorders>
            <w:shd w:val="clear" w:color="000000" w:fill="FFFFFF"/>
          </w:tcPr>
          <w:p w14:paraId="4D8BABBD" w14:textId="74EEE9B8" w:rsidR="0058577B" w:rsidRPr="007B60BF" w:rsidRDefault="0058577B" w:rsidP="0058577B">
            <w:pPr>
              <w:jc w:val="right"/>
              <w:rPr>
                <w:b/>
                <w:sz w:val="18"/>
                <w:szCs w:val="18"/>
              </w:rPr>
            </w:pPr>
          </w:p>
        </w:tc>
        <w:tc>
          <w:tcPr>
            <w:tcW w:w="568" w:type="pct"/>
            <w:tcBorders>
              <w:top w:val="single" w:sz="4" w:space="0" w:color="auto"/>
              <w:left w:val="nil"/>
              <w:bottom w:val="nil"/>
              <w:right w:val="nil"/>
            </w:tcBorders>
            <w:shd w:val="clear" w:color="000000" w:fill="FFFFFF"/>
          </w:tcPr>
          <w:p w14:paraId="024861B8" w14:textId="71DA1E2C" w:rsidR="0058577B" w:rsidRPr="007B60BF" w:rsidRDefault="0058577B" w:rsidP="0058577B">
            <w:pPr>
              <w:jc w:val="right"/>
              <w:rPr>
                <w:b/>
                <w:sz w:val="18"/>
                <w:szCs w:val="18"/>
              </w:rPr>
            </w:pPr>
            <w:r w:rsidRPr="007B60BF">
              <w:rPr>
                <w:sz w:val="18"/>
                <w:szCs w:val="18"/>
              </w:rPr>
              <w:t xml:space="preserve"> 2.414.358 </w:t>
            </w:r>
          </w:p>
        </w:tc>
        <w:tc>
          <w:tcPr>
            <w:tcW w:w="80" w:type="pct"/>
            <w:tcBorders>
              <w:top w:val="nil"/>
              <w:left w:val="nil"/>
              <w:bottom w:val="nil"/>
              <w:right w:val="nil"/>
            </w:tcBorders>
            <w:shd w:val="clear" w:color="000000" w:fill="FFFFFF"/>
            <w:vAlign w:val="center"/>
          </w:tcPr>
          <w:p w14:paraId="2DD988CA" w14:textId="77777777" w:rsidR="0058577B" w:rsidRPr="007B60BF" w:rsidRDefault="0058577B" w:rsidP="0058577B">
            <w:pPr>
              <w:jc w:val="right"/>
              <w:rPr>
                <w:b/>
                <w:bCs/>
                <w:sz w:val="16"/>
                <w:szCs w:val="16"/>
              </w:rPr>
            </w:pPr>
          </w:p>
        </w:tc>
        <w:tc>
          <w:tcPr>
            <w:tcW w:w="474" w:type="pct"/>
            <w:tcBorders>
              <w:top w:val="single" w:sz="4" w:space="0" w:color="auto"/>
              <w:left w:val="nil"/>
              <w:bottom w:val="nil"/>
              <w:right w:val="nil"/>
            </w:tcBorders>
            <w:shd w:val="clear" w:color="000000" w:fill="FFFFFF"/>
          </w:tcPr>
          <w:p w14:paraId="0D618907" w14:textId="06A4CC45" w:rsidR="0058577B" w:rsidRPr="007B60BF" w:rsidRDefault="0058577B" w:rsidP="0058577B">
            <w:pPr>
              <w:jc w:val="right"/>
              <w:rPr>
                <w:b/>
                <w:sz w:val="18"/>
                <w:szCs w:val="18"/>
              </w:rPr>
            </w:pPr>
            <w:r w:rsidRPr="007B60BF">
              <w:rPr>
                <w:b/>
                <w:sz w:val="18"/>
                <w:szCs w:val="18"/>
              </w:rPr>
              <w:t xml:space="preserve">1.877.463 </w:t>
            </w:r>
          </w:p>
        </w:tc>
        <w:tc>
          <w:tcPr>
            <w:tcW w:w="80" w:type="pct"/>
            <w:tcBorders>
              <w:top w:val="nil"/>
              <w:left w:val="nil"/>
              <w:bottom w:val="nil"/>
              <w:right w:val="nil"/>
            </w:tcBorders>
            <w:shd w:val="clear" w:color="000000" w:fill="FFFFFF"/>
          </w:tcPr>
          <w:p w14:paraId="71D27B46" w14:textId="2E08331A" w:rsidR="0058577B" w:rsidRPr="007B60BF" w:rsidRDefault="0058577B" w:rsidP="0058577B">
            <w:pPr>
              <w:jc w:val="right"/>
              <w:rPr>
                <w:b/>
                <w:sz w:val="18"/>
                <w:szCs w:val="18"/>
              </w:rPr>
            </w:pPr>
          </w:p>
        </w:tc>
        <w:tc>
          <w:tcPr>
            <w:tcW w:w="489" w:type="pct"/>
            <w:tcBorders>
              <w:top w:val="single" w:sz="4" w:space="0" w:color="auto"/>
              <w:left w:val="nil"/>
              <w:bottom w:val="nil"/>
              <w:right w:val="nil"/>
            </w:tcBorders>
            <w:shd w:val="clear" w:color="000000" w:fill="FFFFFF"/>
          </w:tcPr>
          <w:p w14:paraId="32D0334D" w14:textId="758082B5" w:rsidR="0058577B" w:rsidRPr="007B60BF" w:rsidRDefault="0058577B" w:rsidP="0058577B">
            <w:pPr>
              <w:jc w:val="right"/>
              <w:rPr>
                <w:b/>
                <w:sz w:val="18"/>
                <w:szCs w:val="18"/>
              </w:rPr>
            </w:pPr>
            <w:r w:rsidRPr="007B60BF">
              <w:rPr>
                <w:b/>
                <w:sz w:val="18"/>
                <w:szCs w:val="18"/>
              </w:rPr>
              <w:t xml:space="preserve"> 313.281 </w:t>
            </w:r>
          </w:p>
        </w:tc>
        <w:tc>
          <w:tcPr>
            <w:tcW w:w="80" w:type="pct"/>
            <w:tcBorders>
              <w:top w:val="nil"/>
              <w:left w:val="nil"/>
              <w:bottom w:val="nil"/>
              <w:right w:val="nil"/>
            </w:tcBorders>
            <w:shd w:val="clear" w:color="000000" w:fill="FFFFFF"/>
          </w:tcPr>
          <w:p w14:paraId="784CE903" w14:textId="19F897E1" w:rsidR="0058577B" w:rsidRPr="007B60BF" w:rsidRDefault="0058577B" w:rsidP="0058577B">
            <w:pPr>
              <w:jc w:val="right"/>
              <w:rPr>
                <w:b/>
                <w:sz w:val="18"/>
                <w:szCs w:val="18"/>
              </w:rPr>
            </w:pPr>
          </w:p>
        </w:tc>
        <w:tc>
          <w:tcPr>
            <w:tcW w:w="569" w:type="pct"/>
            <w:tcBorders>
              <w:top w:val="single" w:sz="4" w:space="0" w:color="auto"/>
              <w:left w:val="nil"/>
              <w:bottom w:val="nil"/>
              <w:right w:val="nil"/>
            </w:tcBorders>
            <w:shd w:val="clear" w:color="000000" w:fill="FFFFFF"/>
          </w:tcPr>
          <w:p w14:paraId="39940257" w14:textId="0A4DBFA3" w:rsidR="0058577B" w:rsidRPr="007B60BF" w:rsidRDefault="0058577B" w:rsidP="0058577B">
            <w:pPr>
              <w:jc w:val="right"/>
              <w:rPr>
                <w:b/>
                <w:sz w:val="18"/>
                <w:szCs w:val="18"/>
              </w:rPr>
            </w:pPr>
            <w:r w:rsidRPr="007B60BF">
              <w:rPr>
                <w:b/>
                <w:sz w:val="18"/>
                <w:szCs w:val="18"/>
              </w:rPr>
              <w:t xml:space="preserve"> 2.190.744 </w:t>
            </w:r>
          </w:p>
        </w:tc>
      </w:tr>
      <w:tr w:rsidR="0058577B" w:rsidRPr="007B60BF" w14:paraId="5944346C" w14:textId="77777777" w:rsidTr="00B22017">
        <w:tc>
          <w:tcPr>
            <w:tcW w:w="1450" w:type="pct"/>
            <w:tcBorders>
              <w:top w:val="nil"/>
              <w:left w:val="nil"/>
              <w:bottom w:val="nil"/>
              <w:right w:val="nil"/>
            </w:tcBorders>
            <w:shd w:val="clear" w:color="000000" w:fill="FFFFFF"/>
            <w:vAlign w:val="center"/>
            <w:hideMark/>
          </w:tcPr>
          <w:p w14:paraId="416E8C8A" w14:textId="59B107DD" w:rsidR="0058577B" w:rsidRPr="007B60BF" w:rsidRDefault="0058577B" w:rsidP="0058577B">
            <w:pPr>
              <w:rPr>
                <w:bCs/>
                <w:sz w:val="18"/>
                <w:szCs w:val="18"/>
              </w:rPr>
            </w:pPr>
            <w:r w:rsidRPr="007B60BF">
              <w:rPr>
                <w:bCs/>
                <w:sz w:val="18"/>
                <w:szCs w:val="18"/>
              </w:rPr>
              <w:t>Provisões para Contingências</w:t>
            </w:r>
          </w:p>
        </w:tc>
        <w:tc>
          <w:tcPr>
            <w:tcW w:w="518" w:type="pct"/>
            <w:tcBorders>
              <w:top w:val="single" w:sz="4" w:space="0" w:color="auto"/>
              <w:left w:val="nil"/>
              <w:bottom w:val="single" w:sz="8" w:space="0" w:color="auto"/>
              <w:right w:val="nil"/>
            </w:tcBorders>
            <w:shd w:val="clear" w:color="000000" w:fill="FFFFFF"/>
          </w:tcPr>
          <w:p w14:paraId="49125596" w14:textId="57C46802" w:rsidR="0058577B" w:rsidRPr="007B60BF" w:rsidRDefault="0058577B" w:rsidP="0058577B">
            <w:pPr>
              <w:jc w:val="right"/>
              <w:rPr>
                <w:sz w:val="18"/>
                <w:szCs w:val="18"/>
              </w:rPr>
            </w:pPr>
            <w:r w:rsidRPr="007B60BF">
              <w:rPr>
                <w:sz w:val="18"/>
                <w:szCs w:val="18"/>
              </w:rPr>
              <w:t xml:space="preserve"> -   </w:t>
            </w:r>
          </w:p>
        </w:tc>
        <w:tc>
          <w:tcPr>
            <w:tcW w:w="102" w:type="pct"/>
            <w:tcBorders>
              <w:top w:val="nil"/>
              <w:left w:val="nil"/>
              <w:bottom w:val="nil"/>
              <w:right w:val="nil"/>
            </w:tcBorders>
            <w:shd w:val="clear" w:color="000000" w:fill="FFFFFF"/>
          </w:tcPr>
          <w:p w14:paraId="5F6A31F5" w14:textId="60E1E518" w:rsidR="0058577B" w:rsidRPr="007B60BF" w:rsidRDefault="0058577B" w:rsidP="0058577B">
            <w:pPr>
              <w:jc w:val="right"/>
              <w:rPr>
                <w:sz w:val="18"/>
                <w:szCs w:val="18"/>
              </w:rPr>
            </w:pPr>
          </w:p>
        </w:tc>
        <w:tc>
          <w:tcPr>
            <w:tcW w:w="487" w:type="pct"/>
            <w:tcBorders>
              <w:top w:val="single" w:sz="4" w:space="0" w:color="auto"/>
              <w:left w:val="nil"/>
              <w:bottom w:val="single" w:sz="8" w:space="0" w:color="auto"/>
              <w:right w:val="nil"/>
            </w:tcBorders>
            <w:shd w:val="clear" w:color="000000" w:fill="FFFFFF"/>
          </w:tcPr>
          <w:p w14:paraId="080B7560" w14:textId="24D6EF77" w:rsidR="0058577B" w:rsidRPr="007B60BF" w:rsidRDefault="0058577B" w:rsidP="0058577B">
            <w:pPr>
              <w:jc w:val="right"/>
              <w:rPr>
                <w:sz w:val="18"/>
                <w:szCs w:val="18"/>
              </w:rPr>
            </w:pPr>
            <w:r w:rsidRPr="007B60BF">
              <w:rPr>
                <w:sz w:val="18"/>
                <w:szCs w:val="18"/>
              </w:rPr>
              <w:t xml:space="preserve"> 61.946 </w:t>
            </w:r>
          </w:p>
        </w:tc>
        <w:tc>
          <w:tcPr>
            <w:tcW w:w="102" w:type="pct"/>
            <w:tcBorders>
              <w:top w:val="nil"/>
              <w:left w:val="nil"/>
              <w:bottom w:val="nil"/>
              <w:right w:val="nil"/>
            </w:tcBorders>
            <w:shd w:val="clear" w:color="000000" w:fill="FFFFFF"/>
          </w:tcPr>
          <w:p w14:paraId="3AA29088" w14:textId="0726985B" w:rsidR="0058577B" w:rsidRPr="007B60BF" w:rsidRDefault="0058577B" w:rsidP="0058577B">
            <w:pPr>
              <w:jc w:val="right"/>
              <w:rPr>
                <w:sz w:val="18"/>
                <w:szCs w:val="18"/>
              </w:rPr>
            </w:pPr>
          </w:p>
        </w:tc>
        <w:tc>
          <w:tcPr>
            <w:tcW w:w="568" w:type="pct"/>
            <w:tcBorders>
              <w:top w:val="single" w:sz="4" w:space="0" w:color="auto"/>
              <w:left w:val="nil"/>
              <w:bottom w:val="single" w:sz="8" w:space="0" w:color="auto"/>
              <w:right w:val="nil"/>
            </w:tcBorders>
            <w:shd w:val="clear" w:color="000000" w:fill="FFFFFF"/>
          </w:tcPr>
          <w:p w14:paraId="098F9524" w14:textId="64AD80CB" w:rsidR="0058577B" w:rsidRPr="007B60BF" w:rsidRDefault="0058577B" w:rsidP="0058577B">
            <w:pPr>
              <w:jc w:val="right"/>
              <w:rPr>
                <w:sz w:val="18"/>
                <w:szCs w:val="18"/>
              </w:rPr>
            </w:pPr>
            <w:r w:rsidRPr="007B60BF">
              <w:rPr>
                <w:sz w:val="18"/>
                <w:szCs w:val="18"/>
              </w:rPr>
              <w:t xml:space="preserve"> 61.946 </w:t>
            </w:r>
          </w:p>
        </w:tc>
        <w:tc>
          <w:tcPr>
            <w:tcW w:w="80" w:type="pct"/>
            <w:tcBorders>
              <w:top w:val="nil"/>
              <w:left w:val="nil"/>
              <w:bottom w:val="nil"/>
              <w:right w:val="nil"/>
            </w:tcBorders>
            <w:shd w:val="clear" w:color="000000" w:fill="FFFFFF"/>
            <w:vAlign w:val="center"/>
          </w:tcPr>
          <w:p w14:paraId="6459307C" w14:textId="77777777" w:rsidR="0058577B" w:rsidRPr="007B60BF" w:rsidRDefault="0058577B" w:rsidP="0058577B">
            <w:pPr>
              <w:jc w:val="right"/>
              <w:rPr>
                <w:sz w:val="16"/>
                <w:szCs w:val="16"/>
              </w:rPr>
            </w:pPr>
          </w:p>
        </w:tc>
        <w:tc>
          <w:tcPr>
            <w:tcW w:w="474" w:type="pct"/>
            <w:tcBorders>
              <w:top w:val="single" w:sz="4" w:space="0" w:color="auto"/>
              <w:left w:val="nil"/>
              <w:bottom w:val="single" w:sz="8" w:space="0" w:color="auto"/>
              <w:right w:val="nil"/>
            </w:tcBorders>
            <w:shd w:val="clear" w:color="000000" w:fill="FFFFFF"/>
          </w:tcPr>
          <w:p w14:paraId="4CA5FDE8" w14:textId="7A40BA26" w:rsidR="0058577B" w:rsidRPr="007B60BF" w:rsidRDefault="0058577B" w:rsidP="0058577B">
            <w:pPr>
              <w:jc w:val="right"/>
              <w:rPr>
                <w:sz w:val="18"/>
                <w:szCs w:val="18"/>
              </w:rPr>
            </w:pPr>
            <w:r w:rsidRPr="007B60BF">
              <w:rPr>
                <w:sz w:val="18"/>
                <w:szCs w:val="18"/>
              </w:rPr>
              <w:t xml:space="preserve"> -   </w:t>
            </w:r>
          </w:p>
        </w:tc>
        <w:tc>
          <w:tcPr>
            <w:tcW w:w="80" w:type="pct"/>
            <w:tcBorders>
              <w:top w:val="nil"/>
              <w:left w:val="nil"/>
              <w:bottom w:val="nil"/>
              <w:right w:val="nil"/>
            </w:tcBorders>
            <w:shd w:val="clear" w:color="000000" w:fill="FFFFFF"/>
          </w:tcPr>
          <w:p w14:paraId="170A8699" w14:textId="1F0CDD3C" w:rsidR="0058577B" w:rsidRPr="007B60BF" w:rsidRDefault="0058577B" w:rsidP="0058577B">
            <w:pPr>
              <w:jc w:val="right"/>
              <w:rPr>
                <w:sz w:val="18"/>
                <w:szCs w:val="18"/>
              </w:rPr>
            </w:pPr>
          </w:p>
        </w:tc>
        <w:tc>
          <w:tcPr>
            <w:tcW w:w="489" w:type="pct"/>
            <w:tcBorders>
              <w:top w:val="single" w:sz="4" w:space="0" w:color="auto"/>
              <w:left w:val="nil"/>
              <w:bottom w:val="single" w:sz="8" w:space="0" w:color="auto"/>
              <w:right w:val="nil"/>
            </w:tcBorders>
            <w:shd w:val="clear" w:color="000000" w:fill="FFFFFF"/>
          </w:tcPr>
          <w:p w14:paraId="09DA62D8" w14:textId="41A486DA" w:rsidR="0058577B" w:rsidRPr="007B60BF" w:rsidRDefault="0058577B" w:rsidP="0058577B">
            <w:pPr>
              <w:jc w:val="right"/>
              <w:rPr>
                <w:sz w:val="18"/>
                <w:szCs w:val="18"/>
              </w:rPr>
            </w:pPr>
            <w:r w:rsidRPr="007B60BF">
              <w:rPr>
                <w:sz w:val="18"/>
                <w:szCs w:val="18"/>
              </w:rPr>
              <w:t xml:space="preserve"> 2.172 </w:t>
            </w:r>
          </w:p>
        </w:tc>
        <w:tc>
          <w:tcPr>
            <w:tcW w:w="80" w:type="pct"/>
            <w:tcBorders>
              <w:top w:val="nil"/>
              <w:left w:val="nil"/>
              <w:bottom w:val="nil"/>
              <w:right w:val="nil"/>
            </w:tcBorders>
            <w:shd w:val="clear" w:color="000000" w:fill="FFFFFF"/>
          </w:tcPr>
          <w:p w14:paraId="1A0EA1FB" w14:textId="79A3B020" w:rsidR="0058577B" w:rsidRPr="007B60BF" w:rsidRDefault="0058577B" w:rsidP="0058577B">
            <w:pPr>
              <w:jc w:val="right"/>
              <w:rPr>
                <w:sz w:val="18"/>
                <w:szCs w:val="18"/>
              </w:rPr>
            </w:pPr>
          </w:p>
        </w:tc>
        <w:tc>
          <w:tcPr>
            <w:tcW w:w="569" w:type="pct"/>
            <w:tcBorders>
              <w:top w:val="single" w:sz="4" w:space="0" w:color="auto"/>
              <w:left w:val="nil"/>
              <w:bottom w:val="single" w:sz="8" w:space="0" w:color="auto"/>
              <w:right w:val="nil"/>
            </w:tcBorders>
            <w:shd w:val="clear" w:color="000000" w:fill="FFFFFF"/>
          </w:tcPr>
          <w:p w14:paraId="3E68E5C9" w14:textId="38AFC396" w:rsidR="0058577B" w:rsidRPr="007B60BF" w:rsidRDefault="0058577B" w:rsidP="0058577B">
            <w:pPr>
              <w:jc w:val="right"/>
              <w:rPr>
                <w:sz w:val="18"/>
                <w:szCs w:val="18"/>
              </w:rPr>
            </w:pPr>
            <w:r w:rsidRPr="007B60BF">
              <w:rPr>
                <w:sz w:val="18"/>
                <w:szCs w:val="18"/>
              </w:rPr>
              <w:t xml:space="preserve"> 2.172 </w:t>
            </w:r>
          </w:p>
        </w:tc>
      </w:tr>
      <w:tr w:rsidR="0058577B" w:rsidRPr="007B60BF" w14:paraId="78D2CFEF" w14:textId="77777777" w:rsidTr="00B22017">
        <w:tc>
          <w:tcPr>
            <w:tcW w:w="1450" w:type="pct"/>
            <w:tcBorders>
              <w:top w:val="nil"/>
              <w:left w:val="nil"/>
              <w:bottom w:val="nil"/>
              <w:right w:val="nil"/>
            </w:tcBorders>
            <w:shd w:val="clear" w:color="000000" w:fill="FFFFFF"/>
            <w:vAlign w:val="center"/>
            <w:hideMark/>
          </w:tcPr>
          <w:p w14:paraId="289BFC5C" w14:textId="77777777" w:rsidR="0058577B" w:rsidRPr="007B60BF" w:rsidRDefault="0058577B" w:rsidP="0058577B">
            <w:pPr>
              <w:rPr>
                <w:b/>
                <w:bCs/>
                <w:sz w:val="18"/>
                <w:szCs w:val="18"/>
              </w:rPr>
            </w:pPr>
            <w:r w:rsidRPr="007B60BF">
              <w:rPr>
                <w:b/>
                <w:bCs/>
                <w:sz w:val="18"/>
                <w:szCs w:val="18"/>
              </w:rPr>
              <w:t>Saldo Contábil</w:t>
            </w:r>
          </w:p>
        </w:tc>
        <w:tc>
          <w:tcPr>
            <w:tcW w:w="518" w:type="pct"/>
            <w:tcBorders>
              <w:top w:val="nil"/>
              <w:left w:val="nil"/>
              <w:bottom w:val="double" w:sz="6" w:space="0" w:color="auto"/>
              <w:right w:val="nil"/>
            </w:tcBorders>
            <w:shd w:val="clear" w:color="000000" w:fill="FFFFFF"/>
          </w:tcPr>
          <w:p w14:paraId="032D2932" w14:textId="6F32E068" w:rsidR="0058577B" w:rsidRPr="007B60BF" w:rsidRDefault="0058577B" w:rsidP="0058577B">
            <w:pPr>
              <w:jc w:val="right"/>
              <w:rPr>
                <w:b/>
                <w:sz w:val="18"/>
                <w:szCs w:val="18"/>
              </w:rPr>
            </w:pPr>
            <w:r w:rsidRPr="007B60BF">
              <w:rPr>
                <w:sz w:val="18"/>
                <w:szCs w:val="18"/>
              </w:rPr>
              <w:t xml:space="preserve"> 2.078.366 </w:t>
            </w:r>
          </w:p>
        </w:tc>
        <w:tc>
          <w:tcPr>
            <w:tcW w:w="102" w:type="pct"/>
            <w:tcBorders>
              <w:top w:val="nil"/>
              <w:left w:val="nil"/>
              <w:bottom w:val="nil"/>
              <w:right w:val="nil"/>
            </w:tcBorders>
            <w:shd w:val="clear" w:color="000000" w:fill="FFFFFF"/>
          </w:tcPr>
          <w:p w14:paraId="7692197C" w14:textId="5BB1FEB8" w:rsidR="0058577B" w:rsidRPr="007B60BF" w:rsidRDefault="0058577B" w:rsidP="0058577B">
            <w:pPr>
              <w:jc w:val="right"/>
              <w:rPr>
                <w:b/>
                <w:sz w:val="18"/>
                <w:szCs w:val="18"/>
              </w:rPr>
            </w:pPr>
          </w:p>
        </w:tc>
        <w:tc>
          <w:tcPr>
            <w:tcW w:w="487" w:type="pct"/>
            <w:tcBorders>
              <w:top w:val="single" w:sz="8" w:space="0" w:color="auto"/>
              <w:left w:val="nil"/>
              <w:bottom w:val="double" w:sz="4" w:space="0" w:color="auto"/>
              <w:right w:val="nil"/>
            </w:tcBorders>
            <w:shd w:val="clear" w:color="000000" w:fill="FFFFFF"/>
          </w:tcPr>
          <w:p w14:paraId="5DE89E56" w14:textId="0DD7EEDE" w:rsidR="0058577B" w:rsidRPr="007B60BF" w:rsidRDefault="0058577B" w:rsidP="0058577B">
            <w:pPr>
              <w:jc w:val="right"/>
              <w:rPr>
                <w:b/>
                <w:sz w:val="18"/>
                <w:szCs w:val="18"/>
              </w:rPr>
            </w:pPr>
            <w:r w:rsidRPr="007B60BF">
              <w:rPr>
                <w:sz w:val="18"/>
                <w:szCs w:val="18"/>
              </w:rPr>
              <w:t xml:space="preserve"> 397.938 </w:t>
            </w:r>
          </w:p>
        </w:tc>
        <w:tc>
          <w:tcPr>
            <w:tcW w:w="102" w:type="pct"/>
            <w:tcBorders>
              <w:top w:val="nil"/>
              <w:left w:val="nil"/>
              <w:bottom w:val="nil"/>
              <w:right w:val="nil"/>
            </w:tcBorders>
            <w:shd w:val="clear" w:color="000000" w:fill="FFFFFF"/>
          </w:tcPr>
          <w:p w14:paraId="400F3690" w14:textId="7C70ECD8" w:rsidR="0058577B" w:rsidRPr="007B60BF" w:rsidRDefault="0058577B" w:rsidP="0058577B">
            <w:pPr>
              <w:jc w:val="right"/>
              <w:rPr>
                <w:b/>
                <w:sz w:val="18"/>
                <w:szCs w:val="18"/>
              </w:rPr>
            </w:pPr>
          </w:p>
        </w:tc>
        <w:tc>
          <w:tcPr>
            <w:tcW w:w="568" w:type="pct"/>
            <w:tcBorders>
              <w:top w:val="nil"/>
              <w:left w:val="nil"/>
              <w:bottom w:val="double" w:sz="6" w:space="0" w:color="auto"/>
              <w:right w:val="nil"/>
            </w:tcBorders>
            <w:shd w:val="clear" w:color="000000" w:fill="FFFFFF"/>
          </w:tcPr>
          <w:p w14:paraId="22AD0CAE" w14:textId="2FF38282" w:rsidR="0058577B" w:rsidRPr="007B60BF" w:rsidRDefault="0058577B" w:rsidP="0058577B">
            <w:pPr>
              <w:jc w:val="right"/>
              <w:rPr>
                <w:b/>
                <w:sz w:val="18"/>
                <w:szCs w:val="18"/>
              </w:rPr>
            </w:pPr>
            <w:r w:rsidRPr="007B60BF">
              <w:rPr>
                <w:sz w:val="18"/>
                <w:szCs w:val="18"/>
              </w:rPr>
              <w:t xml:space="preserve"> 2.476.304 </w:t>
            </w:r>
          </w:p>
        </w:tc>
        <w:tc>
          <w:tcPr>
            <w:tcW w:w="80" w:type="pct"/>
            <w:tcBorders>
              <w:top w:val="nil"/>
              <w:left w:val="nil"/>
              <w:bottom w:val="nil"/>
              <w:right w:val="nil"/>
            </w:tcBorders>
            <w:shd w:val="clear" w:color="000000" w:fill="FFFFFF"/>
            <w:vAlign w:val="center"/>
          </w:tcPr>
          <w:p w14:paraId="63CC24EF" w14:textId="77777777" w:rsidR="0058577B" w:rsidRPr="007B60BF" w:rsidRDefault="0058577B" w:rsidP="0058577B">
            <w:pPr>
              <w:jc w:val="right"/>
              <w:rPr>
                <w:b/>
                <w:bCs/>
                <w:sz w:val="16"/>
                <w:szCs w:val="16"/>
              </w:rPr>
            </w:pPr>
          </w:p>
        </w:tc>
        <w:tc>
          <w:tcPr>
            <w:tcW w:w="474" w:type="pct"/>
            <w:tcBorders>
              <w:top w:val="nil"/>
              <w:left w:val="nil"/>
              <w:bottom w:val="double" w:sz="6" w:space="0" w:color="auto"/>
              <w:right w:val="nil"/>
            </w:tcBorders>
            <w:shd w:val="clear" w:color="000000" w:fill="FFFFFF"/>
          </w:tcPr>
          <w:p w14:paraId="29B1C7BB" w14:textId="77BD0948" w:rsidR="0058577B" w:rsidRPr="007B60BF" w:rsidRDefault="0058577B" w:rsidP="0058577B">
            <w:pPr>
              <w:jc w:val="right"/>
              <w:rPr>
                <w:b/>
                <w:sz w:val="18"/>
                <w:szCs w:val="18"/>
              </w:rPr>
            </w:pPr>
            <w:r w:rsidRPr="007B60BF">
              <w:rPr>
                <w:b/>
                <w:sz w:val="18"/>
                <w:szCs w:val="18"/>
              </w:rPr>
              <w:t xml:space="preserve">1.877.463 </w:t>
            </w:r>
          </w:p>
        </w:tc>
        <w:tc>
          <w:tcPr>
            <w:tcW w:w="80" w:type="pct"/>
            <w:tcBorders>
              <w:top w:val="nil"/>
              <w:left w:val="nil"/>
              <w:bottom w:val="nil"/>
              <w:right w:val="nil"/>
            </w:tcBorders>
            <w:shd w:val="clear" w:color="000000" w:fill="FFFFFF"/>
          </w:tcPr>
          <w:p w14:paraId="244821C9" w14:textId="65AA5A6B" w:rsidR="0058577B" w:rsidRPr="007B60BF" w:rsidRDefault="0058577B" w:rsidP="0058577B">
            <w:pPr>
              <w:rPr>
                <w:b/>
                <w:sz w:val="18"/>
                <w:szCs w:val="18"/>
              </w:rPr>
            </w:pPr>
          </w:p>
        </w:tc>
        <w:tc>
          <w:tcPr>
            <w:tcW w:w="489" w:type="pct"/>
            <w:tcBorders>
              <w:top w:val="single" w:sz="8" w:space="0" w:color="auto"/>
              <w:left w:val="nil"/>
              <w:bottom w:val="double" w:sz="4" w:space="0" w:color="auto"/>
              <w:right w:val="nil"/>
            </w:tcBorders>
            <w:shd w:val="clear" w:color="000000" w:fill="FFFFFF"/>
          </w:tcPr>
          <w:p w14:paraId="7E44CF1E" w14:textId="4198D31A" w:rsidR="0058577B" w:rsidRPr="007B60BF" w:rsidRDefault="0058577B" w:rsidP="0058577B">
            <w:pPr>
              <w:jc w:val="right"/>
              <w:rPr>
                <w:b/>
                <w:sz w:val="18"/>
                <w:szCs w:val="18"/>
              </w:rPr>
            </w:pPr>
            <w:r w:rsidRPr="007B60BF">
              <w:rPr>
                <w:b/>
                <w:sz w:val="18"/>
                <w:szCs w:val="18"/>
              </w:rPr>
              <w:t xml:space="preserve"> 315.453 </w:t>
            </w:r>
          </w:p>
        </w:tc>
        <w:tc>
          <w:tcPr>
            <w:tcW w:w="80" w:type="pct"/>
            <w:tcBorders>
              <w:top w:val="nil"/>
              <w:left w:val="nil"/>
              <w:bottom w:val="nil"/>
              <w:right w:val="nil"/>
            </w:tcBorders>
            <w:shd w:val="clear" w:color="000000" w:fill="FFFFFF"/>
          </w:tcPr>
          <w:p w14:paraId="30CAAD75" w14:textId="5720A468" w:rsidR="0058577B" w:rsidRPr="007B60BF" w:rsidRDefault="0058577B" w:rsidP="0058577B">
            <w:pPr>
              <w:jc w:val="right"/>
              <w:rPr>
                <w:b/>
                <w:sz w:val="18"/>
                <w:szCs w:val="18"/>
              </w:rPr>
            </w:pPr>
          </w:p>
        </w:tc>
        <w:tc>
          <w:tcPr>
            <w:tcW w:w="569" w:type="pct"/>
            <w:tcBorders>
              <w:top w:val="nil"/>
              <w:left w:val="nil"/>
              <w:bottom w:val="double" w:sz="6" w:space="0" w:color="auto"/>
              <w:right w:val="nil"/>
            </w:tcBorders>
            <w:shd w:val="clear" w:color="000000" w:fill="FFFFFF"/>
          </w:tcPr>
          <w:p w14:paraId="6A6D2935" w14:textId="2E1AF264" w:rsidR="0058577B" w:rsidRPr="007B60BF" w:rsidRDefault="0058577B" w:rsidP="0058577B">
            <w:pPr>
              <w:jc w:val="right"/>
              <w:rPr>
                <w:b/>
                <w:sz w:val="18"/>
                <w:szCs w:val="18"/>
              </w:rPr>
            </w:pPr>
            <w:r w:rsidRPr="007B60BF">
              <w:rPr>
                <w:b/>
                <w:sz w:val="18"/>
                <w:szCs w:val="18"/>
              </w:rPr>
              <w:t xml:space="preserve"> 2.192.916 </w:t>
            </w:r>
          </w:p>
        </w:tc>
      </w:tr>
    </w:tbl>
    <w:p w14:paraId="4A80036D" w14:textId="77777777" w:rsidR="002A20B2" w:rsidRPr="007B60BF" w:rsidRDefault="002A20B2" w:rsidP="00D454E8">
      <w:pPr>
        <w:jc w:val="both"/>
      </w:pPr>
    </w:p>
    <w:p w14:paraId="2C105353" w14:textId="08DC2341" w:rsidR="00DA782A" w:rsidRPr="007B60BF" w:rsidRDefault="00DA782A" w:rsidP="00D454E8">
      <w:pPr>
        <w:jc w:val="both"/>
      </w:pPr>
      <w:r w:rsidRPr="007B60BF">
        <w:t>Os</w:t>
      </w:r>
      <w:r w:rsidR="00204A30" w:rsidRPr="007B60BF">
        <w:t xml:space="preserve"> </w:t>
      </w:r>
      <w:r w:rsidRPr="007B60BF">
        <w:t xml:space="preserve">custos dos serviços e despesas administrativas foram apropriados de acordo com o sistema de apuração de custos contábeis. Os valores dos custos diretos </w:t>
      </w:r>
      <w:r w:rsidR="00EF313A" w:rsidRPr="007B60BF">
        <w:t xml:space="preserve">e indiretos </w:t>
      </w:r>
      <w:r w:rsidRPr="007B60BF">
        <w:t xml:space="preserve">são distribuídos em: pessoal, </w:t>
      </w:r>
      <w:r w:rsidR="00EF313A" w:rsidRPr="007B60BF">
        <w:t>consumo</w:t>
      </w:r>
      <w:r w:rsidRPr="007B60BF">
        <w:t>, depreciação</w:t>
      </w:r>
      <w:r w:rsidR="00EF313A" w:rsidRPr="007B60BF">
        <w:t>/</w:t>
      </w:r>
      <w:r w:rsidR="000A61EE" w:rsidRPr="007B60BF">
        <w:t>amortização</w:t>
      </w:r>
      <w:r w:rsidR="00EF313A" w:rsidRPr="007B60BF">
        <w:t xml:space="preserve"> e serviços.</w:t>
      </w:r>
    </w:p>
    <w:p w14:paraId="43AFBFE6" w14:textId="77777777" w:rsidR="00A655CA" w:rsidRPr="007B60BF" w:rsidRDefault="00A655CA" w:rsidP="00D454E8">
      <w:pPr>
        <w:jc w:val="both"/>
      </w:pPr>
    </w:p>
    <w:p w14:paraId="477BB001" w14:textId="1CFCA7C1" w:rsidR="00940536" w:rsidRDefault="00B16C25" w:rsidP="00D454E8">
      <w:pPr>
        <w:jc w:val="both"/>
      </w:pPr>
      <w:r w:rsidRPr="007B60BF">
        <w:t xml:space="preserve">Na determinação do resultado </w:t>
      </w:r>
      <w:r w:rsidR="00940536" w:rsidRPr="007B60BF">
        <w:t>foram computados os custos e despesas pagos ou incorridos</w:t>
      </w:r>
      <w:r w:rsidRPr="007B60BF">
        <w:t>,</w:t>
      </w:r>
      <w:r w:rsidR="00940536" w:rsidRPr="007B60BF">
        <w:t xml:space="preserve"> os quais correspondem às receitas de serviços reconhecidas no exercício.</w:t>
      </w:r>
    </w:p>
    <w:p w14:paraId="23BC560E" w14:textId="7F557B0F" w:rsidR="00B1050E" w:rsidRDefault="00B1050E" w:rsidP="00D454E8">
      <w:pPr>
        <w:jc w:val="both"/>
      </w:pPr>
    </w:p>
    <w:p w14:paraId="0D5EF94B" w14:textId="77777777" w:rsidR="00B1050E" w:rsidRPr="007B60BF" w:rsidRDefault="00B1050E" w:rsidP="00D454E8">
      <w:pPr>
        <w:jc w:val="both"/>
      </w:pPr>
    </w:p>
    <w:p w14:paraId="3932B8F6" w14:textId="7A509B3B" w:rsidR="00D32202" w:rsidRPr="007B60BF" w:rsidRDefault="00D32202" w:rsidP="00086B22">
      <w:pPr>
        <w:pStyle w:val="Ttulo1"/>
        <w:numPr>
          <w:ilvl w:val="0"/>
          <w:numId w:val="5"/>
        </w:numPr>
        <w:ind w:left="0" w:hanging="567"/>
        <w:jc w:val="left"/>
      </w:pPr>
      <w:bookmarkStart w:id="68" w:name="_Toc223007868"/>
      <w:bookmarkStart w:id="69" w:name="_Toc77959813"/>
      <w:r w:rsidRPr="007B60BF">
        <w:t>Despesas de Benefícios a Empregados</w:t>
      </w:r>
      <w:bookmarkEnd w:id="68"/>
      <w:r w:rsidRPr="007B60BF">
        <w:t xml:space="preserve"> </w:t>
      </w:r>
      <w:bookmarkEnd w:id="69"/>
    </w:p>
    <w:tbl>
      <w:tblPr>
        <w:tblW w:w="4975" w:type="pct"/>
        <w:tblCellMar>
          <w:left w:w="70" w:type="dxa"/>
          <w:right w:w="70" w:type="dxa"/>
        </w:tblCellMar>
        <w:tblLook w:val="04A0" w:firstRow="1" w:lastRow="0" w:firstColumn="1" w:lastColumn="0" w:noHBand="0" w:noVBand="1"/>
      </w:tblPr>
      <w:tblGrid>
        <w:gridCol w:w="4957"/>
        <w:gridCol w:w="1941"/>
        <w:gridCol w:w="191"/>
        <w:gridCol w:w="1937"/>
      </w:tblGrid>
      <w:tr w:rsidR="00B37B93" w:rsidRPr="007B60BF" w14:paraId="1EF8DCFA" w14:textId="77777777" w:rsidTr="00E97843">
        <w:tc>
          <w:tcPr>
            <w:tcW w:w="2746" w:type="pct"/>
            <w:tcBorders>
              <w:top w:val="nil"/>
              <w:left w:val="nil"/>
              <w:bottom w:val="nil"/>
              <w:right w:val="nil"/>
            </w:tcBorders>
            <w:shd w:val="clear" w:color="auto" w:fill="auto"/>
            <w:noWrap/>
            <w:vAlign w:val="center"/>
            <w:hideMark/>
          </w:tcPr>
          <w:p w14:paraId="69EE980C" w14:textId="77777777" w:rsidR="00B37B93" w:rsidRPr="007B60BF" w:rsidRDefault="00B37B93" w:rsidP="00B37B93">
            <w:pPr>
              <w:rPr>
                <w:b/>
              </w:rPr>
            </w:pPr>
          </w:p>
        </w:tc>
        <w:tc>
          <w:tcPr>
            <w:tcW w:w="1075" w:type="pct"/>
            <w:tcBorders>
              <w:top w:val="nil"/>
              <w:left w:val="nil"/>
              <w:bottom w:val="single" w:sz="8" w:space="0" w:color="auto"/>
              <w:right w:val="nil"/>
            </w:tcBorders>
            <w:shd w:val="clear" w:color="auto" w:fill="auto"/>
            <w:vAlign w:val="center"/>
            <w:hideMark/>
          </w:tcPr>
          <w:p w14:paraId="014BE6AB" w14:textId="1DF2D6E4" w:rsidR="00B37B93" w:rsidRPr="007B60BF" w:rsidRDefault="00B37B93" w:rsidP="00B37B93">
            <w:pPr>
              <w:jc w:val="right"/>
              <w:rPr>
                <w:b/>
                <w:bCs/>
              </w:rPr>
            </w:pPr>
            <w:r w:rsidRPr="007B60BF">
              <w:rPr>
                <w:b/>
                <w:bCs/>
              </w:rPr>
              <w:t>31/12/2025</w:t>
            </w:r>
          </w:p>
        </w:tc>
        <w:tc>
          <w:tcPr>
            <w:tcW w:w="106" w:type="pct"/>
            <w:tcBorders>
              <w:top w:val="nil"/>
              <w:left w:val="nil"/>
              <w:bottom w:val="nil"/>
              <w:right w:val="nil"/>
            </w:tcBorders>
            <w:shd w:val="clear" w:color="auto" w:fill="auto"/>
            <w:vAlign w:val="center"/>
            <w:hideMark/>
          </w:tcPr>
          <w:p w14:paraId="57DCED96" w14:textId="6C940AE2" w:rsidR="00B37B93" w:rsidRPr="007B60BF" w:rsidRDefault="00B37B93" w:rsidP="00B37B93">
            <w:pPr>
              <w:rPr>
                <w:b/>
              </w:rPr>
            </w:pPr>
            <w:r w:rsidRPr="007B60BF">
              <w:rPr>
                <w:b/>
                <w:bCs/>
              </w:rPr>
              <w:t> </w:t>
            </w:r>
          </w:p>
        </w:tc>
        <w:tc>
          <w:tcPr>
            <w:tcW w:w="1073" w:type="pct"/>
            <w:tcBorders>
              <w:top w:val="nil"/>
              <w:left w:val="nil"/>
              <w:bottom w:val="single" w:sz="8" w:space="0" w:color="auto"/>
              <w:right w:val="nil"/>
            </w:tcBorders>
            <w:shd w:val="clear" w:color="auto" w:fill="auto"/>
          </w:tcPr>
          <w:p w14:paraId="1A17B6F8" w14:textId="3C716183" w:rsidR="00B37B93" w:rsidRPr="007B60BF" w:rsidRDefault="00B37B93" w:rsidP="00B37B93">
            <w:pPr>
              <w:jc w:val="right"/>
              <w:rPr>
                <w:b/>
              </w:rPr>
            </w:pPr>
            <w:r w:rsidRPr="007B60BF">
              <w:rPr>
                <w:b/>
              </w:rPr>
              <w:t>31/12/2024</w:t>
            </w:r>
          </w:p>
        </w:tc>
      </w:tr>
      <w:tr w:rsidR="00B37B93" w:rsidRPr="007B60BF" w14:paraId="663CDBF6" w14:textId="77777777" w:rsidTr="00E97843">
        <w:tc>
          <w:tcPr>
            <w:tcW w:w="2746" w:type="pct"/>
            <w:tcBorders>
              <w:top w:val="nil"/>
              <w:left w:val="nil"/>
              <w:bottom w:val="nil"/>
              <w:right w:val="nil"/>
            </w:tcBorders>
            <w:shd w:val="clear" w:color="000000" w:fill="FFFFFF"/>
            <w:noWrap/>
            <w:hideMark/>
          </w:tcPr>
          <w:p w14:paraId="4CF534EE" w14:textId="77777777" w:rsidR="00B37B93" w:rsidRPr="007B60BF" w:rsidRDefault="00B37B93" w:rsidP="00B37B93">
            <w:r w:rsidRPr="007B60BF">
              <w:t>Assistência Médica</w:t>
            </w:r>
          </w:p>
        </w:tc>
        <w:tc>
          <w:tcPr>
            <w:tcW w:w="1075" w:type="pct"/>
            <w:tcBorders>
              <w:top w:val="nil"/>
              <w:left w:val="nil"/>
              <w:bottom w:val="nil"/>
              <w:right w:val="nil"/>
            </w:tcBorders>
            <w:shd w:val="clear" w:color="auto" w:fill="auto"/>
          </w:tcPr>
          <w:p w14:paraId="75FC79AE" w14:textId="2D03AA79" w:rsidR="00B37B93" w:rsidRPr="007B60BF" w:rsidRDefault="0003152A" w:rsidP="00B37B93">
            <w:pPr>
              <w:jc w:val="right"/>
            </w:pPr>
            <w:r w:rsidRPr="007B60BF">
              <w:t>19.045</w:t>
            </w:r>
          </w:p>
        </w:tc>
        <w:tc>
          <w:tcPr>
            <w:tcW w:w="106" w:type="pct"/>
            <w:tcBorders>
              <w:top w:val="nil"/>
              <w:left w:val="nil"/>
              <w:bottom w:val="nil"/>
              <w:right w:val="nil"/>
            </w:tcBorders>
            <w:shd w:val="clear" w:color="auto" w:fill="auto"/>
          </w:tcPr>
          <w:p w14:paraId="71D505A3" w14:textId="77777777" w:rsidR="00B37B93" w:rsidRPr="007B60BF" w:rsidRDefault="00B37B93" w:rsidP="00B37B93">
            <w:pPr>
              <w:jc w:val="right"/>
            </w:pPr>
          </w:p>
        </w:tc>
        <w:tc>
          <w:tcPr>
            <w:tcW w:w="1073" w:type="pct"/>
            <w:tcBorders>
              <w:top w:val="nil"/>
              <w:left w:val="nil"/>
              <w:bottom w:val="nil"/>
              <w:right w:val="nil"/>
            </w:tcBorders>
            <w:shd w:val="clear" w:color="auto" w:fill="auto"/>
          </w:tcPr>
          <w:p w14:paraId="2C09B634" w14:textId="4F1EF908" w:rsidR="00B37B93" w:rsidRPr="007B60BF" w:rsidRDefault="00B37B93" w:rsidP="00B37B93">
            <w:pPr>
              <w:jc w:val="right"/>
            </w:pPr>
            <w:r w:rsidRPr="007B60BF">
              <w:t xml:space="preserve"> 16.723 </w:t>
            </w:r>
          </w:p>
        </w:tc>
      </w:tr>
      <w:tr w:rsidR="00B37B93" w:rsidRPr="007B60BF" w14:paraId="024E593E" w14:textId="77777777" w:rsidTr="00E97843">
        <w:tc>
          <w:tcPr>
            <w:tcW w:w="2746" w:type="pct"/>
            <w:tcBorders>
              <w:top w:val="nil"/>
              <w:left w:val="nil"/>
              <w:bottom w:val="nil"/>
              <w:right w:val="nil"/>
            </w:tcBorders>
            <w:shd w:val="clear" w:color="000000" w:fill="FFFFFF"/>
            <w:noWrap/>
            <w:hideMark/>
          </w:tcPr>
          <w:p w14:paraId="47CF51D2" w14:textId="77777777" w:rsidR="00B37B93" w:rsidRPr="007B60BF" w:rsidRDefault="00B37B93" w:rsidP="00B37B93">
            <w:r w:rsidRPr="007B60BF">
              <w:t>Auxílio Transporte</w:t>
            </w:r>
          </w:p>
        </w:tc>
        <w:tc>
          <w:tcPr>
            <w:tcW w:w="1075" w:type="pct"/>
            <w:tcBorders>
              <w:top w:val="nil"/>
              <w:left w:val="nil"/>
              <w:bottom w:val="nil"/>
              <w:right w:val="nil"/>
            </w:tcBorders>
            <w:shd w:val="clear" w:color="auto" w:fill="auto"/>
          </w:tcPr>
          <w:p w14:paraId="7782BCE1" w14:textId="12A9EA2C" w:rsidR="00B37B93" w:rsidRPr="007B60BF" w:rsidRDefault="0003152A" w:rsidP="00B37B93">
            <w:pPr>
              <w:jc w:val="right"/>
            </w:pPr>
            <w:r w:rsidRPr="007B60BF">
              <w:t>3.139</w:t>
            </w:r>
          </w:p>
        </w:tc>
        <w:tc>
          <w:tcPr>
            <w:tcW w:w="106" w:type="pct"/>
            <w:tcBorders>
              <w:top w:val="nil"/>
              <w:left w:val="nil"/>
              <w:bottom w:val="nil"/>
              <w:right w:val="nil"/>
            </w:tcBorders>
            <w:shd w:val="clear" w:color="auto" w:fill="auto"/>
          </w:tcPr>
          <w:p w14:paraId="6D94EA8A" w14:textId="77777777" w:rsidR="00B37B93" w:rsidRPr="007B60BF" w:rsidRDefault="00B37B93" w:rsidP="00B37B93">
            <w:pPr>
              <w:jc w:val="right"/>
            </w:pPr>
          </w:p>
        </w:tc>
        <w:tc>
          <w:tcPr>
            <w:tcW w:w="1073" w:type="pct"/>
            <w:tcBorders>
              <w:top w:val="nil"/>
              <w:left w:val="nil"/>
              <w:bottom w:val="nil"/>
              <w:right w:val="nil"/>
            </w:tcBorders>
            <w:shd w:val="clear" w:color="auto" w:fill="auto"/>
          </w:tcPr>
          <w:p w14:paraId="07B41780" w14:textId="49C7C755" w:rsidR="00B37B93" w:rsidRPr="007B60BF" w:rsidRDefault="00B37B93" w:rsidP="00B37B93">
            <w:pPr>
              <w:jc w:val="right"/>
            </w:pPr>
            <w:r w:rsidRPr="007B60BF">
              <w:t xml:space="preserve"> 2.999 </w:t>
            </w:r>
          </w:p>
        </w:tc>
      </w:tr>
      <w:tr w:rsidR="00B37B93" w:rsidRPr="007B60BF" w14:paraId="05F62196" w14:textId="77777777" w:rsidTr="00E97843">
        <w:tc>
          <w:tcPr>
            <w:tcW w:w="2746" w:type="pct"/>
            <w:tcBorders>
              <w:top w:val="nil"/>
              <w:left w:val="nil"/>
              <w:bottom w:val="nil"/>
              <w:right w:val="nil"/>
            </w:tcBorders>
            <w:shd w:val="clear" w:color="000000" w:fill="FFFFFF"/>
            <w:noWrap/>
            <w:hideMark/>
          </w:tcPr>
          <w:p w14:paraId="12C24271" w14:textId="77777777" w:rsidR="00B37B93" w:rsidRPr="007B60BF" w:rsidRDefault="00B37B93" w:rsidP="00B37B93">
            <w:r w:rsidRPr="007B60BF">
              <w:t>Auxilio Creche</w:t>
            </w:r>
          </w:p>
        </w:tc>
        <w:tc>
          <w:tcPr>
            <w:tcW w:w="1075" w:type="pct"/>
            <w:tcBorders>
              <w:top w:val="nil"/>
              <w:left w:val="nil"/>
              <w:bottom w:val="nil"/>
              <w:right w:val="nil"/>
            </w:tcBorders>
            <w:shd w:val="clear" w:color="auto" w:fill="auto"/>
          </w:tcPr>
          <w:p w14:paraId="417BB541" w14:textId="074741F5" w:rsidR="00B37B93" w:rsidRPr="007B60BF" w:rsidRDefault="0003152A" w:rsidP="00B37B93">
            <w:pPr>
              <w:jc w:val="right"/>
            </w:pPr>
            <w:r w:rsidRPr="007B60BF">
              <w:t>1.076</w:t>
            </w:r>
          </w:p>
        </w:tc>
        <w:tc>
          <w:tcPr>
            <w:tcW w:w="106" w:type="pct"/>
            <w:tcBorders>
              <w:top w:val="nil"/>
              <w:left w:val="nil"/>
              <w:bottom w:val="nil"/>
              <w:right w:val="nil"/>
            </w:tcBorders>
            <w:shd w:val="clear" w:color="auto" w:fill="auto"/>
          </w:tcPr>
          <w:p w14:paraId="41E5650A" w14:textId="77777777" w:rsidR="00B37B93" w:rsidRPr="007B60BF" w:rsidRDefault="00B37B93" w:rsidP="00B37B93">
            <w:pPr>
              <w:jc w:val="right"/>
            </w:pPr>
          </w:p>
        </w:tc>
        <w:tc>
          <w:tcPr>
            <w:tcW w:w="1073" w:type="pct"/>
            <w:tcBorders>
              <w:top w:val="nil"/>
              <w:left w:val="nil"/>
              <w:bottom w:val="nil"/>
              <w:right w:val="nil"/>
            </w:tcBorders>
            <w:shd w:val="clear" w:color="auto" w:fill="auto"/>
          </w:tcPr>
          <w:p w14:paraId="5E3755D7" w14:textId="26D4069E" w:rsidR="00B37B93" w:rsidRPr="007B60BF" w:rsidRDefault="00B37B93" w:rsidP="00B37B93">
            <w:pPr>
              <w:jc w:val="right"/>
            </w:pPr>
            <w:r w:rsidRPr="007B60BF">
              <w:t xml:space="preserve"> 1.062 </w:t>
            </w:r>
          </w:p>
        </w:tc>
      </w:tr>
      <w:tr w:rsidR="00B37B93" w:rsidRPr="007B60BF" w14:paraId="1855B601" w14:textId="77777777" w:rsidTr="00E97843">
        <w:tc>
          <w:tcPr>
            <w:tcW w:w="2746" w:type="pct"/>
            <w:tcBorders>
              <w:top w:val="nil"/>
              <w:left w:val="nil"/>
              <w:bottom w:val="nil"/>
              <w:right w:val="nil"/>
            </w:tcBorders>
            <w:shd w:val="clear" w:color="000000" w:fill="FFFFFF"/>
            <w:noWrap/>
            <w:hideMark/>
          </w:tcPr>
          <w:p w14:paraId="4E7337EE" w14:textId="4526167C" w:rsidR="00B37B93" w:rsidRPr="007B60BF" w:rsidRDefault="00B37B93" w:rsidP="00B37B93">
            <w:r w:rsidRPr="007B60BF">
              <w:t>Auxilio Alimentação</w:t>
            </w:r>
          </w:p>
        </w:tc>
        <w:tc>
          <w:tcPr>
            <w:tcW w:w="1075" w:type="pct"/>
            <w:tcBorders>
              <w:top w:val="nil"/>
              <w:left w:val="nil"/>
              <w:bottom w:val="nil"/>
              <w:right w:val="nil"/>
            </w:tcBorders>
            <w:shd w:val="clear" w:color="auto" w:fill="auto"/>
          </w:tcPr>
          <w:p w14:paraId="35358765" w14:textId="071A6385" w:rsidR="00B37B93" w:rsidRPr="007B60BF" w:rsidRDefault="0003152A" w:rsidP="00B37B93">
            <w:pPr>
              <w:jc w:val="right"/>
            </w:pPr>
            <w:r w:rsidRPr="007B60BF">
              <w:t>78.412</w:t>
            </w:r>
          </w:p>
        </w:tc>
        <w:tc>
          <w:tcPr>
            <w:tcW w:w="106" w:type="pct"/>
            <w:tcBorders>
              <w:top w:val="nil"/>
              <w:left w:val="nil"/>
              <w:bottom w:val="nil"/>
              <w:right w:val="nil"/>
            </w:tcBorders>
            <w:shd w:val="clear" w:color="auto" w:fill="auto"/>
          </w:tcPr>
          <w:p w14:paraId="6197F0AD" w14:textId="77777777" w:rsidR="00B37B93" w:rsidRPr="007B60BF" w:rsidRDefault="00B37B93" w:rsidP="00B37B93">
            <w:pPr>
              <w:jc w:val="right"/>
            </w:pPr>
          </w:p>
        </w:tc>
        <w:tc>
          <w:tcPr>
            <w:tcW w:w="1073" w:type="pct"/>
            <w:tcBorders>
              <w:top w:val="nil"/>
              <w:left w:val="nil"/>
              <w:bottom w:val="nil"/>
              <w:right w:val="nil"/>
            </w:tcBorders>
            <w:shd w:val="clear" w:color="auto" w:fill="auto"/>
          </w:tcPr>
          <w:p w14:paraId="6C53FC89" w14:textId="60408E5E" w:rsidR="00B37B93" w:rsidRPr="007B60BF" w:rsidRDefault="00B37B93" w:rsidP="00B37B93">
            <w:pPr>
              <w:jc w:val="right"/>
            </w:pPr>
            <w:r w:rsidRPr="007B60BF">
              <w:t xml:space="preserve"> 56.147 </w:t>
            </w:r>
          </w:p>
        </w:tc>
      </w:tr>
      <w:tr w:rsidR="00B37B93" w:rsidRPr="007B60BF" w14:paraId="640EBE04" w14:textId="77777777" w:rsidTr="00E97843">
        <w:tc>
          <w:tcPr>
            <w:tcW w:w="2746" w:type="pct"/>
            <w:tcBorders>
              <w:top w:val="nil"/>
              <w:left w:val="nil"/>
              <w:bottom w:val="nil"/>
              <w:right w:val="nil"/>
            </w:tcBorders>
            <w:shd w:val="clear" w:color="000000" w:fill="FFFFFF"/>
            <w:noWrap/>
            <w:hideMark/>
          </w:tcPr>
          <w:p w14:paraId="2B34136A" w14:textId="77777777" w:rsidR="00B37B93" w:rsidRPr="007B60BF" w:rsidRDefault="00B37B93" w:rsidP="00B37B93">
            <w:r w:rsidRPr="007B60BF">
              <w:t>Previdência Privada</w:t>
            </w:r>
          </w:p>
        </w:tc>
        <w:tc>
          <w:tcPr>
            <w:tcW w:w="1075" w:type="pct"/>
            <w:tcBorders>
              <w:top w:val="nil"/>
              <w:left w:val="nil"/>
              <w:bottom w:val="single" w:sz="8" w:space="0" w:color="auto"/>
              <w:right w:val="nil"/>
            </w:tcBorders>
            <w:shd w:val="clear" w:color="auto" w:fill="auto"/>
          </w:tcPr>
          <w:p w14:paraId="07D99530" w14:textId="03F4D63E" w:rsidR="00B37B93" w:rsidRPr="007B60BF" w:rsidRDefault="0003152A" w:rsidP="00B37B93">
            <w:pPr>
              <w:jc w:val="right"/>
            </w:pPr>
            <w:r w:rsidRPr="007B60BF">
              <w:t>43.465</w:t>
            </w:r>
          </w:p>
        </w:tc>
        <w:tc>
          <w:tcPr>
            <w:tcW w:w="106" w:type="pct"/>
            <w:tcBorders>
              <w:top w:val="nil"/>
              <w:left w:val="nil"/>
              <w:bottom w:val="nil"/>
              <w:right w:val="nil"/>
            </w:tcBorders>
            <w:shd w:val="clear" w:color="auto" w:fill="auto"/>
          </w:tcPr>
          <w:p w14:paraId="413D1772" w14:textId="77777777" w:rsidR="00B37B93" w:rsidRPr="007B60BF" w:rsidRDefault="00B37B93" w:rsidP="00B37B93">
            <w:pPr>
              <w:jc w:val="right"/>
            </w:pPr>
          </w:p>
        </w:tc>
        <w:tc>
          <w:tcPr>
            <w:tcW w:w="1073" w:type="pct"/>
            <w:tcBorders>
              <w:top w:val="nil"/>
              <w:left w:val="nil"/>
              <w:bottom w:val="single" w:sz="8" w:space="0" w:color="auto"/>
              <w:right w:val="nil"/>
            </w:tcBorders>
            <w:shd w:val="clear" w:color="auto" w:fill="auto"/>
          </w:tcPr>
          <w:p w14:paraId="02B1F148" w14:textId="241468E4" w:rsidR="00B37B93" w:rsidRPr="007B60BF" w:rsidRDefault="00B37B93" w:rsidP="00B37B93">
            <w:pPr>
              <w:jc w:val="right"/>
            </w:pPr>
            <w:r w:rsidRPr="007B60BF">
              <w:t xml:space="preserve"> 42.852 </w:t>
            </w:r>
          </w:p>
        </w:tc>
      </w:tr>
      <w:tr w:rsidR="00B37B93" w:rsidRPr="007B60BF" w14:paraId="1418EF9C" w14:textId="77777777" w:rsidTr="00E97843">
        <w:tc>
          <w:tcPr>
            <w:tcW w:w="2746" w:type="pct"/>
            <w:tcBorders>
              <w:top w:val="nil"/>
              <w:left w:val="nil"/>
              <w:bottom w:val="nil"/>
              <w:right w:val="nil"/>
            </w:tcBorders>
            <w:shd w:val="clear" w:color="000000" w:fill="FFFFFF"/>
            <w:noWrap/>
            <w:vAlign w:val="center"/>
            <w:hideMark/>
          </w:tcPr>
          <w:p w14:paraId="249C789F" w14:textId="715B5B3E" w:rsidR="00B37B93" w:rsidRPr="007B60BF" w:rsidRDefault="00B37B93" w:rsidP="00B37B93">
            <w:pPr>
              <w:rPr>
                <w:b/>
                <w:bCs/>
              </w:rPr>
            </w:pPr>
            <w:r w:rsidRPr="007B60BF">
              <w:rPr>
                <w:b/>
                <w:bCs/>
              </w:rPr>
              <w:t>Saldo Contábil</w:t>
            </w:r>
          </w:p>
        </w:tc>
        <w:tc>
          <w:tcPr>
            <w:tcW w:w="1075" w:type="pct"/>
            <w:tcBorders>
              <w:top w:val="nil"/>
              <w:left w:val="nil"/>
              <w:bottom w:val="double" w:sz="6" w:space="0" w:color="auto"/>
              <w:right w:val="nil"/>
            </w:tcBorders>
            <w:shd w:val="clear" w:color="auto" w:fill="auto"/>
            <w:noWrap/>
          </w:tcPr>
          <w:p w14:paraId="21CC2516" w14:textId="449124E2" w:rsidR="00B37B93" w:rsidRPr="007B60BF" w:rsidRDefault="00BB153F" w:rsidP="00B37B93">
            <w:pPr>
              <w:jc w:val="right"/>
              <w:rPr>
                <w:b/>
                <w:bCs/>
              </w:rPr>
            </w:pPr>
            <w:r w:rsidRPr="007B60BF">
              <w:rPr>
                <w:b/>
                <w:bCs/>
              </w:rPr>
              <w:t>145.137</w:t>
            </w:r>
          </w:p>
        </w:tc>
        <w:tc>
          <w:tcPr>
            <w:tcW w:w="106" w:type="pct"/>
            <w:tcBorders>
              <w:top w:val="nil"/>
              <w:left w:val="nil"/>
              <w:bottom w:val="nil"/>
              <w:right w:val="nil"/>
            </w:tcBorders>
            <w:shd w:val="clear" w:color="auto" w:fill="auto"/>
            <w:vAlign w:val="center"/>
          </w:tcPr>
          <w:p w14:paraId="2FB76EBF" w14:textId="5013898D" w:rsidR="00B37B93" w:rsidRPr="007B60BF" w:rsidRDefault="00B37B93" w:rsidP="00B37B93">
            <w:pPr>
              <w:rPr>
                <w:b/>
                <w:bCs/>
              </w:rPr>
            </w:pPr>
          </w:p>
        </w:tc>
        <w:tc>
          <w:tcPr>
            <w:tcW w:w="1073" w:type="pct"/>
            <w:tcBorders>
              <w:top w:val="nil"/>
              <w:left w:val="nil"/>
              <w:bottom w:val="double" w:sz="6" w:space="0" w:color="auto"/>
              <w:right w:val="nil"/>
            </w:tcBorders>
            <w:shd w:val="clear" w:color="auto" w:fill="auto"/>
          </w:tcPr>
          <w:p w14:paraId="397A4A90" w14:textId="6ED4F981" w:rsidR="00B37B93" w:rsidRPr="007B60BF" w:rsidRDefault="00B37B93" w:rsidP="00B37B93">
            <w:pPr>
              <w:jc w:val="right"/>
              <w:rPr>
                <w:b/>
              </w:rPr>
            </w:pPr>
            <w:r w:rsidRPr="007B60BF">
              <w:rPr>
                <w:b/>
              </w:rPr>
              <w:t>119.783</w:t>
            </w:r>
          </w:p>
        </w:tc>
      </w:tr>
    </w:tbl>
    <w:p w14:paraId="1BACF948" w14:textId="77777777" w:rsidR="00D32202" w:rsidRPr="007B60BF" w:rsidRDefault="00D32202" w:rsidP="00D32202">
      <w:pPr>
        <w:tabs>
          <w:tab w:val="left" w:pos="993"/>
        </w:tabs>
        <w:jc w:val="both"/>
        <w:rPr>
          <w:b/>
        </w:rPr>
      </w:pPr>
    </w:p>
    <w:p w14:paraId="55E40F2E" w14:textId="77265607" w:rsidR="00D32202" w:rsidRPr="007B60BF" w:rsidRDefault="00D32202" w:rsidP="00A82041">
      <w:pPr>
        <w:jc w:val="both"/>
      </w:pPr>
      <w:r w:rsidRPr="007B60BF">
        <w:t>Representa os benefícios a empregados, que são reconhecidos no resultado do período em que ocorre a prestação do serviço do empregado. Como benefício pós-emprego a Instituição oferece plano de previdência privada</w:t>
      </w:r>
      <w:r w:rsidR="00257494" w:rsidRPr="007B60BF">
        <w:t xml:space="preserve"> de aposentadoria complementar.</w:t>
      </w:r>
    </w:p>
    <w:p w14:paraId="14BF4BCC" w14:textId="0D437EFB" w:rsidR="00B37B93" w:rsidRPr="007B60BF" w:rsidRDefault="00B37B93" w:rsidP="00A82041">
      <w:pPr>
        <w:jc w:val="both"/>
      </w:pPr>
    </w:p>
    <w:p w14:paraId="48FD1FC4" w14:textId="77777777" w:rsidR="00B37B93" w:rsidRPr="007B60BF" w:rsidRDefault="00B37B93" w:rsidP="00B37B93">
      <w:pPr>
        <w:jc w:val="both"/>
      </w:pPr>
      <w:r w:rsidRPr="007B60BF">
        <w:lastRenderedPageBreak/>
        <w:t>Conforme previsto na Resolução nº 30 de 04 de agosto de 2022 da Comissão Interministerial de Governança Corporativa e Administração de Participações Societárias da União e no Decreto nº 9.845/2016, artigo 19, divulgamos o valor médio global dos benefícios oferecidos aos empregados na tabela abaixo:</w:t>
      </w:r>
    </w:p>
    <w:p w14:paraId="31B883FC" w14:textId="77777777" w:rsidR="00B37B93" w:rsidRPr="008F1108" w:rsidRDefault="00B37B93" w:rsidP="00B37B93">
      <w:pPr>
        <w:jc w:val="both"/>
        <w:rPr>
          <w:color w:val="FF0000"/>
          <w:sz w:val="16"/>
          <w:szCs w:val="16"/>
        </w:rPr>
      </w:pPr>
    </w:p>
    <w:tbl>
      <w:tblPr>
        <w:tblW w:w="9017" w:type="dxa"/>
        <w:tblInd w:w="55" w:type="dxa"/>
        <w:tblCellMar>
          <w:left w:w="70" w:type="dxa"/>
          <w:right w:w="70" w:type="dxa"/>
        </w:tblCellMar>
        <w:tblLook w:val="04A0" w:firstRow="1" w:lastRow="0" w:firstColumn="1" w:lastColumn="0" w:noHBand="0" w:noVBand="1"/>
      </w:tblPr>
      <w:tblGrid>
        <w:gridCol w:w="7096"/>
        <w:gridCol w:w="160"/>
        <w:gridCol w:w="1761"/>
      </w:tblGrid>
      <w:tr w:rsidR="00B37B93" w:rsidRPr="007B60BF" w14:paraId="3F532DF1" w14:textId="77777777" w:rsidTr="00A917FF">
        <w:trPr>
          <w:trHeight w:val="255"/>
        </w:trPr>
        <w:tc>
          <w:tcPr>
            <w:tcW w:w="7096" w:type="dxa"/>
            <w:tcBorders>
              <w:bottom w:val="single" w:sz="4" w:space="0" w:color="auto"/>
            </w:tcBorders>
            <w:shd w:val="clear" w:color="auto" w:fill="FFFFFF"/>
            <w:noWrap/>
            <w:vAlign w:val="bottom"/>
          </w:tcPr>
          <w:p w14:paraId="0EAC35F6" w14:textId="77777777" w:rsidR="00B37B93" w:rsidRPr="007B60BF" w:rsidRDefault="00B37B93" w:rsidP="00A917FF">
            <w:pPr>
              <w:rPr>
                <w:b/>
              </w:rPr>
            </w:pPr>
            <w:r w:rsidRPr="007B60BF">
              <w:rPr>
                <w:b/>
              </w:rPr>
              <w:t>Benefício </w:t>
            </w:r>
          </w:p>
        </w:tc>
        <w:tc>
          <w:tcPr>
            <w:tcW w:w="160" w:type="dxa"/>
          </w:tcPr>
          <w:p w14:paraId="7F9EE8EB" w14:textId="77777777" w:rsidR="00B37B93" w:rsidRPr="007B60BF" w:rsidRDefault="00B37B93" w:rsidP="00A917FF">
            <w:pPr>
              <w:jc w:val="right"/>
              <w:rPr>
                <w:b/>
              </w:rPr>
            </w:pPr>
          </w:p>
        </w:tc>
        <w:tc>
          <w:tcPr>
            <w:tcW w:w="1761" w:type="dxa"/>
            <w:tcBorders>
              <w:top w:val="nil"/>
              <w:left w:val="nil"/>
              <w:bottom w:val="single" w:sz="4" w:space="0" w:color="auto"/>
              <w:right w:val="nil"/>
            </w:tcBorders>
            <w:noWrap/>
            <w:hideMark/>
          </w:tcPr>
          <w:p w14:paraId="0E5A7550" w14:textId="77777777" w:rsidR="00B37B93" w:rsidRPr="007B60BF" w:rsidRDefault="00B37B93" w:rsidP="00A917FF">
            <w:pPr>
              <w:jc w:val="right"/>
              <w:rPr>
                <w:b/>
                <w:bCs/>
              </w:rPr>
            </w:pPr>
            <w:r w:rsidRPr="007B60BF">
              <w:rPr>
                <w:b/>
              </w:rPr>
              <w:t>Valor em Reais</w:t>
            </w:r>
          </w:p>
        </w:tc>
      </w:tr>
      <w:tr w:rsidR="00B37B93" w:rsidRPr="007B60BF" w14:paraId="7448C498" w14:textId="77777777" w:rsidTr="00A917FF">
        <w:trPr>
          <w:trHeight w:val="255"/>
        </w:trPr>
        <w:tc>
          <w:tcPr>
            <w:tcW w:w="7096" w:type="dxa"/>
            <w:tcBorders>
              <w:top w:val="single" w:sz="4" w:space="0" w:color="auto"/>
            </w:tcBorders>
            <w:shd w:val="clear" w:color="auto" w:fill="FFFFFF"/>
            <w:noWrap/>
            <w:hideMark/>
          </w:tcPr>
          <w:p w14:paraId="75165302" w14:textId="77777777" w:rsidR="00B37B93" w:rsidRPr="007B60BF" w:rsidRDefault="00B37B93" w:rsidP="00A917FF">
            <w:r w:rsidRPr="007B60BF">
              <w:t>Vale Alimentação</w:t>
            </w:r>
          </w:p>
        </w:tc>
        <w:tc>
          <w:tcPr>
            <w:tcW w:w="160" w:type="dxa"/>
            <w:shd w:val="clear" w:color="auto" w:fill="FFFFFF" w:themeFill="background1"/>
          </w:tcPr>
          <w:p w14:paraId="747B7978" w14:textId="77777777" w:rsidR="00B37B93" w:rsidRPr="007B60BF" w:rsidRDefault="00B37B93" w:rsidP="00A917FF">
            <w:pPr>
              <w:jc w:val="right"/>
            </w:pPr>
          </w:p>
        </w:tc>
        <w:tc>
          <w:tcPr>
            <w:tcW w:w="1761" w:type="dxa"/>
            <w:shd w:val="clear" w:color="auto" w:fill="FFFFFF" w:themeFill="background1"/>
            <w:noWrap/>
          </w:tcPr>
          <w:p w14:paraId="3FEFF9A3" w14:textId="12202554" w:rsidR="00B37B93" w:rsidRPr="007B60BF" w:rsidRDefault="007E4E35" w:rsidP="00A917FF">
            <w:pPr>
              <w:jc w:val="right"/>
            </w:pPr>
            <w:r w:rsidRPr="007B60BF">
              <w:t>1.000,00</w:t>
            </w:r>
          </w:p>
        </w:tc>
      </w:tr>
      <w:tr w:rsidR="00B37B93" w:rsidRPr="007B60BF" w14:paraId="1FBF6032" w14:textId="77777777" w:rsidTr="00A917FF">
        <w:trPr>
          <w:trHeight w:val="255"/>
        </w:trPr>
        <w:tc>
          <w:tcPr>
            <w:tcW w:w="7096" w:type="dxa"/>
            <w:shd w:val="clear" w:color="auto" w:fill="FFFFFF"/>
            <w:noWrap/>
            <w:hideMark/>
          </w:tcPr>
          <w:p w14:paraId="26AAE804" w14:textId="77777777" w:rsidR="00B37B93" w:rsidRPr="007B60BF" w:rsidRDefault="00B37B93" w:rsidP="00A917FF">
            <w:r w:rsidRPr="007B60BF">
              <w:t>Pré-escola</w:t>
            </w:r>
          </w:p>
        </w:tc>
        <w:tc>
          <w:tcPr>
            <w:tcW w:w="160" w:type="dxa"/>
          </w:tcPr>
          <w:p w14:paraId="0593B168" w14:textId="77777777" w:rsidR="00B37B93" w:rsidRPr="007B60BF" w:rsidRDefault="00B37B93" w:rsidP="00A917FF">
            <w:pPr>
              <w:jc w:val="right"/>
            </w:pPr>
          </w:p>
        </w:tc>
        <w:tc>
          <w:tcPr>
            <w:tcW w:w="1761" w:type="dxa"/>
            <w:noWrap/>
          </w:tcPr>
          <w:p w14:paraId="0E098EFE" w14:textId="77777777" w:rsidR="00B37B93" w:rsidRPr="007B60BF" w:rsidRDefault="00B37B93" w:rsidP="00A917FF">
            <w:pPr>
              <w:jc w:val="right"/>
            </w:pPr>
            <w:r w:rsidRPr="007B60BF">
              <w:t xml:space="preserve">         238,02</w:t>
            </w:r>
          </w:p>
        </w:tc>
      </w:tr>
      <w:tr w:rsidR="00B37B93" w:rsidRPr="007B60BF" w14:paraId="5AB12E2E" w14:textId="77777777" w:rsidTr="00A917FF">
        <w:trPr>
          <w:trHeight w:val="255"/>
        </w:trPr>
        <w:tc>
          <w:tcPr>
            <w:tcW w:w="7096" w:type="dxa"/>
            <w:shd w:val="clear" w:color="auto" w:fill="FFFFFF"/>
            <w:noWrap/>
          </w:tcPr>
          <w:p w14:paraId="0BDA214E" w14:textId="77777777" w:rsidR="00B37B93" w:rsidRPr="007B60BF" w:rsidRDefault="00B37B93" w:rsidP="00A917FF">
            <w:r w:rsidRPr="007B60BF">
              <w:t>Assistência à saúde</w:t>
            </w:r>
          </w:p>
        </w:tc>
        <w:tc>
          <w:tcPr>
            <w:tcW w:w="160" w:type="dxa"/>
            <w:shd w:val="clear" w:color="auto" w:fill="FFFFFF" w:themeFill="background1"/>
          </w:tcPr>
          <w:p w14:paraId="4A3C5738" w14:textId="77777777" w:rsidR="00B37B93" w:rsidRPr="007B60BF" w:rsidRDefault="00B37B93" w:rsidP="00A917FF">
            <w:pPr>
              <w:jc w:val="right"/>
            </w:pPr>
          </w:p>
        </w:tc>
        <w:tc>
          <w:tcPr>
            <w:tcW w:w="1761" w:type="dxa"/>
            <w:shd w:val="clear" w:color="auto" w:fill="FFFFFF" w:themeFill="background1"/>
            <w:noWrap/>
          </w:tcPr>
          <w:p w14:paraId="07EAEDCB" w14:textId="67F3C286" w:rsidR="00B37B93" w:rsidRPr="007B60BF" w:rsidRDefault="007A2AF2" w:rsidP="00A917FF">
            <w:pPr>
              <w:jc w:val="right"/>
            </w:pPr>
            <w:r w:rsidRPr="007B60BF">
              <w:t xml:space="preserve">        </w:t>
            </w:r>
            <w:r w:rsidR="007E4E35" w:rsidRPr="007B60BF">
              <w:t>177,02</w:t>
            </w:r>
          </w:p>
        </w:tc>
      </w:tr>
      <w:tr w:rsidR="00B37B93" w:rsidRPr="007B60BF" w14:paraId="7C1168C9" w14:textId="77777777" w:rsidTr="00A917FF">
        <w:trPr>
          <w:trHeight w:val="255"/>
        </w:trPr>
        <w:tc>
          <w:tcPr>
            <w:tcW w:w="7096" w:type="dxa"/>
            <w:shd w:val="clear" w:color="auto" w:fill="FFFFFF"/>
            <w:noWrap/>
            <w:hideMark/>
          </w:tcPr>
          <w:p w14:paraId="5A4585B5" w14:textId="77777777" w:rsidR="00B37B93" w:rsidRPr="007B60BF" w:rsidRDefault="00B37B93" w:rsidP="00A917FF">
            <w:r w:rsidRPr="007B60BF">
              <w:t>Previdência Complementar</w:t>
            </w:r>
          </w:p>
        </w:tc>
        <w:tc>
          <w:tcPr>
            <w:tcW w:w="160" w:type="dxa"/>
            <w:shd w:val="clear" w:color="auto" w:fill="FFFFFF" w:themeFill="background1"/>
          </w:tcPr>
          <w:p w14:paraId="38275948" w14:textId="77777777" w:rsidR="00B37B93" w:rsidRPr="007B60BF" w:rsidRDefault="00B37B93" w:rsidP="00A917FF">
            <w:pPr>
              <w:jc w:val="right"/>
            </w:pPr>
          </w:p>
        </w:tc>
        <w:tc>
          <w:tcPr>
            <w:tcW w:w="1761" w:type="dxa"/>
            <w:shd w:val="clear" w:color="auto" w:fill="FFFFFF" w:themeFill="background1"/>
            <w:noWrap/>
          </w:tcPr>
          <w:p w14:paraId="5898E18B" w14:textId="5521A2DB" w:rsidR="00B37B93" w:rsidRPr="007B60BF" w:rsidRDefault="00B37B93" w:rsidP="007E4E35">
            <w:pPr>
              <w:jc w:val="right"/>
            </w:pPr>
            <w:r w:rsidRPr="007B60BF">
              <w:t xml:space="preserve">         </w:t>
            </w:r>
            <w:r w:rsidR="007E4E35" w:rsidRPr="007B60BF">
              <w:t>1.042,95</w:t>
            </w:r>
          </w:p>
        </w:tc>
      </w:tr>
      <w:tr w:rsidR="00B37B93" w:rsidRPr="007B60BF" w14:paraId="311FEF5D" w14:textId="77777777" w:rsidTr="00A917FF">
        <w:trPr>
          <w:trHeight w:val="255"/>
        </w:trPr>
        <w:tc>
          <w:tcPr>
            <w:tcW w:w="7096" w:type="dxa"/>
            <w:shd w:val="clear" w:color="auto" w:fill="FFFFFF"/>
            <w:noWrap/>
          </w:tcPr>
          <w:p w14:paraId="42EDD850" w14:textId="77777777" w:rsidR="00B37B93" w:rsidRPr="007B60BF" w:rsidRDefault="00B37B93" w:rsidP="00A917FF">
            <w:r w:rsidRPr="007B60BF">
              <w:t>Vale-transporte</w:t>
            </w:r>
          </w:p>
        </w:tc>
        <w:tc>
          <w:tcPr>
            <w:tcW w:w="160" w:type="dxa"/>
          </w:tcPr>
          <w:p w14:paraId="3990411E" w14:textId="77777777" w:rsidR="00B37B93" w:rsidRPr="007B60BF" w:rsidRDefault="00B37B93" w:rsidP="00A917FF">
            <w:pPr>
              <w:jc w:val="right"/>
            </w:pPr>
          </w:p>
        </w:tc>
        <w:tc>
          <w:tcPr>
            <w:tcW w:w="1761" w:type="dxa"/>
            <w:noWrap/>
          </w:tcPr>
          <w:p w14:paraId="6E1EDD62" w14:textId="0FB628C6" w:rsidR="00B37B93" w:rsidRPr="007B60BF" w:rsidRDefault="007E4E35" w:rsidP="00A917FF">
            <w:pPr>
              <w:jc w:val="right"/>
            </w:pPr>
            <w:r w:rsidRPr="007B60BF">
              <w:t xml:space="preserve">         263,95</w:t>
            </w:r>
          </w:p>
        </w:tc>
      </w:tr>
      <w:tr w:rsidR="00B37B93" w:rsidRPr="007B60BF" w14:paraId="296BA097" w14:textId="77777777" w:rsidTr="00A917FF">
        <w:trPr>
          <w:trHeight w:val="255"/>
        </w:trPr>
        <w:tc>
          <w:tcPr>
            <w:tcW w:w="7096" w:type="dxa"/>
            <w:shd w:val="clear" w:color="auto" w:fill="FFFFFF"/>
            <w:noWrap/>
            <w:hideMark/>
          </w:tcPr>
          <w:p w14:paraId="312E98E1" w14:textId="77777777" w:rsidR="00B37B93" w:rsidRPr="007B60BF" w:rsidRDefault="00B37B93" w:rsidP="00A917FF">
            <w:r w:rsidRPr="007B60BF">
              <w:t>Seguro de vida</w:t>
            </w:r>
          </w:p>
        </w:tc>
        <w:tc>
          <w:tcPr>
            <w:tcW w:w="160" w:type="dxa"/>
            <w:shd w:val="clear" w:color="auto" w:fill="FFFFFF" w:themeFill="background1"/>
          </w:tcPr>
          <w:p w14:paraId="63ABBE43" w14:textId="77777777" w:rsidR="00B37B93" w:rsidRPr="007B60BF" w:rsidRDefault="00B37B93" w:rsidP="00A917FF">
            <w:pPr>
              <w:jc w:val="right"/>
            </w:pPr>
          </w:p>
        </w:tc>
        <w:tc>
          <w:tcPr>
            <w:tcW w:w="1761" w:type="dxa"/>
            <w:shd w:val="clear" w:color="auto" w:fill="FFFFFF" w:themeFill="background1"/>
            <w:noWrap/>
          </w:tcPr>
          <w:p w14:paraId="4EAEF7F7" w14:textId="77777777" w:rsidR="00B37B93" w:rsidRPr="007B60BF" w:rsidRDefault="00B37B93" w:rsidP="00A917FF">
            <w:pPr>
              <w:jc w:val="right"/>
            </w:pPr>
            <w:r w:rsidRPr="007B60BF">
              <w:t xml:space="preserve">             4,77</w:t>
            </w:r>
          </w:p>
        </w:tc>
      </w:tr>
    </w:tbl>
    <w:p w14:paraId="716B19CE" w14:textId="385B5AA0" w:rsidR="00B37B93" w:rsidRPr="008F1108" w:rsidRDefault="00B37B93" w:rsidP="00A82041">
      <w:pPr>
        <w:jc w:val="both"/>
        <w:rPr>
          <w:sz w:val="16"/>
          <w:szCs w:val="16"/>
        </w:rPr>
      </w:pPr>
    </w:p>
    <w:p w14:paraId="3196CB95" w14:textId="77777777" w:rsidR="00C812B5" w:rsidRPr="008F1108" w:rsidRDefault="00C812B5" w:rsidP="00A82041">
      <w:pPr>
        <w:jc w:val="both"/>
        <w:rPr>
          <w:sz w:val="16"/>
          <w:szCs w:val="16"/>
        </w:rPr>
      </w:pPr>
    </w:p>
    <w:p w14:paraId="4BDDE97C" w14:textId="760B9E2C" w:rsidR="00DD7ADA" w:rsidRPr="007B60BF" w:rsidRDefault="00DD7ADA" w:rsidP="00086B22">
      <w:pPr>
        <w:pStyle w:val="Ttulo1"/>
        <w:numPr>
          <w:ilvl w:val="0"/>
          <w:numId w:val="5"/>
        </w:numPr>
        <w:ind w:left="0" w:hanging="567"/>
        <w:jc w:val="left"/>
      </w:pPr>
      <w:bookmarkStart w:id="70" w:name="_Toc223007869"/>
      <w:bookmarkStart w:id="71" w:name="_Ref466466697"/>
      <w:r w:rsidRPr="007B60BF">
        <w:t>Outras Receitas e Despesas</w:t>
      </w:r>
      <w:bookmarkEnd w:id="70"/>
      <w:r w:rsidRPr="007B60BF">
        <w:t xml:space="preserve"> </w:t>
      </w:r>
    </w:p>
    <w:tbl>
      <w:tblPr>
        <w:tblW w:w="5122" w:type="pct"/>
        <w:tblCellMar>
          <w:left w:w="70" w:type="dxa"/>
          <w:right w:w="70" w:type="dxa"/>
        </w:tblCellMar>
        <w:tblLook w:val="04A0" w:firstRow="1" w:lastRow="0" w:firstColumn="1" w:lastColumn="0" w:noHBand="0" w:noVBand="1"/>
      </w:tblPr>
      <w:tblGrid>
        <w:gridCol w:w="4966"/>
        <w:gridCol w:w="1920"/>
        <w:gridCol w:w="217"/>
        <w:gridCol w:w="1970"/>
        <w:gridCol w:w="219"/>
      </w:tblGrid>
      <w:tr w:rsidR="00CE1397" w:rsidRPr="007B60BF" w14:paraId="7C862153" w14:textId="77777777" w:rsidTr="00CE1397">
        <w:trPr>
          <w:gridAfter w:val="1"/>
          <w:wAfter w:w="118" w:type="pct"/>
        </w:trPr>
        <w:tc>
          <w:tcPr>
            <w:tcW w:w="2672" w:type="pct"/>
            <w:tcBorders>
              <w:top w:val="nil"/>
              <w:left w:val="nil"/>
              <w:bottom w:val="nil"/>
              <w:right w:val="nil"/>
            </w:tcBorders>
            <w:shd w:val="clear" w:color="000000" w:fill="FFFFFF"/>
            <w:vAlign w:val="center"/>
            <w:hideMark/>
          </w:tcPr>
          <w:p w14:paraId="1B53196F" w14:textId="77777777" w:rsidR="00CE1397" w:rsidRPr="007B60BF" w:rsidRDefault="00CE1397" w:rsidP="00CE1397">
            <w:pPr>
              <w:rPr>
                <w:b/>
              </w:rPr>
            </w:pPr>
            <w:r w:rsidRPr="007B60BF">
              <w:rPr>
                <w:b/>
              </w:rPr>
              <w:t> </w:t>
            </w:r>
          </w:p>
        </w:tc>
        <w:tc>
          <w:tcPr>
            <w:tcW w:w="1033" w:type="pct"/>
            <w:tcBorders>
              <w:top w:val="nil"/>
              <w:left w:val="nil"/>
              <w:bottom w:val="single" w:sz="8" w:space="0" w:color="auto"/>
              <w:right w:val="nil"/>
            </w:tcBorders>
            <w:shd w:val="clear" w:color="auto" w:fill="auto"/>
            <w:vAlign w:val="center"/>
          </w:tcPr>
          <w:p w14:paraId="5E037391" w14:textId="1D7A8209" w:rsidR="00CE1397" w:rsidRPr="007B60BF" w:rsidRDefault="00CE1397" w:rsidP="00CE1397">
            <w:pPr>
              <w:jc w:val="right"/>
              <w:rPr>
                <w:b/>
                <w:bCs/>
              </w:rPr>
            </w:pPr>
            <w:r w:rsidRPr="007B60BF">
              <w:rPr>
                <w:b/>
                <w:bCs/>
              </w:rPr>
              <w:t>31/12/2025</w:t>
            </w:r>
          </w:p>
        </w:tc>
        <w:tc>
          <w:tcPr>
            <w:tcW w:w="117" w:type="pct"/>
            <w:tcBorders>
              <w:top w:val="nil"/>
              <w:left w:val="nil"/>
              <w:bottom w:val="nil"/>
              <w:right w:val="nil"/>
            </w:tcBorders>
            <w:shd w:val="clear" w:color="auto" w:fill="auto"/>
            <w:vAlign w:val="center"/>
            <w:hideMark/>
          </w:tcPr>
          <w:p w14:paraId="45755D03" w14:textId="6CB7B907" w:rsidR="00CE1397" w:rsidRPr="007B60BF" w:rsidRDefault="00CE1397" w:rsidP="00CE1397">
            <w:pPr>
              <w:rPr>
                <w:b/>
              </w:rPr>
            </w:pPr>
          </w:p>
        </w:tc>
        <w:tc>
          <w:tcPr>
            <w:tcW w:w="1060" w:type="pct"/>
            <w:tcBorders>
              <w:top w:val="nil"/>
              <w:left w:val="nil"/>
              <w:bottom w:val="single" w:sz="8" w:space="0" w:color="auto"/>
              <w:right w:val="nil"/>
            </w:tcBorders>
            <w:shd w:val="clear" w:color="000000" w:fill="FFFFFF"/>
            <w:noWrap/>
            <w:hideMark/>
          </w:tcPr>
          <w:p w14:paraId="427E260A" w14:textId="083FEC90" w:rsidR="00CE1397" w:rsidRPr="007B60BF" w:rsidRDefault="00CE1397" w:rsidP="00CE1397">
            <w:pPr>
              <w:jc w:val="right"/>
              <w:rPr>
                <w:b/>
                <w:bCs/>
              </w:rPr>
            </w:pPr>
            <w:r w:rsidRPr="007B60BF">
              <w:rPr>
                <w:b/>
              </w:rPr>
              <w:t>31/12/2024</w:t>
            </w:r>
          </w:p>
        </w:tc>
      </w:tr>
      <w:tr w:rsidR="00CE1397" w:rsidRPr="007B60BF" w14:paraId="2786D3F7" w14:textId="77777777" w:rsidTr="005A4B7E">
        <w:trPr>
          <w:gridAfter w:val="1"/>
          <w:wAfter w:w="118" w:type="pct"/>
        </w:trPr>
        <w:tc>
          <w:tcPr>
            <w:tcW w:w="2672" w:type="pct"/>
            <w:tcBorders>
              <w:top w:val="nil"/>
              <w:left w:val="nil"/>
              <w:bottom w:val="nil"/>
              <w:right w:val="nil"/>
            </w:tcBorders>
            <w:shd w:val="clear" w:color="000000" w:fill="FFFFFF"/>
            <w:vAlign w:val="center"/>
          </w:tcPr>
          <w:p w14:paraId="5636A665" w14:textId="77777777" w:rsidR="00CE1397" w:rsidRPr="007B60BF" w:rsidRDefault="00CE1397" w:rsidP="00CE1397">
            <w:r w:rsidRPr="007B60BF">
              <w:t>Outras Receitas</w:t>
            </w:r>
          </w:p>
        </w:tc>
        <w:tc>
          <w:tcPr>
            <w:tcW w:w="1033" w:type="pct"/>
            <w:tcBorders>
              <w:top w:val="nil"/>
              <w:left w:val="nil"/>
              <w:bottom w:val="nil"/>
              <w:right w:val="nil"/>
            </w:tcBorders>
            <w:shd w:val="clear" w:color="000000" w:fill="FFFFFF"/>
            <w:vAlign w:val="center"/>
          </w:tcPr>
          <w:p w14:paraId="099A5DA4" w14:textId="410BC9A5" w:rsidR="00CE1397" w:rsidRPr="007B60BF" w:rsidRDefault="00CE1397" w:rsidP="00CE1397">
            <w:pPr>
              <w:jc w:val="right"/>
              <w:rPr>
                <w:b/>
                <w:bCs/>
              </w:rPr>
            </w:pPr>
          </w:p>
        </w:tc>
        <w:tc>
          <w:tcPr>
            <w:tcW w:w="117" w:type="pct"/>
            <w:tcBorders>
              <w:top w:val="nil"/>
              <w:left w:val="nil"/>
              <w:bottom w:val="nil"/>
              <w:right w:val="nil"/>
            </w:tcBorders>
            <w:shd w:val="clear" w:color="000000" w:fill="FFFFFF"/>
            <w:vAlign w:val="center"/>
          </w:tcPr>
          <w:p w14:paraId="0207141B" w14:textId="77777777" w:rsidR="00CE1397" w:rsidRPr="007B60BF" w:rsidRDefault="00CE1397" w:rsidP="00CE1397">
            <w:r w:rsidRPr="007B60BF">
              <w:t> </w:t>
            </w:r>
          </w:p>
        </w:tc>
        <w:tc>
          <w:tcPr>
            <w:tcW w:w="1060" w:type="pct"/>
            <w:tcBorders>
              <w:top w:val="nil"/>
              <w:left w:val="nil"/>
              <w:bottom w:val="nil"/>
              <w:right w:val="nil"/>
            </w:tcBorders>
            <w:shd w:val="clear" w:color="000000" w:fill="FFFFFF"/>
          </w:tcPr>
          <w:p w14:paraId="649AF3C6" w14:textId="0814CD25" w:rsidR="00CE1397" w:rsidRPr="007B60BF" w:rsidRDefault="00CE1397" w:rsidP="00CE1397">
            <w:pPr>
              <w:jc w:val="right"/>
            </w:pPr>
          </w:p>
        </w:tc>
      </w:tr>
      <w:tr w:rsidR="00CE1397" w:rsidRPr="007B60BF" w14:paraId="3FA990AF" w14:textId="77777777" w:rsidTr="00A917FF">
        <w:trPr>
          <w:gridAfter w:val="1"/>
          <w:wAfter w:w="118" w:type="pct"/>
        </w:trPr>
        <w:tc>
          <w:tcPr>
            <w:tcW w:w="2672" w:type="pct"/>
            <w:tcBorders>
              <w:top w:val="nil"/>
              <w:left w:val="nil"/>
              <w:bottom w:val="nil"/>
              <w:right w:val="nil"/>
            </w:tcBorders>
            <w:shd w:val="clear" w:color="000000" w:fill="FFFFFF"/>
            <w:vAlign w:val="center"/>
          </w:tcPr>
          <w:p w14:paraId="7A7E7DD3" w14:textId="77777777" w:rsidR="00CE1397" w:rsidRPr="007B60BF" w:rsidRDefault="00CE1397" w:rsidP="00CE1397">
            <w:r w:rsidRPr="007B60BF">
              <w:t xml:space="preserve">   Aluguéis</w:t>
            </w:r>
          </w:p>
        </w:tc>
        <w:tc>
          <w:tcPr>
            <w:tcW w:w="1033" w:type="pct"/>
            <w:tcBorders>
              <w:top w:val="nil"/>
              <w:left w:val="nil"/>
              <w:bottom w:val="nil"/>
              <w:right w:val="nil"/>
            </w:tcBorders>
            <w:shd w:val="clear" w:color="auto" w:fill="auto"/>
            <w:vAlign w:val="center"/>
          </w:tcPr>
          <w:p w14:paraId="61ADF259" w14:textId="76B07228" w:rsidR="00CE1397" w:rsidRPr="007B60BF" w:rsidRDefault="00286928" w:rsidP="00CE1397">
            <w:pPr>
              <w:jc w:val="right"/>
            </w:pPr>
            <w:r w:rsidRPr="007B60BF">
              <w:t>1.867</w:t>
            </w:r>
          </w:p>
        </w:tc>
        <w:tc>
          <w:tcPr>
            <w:tcW w:w="117" w:type="pct"/>
            <w:tcBorders>
              <w:top w:val="nil"/>
              <w:left w:val="nil"/>
              <w:bottom w:val="nil"/>
              <w:right w:val="nil"/>
            </w:tcBorders>
            <w:shd w:val="clear" w:color="000000" w:fill="FFFFFF"/>
            <w:vAlign w:val="center"/>
          </w:tcPr>
          <w:p w14:paraId="69373358" w14:textId="77777777" w:rsidR="00CE1397" w:rsidRPr="007B60BF" w:rsidRDefault="00CE1397" w:rsidP="00CE1397">
            <w:pPr>
              <w:jc w:val="right"/>
            </w:pPr>
          </w:p>
        </w:tc>
        <w:tc>
          <w:tcPr>
            <w:tcW w:w="1060" w:type="pct"/>
            <w:tcBorders>
              <w:top w:val="nil"/>
              <w:left w:val="nil"/>
              <w:bottom w:val="nil"/>
              <w:right w:val="nil"/>
            </w:tcBorders>
            <w:shd w:val="clear" w:color="auto" w:fill="auto"/>
          </w:tcPr>
          <w:p w14:paraId="05B9B035" w14:textId="4BC077A0" w:rsidR="00CE1397" w:rsidRPr="007B60BF" w:rsidRDefault="00CE1397" w:rsidP="00CE1397">
            <w:pPr>
              <w:jc w:val="right"/>
            </w:pPr>
            <w:r w:rsidRPr="007B60BF">
              <w:t>1.985</w:t>
            </w:r>
          </w:p>
        </w:tc>
      </w:tr>
      <w:tr w:rsidR="00CE1397" w:rsidRPr="007B60BF" w14:paraId="6F49D518" w14:textId="77777777" w:rsidTr="00A917FF">
        <w:trPr>
          <w:gridAfter w:val="1"/>
          <w:wAfter w:w="118" w:type="pct"/>
          <w:trHeight w:val="241"/>
        </w:trPr>
        <w:tc>
          <w:tcPr>
            <w:tcW w:w="2672" w:type="pct"/>
            <w:tcBorders>
              <w:top w:val="nil"/>
              <w:left w:val="nil"/>
              <w:right w:val="nil"/>
            </w:tcBorders>
            <w:shd w:val="clear" w:color="000000" w:fill="FFFFFF"/>
            <w:vAlign w:val="center"/>
          </w:tcPr>
          <w:p w14:paraId="5D276FBA" w14:textId="0F236391" w:rsidR="00CE1397" w:rsidRPr="007B60BF" w:rsidRDefault="00CE1397" w:rsidP="00CE1397">
            <w:r w:rsidRPr="007B60BF">
              <w:t xml:space="preserve">   Contrato de Prestação de Serviços Financeiros</w:t>
            </w:r>
          </w:p>
        </w:tc>
        <w:tc>
          <w:tcPr>
            <w:tcW w:w="1033" w:type="pct"/>
            <w:tcBorders>
              <w:top w:val="nil"/>
              <w:left w:val="nil"/>
              <w:right w:val="nil"/>
            </w:tcBorders>
            <w:shd w:val="clear" w:color="auto" w:fill="auto"/>
            <w:vAlign w:val="center"/>
          </w:tcPr>
          <w:p w14:paraId="4CF60DAF" w14:textId="385EA6C6" w:rsidR="00CE1397" w:rsidRPr="007B60BF" w:rsidRDefault="00286928" w:rsidP="00CE1397">
            <w:pPr>
              <w:jc w:val="right"/>
            </w:pPr>
            <w:r w:rsidRPr="007B60BF">
              <w:t>3.545</w:t>
            </w:r>
          </w:p>
        </w:tc>
        <w:tc>
          <w:tcPr>
            <w:tcW w:w="117" w:type="pct"/>
            <w:tcBorders>
              <w:top w:val="nil"/>
              <w:left w:val="nil"/>
              <w:right w:val="nil"/>
            </w:tcBorders>
            <w:shd w:val="clear" w:color="000000" w:fill="FFFFFF"/>
            <w:vAlign w:val="center"/>
          </w:tcPr>
          <w:p w14:paraId="1677C79F" w14:textId="77777777" w:rsidR="00CE1397" w:rsidRPr="007B60BF" w:rsidRDefault="00CE1397" w:rsidP="00CE1397">
            <w:pPr>
              <w:jc w:val="right"/>
            </w:pPr>
          </w:p>
        </w:tc>
        <w:tc>
          <w:tcPr>
            <w:tcW w:w="1060" w:type="pct"/>
            <w:tcBorders>
              <w:top w:val="nil"/>
              <w:left w:val="nil"/>
              <w:right w:val="nil"/>
            </w:tcBorders>
            <w:shd w:val="clear" w:color="auto" w:fill="auto"/>
          </w:tcPr>
          <w:p w14:paraId="0C31D876" w14:textId="4980EF8A" w:rsidR="00CE1397" w:rsidRPr="007B60BF" w:rsidRDefault="00CE1397" w:rsidP="00CE1397">
            <w:pPr>
              <w:jc w:val="right"/>
            </w:pPr>
            <w:r w:rsidRPr="007B60BF">
              <w:t>3.348</w:t>
            </w:r>
          </w:p>
        </w:tc>
      </w:tr>
      <w:tr w:rsidR="00CE1397" w:rsidRPr="007B60BF" w14:paraId="73BC75A7" w14:textId="77777777" w:rsidTr="00A917FF">
        <w:trPr>
          <w:gridAfter w:val="1"/>
          <w:wAfter w:w="118" w:type="pct"/>
        </w:trPr>
        <w:tc>
          <w:tcPr>
            <w:tcW w:w="2672" w:type="pct"/>
            <w:tcBorders>
              <w:top w:val="nil"/>
              <w:left w:val="nil"/>
              <w:bottom w:val="nil"/>
              <w:right w:val="nil"/>
            </w:tcBorders>
            <w:shd w:val="clear" w:color="000000" w:fill="FFFFFF"/>
            <w:vAlign w:val="center"/>
          </w:tcPr>
          <w:p w14:paraId="35018FBF" w14:textId="77777777" w:rsidR="00CE1397" w:rsidRPr="007B60BF" w:rsidRDefault="00CE1397" w:rsidP="00CE1397">
            <w:r w:rsidRPr="007B60BF">
              <w:t xml:space="preserve">   Doações de Estoque e Uso Permanente</w:t>
            </w:r>
          </w:p>
        </w:tc>
        <w:tc>
          <w:tcPr>
            <w:tcW w:w="1033" w:type="pct"/>
            <w:tcBorders>
              <w:top w:val="nil"/>
              <w:left w:val="nil"/>
              <w:bottom w:val="nil"/>
              <w:right w:val="nil"/>
            </w:tcBorders>
            <w:shd w:val="clear" w:color="auto" w:fill="auto"/>
            <w:vAlign w:val="center"/>
          </w:tcPr>
          <w:p w14:paraId="17F45F44" w14:textId="6512F1D5" w:rsidR="00CE1397" w:rsidRPr="007B60BF" w:rsidRDefault="00286928" w:rsidP="00CE1397">
            <w:pPr>
              <w:jc w:val="right"/>
            </w:pPr>
            <w:r w:rsidRPr="007B60BF">
              <w:t>7.931</w:t>
            </w:r>
          </w:p>
        </w:tc>
        <w:tc>
          <w:tcPr>
            <w:tcW w:w="117" w:type="pct"/>
            <w:tcBorders>
              <w:top w:val="nil"/>
              <w:left w:val="nil"/>
              <w:bottom w:val="nil"/>
              <w:right w:val="nil"/>
            </w:tcBorders>
            <w:shd w:val="clear" w:color="000000" w:fill="FFFFFF"/>
            <w:vAlign w:val="center"/>
          </w:tcPr>
          <w:p w14:paraId="14F7751E" w14:textId="77777777" w:rsidR="00CE1397" w:rsidRPr="007B60BF" w:rsidRDefault="00CE1397" w:rsidP="00CE1397">
            <w:pPr>
              <w:jc w:val="right"/>
            </w:pPr>
          </w:p>
        </w:tc>
        <w:tc>
          <w:tcPr>
            <w:tcW w:w="1060" w:type="pct"/>
            <w:tcBorders>
              <w:top w:val="nil"/>
              <w:left w:val="nil"/>
              <w:bottom w:val="nil"/>
              <w:right w:val="nil"/>
            </w:tcBorders>
            <w:shd w:val="clear" w:color="auto" w:fill="auto"/>
          </w:tcPr>
          <w:p w14:paraId="7454C953" w14:textId="2A8B77F0" w:rsidR="00CE1397" w:rsidRPr="007B60BF" w:rsidRDefault="00CE1397" w:rsidP="00CE1397">
            <w:pPr>
              <w:jc w:val="right"/>
            </w:pPr>
            <w:r w:rsidRPr="007B60BF">
              <w:t>5.780</w:t>
            </w:r>
          </w:p>
        </w:tc>
      </w:tr>
      <w:tr w:rsidR="00B84EF5" w:rsidRPr="007B60BF" w14:paraId="4191DBB7" w14:textId="77777777" w:rsidTr="00A917FF">
        <w:trPr>
          <w:gridAfter w:val="1"/>
          <w:wAfter w:w="118" w:type="pct"/>
        </w:trPr>
        <w:tc>
          <w:tcPr>
            <w:tcW w:w="2672" w:type="pct"/>
            <w:tcBorders>
              <w:top w:val="nil"/>
              <w:left w:val="nil"/>
              <w:bottom w:val="nil"/>
              <w:right w:val="nil"/>
            </w:tcBorders>
            <w:shd w:val="clear" w:color="000000" w:fill="FFFFFF"/>
            <w:vAlign w:val="center"/>
          </w:tcPr>
          <w:p w14:paraId="30EDB2D7" w14:textId="76A52CCC" w:rsidR="00B84EF5" w:rsidRPr="007B60BF" w:rsidRDefault="00B84EF5" w:rsidP="00CE1397">
            <w:r w:rsidRPr="007B60BF">
              <w:t xml:space="preserve">   Estacionamento</w:t>
            </w:r>
          </w:p>
        </w:tc>
        <w:tc>
          <w:tcPr>
            <w:tcW w:w="1033" w:type="pct"/>
            <w:tcBorders>
              <w:top w:val="nil"/>
              <w:left w:val="nil"/>
              <w:bottom w:val="nil"/>
              <w:right w:val="nil"/>
            </w:tcBorders>
            <w:shd w:val="clear" w:color="auto" w:fill="auto"/>
            <w:vAlign w:val="center"/>
          </w:tcPr>
          <w:p w14:paraId="29F2A5EB" w14:textId="686D69EC" w:rsidR="00B84EF5" w:rsidRPr="007B60BF" w:rsidRDefault="00B84EF5" w:rsidP="00CE1397">
            <w:pPr>
              <w:jc w:val="right"/>
            </w:pPr>
            <w:r w:rsidRPr="007B60BF">
              <w:t>4.484</w:t>
            </w:r>
          </w:p>
        </w:tc>
        <w:tc>
          <w:tcPr>
            <w:tcW w:w="117" w:type="pct"/>
            <w:tcBorders>
              <w:top w:val="nil"/>
              <w:left w:val="nil"/>
              <w:bottom w:val="nil"/>
              <w:right w:val="nil"/>
            </w:tcBorders>
            <w:shd w:val="clear" w:color="000000" w:fill="FFFFFF"/>
            <w:vAlign w:val="center"/>
          </w:tcPr>
          <w:p w14:paraId="5CD3EA9B" w14:textId="77777777" w:rsidR="00B84EF5" w:rsidRPr="007B60BF" w:rsidRDefault="00B84EF5" w:rsidP="00CE1397">
            <w:pPr>
              <w:jc w:val="right"/>
            </w:pPr>
          </w:p>
        </w:tc>
        <w:tc>
          <w:tcPr>
            <w:tcW w:w="1060" w:type="pct"/>
            <w:tcBorders>
              <w:top w:val="nil"/>
              <w:left w:val="nil"/>
              <w:bottom w:val="nil"/>
              <w:right w:val="nil"/>
            </w:tcBorders>
            <w:shd w:val="clear" w:color="auto" w:fill="auto"/>
          </w:tcPr>
          <w:p w14:paraId="48DC2C07" w14:textId="4EE891B3" w:rsidR="00B84EF5" w:rsidRPr="007B60BF" w:rsidRDefault="00B74B18" w:rsidP="00CE1397">
            <w:pPr>
              <w:jc w:val="right"/>
            </w:pPr>
            <w:r w:rsidRPr="007B60BF">
              <w:t>-</w:t>
            </w:r>
          </w:p>
        </w:tc>
      </w:tr>
      <w:tr w:rsidR="00CE1397" w:rsidRPr="007B60BF" w14:paraId="231BDD2E" w14:textId="77777777" w:rsidTr="00A917FF">
        <w:trPr>
          <w:gridAfter w:val="1"/>
          <w:wAfter w:w="118" w:type="pct"/>
        </w:trPr>
        <w:tc>
          <w:tcPr>
            <w:tcW w:w="2672" w:type="pct"/>
            <w:tcBorders>
              <w:top w:val="nil"/>
              <w:left w:val="nil"/>
              <w:bottom w:val="nil"/>
              <w:right w:val="nil"/>
            </w:tcBorders>
            <w:shd w:val="clear" w:color="000000" w:fill="FFFFFF"/>
            <w:vAlign w:val="center"/>
          </w:tcPr>
          <w:p w14:paraId="67206296" w14:textId="0CA747BF" w:rsidR="00CE1397" w:rsidRPr="007B60BF" w:rsidRDefault="00CE1397" w:rsidP="00CE1397">
            <w:r w:rsidRPr="007B60BF">
              <w:t xml:space="preserve">   Leilões </w:t>
            </w:r>
          </w:p>
        </w:tc>
        <w:tc>
          <w:tcPr>
            <w:tcW w:w="1033" w:type="pct"/>
            <w:tcBorders>
              <w:top w:val="nil"/>
              <w:left w:val="nil"/>
              <w:bottom w:val="nil"/>
              <w:right w:val="nil"/>
            </w:tcBorders>
            <w:shd w:val="clear" w:color="auto" w:fill="auto"/>
            <w:vAlign w:val="center"/>
          </w:tcPr>
          <w:p w14:paraId="60730C9A" w14:textId="0737C89C" w:rsidR="00CE1397" w:rsidRPr="007B60BF" w:rsidRDefault="00286928" w:rsidP="00CE1397">
            <w:pPr>
              <w:jc w:val="right"/>
            </w:pPr>
            <w:r w:rsidRPr="007B60BF">
              <w:t>305</w:t>
            </w:r>
          </w:p>
        </w:tc>
        <w:tc>
          <w:tcPr>
            <w:tcW w:w="117" w:type="pct"/>
            <w:tcBorders>
              <w:top w:val="nil"/>
              <w:left w:val="nil"/>
              <w:bottom w:val="nil"/>
              <w:right w:val="nil"/>
            </w:tcBorders>
            <w:shd w:val="clear" w:color="000000" w:fill="FFFFFF"/>
            <w:vAlign w:val="center"/>
          </w:tcPr>
          <w:p w14:paraId="38B7504E" w14:textId="77777777" w:rsidR="00CE1397" w:rsidRPr="007B60BF" w:rsidRDefault="00CE1397" w:rsidP="00CE1397">
            <w:pPr>
              <w:jc w:val="right"/>
            </w:pPr>
          </w:p>
        </w:tc>
        <w:tc>
          <w:tcPr>
            <w:tcW w:w="1060" w:type="pct"/>
            <w:tcBorders>
              <w:top w:val="nil"/>
              <w:left w:val="nil"/>
              <w:bottom w:val="nil"/>
              <w:right w:val="nil"/>
            </w:tcBorders>
            <w:shd w:val="clear" w:color="auto" w:fill="auto"/>
          </w:tcPr>
          <w:p w14:paraId="6B908A70" w14:textId="40EA36D2" w:rsidR="00CE1397" w:rsidRPr="007B60BF" w:rsidRDefault="00CE1397" w:rsidP="00CE1397">
            <w:pPr>
              <w:jc w:val="right"/>
            </w:pPr>
            <w:r w:rsidRPr="007B60BF">
              <w:t>193</w:t>
            </w:r>
          </w:p>
        </w:tc>
      </w:tr>
      <w:tr w:rsidR="00CE1397" w:rsidRPr="007B60BF" w14:paraId="22E895BD" w14:textId="77777777" w:rsidTr="00FF20D2">
        <w:trPr>
          <w:gridAfter w:val="1"/>
          <w:wAfter w:w="118" w:type="pct"/>
        </w:trPr>
        <w:tc>
          <w:tcPr>
            <w:tcW w:w="2672" w:type="pct"/>
            <w:tcBorders>
              <w:left w:val="nil"/>
              <w:bottom w:val="nil"/>
              <w:right w:val="nil"/>
            </w:tcBorders>
            <w:shd w:val="clear" w:color="000000" w:fill="FFFFFF"/>
            <w:vAlign w:val="center"/>
          </w:tcPr>
          <w:p w14:paraId="19F9015C" w14:textId="77777777" w:rsidR="00CE1397" w:rsidRPr="007B60BF" w:rsidRDefault="00CE1397" w:rsidP="00CE1397">
            <w:r w:rsidRPr="007B60BF">
              <w:t xml:space="preserve">   Ressarcimentos de Funcionários</w:t>
            </w:r>
          </w:p>
        </w:tc>
        <w:tc>
          <w:tcPr>
            <w:tcW w:w="1033" w:type="pct"/>
            <w:tcBorders>
              <w:left w:val="nil"/>
              <w:right w:val="nil"/>
            </w:tcBorders>
            <w:shd w:val="clear" w:color="auto" w:fill="auto"/>
          </w:tcPr>
          <w:p w14:paraId="00B5DEC6" w14:textId="4AA21E4C" w:rsidR="00CE1397" w:rsidRPr="007B60BF" w:rsidRDefault="00286928" w:rsidP="000B0B5F">
            <w:pPr>
              <w:jc w:val="right"/>
            </w:pPr>
            <w:r w:rsidRPr="007B60BF">
              <w:t>1.56</w:t>
            </w:r>
            <w:r w:rsidR="000B0B5F" w:rsidRPr="007B60BF">
              <w:t>8</w:t>
            </w:r>
          </w:p>
        </w:tc>
        <w:tc>
          <w:tcPr>
            <w:tcW w:w="117" w:type="pct"/>
            <w:tcBorders>
              <w:left w:val="nil"/>
              <w:right w:val="nil"/>
            </w:tcBorders>
            <w:shd w:val="clear" w:color="000000" w:fill="FFFFFF"/>
          </w:tcPr>
          <w:p w14:paraId="5C2FF5D2" w14:textId="77777777" w:rsidR="00CE1397" w:rsidRPr="007B60BF" w:rsidRDefault="00CE1397" w:rsidP="00CE1397">
            <w:pPr>
              <w:jc w:val="right"/>
            </w:pPr>
          </w:p>
        </w:tc>
        <w:tc>
          <w:tcPr>
            <w:tcW w:w="1060" w:type="pct"/>
            <w:tcBorders>
              <w:left w:val="nil"/>
              <w:right w:val="nil"/>
            </w:tcBorders>
            <w:shd w:val="clear" w:color="auto" w:fill="auto"/>
          </w:tcPr>
          <w:p w14:paraId="36F6535B" w14:textId="39259EA7" w:rsidR="00CE1397" w:rsidRPr="007B60BF" w:rsidRDefault="00CE1397" w:rsidP="00CE1397">
            <w:pPr>
              <w:jc w:val="right"/>
            </w:pPr>
            <w:r w:rsidRPr="007B60BF">
              <w:t>1.448</w:t>
            </w:r>
          </w:p>
        </w:tc>
      </w:tr>
      <w:tr w:rsidR="00CE1397" w:rsidRPr="007B60BF" w14:paraId="1A467CB9" w14:textId="77777777" w:rsidTr="00C8796F">
        <w:trPr>
          <w:gridAfter w:val="1"/>
          <w:wAfter w:w="118" w:type="pct"/>
        </w:trPr>
        <w:tc>
          <w:tcPr>
            <w:tcW w:w="2672" w:type="pct"/>
            <w:tcBorders>
              <w:top w:val="nil"/>
              <w:left w:val="nil"/>
              <w:right w:val="nil"/>
            </w:tcBorders>
            <w:shd w:val="clear" w:color="000000" w:fill="FFFFFF"/>
            <w:vAlign w:val="center"/>
          </w:tcPr>
          <w:p w14:paraId="7F8D76A5" w14:textId="77777777" w:rsidR="00CE1397" w:rsidRPr="007B60BF" w:rsidRDefault="00CE1397" w:rsidP="00CE1397">
            <w:r w:rsidRPr="007B60BF">
              <w:t xml:space="preserve">   Restituições de Convênios</w:t>
            </w:r>
          </w:p>
        </w:tc>
        <w:tc>
          <w:tcPr>
            <w:tcW w:w="1033" w:type="pct"/>
            <w:tcBorders>
              <w:left w:val="nil"/>
              <w:right w:val="nil"/>
            </w:tcBorders>
            <w:shd w:val="clear" w:color="auto" w:fill="auto"/>
          </w:tcPr>
          <w:p w14:paraId="710D88DB" w14:textId="0F8FECED" w:rsidR="00CE1397" w:rsidRPr="007B60BF" w:rsidRDefault="00286928" w:rsidP="00B84EF5">
            <w:pPr>
              <w:jc w:val="right"/>
            </w:pPr>
            <w:r w:rsidRPr="007B60BF">
              <w:t>3.</w:t>
            </w:r>
            <w:r w:rsidR="00B84EF5" w:rsidRPr="007B60BF">
              <w:t>803</w:t>
            </w:r>
          </w:p>
        </w:tc>
        <w:tc>
          <w:tcPr>
            <w:tcW w:w="117" w:type="pct"/>
            <w:tcBorders>
              <w:top w:val="nil"/>
              <w:left w:val="nil"/>
              <w:right w:val="nil"/>
            </w:tcBorders>
            <w:shd w:val="clear" w:color="000000" w:fill="FFFFFF"/>
          </w:tcPr>
          <w:p w14:paraId="2F482F92" w14:textId="77777777" w:rsidR="00CE1397" w:rsidRPr="007B60BF" w:rsidRDefault="00CE1397" w:rsidP="00CE1397">
            <w:pPr>
              <w:jc w:val="right"/>
            </w:pPr>
          </w:p>
        </w:tc>
        <w:tc>
          <w:tcPr>
            <w:tcW w:w="1060" w:type="pct"/>
            <w:tcBorders>
              <w:left w:val="nil"/>
              <w:right w:val="nil"/>
            </w:tcBorders>
            <w:shd w:val="clear" w:color="auto" w:fill="auto"/>
          </w:tcPr>
          <w:p w14:paraId="7F55D12C" w14:textId="1E03F2E2" w:rsidR="00CE1397" w:rsidRPr="007B60BF" w:rsidRDefault="00CE1397" w:rsidP="00CE1397">
            <w:pPr>
              <w:jc w:val="right"/>
            </w:pPr>
            <w:r w:rsidRPr="007B60BF">
              <w:t>3.486</w:t>
            </w:r>
          </w:p>
        </w:tc>
      </w:tr>
      <w:tr w:rsidR="00CE1397" w:rsidRPr="007B60BF" w14:paraId="4D789F71" w14:textId="77777777" w:rsidTr="00A917FF">
        <w:trPr>
          <w:gridAfter w:val="1"/>
          <w:wAfter w:w="118" w:type="pct"/>
        </w:trPr>
        <w:tc>
          <w:tcPr>
            <w:tcW w:w="2672" w:type="pct"/>
            <w:tcBorders>
              <w:top w:val="nil"/>
              <w:left w:val="nil"/>
              <w:bottom w:val="nil"/>
              <w:right w:val="nil"/>
            </w:tcBorders>
            <w:shd w:val="clear" w:color="000000" w:fill="FFFFFF"/>
            <w:vAlign w:val="center"/>
          </w:tcPr>
          <w:p w14:paraId="0B9D7CBB" w14:textId="68021329" w:rsidR="00CE1397" w:rsidRPr="007B60BF" w:rsidRDefault="00CE1397" w:rsidP="00CE1397">
            <w:r w:rsidRPr="007B60BF">
              <w:t xml:space="preserve">   Reversão de PECLD                        </w:t>
            </w:r>
          </w:p>
        </w:tc>
        <w:tc>
          <w:tcPr>
            <w:tcW w:w="1033" w:type="pct"/>
            <w:tcBorders>
              <w:top w:val="nil"/>
              <w:left w:val="nil"/>
              <w:bottom w:val="nil"/>
              <w:right w:val="nil"/>
            </w:tcBorders>
            <w:shd w:val="clear" w:color="auto" w:fill="auto"/>
            <w:vAlign w:val="center"/>
          </w:tcPr>
          <w:p w14:paraId="33C6BFCA" w14:textId="34A616E7" w:rsidR="00CE1397" w:rsidRPr="007B60BF" w:rsidRDefault="000B0B5F" w:rsidP="00CE1397">
            <w:pPr>
              <w:jc w:val="right"/>
            </w:pPr>
            <w:r w:rsidRPr="007B60BF">
              <w:t>2.642</w:t>
            </w:r>
          </w:p>
        </w:tc>
        <w:tc>
          <w:tcPr>
            <w:tcW w:w="117" w:type="pct"/>
            <w:tcBorders>
              <w:top w:val="nil"/>
              <w:left w:val="nil"/>
              <w:bottom w:val="nil"/>
              <w:right w:val="nil"/>
            </w:tcBorders>
            <w:shd w:val="clear" w:color="000000" w:fill="FFFFFF"/>
            <w:vAlign w:val="center"/>
          </w:tcPr>
          <w:p w14:paraId="6AB88883" w14:textId="77777777" w:rsidR="00CE1397" w:rsidRPr="007B60BF" w:rsidRDefault="00CE1397" w:rsidP="00CE1397">
            <w:pPr>
              <w:jc w:val="right"/>
            </w:pPr>
          </w:p>
        </w:tc>
        <w:tc>
          <w:tcPr>
            <w:tcW w:w="1060" w:type="pct"/>
            <w:tcBorders>
              <w:top w:val="nil"/>
              <w:left w:val="nil"/>
              <w:bottom w:val="nil"/>
              <w:right w:val="nil"/>
            </w:tcBorders>
            <w:shd w:val="clear" w:color="auto" w:fill="auto"/>
          </w:tcPr>
          <w:p w14:paraId="445A0B84" w14:textId="6F3998B5" w:rsidR="00CE1397" w:rsidRPr="007B60BF" w:rsidRDefault="00CE1397" w:rsidP="00CE1397">
            <w:pPr>
              <w:jc w:val="right"/>
            </w:pPr>
            <w:r w:rsidRPr="007B60BF">
              <w:t>3.282</w:t>
            </w:r>
          </w:p>
        </w:tc>
      </w:tr>
      <w:tr w:rsidR="00CE1397" w:rsidRPr="007B60BF" w14:paraId="5C857FD6" w14:textId="77777777" w:rsidTr="00A917FF">
        <w:trPr>
          <w:gridAfter w:val="1"/>
          <w:wAfter w:w="118" w:type="pct"/>
        </w:trPr>
        <w:tc>
          <w:tcPr>
            <w:tcW w:w="2672" w:type="pct"/>
            <w:tcBorders>
              <w:top w:val="nil"/>
              <w:left w:val="nil"/>
              <w:bottom w:val="nil"/>
              <w:right w:val="nil"/>
            </w:tcBorders>
            <w:shd w:val="clear" w:color="000000" w:fill="FFFFFF"/>
            <w:vAlign w:val="center"/>
          </w:tcPr>
          <w:p w14:paraId="06D38C2D" w14:textId="7E916421" w:rsidR="00CE1397" w:rsidRPr="007B60BF" w:rsidRDefault="00CE1397" w:rsidP="00CE1397">
            <w:r w:rsidRPr="007B60BF">
              <w:t xml:space="preserve">   Reversão de Provisões TSP           </w:t>
            </w:r>
          </w:p>
        </w:tc>
        <w:tc>
          <w:tcPr>
            <w:tcW w:w="1033" w:type="pct"/>
            <w:tcBorders>
              <w:top w:val="nil"/>
              <w:left w:val="nil"/>
              <w:bottom w:val="nil"/>
              <w:right w:val="nil"/>
            </w:tcBorders>
            <w:shd w:val="clear" w:color="auto" w:fill="auto"/>
            <w:vAlign w:val="center"/>
          </w:tcPr>
          <w:p w14:paraId="7CB53EC2" w14:textId="358A2702" w:rsidR="00CE1397" w:rsidRPr="007B60BF" w:rsidRDefault="00286928" w:rsidP="00CE1397">
            <w:pPr>
              <w:jc w:val="right"/>
            </w:pPr>
            <w:r w:rsidRPr="007B60BF">
              <w:t>-</w:t>
            </w:r>
          </w:p>
        </w:tc>
        <w:tc>
          <w:tcPr>
            <w:tcW w:w="117" w:type="pct"/>
            <w:tcBorders>
              <w:top w:val="nil"/>
              <w:left w:val="nil"/>
              <w:bottom w:val="nil"/>
              <w:right w:val="nil"/>
            </w:tcBorders>
            <w:shd w:val="clear" w:color="000000" w:fill="FFFFFF"/>
            <w:vAlign w:val="center"/>
          </w:tcPr>
          <w:p w14:paraId="5035A351" w14:textId="77777777" w:rsidR="00CE1397" w:rsidRPr="007B60BF" w:rsidRDefault="00CE1397" w:rsidP="00CE1397">
            <w:pPr>
              <w:jc w:val="right"/>
            </w:pPr>
          </w:p>
        </w:tc>
        <w:tc>
          <w:tcPr>
            <w:tcW w:w="1060" w:type="pct"/>
            <w:tcBorders>
              <w:top w:val="nil"/>
              <w:left w:val="nil"/>
              <w:bottom w:val="nil"/>
              <w:right w:val="nil"/>
            </w:tcBorders>
            <w:shd w:val="clear" w:color="auto" w:fill="auto"/>
          </w:tcPr>
          <w:p w14:paraId="34C74A98" w14:textId="2E78E7A2" w:rsidR="00CE1397" w:rsidRPr="007B60BF" w:rsidRDefault="00CE1397" w:rsidP="00CE1397">
            <w:pPr>
              <w:jc w:val="right"/>
            </w:pPr>
            <w:r w:rsidRPr="007B60BF">
              <w:t>2.385</w:t>
            </w:r>
          </w:p>
        </w:tc>
      </w:tr>
      <w:tr w:rsidR="00CE1397" w:rsidRPr="007B60BF" w14:paraId="72391859" w14:textId="77777777" w:rsidTr="00A917FF">
        <w:trPr>
          <w:gridAfter w:val="1"/>
          <w:wAfter w:w="118" w:type="pct"/>
        </w:trPr>
        <w:tc>
          <w:tcPr>
            <w:tcW w:w="2672" w:type="pct"/>
            <w:tcBorders>
              <w:top w:val="nil"/>
              <w:left w:val="nil"/>
              <w:right w:val="nil"/>
            </w:tcBorders>
            <w:shd w:val="clear" w:color="000000" w:fill="FFFFFF"/>
            <w:vAlign w:val="center"/>
          </w:tcPr>
          <w:p w14:paraId="111E26B3" w14:textId="77777777" w:rsidR="00CE1397" w:rsidRPr="007B60BF" w:rsidRDefault="00CE1397" w:rsidP="00CE1397">
            <w:r w:rsidRPr="007B60BF">
              <w:t xml:space="preserve">   Reversão de Provisões Judiciais </w:t>
            </w:r>
          </w:p>
        </w:tc>
        <w:tc>
          <w:tcPr>
            <w:tcW w:w="1033" w:type="pct"/>
            <w:tcBorders>
              <w:top w:val="nil"/>
              <w:left w:val="nil"/>
              <w:right w:val="nil"/>
            </w:tcBorders>
            <w:shd w:val="clear" w:color="auto" w:fill="auto"/>
            <w:vAlign w:val="center"/>
          </w:tcPr>
          <w:p w14:paraId="4CBF6596" w14:textId="476A6E3A" w:rsidR="00CE1397" w:rsidRPr="007B60BF" w:rsidRDefault="00B84EF5" w:rsidP="00CE1397">
            <w:pPr>
              <w:jc w:val="right"/>
            </w:pPr>
            <w:r w:rsidRPr="007B60BF">
              <w:t>-</w:t>
            </w:r>
          </w:p>
        </w:tc>
        <w:tc>
          <w:tcPr>
            <w:tcW w:w="117" w:type="pct"/>
            <w:tcBorders>
              <w:top w:val="nil"/>
              <w:left w:val="nil"/>
              <w:right w:val="nil"/>
            </w:tcBorders>
            <w:shd w:val="clear" w:color="000000" w:fill="FFFFFF"/>
            <w:vAlign w:val="center"/>
          </w:tcPr>
          <w:p w14:paraId="65A90D0C" w14:textId="77777777" w:rsidR="00CE1397" w:rsidRPr="007B60BF" w:rsidRDefault="00CE1397" w:rsidP="00CE1397">
            <w:pPr>
              <w:jc w:val="right"/>
            </w:pPr>
          </w:p>
        </w:tc>
        <w:tc>
          <w:tcPr>
            <w:tcW w:w="1060" w:type="pct"/>
            <w:tcBorders>
              <w:top w:val="nil"/>
              <w:left w:val="nil"/>
              <w:right w:val="nil"/>
            </w:tcBorders>
            <w:shd w:val="clear" w:color="auto" w:fill="auto"/>
          </w:tcPr>
          <w:p w14:paraId="2166723B" w14:textId="0F5E5F32" w:rsidR="00CE1397" w:rsidRPr="007B60BF" w:rsidRDefault="00CE1397" w:rsidP="00CE1397">
            <w:pPr>
              <w:jc w:val="right"/>
            </w:pPr>
            <w:r w:rsidRPr="007B60BF">
              <w:t>20.463</w:t>
            </w:r>
          </w:p>
        </w:tc>
      </w:tr>
      <w:tr w:rsidR="00CE1397" w:rsidRPr="007B60BF" w14:paraId="0646C324" w14:textId="77777777" w:rsidTr="00C8796F">
        <w:trPr>
          <w:gridAfter w:val="1"/>
          <w:wAfter w:w="118" w:type="pct"/>
        </w:trPr>
        <w:tc>
          <w:tcPr>
            <w:tcW w:w="2672" w:type="pct"/>
            <w:tcBorders>
              <w:left w:val="nil"/>
              <w:right w:val="nil"/>
            </w:tcBorders>
            <w:shd w:val="clear" w:color="000000" w:fill="FFFFFF"/>
            <w:vAlign w:val="center"/>
          </w:tcPr>
          <w:p w14:paraId="4D706891" w14:textId="48EAE743" w:rsidR="00CE1397" w:rsidRPr="007B60BF" w:rsidRDefault="00CE1397" w:rsidP="00CE1397">
            <w:r w:rsidRPr="007B60BF">
              <w:t xml:space="preserve">   Outros Acréscimos</w:t>
            </w:r>
          </w:p>
        </w:tc>
        <w:tc>
          <w:tcPr>
            <w:tcW w:w="1033" w:type="pct"/>
            <w:tcBorders>
              <w:left w:val="nil"/>
              <w:right w:val="nil"/>
            </w:tcBorders>
            <w:shd w:val="clear" w:color="auto" w:fill="auto"/>
          </w:tcPr>
          <w:p w14:paraId="6C6865CE" w14:textId="1D207F2E" w:rsidR="00CE1397" w:rsidRPr="007B60BF" w:rsidRDefault="00B74B18" w:rsidP="00CE1397">
            <w:pPr>
              <w:jc w:val="right"/>
            </w:pPr>
            <w:r w:rsidRPr="007B60BF">
              <w:t>4.297</w:t>
            </w:r>
          </w:p>
        </w:tc>
        <w:tc>
          <w:tcPr>
            <w:tcW w:w="117" w:type="pct"/>
            <w:tcBorders>
              <w:left w:val="nil"/>
              <w:right w:val="nil"/>
            </w:tcBorders>
            <w:shd w:val="clear" w:color="000000" w:fill="FFFFFF"/>
          </w:tcPr>
          <w:p w14:paraId="7C167596" w14:textId="77777777" w:rsidR="00CE1397" w:rsidRPr="007B60BF" w:rsidRDefault="00CE1397" w:rsidP="00CE1397">
            <w:pPr>
              <w:jc w:val="right"/>
            </w:pPr>
          </w:p>
        </w:tc>
        <w:tc>
          <w:tcPr>
            <w:tcW w:w="1060" w:type="pct"/>
            <w:tcBorders>
              <w:left w:val="nil"/>
              <w:right w:val="nil"/>
            </w:tcBorders>
            <w:shd w:val="clear" w:color="auto" w:fill="auto"/>
          </w:tcPr>
          <w:p w14:paraId="04A9EF1C" w14:textId="11472EDF" w:rsidR="00CE1397" w:rsidRPr="007B60BF" w:rsidRDefault="00CE1397" w:rsidP="00CE1397">
            <w:pPr>
              <w:jc w:val="right"/>
            </w:pPr>
            <w:r w:rsidRPr="007B60BF">
              <w:t>3.905</w:t>
            </w:r>
          </w:p>
        </w:tc>
      </w:tr>
      <w:tr w:rsidR="00CE1397" w:rsidRPr="007B60BF" w14:paraId="5B2F65A9" w14:textId="77777777" w:rsidTr="003E3716">
        <w:trPr>
          <w:gridAfter w:val="1"/>
          <w:wAfter w:w="118" w:type="pct"/>
        </w:trPr>
        <w:tc>
          <w:tcPr>
            <w:tcW w:w="2672" w:type="pct"/>
            <w:tcBorders>
              <w:top w:val="nil"/>
              <w:left w:val="nil"/>
              <w:bottom w:val="nil"/>
              <w:right w:val="nil"/>
            </w:tcBorders>
            <w:shd w:val="clear" w:color="000000" w:fill="FFFFFF"/>
            <w:vAlign w:val="center"/>
          </w:tcPr>
          <w:p w14:paraId="63B8F7DE" w14:textId="77777777" w:rsidR="00CE1397" w:rsidRPr="007B60BF" w:rsidRDefault="00CE1397" w:rsidP="00CE1397">
            <w:pPr>
              <w:rPr>
                <w:b/>
              </w:rPr>
            </w:pPr>
            <w:r w:rsidRPr="007B60BF">
              <w:rPr>
                <w:b/>
              </w:rPr>
              <w:t>Total de Outras Receitas</w:t>
            </w:r>
          </w:p>
        </w:tc>
        <w:tc>
          <w:tcPr>
            <w:tcW w:w="1033" w:type="pct"/>
            <w:tcBorders>
              <w:top w:val="single" w:sz="4" w:space="0" w:color="auto"/>
              <w:left w:val="nil"/>
              <w:bottom w:val="single" w:sz="4" w:space="0" w:color="auto"/>
              <w:right w:val="nil"/>
            </w:tcBorders>
            <w:shd w:val="clear" w:color="000000" w:fill="FFFFFF"/>
            <w:vAlign w:val="center"/>
          </w:tcPr>
          <w:p w14:paraId="4A09FDE7" w14:textId="715ECFD7" w:rsidR="00CE1397" w:rsidRPr="007B60BF" w:rsidRDefault="001A68CF" w:rsidP="00CE1397">
            <w:pPr>
              <w:jc w:val="right"/>
              <w:rPr>
                <w:b/>
                <w:bCs/>
              </w:rPr>
            </w:pPr>
            <w:r w:rsidRPr="007B60BF">
              <w:rPr>
                <w:b/>
                <w:bCs/>
              </w:rPr>
              <w:t>30.442</w:t>
            </w:r>
          </w:p>
        </w:tc>
        <w:tc>
          <w:tcPr>
            <w:tcW w:w="117" w:type="pct"/>
            <w:tcBorders>
              <w:top w:val="nil"/>
              <w:left w:val="nil"/>
              <w:bottom w:val="nil"/>
              <w:right w:val="nil"/>
            </w:tcBorders>
            <w:shd w:val="clear" w:color="000000" w:fill="FFFFFF"/>
            <w:vAlign w:val="center"/>
          </w:tcPr>
          <w:p w14:paraId="7C5E633A" w14:textId="77777777" w:rsidR="00CE1397" w:rsidRPr="007B60BF" w:rsidRDefault="00CE1397" w:rsidP="00CE1397">
            <w:pPr>
              <w:rPr>
                <w:b/>
              </w:rPr>
            </w:pPr>
          </w:p>
        </w:tc>
        <w:tc>
          <w:tcPr>
            <w:tcW w:w="1060" w:type="pct"/>
            <w:tcBorders>
              <w:top w:val="single" w:sz="4" w:space="0" w:color="auto"/>
              <w:left w:val="nil"/>
              <w:bottom w:val="single" w:sz="4" w:space="0" w:color="auto"/>
              <w:right w:val="nil"/>
            </w:tcBorders>
            <w:shd w:val="clear" w:color="000000" w:fill="FFFFFF"/>
          </w:tcPr>
          <w:p w14:paraId="4C119FE1" w14:textId="439ACC2B" w:rsidR="00CE1397" w:rsidRPr="007B60BF" w:rsidRDefault="00CE1397" w:rsidP="00CE1397">
            <w:pPr>
              <w:jc w:val="right"/>
              <w:rPr>
                <w:b/>
                <w:bCs/>
              </w:rPr>
            </w:pPr>
            <w:r w:rsidRPr="007B60BF">
              <w:rPr>
                <w:b/>
              </w:rPr>
              <w:t>46.275</w:t>
            </w:r>
          </w:p>
        </w:tc>
      </w:tr>
      <w:tr w:rsidR="00260D6E" w:rsidRPr="008F1108" w14:paraId="15F588B1" w14:textId="77777777" w:rsidTr="003E3716">
        <w:trPr>
          <w:gridAfter w:val="1"/>
          <w:wAfter w:w="118" w:type="pct"/>
        </w:trPr>
        <w:tc>
          <w:tcPr>
            <w:tcW w:w="2672" w:type="pct"/>
            <w:tcBorders>
              <w:top w:val="nil"/>
              <w:left w:val="nil"/>
              <w:bottom w:val="nil"/>
              <w:right w:val="nil"/>
            </w:tcBorders>
            <w:shd w:val="clear" w:color="000000" w:fill="FFFFFF"/>
            <w:vAlign w:val="center"/>
          </w:tcPr>
          <w:p w14:paraId="445BE5F4" w14:textId="77777777" w:rsidR="00260D6E" w:rsidRPr="008F1108" w:rsidRDefault="00260D6E" w:rsidP="00260D6E">
            <w:pPr>
              <w:rPr>
                <w:sz w:val="16"/>
                <w:szCs w:val="16"/>
              </w:rPr>
            </w:pPr>
          </w:p>
        </w:tc>
        <w:tc>
          <w:tcPr>
            <w:tcW w:w="1033" w:type="pct"/>
            <w:tcBorders>
              <w:top w:val="single" w:sz="4" w:space="0" w:color="auto"/>
              <w:left w:val="nil"/>
              <w:bottom w:val="nil"/>
              <w:right w:val="nil"/>
            </w:tcBorders>
            <w:shd w:val="clear" w:color="000000" w:fill="FFFFFF"/>
            <w:vAlign w:val="center"/>
          </w:tcPr>
          <w:p w14:paraId="14918827" w14:textId="77777777" w:rsidR="00260D6E" w:rsidRPr="008F1108" w:rsidRDefault="00260D6E" w:rsidP="00260D6E">
            <w:pPr>
              <w:jc w:val="right"/>
              <w:rPr>
                <w:b/>
                <w:bCs/>
                <w:sz w:val="16"/>
                <w:szCs w:val="16"/>
              </w:rPr>
            </w:pPr>
          </w:p>
        </w:tc>
        <w:tc>
          <w:tcPr>
            <w:tcW w:w="117" w:type="pct"/>
            <w:tcBorders>
              <w:top w:val="nil"/>
              <w:left w:val="nil"/>
              <w:bottom w:val="nil"/>
              <w:right w:val="nil"/>
            </w:tcBorders>
            <w:shd w:val="clear" w:color="000000" w:fill="FFFFFF"/>
            <w:vAlign w:val="center"/>
          </w:tcPr>
          <w:p w14:paraId="2E20F0B9" w14:textId="77777777" w:rsidR="00260D6E" w:rsidRPr="008F1108" w:rsidRDefault="00260D6E" w:rsidP="00260D6E">
            <w:pPr>
              <w:rPr>
                <w:b/>
                <w:sz w:val="16"/>
                <w:szCs w:val="16"/>
              </w:rPr>
            </w:pPr>
          </w:p>
        </w:tc>
        <w:tc>
          <w:tcPr>
            <w:tcW w:w="1060" w:type="pct"/>
            <w:tcBorders>
              <w:top w:val="single" w:sz="4" w:space="0" w:color="auto"/>
              <w:left w:val="nil"/>
              <w:bottom w:val="nil"/>
              <w:right w:val="nil"/>
            </w:tcBorders>
            <w:shd w:val="clear" w:color="000000" w:fill="FFFFFF"/>
          </w:tcPr>
          <w:p w14:paraId="40BFB7A8" w14:textId="53EA22E4" w:rsidR="00260D6E" w:rsidRPr="008F1108" w:rsidRDefault="00260D6E" w:rsidP="00260D6E">
            <w:pPr>
              <w:jc w:val="right"/>
              <w:rPr>
                <w:b/>
                <w:bCs/>
                <w:sz w:val="16"/>
                <w:szCs w:val="16"/>
              </w:rPr>
            </w:pPr>
          </w:p>
        </w:tc>
      </w:tr>
      <w:tr w:rsidR="00260D6E" w:rsidRPr="007B60BF" w14:paraId="1DF0BCF1" w14:textId="77777777" w:rsidTr="003E3716">
        <w:trPr>
          <w:gridAfter w:val="1"/>
          <w:wAfter w:w="118" w:type="pct"/>
        </w:trPr>
        <w:tc>
          <w:tcPr>
            <w:tcW w:w="2672" w:type="pct"/>
            <w:tcBorders>
              <w:top w:val="nil"/>
              <w:left w:val="nil"/>
              <w:bottom w:val="nil"/>
              <w:right w:val="nil"/>
            </w:tcBorders>
            <w:shd w:val="clear" w:color="000000" w:fill="FFFFFF"/>
            <w:vAlign w:val="center"/>
            <w:hideMark/>
          </w:tcPr>
          <w:p w14:paraId="0789ADEB" w14:textId="77777777" w:rsidR="00260D6E" w:rsidRPr="007B60BF" w:rsidRDefault="00260D6E" w:rsidP="00260D6E">
            <w:r w:rsidRPr="007B60BF">
              <w:t>Outras Despesas</w:t>
            </w:r>
          </w:p>
        </w:tc>
        <w:tc>
          <w:tcPr>
            <w:tcW w:w="1033" w:type="pct"/>
            <w:tcBorders>
              <w:top w:val="nil"/>
              <w:left w:val="nil"/>
              <w:bottom w:val="nil"/>
              <w:right w:val="nil"/>
            </w:tcBorders>
            <w:shd w:val="clear" w:color="000000" w:fill="FFFFFF"/>
            <w:vAlign w:val="center"/>
          </w:tcPr>
          <w:p w14:paraId="47E1CC04" w14:textId="77777777" w:rsidR="00260D6E" w:rsidRPr="007B60BF" w:rsidRDefault="00260D6E" w:rsidP="00260D6E">
            <w:pPr>
              <w:jc w:val="right"/>
              <w:rPr>
                <w:b/>
                <w:bCs/>
              </w:rPr>
            </w:pPr>
          </w:p>
        </w:tc>
        <w:tc>
          <w:tcPr>
            <w:tcW w:w="117" w:type="pct"/>
            <w:tcBorders>
              <w:top w:val="nil"/>
              <w:left w:val="nil"/>
              <w:bottom w:val="nil"/>
              <w:right w:val="nil"/>
            </w:tcBorders>
            <w:shd w:val="clear" w:color="000000" w:fill="FFFFFF"/>
            <w:vAlign w:val="center"/>
          </w:tcPr>
          <w:p w14:paraId="3C5C7F68" w14:textId="77777777" w:rsidR="00260D6E" w:rsidRPr="007B60BF" w:rsidRDefault="00260D6E" w:rsidP="00260D6E">
            <w:pPr>
              <w:rPr>
                <w:b/>
              </w:rPr>
            </w:pPr>
          </w:p>
        </w:tc>
        <w:tc>
          <w:tcPr>
            <w:tcW w:w="1060" w:type="pct"/>
            <w:tcBorders>
              <w:top w:val="nil"/>
              <w:left w:val="nil"/>
              <w:bottom w:val="nil"/>
              <w:right w:val="nil"/>
            </w:tcBorders>
            <w:shd w:val="clear" w:color="000000" w:fill="FFFFFF"/>
          </w:tcPr>
          <w:p w14:paraId="43909D56" w14:textId="77777777" w:rsidR="00260D6E" w:rsidRPr="007B60BF" w:rsidRDefault="00260D6E" w:rsidP="00260D6E">
            <w:pPr>
              <w:jc w:val="right"/>
              <w:rPr>
                <w:b/>
                <w:bCs/>
              </w:rPr>
            </w:pPr>
          </w:p>
        </w:tc>
      </w:tr>
      <w:tr w:rsidR="00CE1397" w:rsidRPr="007B60BF" w14:paraId="5D44DFDC" w14:textId="28A1EAB9" w:rsidTr="00D7349A">
        <w:tc>
          <w:tcPr>
            <w:tcW w:w="2672" w:type="pct"/>
            <w:tcBorders>
              <w:top w:val="nil"/>
              <w:left w:val="nil"/>
              <w:bottom w:val="nil"/>
              <w:right w:val="nil"/>
            </w:tcBorders>
            <w:shd w:val="clear" w:color="000000" w:fill="FFFFFF"/>
            <w:vAlign w:val="center"/>
            <w:hideMark/>
          </w:tcPr>
          <w:p w14:paraId="378D3514" w14:textId="77777777" w:rsidR="00CE1397" w:rsidRPr="007B60BF" w:rsidRDefault="00CE1397" w:rsidP="00CE1397">
            <w:r w:rsidRPr="007B60BF">
              <w:t xml:space="preserve">   Outros Decréscimos</w:t>
            </w:r>
          </w:p>
        </w:tc>
        <w:tc>
          <w:tcPr>
            <w:tcW w:w="1033" w:type="pct"/>
            <w:tcBorders>
              <w:top w:val="nil"/>
              <w:left w:val="nil"/>
              <w:bottom w:val="nil"/>
              <w:right w:val="nil"/>
            </w:tcBorders>
            <w:shd w:val="clear" w:color="000000" w:fill="FFFFFF"/>
            <w:vAlign w:val="center"/>
          </w:tcPr>
          <w:p w14:paraId="3F3A1DB4" w14:textId="0B2DBB0C" w:rsidR="00CE1397" w:rsidRPr="007B60BF" w:rsidRDefault="001A68CF" w:rsidP="00CE1397">
            <w:pPr>
              <w:jc w:val="right"/>
            </w:pPr>
            <w:r w:rsidRPr="007B60BF">
              <w:t>(7.092)</w:t>
            </w:r>
          </w:p>
        </w:tc>
        <w:tc>
          <w:tcPr>
            <w:tcW w:w="117" w:type="pct"/>
            <w:tcBorders>
              <w:top w:val="nil"/>
              <w:left w:val="nil"/>
              <w:bottom w:val="nil"/>
              <w:right w:val="nil"/>
            </w:tcBorders>
            <w:shd w:val="clear" w:color="000000" w:fill="FFFFFF"/>
            <w:vAlign w:val="center"/>
          </w:tcPr>
          <w:p w14:paraId="33924946" w14:textId="77777777" w:rsidR="00CE1397" w:rsidRPr="007B60BF" w:rsidRDefault="00CE1397" w:rsidP="00CE1397"/>
        </w:tc>
        <w:tc>
          <w:tcPr>
            <w:tcW w:w="1060" w:type="pct"/>
            <w:tcBorders>
              <w:top w:val="nil"/>
              <w:left w:val="nil"/>
              <w:bottom w:val="nil"/>
              <w:right w:val="nil"/>
            </w:tcBorders>
            <w:shd w:val="clear" w:color="000000" w:fill="FFFFFF"/>
          </w:tcPr>
          <w:p w14:paraId="0E11D5D4" w14:textId="73860572" w:rsidR="00CE1397" w:rsidRPr="007B60BF" w:rsidRDefault="00CE1397" w:rsidP="00CE1397">
            <w:pPr>
              <w:jc w:val="right"/>
            </w:pPr>
            <w:r w:rsidRPr="007B60BF">
              <w:t>(9.606)</w:t>
            </w:r>
          </w:p>
        </w:tc>
        <w:tc>
          <w:tcPr>
            <w:tcW w:w="118" w:type="pct"/>
            <w:tcBorders>
              <w:top w:val="nil"/>
              <w:left w:val="nil"/>
              <w:bottom w:val="nil"/>
              <w:right w:val="nil"/>
            </w:tcBorders>
            <w:shd w:val="clear" w:color="000000" w:fill="FFFFFF"/>
            <w:vAlign w:val="center"/>
          </w:tcPr>
          <w:p w14:paraId="66B68502" w14:textId="77777777" w:rsidR="00CE1397" w:rsidRPr="007B60BF" w:rsidRDefault="00CE1397" w:rsidP="00CE1397"/>
        </w:tc>
      </w:tr>
      <w:tr w:rsidR="00CE1397" w:rsidRPr="008F1108" w14:paraId="216A0DB4" w14:textId="77777777" w:rsidTr="00D7349A">
        <w:trPr>
          <w:gridAfter w:val="1"/>
          <w:wAfter w:w="118" w:type="pct"/>
        </w:trPr>
        <w:tc>
          <w:tcPr>
            <w:tcW w:w="2672" w:type="pct"/>
            <w:tcBorders>
              <w:top w:val="nil"/>
              <w:left w:val="nil"/>
              <w:bottom w:val="nil"/>
              <w:right w:val="nil"/>
            </w:tcBorders>
            <w:shd w:val="clear" w:color="000000" w:fill="FFFFFF"/>
            <w:vAlign w:val="center"/>
          </w:tcPr>
          <w:p w14:paraId="364CDD74" w14:textId="0F124279" w:rsidR="00CE1397" w:rsidRPr="008F1108" w:rsidRDefault="00CE1397" w:rsidP="00CE1397">
            <w:pPr>
              <w:rPr>
                <w:sz w:val="16"/>
                <w:szCs w:val="16"/>
              </w:rPr>
            </w:pPr>
          </w:p>
        </w:tc>
        <w:tc>
          <w:tcPr>
            <w:tcW w:w="1033" w:type="pct"/>
            <w:tcBorders>
              <w:top w:val="single" w:sz="8" w:space="0" w:color="auto"/>
              <w:left w:val="nil"/>
              <w:bottom w:val="nil"/>
              <w:right w:val="nil"/>
            </w:tcBorders>
            <w:shd w:val="clear" w:color="000000" w:fill="FFFFFF"/>
            <w:vAlign w:val="center"/>
          </w:tcPr>
          <w:p w14:paraId="3DD87F83" w14:textId="77777777" w:rsidR="00CE1397" w:rsidRPr="008F1108" w:rsidRDefault="00CE1397" w:rsidP="00CE1397">
            <w:pPr>
              <w:jc w:val="right"/>
              <w:rPr>
                <w:sz w:val="16"/>
                <w:szCs w:val="16"/>
              </w:rPr>
            </w:pPr>
          </w:p>
        </w:tc>
        <w:tc>
          <w:tcPr>
            <w:tcW w:w="117" w:type="pct"/>
            <w:tcBorders>
              <w:top w:val="nil"/>
              <w:left w:val="nil"/>
              <w:bottom w:val="nil"/>
              <w:right w:val="nil"/>
            </w:tcBorders>
            <w:shd w:val="clear" w:color="000000" w:fill="FFFFFF"/>
            <w:vAlign w:val="center"/>
          </w:tcPr>
          <w:p w14:paraId="35A08C4C" w14:textId="77777777" w:rsidR="00CE1397" w:rsidRPr="008F1108" w:rsidRDefault="00CE1397" w:rsidP="00CE1397">
            <w:pPr>
              <w:rPr>
                <w:b/>
                <w:bCs/>
                <w:sz w:val="16"/>
                <w:szCs w:val="16"/>
              </w:rPr>
            </w:pPr>
          </w:p>
        </w:tc>
        <w:tc>
          <w:tcPr>
            <w:tcW w:w="1060" w:type="pct"/>
            <w:tcBorders>
              <w:top w:val="single" w:sz="8" w:space="0" w:color="auto"/>
              <w:left w:val="nil"/>
              <w:bottom w:val="nil"/>
              <w:right w:val="nil"/>
            </w:tcBorders>
            <w:shd w:val="clear" w:color="000000" w:fill="FFFFFF"/>
          </w:tcPr>
          <w:p w14:paraId="6B3312ED" w14:textId="060F5377" w:rsidR="00CE1397" w:rsidRPr="008F1108" w:rsidRDefault="00CE1397" w:rsidP="00CE1397">
            <w:pPr>
              <w:jc w:val="right"/>
              <w:rPr>
                <w:sz w:val="16"/>
                <w:szCs w:val="16"/>
              </w:rPr>
            </w:pPr>
          </w:p>
        </w:tc>
      </w:tr>
      <w:tr w:rsidR="00CE1397" w:rsidRPr="007B60BF" w14:paraId="145D5231"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7C9C72C0" w14:textId="77777777" w:rsidR="00CE1397" w:rsidRPr="007B60BF" w:rsidRDefault="00CE1397" w:rsidP="00CE1397">
            <w:r w:rsidRPr="007B60BF">
              <w:t>Resultado com Baixa de Bens</w:t>
            </w:r>
          </w:p>
        </w:tc>
        <w:tc>
          <w:tcPr>
            <w:tcW w:w="1033" w:type="pct"/>
            <w:tcBorders>
              <w:top w:val="nil"/>
              <w:left w:val="nil"/>
              <w:bottom w:val="nil"/>
              <w:right w:val="nil"/>
            </w:tcBorders>
            <w:shd w:val="clear" w:color="000000" w:fill="FFFFFF"/>
            <w:vAlign w:val="center"/>
          </w:tcPr>
          <w:p w14:paraId="18EB3114" w14:textId="77777777" w:rsidR="00CE1397" w:rsidRPr="007B60BF" w:rsidRDefault="00CE1397" w:rsidP="00CE1397">
            <w:pPr>
              <w:jc w:val="right"/>
            </w:pPr>
          </w:p>
        </w:tc>
        <w:tc>
          <w:tcPr>
            <w:tcW w:w="117" w:type="pct"/>
            <w:tcBorders>
              <w:top w:val="nil"/>
              <w:left w:val="nil"/>
              <w:bottom w:val="nil"/>
              <w:right w:val="nil"/>
            </w:tcBorders>
            <w:shd w:val="clear" w:color="000000" w:fill="FFFFFF"/>
            <w:vAlign w:val="center"/>
          </w:tcPr>
          <w:p w14:paraId="11C69387" w14:textId="77777777" w:rsidR="00CE1397" w:rsidRPr="007B60BF" w:rsidRDefault="00CE1397" w:rsidP="00CE1397"/>
        </w:tc>
        <w:tc>
          <w:tcPr>
            <w:tcW w:w="1060" w:type="pct"/>
            <w:tcBorders>
              <w:top w:val="nil"/>
              <w:left w:val="nil"/>
              <w:bottom w:val="nil"/>
              <w:right w:val="nil"/>
            </w:tcBorders>
            <w:shd w:val="clear" w:color="000000" w:fill="FFFFFF"/>
          </w:tcPr>
          <w:p w14:paraId="0A164B8F" w14:textId="1501A718" w:rsidR="00CE1397" w:rsidRPr="007B60BF" w:rsidRDefault="00CE1397" w:rsidP="00CE1397">
            <w:pPr>
              <w:jc w:val="right"/>
            </w:pPr>
          </w:p>
        </w:tc>
      </w:tr>
      <w:tr w:rsidR="00CE1397" w:rsidRPr="007B60BF" w14:paraId="45D45D6F"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5B26DFD7" w14:textId="5F8BD995" w:rsidR="00CE1397" w:rsidRPr="007B60BF" w:rsidRDefault="00CE1397" w:rsidP="00CE1397">
            <w:r w:rsidRPr="007B60BF">
              <w:t xml:space="preserve">    Valor Líquido da Baixa de Bens </w:t>
            </w:r>
          </w:p>
        </w:tc>
        <w:tc>
          <w:tcPr>
            <w:tcW w:w="1033" w:type="pct"/>
            <w:tcBorders>
              <w:top w:val="nil"/>
              <w:left w:val="nil"/>
              <w:bottom w:val="single" w:sz="8" w:space="0" w:color="auto"/>
              <w:right w:val="nil"/>
            </w:tcBorders>
            <w:shd w:val="clear" w:color="000000" w:fill="FFFFFF"/>
            <w:vAlign w:val="center"/>
          </w:tcPr>
          <w:p w14:paraId="7D66243A" w14:textId="24B2BB00" w:rsidR="00CE1397" w:rsidRPr="007B60BF" w:rsidRDefault="001A68CF" w:rsidP="00CE1397">
            <w:pPr>
              <w:jc w:val="right"/>
            </w:pPr>
            <w:r w:rsidRPr="007B60BF">
              <w:t>(1.806)</w:t>
            </w:r>
          </w:p>
        </w:tc>
        <w:tc>
          <w:tcPr>
            <w:tcW w:w="117" w:type="pct"/>
            <w:tcBorders>
              <w:top w:val="nil"/>
              <w:left w:val="nil"/>
              <w:bottom w:val="nil"/>
              <w:right w:val="nil"/>
            </w:tcBorders>
            <w:shd w:val="clear" w:color="000000" w:fill="FFFFFF"/>
            <w:vAlign w:val="center"/>
          </w:tcPr>
          <w:p w14:paraId="5288BF34" w14:textId="77777777" w:rsidR="00CE1397" w:rsidRPr="007B60BF" w:rsidRDefault="00CE1397" w:rsidP="00CE1397"/>
        </w:tc>
        <w:tc>
          <w:tcPr>
            <w:tcW w:w="1060" w:type="pct"/>
            <w:tcBorders>
              <w:top w:val="nil"/>
              <w:left w:val="nil"/>
              <w:bottom w:val="single" w:sz="8" w:space="0" w:color="auto"/>
              <w:right w:val="nil"/>
            </w:tcBorders>
            <w:shd w:val="clear" w:color="000000" w:fill="FFFFFF"/>
          </w:tcPr>
          <w:p w14:paraId="631C0ABA" w14:textId="4A85EAE4" w:rsidR="00CE1397" w:rsidRPr="007B60BF" w:rsidRDefault="00CE1397" w:rsidP="00CE1397">
            <w:pPr>
              <w:jc w:val="right"/>
            </w:pPr>
            <w:r w:rsidRPr="007B60BF">
              <w:t>(475)</w:t>
            </w:r>
          </w:p>
        </w:tc>
      </w:tr>
      <w:tr w:rsidR="00CE1397" w:rsidRPr="007B60BF" w14:paraId="633CBFAF"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7F113952" w14:textId="77777777" w:rsidR="00CE1397" w:rsidRPr="007B60BF" w:rsidRDefault="00CE1397" w:rsidP="00CE1397">
            <w:pPr>
              <w:rPr>
                <w:b/>
              </w:rPr>
            </w:pPr>
            <w:r w:rsidRPr="007B60BF">
              <w:rPr>
                <w:b/>
              </w:rPr>
              <w:t>Baixa de Bens e Outras Despesas</w:t>
            </w:r>
          </w:p>
        </w:tc>
        <w:tc>
          <w:tcPr>
            <w:tcW w:w="1033" w:type="pct"/>
            <w:tcBorders>
              <w:top w:val="single" w:sz="8" w:space="0" w:color="auto"/>
              <w:left w:val="nil"/>
              <w:bottom w:val="single" w:sz="4" w:space="0" w:color="auto"/>
              <w:right w:val="nil"/>
            </w:tcBorders>
            <w:shd w:val="clear" w:color="000000" w:fill="FFFFFF"/>
            <w:vAlign w:val="center"/>
          </w:tcPr>
          <w:p w14:paraId="52D1025D" w14:textId="3FDD2ED7" w:rsidR="00CE1397" w:rsidRPr="007B60BF" w:rsidRDefault="00B74B18" w:rsidP="00CE1397">
            <w:pPr>
              <w:jc w:val="right"/>
              <w:rPr>
                <w:b/>
                <w:bCs/>
              </w:rPr>
            </w:pPr>
            <w:r w:rsidRPr="007B60BF">
              <w:rPr>
                <w:b/>
                <w:bCs/>
              </w:rPr>
              <w:t>(8.898)</w:t>
            </w:r>
          </w:p>
        </w:tc>
        <w:tc>
          <w:tcPr>
            <w:tcW w:w="117" w:type="pct"/>
            <w:tcBorders>
              <w:top w:val="nil"/>
              <w:left w:val="nil"/>
              <w:bottom w:val="nil"/>
              <w:right w:val="nil"/>
            </w:tcBorders>
            <w:shd w:val="clear" w:color="000000" w:fill="FFFFFF"/>
            <w:vAlign w:val="center"/>
          </w:tcPr>
          <w:p w14:paraId="37548220" w14:textId="77777777" w:rsidR="00CE1397" w:rsidRPr="007B60BF" w:rsidRDefault="00CE1397" w:rsidP="00CE1397">
            <w:pPr>
              <w:rPr>
                <w:b/>
              </w:rPr>
            </w:pPr>
          </w:p>
        </w:tc>
        <w:tc>
          <w:tcPr>
            <w:tcW w:w="1060" w:type="pct"/>
            <w:tcBorders>
              <w:top w:val="single" w:sz="8" w:space="0" w:color="auto"/>
              <w:left w:val="nil"/>
              <w:bottom w:val="single" w:sz="4" w:space="0" w:color="auto"/>
              <w:right w:val="nil"/>
            </w:tcBorders>
            <w:shd w:val="clear" w:color="000000" w:fill="FFFFFF"/>
          </w:tcPr>
          <w:p w14:paraId="4010E562" w14:textId="6C0767CF" w:rsidR="00CE1397" w:rsidRPr="007B60BF" w:rsidRDefault="00CE1397" w:rsidP="00CE1397">
            <w:pPr>
              <w:jc w:val="right"/>
              <w:rPr>
                <w:b/>
                <w:bCs/>
              </w:rPr>
            </w:pPr>
            <w:r w:rsidRPr="007B60BF">
              <w:rPr>
                <w:b/>
              </w:rPr>
              <w:t>(10.081)</w:t>
            </w:r>
          </w:p>
        </w:tc>
      </w:tr>
      <w:tr w:rsidR="00CE1397" w:rsidRPr="007B60BF" w14:paraId="0B43D713" w14:textId="77777777" w:rsidTr="00D7349A">
        <w:trPr>
          <w:gridAfter w:val="1"/>
          <w:wAfter w:w="118" w:type="pct"/>
        </w:trPr>
        <w:tc>
          <w:tcPr>
            <w:tcW w:w="2672" w:type="pct"/>
            <w:tcBorders>
              <w:top w:val="nil"/>
              <w:left w:val="nil"/>
              <w:bottom w:val="nil"/>
              <w:right w:val="nil"/>
            </w:tcBorders>
            <w:shd w:val="clear" w:color="000000" w:fill="FFFFFF"/>
            <w:vAlign w:val="center"/>
            <w:hideMark/>
          </w:tcPr>
          <w:p w14:paraId="2C9289AC" w14:textId="77777777" w:rsidR="00CE1397" w:rsidRPr="007B60BF" w:rsidRDefault="00CE1397" w:rsidP="00CE1397">
            <w:pPr>
              <w:rPr>
                <w:b/>
                <w:bCs/>
              </w:rPr>
            </w:pPr>
            <w:r w:rsidRPr="007B60BF">
              <w:rPr>
                <w:b/>
                <w:bCs/>
              </w:rPr>
              <w:t>Saldo de Outras Receitas e Despesas</w:t>
            </w:r>
          </w:p>
        </w:tc>
        <w:tc>
          <w:tcPr>
            <w:tcW w:w="1033" w:type="pct"/>
            <w:tcBorders>
              <w:left w:val="nil"/>
              <w:bottom w:val="double" w:sz="6" w:space="0" w:color="auto"/>
              <w:right w:val="nil"/>
            </w:tcBorders>
            <w:shd w:val="clear" w:color="000000" w:fill="FFFFFF"/>
            <w:vAlign w:val="center"/>
          </w:tcPr>
          <w:p w14:paraId="0CB850F2" w14:textId="3CA94D75" w:rsidR="00CE1397" w:rsidRPr="007B60BF" w:rsidRDefault="00B74B18" w:rsidP="00CE1397">
            <w:pPr>
              <w:jc w:val="right"/>
              <w:rPr>
                <w:b/>
                <w:bCs/>
              </w:rPr>
            </w:pPr>
            <w:r w:rsidRPr="007B60BF">
              <w:rPr>
                <w:b/>
                <w:bCs/>
              </w:rPr>
              <w:t>21.544</w:t>
            </w:r>
          </w:p>
        </w:tc>
        <w:tc>
          <w:tcPr>
            <w:tcW w:w="117" w:type="pct"/>
            <w:tcBorders>
              <w:top w:val="nil"/>
              <w:left w:val="nil"/>
              <w:bottom w:val="nil"/>
              <w:right w:val="nil"/>
            </w:tcBorders>
            <w:shd w:val="clear" w:color="000000" w:fill="FFFFFF"/>
            <w:vAlign w:val="center"/>
          </w:tcPr>
          <w:p w14:paraId="16061601" w14:textId="77777777" w:rsidR="00CE1397" w:rsidRPr="007B60BF" w:rsidRDefault="00CE1397" w:rsidP="00CE1397">
            <w:pPr>
              <w:rPr>
                <w:b/>
              </w:rPr>
            </w:pPr>
          </w:p>
        </w:tc>
        <w:tc>
          <w:tcPr>
            <w:tcW w:w="1060" w:type="pct"/>
            <w:tcBorders>
              <w:left w:val="nil"/>
              <w:bottom w:val="double" w:sz="6" w:space="0" w:color="auto"/>
              <w:right w:val="nil"/>
            </w:tcBorders>
            <w:shd w:val="clear" w:color="000000" w:fill="FFFFFF"/>
          </w:tcPr>
          <w:p w14:paraId="0286DFC9" w14:textId="22AD8872" w:rsidR="00CE1397" w:rsidRPr="007B60BF" w:rsidRDefault="00CE1397" w:rsidP="00CE1397">
            <w:pPr>
              <w:jc w:val="right"/>
              <w:rPr>
                <w:b/>
                <w:bCs/>
              </w:rPr>
            </w:pPr>
            <w:r w:rsidRPr="007B60BF">
              <w:rPr>
                <w:b/>
              </w:rPr>
              <w:t>36.194</w:t>
            </w:r>
          </w:p>
        </w:tc>
      </w:tr>
      <w:bookmarkEnd w:id="71"/>
    </w:tbl>
    <w:p w14:paraId="3070AA67" w14:textId="70D19D93" w:rsidR="00DC6013" w:rsidRDefault="00DC6013" w:rsidP="00E27A0E">
      <w:pPr>
        <w:tabs>
          <w:tab w:val="left" w:pos="851"/>
        </w:tabs>
        <w:jc w:val="both"/>
      </w:pPr>
    </w:p>
    <w:p w14:paraId="3496F854" w14:textId="77777777" w:rsidR="00074139" w:rsidRPr="007B60BF" w:rsidRDefault="00074139" w:rsidP="00E27A0E">
      <w:pPr>
        <w:tabs>
          <w:tab w:val="left" w:pos="851"/>
        </w:tabs>
        <w:jc w:val="both"/>
      </w:pPr>
    </w:p>
    <w:p w14:paraId="41AD4FA0" w14:textId="5F6C6CE0" w:rsidR="00DD7ADA" w:rsidRPr="007B60BF" w:rsidRDefault="00DD7ADA" w:rsidP="00086B22">
      <w:pPr>
        <w:pStyle w:val="Ttulo1"/>
        <w:numPr>
          <w:ilvl w:val="0"/>
          <w:numId w:val="5"/>
        </w:numPr>
        <w:ind w:left="0" w:hanging="567"/>
        <w:jc w:val="left"/>
      </w:pPr>
      <w:bookmarkStart w:id="72" w:name="_Toc223007870"/>
      <w:r w:rsidRPr="007B60BF">
        <w:t>Resultado Financeiro</w:t>
      </w:r>
      <w:bookmarkEnd w:id="72"/>
    </w:p>
    <w:tbl>
      <w:tblPr>
        <w:tblW w:w="4962" w:type="pct"/>
        <w:tblCellMar>
          <w:left w:w="70" w:type="dxa"/>
          <w:right w:w="70" w:type="dxa"/>
        </w:tblCellMar>
        <w:tblLook w:val="04A0" w:firstRow="1" w:lastRow="0" w:firstColumn="1" w:lastColumn="0" w:noHBand="0" w:noVBand="1"/>
      </w:tblPr>
      <w:tblGrid>
        <w:gridCol w:w="4917"/>
        <w:gridCol w:w="1941"/>
        <w:gridCol w:w="275"/>
        <w:gridCol w:w="1869"/>
      </w:tblGrid>
      <w:tr w:rsidR="00DC6013" w:rsidRPr="007B60BF" w14:paraId="28F6895C" w14:textId="77777777" w:rsidTr="00E97843">
        <w:tc>
          <w:tcPr>
            <w:tcW w:w="2731" w:type="pct"/>
            <w:tcBorders>
              <w:top w:val="nil"/>
              <w:left w:val="nil"/>
              <w:bottom w:val="nil"/>
              <w:right w:val="nil"/>
            </w:tcBorders>
            <w:shd w:val="clear" w:color="auto" w:fill="auto"/>
            <w:vAlign w:val="center"/>
            <w:hideMark/>
          </w:tcPr>
          <w:p w14:paraId="30D47A61" w14:textId="77777777" w:rsidR="00DC6013" w:rsidRPr="007B60BF" w:rsidRDefault="00DC6013" w:rsidP="00DC6013">
            <w:pPr>
              <w:rPr>
                <w:b/>
              </w:rPr>
            </w:pPr>
          </w:p>
        </w:tc>
        <w:tc>
          <w:tcPr>
            <w:tcW w:w="1078" w:type="pct"/>
            <w:tcBorders>
              <w:top w:val="nil"/>
              <w:left w:val="nil"/>
              <w:bottom w:val="single" w:sz="8" w:space="0" w:color="auto"/>
              <w:right w:val="nil"/>
            </w:tcBorders>
            <w:shd w:val="clear" w:color="auto" w:fill="auto"/>
            <w:vAlign w:val="center"/>
            <w:hideMark/>
          </w:tcPr>
          <w:p w14:paraId="62679921" w14:textId="16C053F6" w:rsidR="00DC6013" w:rsidRPr="007B60BF" w:rsidRDefault="00CE1397" w:rsidP="00260D6E">
            <w:pPr>
              <w:jc w:val="right"/>
              <w:rPr>
                <w:b/>
                <w:bCs/>
              </w:rPr>
            </w:pPr>
            <w:r w:rsidRPr="007B60BF">
              <w:rPr>
                <w:b/>
                <w:bCs/>
              </w:rPr>
              <w:t>31/12/2025</w:t>
            </w:r>
          </w:p>
        </w:tc>
        <w:tc>
          <w:tcPr>
            <w:tcW w:w="153" w:type="pct"/>
            <w:tcBorders>
              <w:top w:val="nil"/>
              <w:left w:val="nil"/>
              <w:bottom w:val="nil"/>
              <w:right w:val="nil"/>
            </w:tcBorders>
            <w:shd w:val="clear" w:color="auto" w:fill="auto"/>
            <w:vAlign w:val="center"/>
            <w:hideMark/>
          </w:tcPr>
          <w:p w14:paraId="3B6A622D" w14:textId="10105E9C" w:rsidR="00DC6013" w:rsidRPr="007B60BF" w:rsidRDefault="00DC6013" w:rsidP="00DC6013">
            <w:pPr>
              <w:rPr>
                <w:b/>
              </w:rPr>
            </w:pPr>
          </w:p>
        </w:tc>
        <w:tc>
          <w:tcPr>
            <w:tcW w:w="1038" w:type="pct"/>
            <w:tcBorders>
              <w:top w:val="nil"/>
              <w:left w:val="nil"/>
              <w:bottom w:val="single" w:sz="8" w:space="0" w:color="auto"/>
              <w:right w:val="nil"/>
            </w:tcBorders>
            <w:shd w:val="clear" w:color="auto" w:fill="auto"/>
            <w:noWrap/>
            <w:hideMark/>
          </w:tcPr>
          <w:p w14:paraId="7B45345B" w14:textId="4AA42A50" w:rsidR="00DC6013" w:rsidRPr="007B60BF" w:rsidRDefault="00CE1397" w:rsidP="00260D6E">
            <w:pPr>
              <w:jc w:val="right"/>
              <w:rPr>
                <w:b/>
                <w:bCs/>
              </w:rPr>
            </w:pPr>
            <w:r w:rsidRPr="007B60BF">
              <w:rPr>
                <w:b/>
              </w:rPr>
              <w:t>31/12/2024</w:t>
            </w:r>
          </w:p>
        </w:tc>
      </w:tr>
      <w:tr w:rsidR="00C56789" w:rsidRPr="007B60BF" w14:paraId="39468AC8" w14:textId="77777777" w:rsidTr="00E97843">
        <w:tc>
          <w:tcPr>
            <w:tcW w:w="2731" w:type="pct"/>
            <w:tcBorders>
              <w:top w:val="nil"/>
              <w:left w:val="nil"/>
              <w:bottom w:val="nil"/>
              <w:right w:val="nil"/>
            </w:tcBorders>
            <w:shd w:val="clear" w:color="000000" w:fill="FFFFFF"/>
            <w:vAlign w:val="center"/>
            <w:hideMark/>
          </w:tcPr>
          <w:p w14:paraId="15006378" w14:textId="77777777" w:rsidR="00C56789" w:rsidRPr="007B60BF" w:rsidRDefault="00C56789" w:rsidP="00C56789">
            <w:r w:rsidRPr="007B60BF">
              <w:t>Receita Financeira</w:t>
            </w:r>
          </w:p>
        </w:tc>
        <w:tc>
          <w:tcPr>
            <w:tcW w:w="1078" w:type="pct"/>
            <w:tcBorders>
              <w:top w:val="nil"/>
              <w:left w:val="nil"/>
              <w:bottom w:val="nil"/>
              <w:right w:val="nil"/>
            </w:tcBorders>
            <w:shd w:val="clear" w:color="auto" w:fill="auto"/>
            <w:vAlign w:val="center"/>
            <w:hideMark/>
          </w:tcPr>
          <w:p w14:paraId="4AF4AC4A" w14:textId="77777777" w:rsidR="00C56789" w:rsidRPr="007B60BF" w:rsidRDefault="00C56789" w:rsidP="00C56789">
            <w:pPr>
              <w:jc w:val="right"/>
              <w:rPr>
                <w:b/>
                <w:bCs/>
              </w:rPr>
            </w:pPr>
            <w:r w:rsidRPr="007B60BF">
              <w:rPr>
                <w:b/>
                <w:bCs/>
              </w:rPr>
              <w:t> </w:t>
            </w:r>
          </w:p>
        </w:tc>
        <w:tc>
          <w:tcPr>
            <w:tcW w:w="153" w:type="pct"/>
            <w:tcBorders>
              <w:top w:val="nil"/>
              <w:left w:val="nil"/>
              <w:bottom w:val="nil"/>
              <w:right w:val="nil"/>
            </w:tcBorders>
            <w:shd w:val="clear" w:color="auto" w:fill="auto"/>
            <w:vAlign w:val="center"/>
            <w:hideMark/>
          </w:tcPr>
          <w:p w14:paraId="2782677B" w14:textId="77777777" w:rsidR="00C56789" w:rsidRPr="007B60BF" w:rsidRDefault="00C56789" w:rsidP="00C56789">
            <w:r w:rsidRPr="007B60BF">
              <w:t> </w:t>
            </w:r>
          </w:p>
        </w:tc>
        <w:tc>
          <w:tcPr>
            <w:tcW w:w="1038" w:type="pct"/>
            <w:tcBorders>
              <w:top w:val="nil"/>
              <w:left w:val="nil"/>
              <w:bottom w:val="nil"/>
              <w:right w:val="nil"/>
            </w:tcBorders>
            <w:shd w:val="clear" w:color="auto" w:fill="auto"/>
            <w:hideMark/>
          </w:tcPr>
          <w:p w14:paraId="50C88FEE" w14:textId="0E7CBDC2" w:rsidR="00C56789" w:rsidRPr="007B60BF" w:rsidRDefault="00C56789" w:rsidP="00C56789">
            <w:pPr>
              <w:jc w:val="right"/>
            </w:pPr>
            <w:r w:rsidRPr="007B60BF">
              <w:t xml:space="preserve"> </w:t>
            </w:r>
          </w:p>
        </w:tc>
      </w:tr>
      <w:tr w:rsidR="00CE1397" w:rsidRPr="007B60BF" w14:paraId="4E66E6F7" w14:textId="77777777" w:rsidTr="00E97843">
        <w:tc>
          <w:tcPr>
            <w:tcW w:w="2731" w:type="pct"/>
            <w:tcBorders>
              <w:top w:val="nil"/>
              <w:left w:val="nil"/>
              <w:bottom w:val="nil"/>
              <w:right w:val="nil"/>
            </w:tcBorders>
            <w:shd w:val="clear" w:color="000000" w:fill="FFFFFF"/>
            <w:vAlign w:val="center"/>
            <w:hideMark/>
          </w:tcPr>
          <w:p w14:paraId="6246F505" w14:textId="77777777" w:rsidR="00CE1397" w:rsidRPr="007B60BF" w:rsidRDefault="00CE1397" w:rsidP="00CE1397">
            <w:r w:rsidRPr="007B60BF">
              <w:t xml:space="preserve">    Remuneração de Depósitos</w:t>
            </w:r>
          </w:p>
        </w:tc>
        <w:tc>
          <w:tcPr>
            <w:tcW w:w="1078" w:type="pct"/>
            <w:tcBorders>
              <w:top w:val="nil"/>
              <w:left w:val="nil"/>
              <w:bottom w:val="nil"/>
              <w:right w:val="nil"/>
            </w:tcBorders>
            <w:shd w:val="clear" w:color="auto" w:fill="auto"/>
          </w:tcPr>
          <w:p w14:paraId="57329CE7" w14:textId="17BBF380" w:rsidR="00CE1397" w:rsidRPr="007B60BF" w:rsidRDefault="00286928" w:rsidP="00CE1397">
            <w:pPr>
              <w:jc w:val="right"/>
            </w:pPr>
            <w:r w:rsidRPr="007B60BF">
              <w:t>8.107</w:t>
            </w:r>
          </w:p>
        </w:tc>
        <w:tc>
          <w:tcPr>
            <w:tcW w:w="153" w:type="pct"/>
            <w:tcBorders>
              <w:top w:val="nil"/>
              <w:left w:val="nil"/>
              <w:bottom w:val="nil"/>
              <w:right w:val="nil"/>
            </w:tcBorders>
            <w:shd w:val="clear" w:color="auto" w:fill="auto"/>
            <w:vAlign w:val="center"/>
          </w:tcPr>
          <w:p w14:paraId="4BBA2CD3" w14:textId="77777777" w:rsidR="00CE1397" w:rsidRPr="007B60BF" w:rsidRDefault="00CE1397" w:rsidP="00CE1397">
            <w:pPr>
              <w:jc w:val="right"/>
            </w:pPr>
          </w:p>
        </w:tc>
        <w:tc>
          <w:tcPr>
            <w:tcW w:w="1038" w:type="pct"/>
            <w:tcBorders>
              <w:top w:val="nil"/>
              <w:left w:val="nil"/>
              <w:bottom w:val="nil"/>
              <w:right w:val="nil"/>
            </w:tcBorders>
            <w:shd w:val="clear" w:color="auto" w:fill="auto"/>
          </w:tcPr>
          <w:p w14:paraId="40566B80" w14:textId="5C8E750C" w:rsidR="00CE1397" w:rsidRPr="007B60BF" w:rsidRDefault="00CE1397" w:rsidP="00CE1397">
            <w:pPr>
              <w:jc w:val="right"/>
            </w:pPr>
            <w:r w:rsidRPr="007B60BF">
              <w:t>2.983</w:t>
            </w:r>
          </w:p>
        </w:tc>
      </w:tr>
      <w:tr w:rsidR="00CE1397" w:rsidRPr="007B60BF" w14:paraId="6EA6CD17" w14:textId="77777777" w:rsidTr="00C71F5A">
        <w:tc>
          <w:tcPr>
            <w:tcW w:w="2731" w:type="pct"/>
            <w:tcBorders>
              <w:top w:val="nil"/>
              <w:left w:val="nil"/>
              <w:bottom w:val="nil"/>
              <w:right w:val="nil"/>
            </w:tcBorders>
            <w:shd w:val="clear" w:color="000000" w:fill="FFFFFF"/>
            <w:vAlign w:val="center"/>
            <w:hideMark/>
          </w:tcPr>
          <w:p w14:paraId="5CB766EC" w14:textId="77777777" w:rsidR="00CE1397" w:rsidRPr="007B60BF" w:rsidRDefault="00CE1397" w:rsidP="00CE1397">
            <w:r w:rsidRPr="007B60BF">
              <w:t xml:space="preserve">    Juros e Multas Previstos em Contratos </w:t>
            </w:r>
          </w:p>
        </w:tc>
        <w:tc>
          <w:tcPr>
            <w:tcW w:w="1078" w:type="pct"/>
            <w:tcBorders>
              <w:top w:val="nil"/>
              <w:left w:val="nil"/>
              <w:right w:val="nil"/>
            </w:tcBorders>
            <w:shd w:val="clear" w:color="auto" w:fill="auto"/>
          </w:tcPr>
          <w:p w14:paraId="02F459BC" w14:textId="001580E2" w:rsidR="00CE1397" w:rsidRPr="007B60BF" w:rsidRDefault="00286928" w:rsidP="00286928">
            <w:pPr>
              <w:jc w:val="right"/>
            </w:pPr>
            <w:r w:rsidRPr="007B60BF">
              <w:t>478</w:t>
            </w:r>
          </w:p>
        </w:tc>
        <w:tc>
          <w:tcPr>
            <w:tcW w:w="153" w:type="pct"/>
            <w:tcBorders>
              <w:top w:val="nil"/>
              <w:left w:val="nil"/>
              <w:right w:val="nil"/>
            </w:tcBorders>
            <w:shd w:val="clear" w:color="auto" w:fill="auto"/>
            <w:vAlign w:val="center"/>
          </w:tcPr>
          <w:p w14:paraId="73232748" w14:textId="77777777" w:rsidR="00CE1397" w:rsidRPr="007B60BF" w:rsidRDefault="00CE1397" w:rsidP="00CE1397">
            <w:pPr>
              <w:jc w:val="right"/>
            </w:pPr>
          </w:p>
        </w:tc>
        <w:tc>
          <w:tcPr>
            <w:tcW w:w="1038" w:type="pct"/>
            <w:tcBorders>
              <w:top w:val="nil"/>
              <w:left w:val="nil"/>
              <w:right w:val="nil"/>
            </w:tcBorders>
            <w:shd w:val="clear" w:color="auto" w:fill="auto"/>
          </w:tcPr>
          <w:p w14:paraId="26A6F8E2" w14:textId="40651444" w:rsidR="00CE1397" w:rsidRPr="007B60BF" w:rsidRDefault="00CE1397" w:rsidP="00CE1397">
            <w:pPr>
              <w:jc w:val="right"/>
            </w:pPr>
            <w:r w:rsidRPr="007B60BF">
              <w:t>1.045</w:t>
            </w:r>
          </w:p>
        </w:tc>
      </w:tr>
      <w:tr w:rsidR="00CE1397" w:rsidRPr="007B60BF" w14:paraId="161F84AD" w14:textId="77777777" w:rsidTr="00C71F5A">
        <w:tc>
          <w:tcPr>
            <w:tcW w:w="2731" w:type="pct"/>
            <w:tcBorders>
              <w:top w:val="nil"/>
              <w:left w:val="nil"/>
              <w:bottom w:val="nil"/>
              <w:right w:val="nil"/>
            </w:tcBorders>
            <w:shd w:val="clear" w:color="000000" w:fill="FFFFFF"/>
            <w:vAlign w:val="center"/>
            <w:hideMark/>
          </w:tcPr>
          <w:p w14:paraId="1016E724" w14:textId="77777777" w:rsidR="00CE1397" w:rsidRPr="007B60BF" w:rsidRDefault="00CE1397" w:rsidP="00CE1397">
            <w:r w:rsidRPr="007B60BF">
              <w:t xml:space="preserve">    Variação Cambial e Monetária Ativa</w:t>
            </w:r>
          </w:p>
        </w:tc>
        <w:tc>
          <w:tcPr>
            <w:tcW w:w="1078" w:type="pct"/>
            <w:tcBorders>
              <w:top w:val="nil"/>
              <w:left w:val="nil"/>
              <w:right w:val="nil"/>
            </w:tcBorders>
            <w:shd w:val="clear" w:color="auto" w:fill="auto"/>
          </w:tcPr>
          <w:p w14:paraId="59AE0640" w14:textId="397D6A85" w:rsidR="00CE1397" w:rsidRPr="007B60BF" w:rsidRDefault="00286928" w:rsidP="00CE1397">
            <w:pPr>
              <w:jc w:val="right"/>
            </w:pPr>
            <w:r w:rsidRPr="007B60BF">
              <w:t>1.765</w:t>
            </w:r>
          </w:p>
        </w:tc>
        <w:tc>
          <w:tcPr>
            <w:tcW w:w="153" w:type="pct"/>
            <w:tcBorders>
              <w:top w:val="nil"/>
              <w:left w:val="nil"/>
              <w:right w:val="nil"/>
            </w:tcBorders>
            <w:shd w:val="clear" w:color="auto" w:fill="auto"/>
            <w:vAlign w:val="center"/>
          </w:tcPr>
          <w:p w14:paraId="0432AB9B" w14:textId="77777777" w:rsidR="00CE1397" w:rsidRPr="007B60BF" w:rsidRDefault="00CE1397" w:rsidP="00CE1397">
            <w:pPr>
              <w:jc w:val="right"/>
            </w:pPr>
          </w:p>
        </w:tc>
        <w:tc>
          <w:tcPr>
            <w:tcW w:w="1038" w:type="pct"/>
            <w:tcBorders>
              <w:top w:val="nil"/>
              <w:left w:val="nil"/>
              <w:right w:val="nil"/>
            </w:tcBorders>
            <w:shd w:val="clear" w:color="auto" w:fill="auto"/>
          </w:tcPr>
          <w:p w14:paraId="26EE116F" w14:textId="7A872BDF" w:rsidR="00CE1397" w:rsidRPr="007B60BF" w:rsidRDefault="00CE1397" w:rsidP="00CE1397">
            <w:pPr>
              <w:jc w:val="right"/>
            </w:pPr>
            <w:r w:rsidRPr="007B60BF">
              <w:t>907</w:t>
            </w:r>
          </w:p>
        </w:tc>
      </w:tr>
      <w:tr w:rsidR="00CE1397" w:rsidRPr="007B60BF" w14:paraId="02E92174" w14:textId="77777777" w:rsidTr="00E97843">
        <w:tc>
          <w:tcPr>
            <w:tcW w:w="2731" w:type="pct"/>
            <w:tcBorders>
              <w:top w:val="nil"/>
              <w:left w:val="nil"/>
              <w:bottom w:val="nil"/>
              <w:right w:val="nil"/>
            </w:tcBorders>
            <w:shd w:val="clear" w:color="000000" w:fill="FFFFFF"/>
            <w:vAlign w:val="center"/>
            <w:hideMark/>
          </w:tcPr>
          <w:p w14:paraId="5231A0E9" w14:textId="77777777" w:rsidR="00CE1397" w:rsidRPr="007B60BF" w:rsidRDefault="00CE1397" w:rsidP="00CE1397">
            <w:pPr>
              <w:rPr>
                <w:b/>
                <w:bCs/>
              </w:rPr>
            </w:pPr>
            <w:r w:rsidRPr="007B60BF">
              <w:rPr>
                <w:b/>
                <w:bCs/>
              </w:rPr>
              <w:t>Total Receita Financeira</w:t>
            </w:r>
          </w:p>
        </w:tc>
        <w:tc>
          <w:tcPr>
            <w:tcW w:w="1078" w:type="pct"/>
            <w:tcBorders>
              <w:top w:val="single" w:sz="4" w:space="0" w:color="auto"/>
              <w:left w:val="nil"/>
              <w:bottom w:val="single" w:sz="8" w:space="0" w:color="auto"/>
              <w:right w:val="nil"/>
            </w:tcBorders>
            <w:shd w:val="clear" w:color="auto" w:fill="auto"/>
          </w:tcPr>
          <w:p w14:paraId="54F6F019" w14:textId="0674858C" w:rsidR="00CE1397" w:rsidRPr="007B60BF" w:rsidRDefault="00286928" w:rsidP="00CE1397">
            <w:pPr>
              <w:jc w:val="right"/>
              <w:rPr>
                <w:b/>
              </w:rPr>
            </w:pPr>
            <w:r w:rsidRPr="007B60BF">
              <w:rPr>
                <w:b/>
              </w:rPr>
              <w:t>10.350</w:t>
            </w:r>
          </w:p>
        </w:tc>
        <w:tc>
          <w:tcPr>
            <w:tcW w:w="153" w:type="pct"/>
            <w:tcBorders>
              <w:top w:val="nil"/>
              <w:left w:val="nil"/>
              <w:bottom w:val="nil"/>
              <w:right w:val="nil"/>
            </w:tcBorders>
            <w:shd w:val="clear" w:color="auto" w:fill="auto"/>
            <w:vAlign w:val="center"/>
          </w:tcPr>
          <w:p w14:paraId="2065C6AD" w14:textId="77777777" w:rsidR="00CE1397" w:rsidRPr="007B60BF" w:rsidRDefault="00CE1397" w:rsidP="00CE1397">
            <w:pPr>
              <w:rPr>
                <w:b/>
                <w:bCs/>
              </w:rPr>
            </w:pPr>
          </w:p>
        </w:tc>
        <w:tc>
          <w:tcPr>
            <w:tcW w:w="1038" w:type="pct"/>
            <w:tcBorders>
              <w:top w:val="single" w:sz="4" w:space="0" w:color="auto"/>
              <w:left w:val="nil"/>
              <w:bottom w:val="single" w:sz="8" w:space="0" w:color="auto"/>
              <w:right w:val="nil"/>
            </w:tcBorders>
            <w:shd w:val="clear" w:color="auto" w:fill="auto"/>
          </w:tcPr>
          <w:p w14:paraId="7B839B48" w14:textId="6F8EE17A" w:rsidR="00CE1397" w:rsidRPr="007B60BF" w:rsidRDefault="00CE1397" w:rsidP="00CE1397">
            <w:pPr>
              <w:jc w:val="right"/>
              <w:rPr>
                <w:b/>
                <w:bCs/>
              </w:rPr>
            </w:pPr>
            <w:r w:rsidRPr="007B60BF">
              <w:rPr>
                <w:b/>
              </w:rPr>
              <w:t>4.935</w:t>
            </w:r>
          </w:p>
        </w:tc>
      </w:tr>
      <w:tr w:rsidR="00CE1397" w:rsidRPr="007B60BF" w14:paraId="26860CE0" w14:textId="77777777" w:rsidTr="00E97843">
        <w:tc>
          <w:tcPr>
            <w:tcW w:w="2731" w:type="pct"/>
            <w:tcBorders>
              <w:top w:val="nil"/>
              <w:left w:val="nil"/>
              <w:bottom w:val="nil"/>
              <w:right w:val="nil"/>
            </w:tcBorders>
            <w:shd w:val="clear" w:color="000000" w:fill="FFFFFF"/>
            <w:vAlign w:val="center"/>
            <w:hideMark/>
          </w:tcPr>
          <w:p w14:paraId="44B52234" w14:textId="77777777" w:rsidR="00CE1397" w:rsidRPr="007B60BF" w:rsidRDefault="00CE1397" w:rsidP="00CE1397">
            <w:r w:rsidRPr="007B60BF">
              <w:t> </w:t>
            </w:r>
          </w:p>
        </w:tc>
        <w:tc>
          <w:tcPr>
            <w:tcW w:w="1078" w:type="pct"/>
            <w:tcBorders>
              <w:top w:val="nil"/>
              <w:left w:val="nil"/>
              <w:bottom w:val="nil"/>
              <w:right w:val="nil"/>
            </w:tcBorders>
            <w:shd w:val="clear" w:color="auto" w:fill="auto"/>
          </w:tcPr>
          <w:p w14:paraId="73EDEE2C" w14:textId="77777777" w:rsidR="00CE1397" w:rsidRPr="007B60BF" w:rsidRDefault="00CE1397" w:rsidP="00CE1397">
            <w:pPr>
              <w:jc w:val="right"/>
            </w:pPr>
          </w:p>
        </w:tc>
        <w:tc>
          <w:tcPr>
            <w:tcW w:w="153" w:type="pct"/>
            <w:tcBorders>
              <w:top w:val="nil"/>
              <w:left w:val="nil"/>
              <w:bottom w:val="nil"/>
              <w:right w:val="nil"/>
            </w:tcBorders>
            <w:shd w:val="clear" w:color="auto" w:fill="auto"/>
            <w:vAlign w:val="center"/>
          </w:tcPr>
          <w:p w14:paraId="09D6F131" w14:textId="77777777" w:rsidR="00CE1397" w:rsidRPr="007B60BF" w:rsidRDefault="00CE1397" w:rsidP="00CE1397"/>
        </w:tc>
        <w:tc>
          <w:tcPr>
            <w:tcW w:w="1038" w:type="pct"/>
            <w:tcBorders>
              <w:top w:val="nil"/>
              <w:left w:val="nil"/>
              <w:bottom w:val="nil"/>
              <w:right w:val="nil"/>
            </w:tcBorders>
            <w:shd w:val="clear" w:color="auto" w:fill="auto"/>
          </w:tcPr>
          <w:p w14:paraId="15EFAB29" w14:textId="77777777" w:rsidR="00CE1397" w:rsidRPr="007B60BF" w:rsidRDefault="00CE1397" w:rsidP="00CE1397">
            <w:pPr>
              <w:jc w:val="right"/>
              <w:rPr>
                <w:b/>
                <w:bCs/>
              </w:rPr>
            </w:pPr>
          </w:p>
        </w:tc>
      </w:tr>
      <w:tr w:rsidR="00CE1397" w:rsidRPr="007B60BF" w14:paraId="5542BE1A" w14:textId="77777777" w:rsidTr="00E97843">
        <w:tc>
          <w:tcPr>
            <w:tcW w:w="2731" w:type="pct"/>
            <w:tcBorders>
              <w:top w:val="nil"/>
              <w:left w:val="nil"/>
              <w:bottom w:val="nil"/>
              <w:right w:val="nil"/>
            </w:tcBorders>
            <w:shd w:val="clear" w:color="000000" w:fill="FFFFFF"/>
            <w:vAlign w:val="center"/>
            <w:hideMark/>
          </w:tcPr>
          <w:p w14:paraId="7FA8C410" w14:textId="77777777" w:rsidR="00CE1397" w:rsidRPr="007B60BF" w:rsidRDefault="00CE1397" w:rsidP="00CE1397">
            <w:r w:rsidRPr="007B60BF">
              <w:t>Despesa Financeira</w:t>
            </w:r>
          </w:p>
        </w:tc>
        <w:tc>
          <w:tcPr>
            <w:tcW w:w="1078" w:type="pct"/>
            <w:tcBorders>
              <w:top w:val="nil"/>
              <w:left w:val="nil"/>
              <w:bottom w:val="nil"/>
              <w:right w:val="nil"/>
            </w:tcBorders>
            <w:shd w:val="clear" w:color="auto" w:fill="auto"/>
          </w:tcPr>
          <w:p w14:paraId="0876A016" w14:textId="77777777" w:rsidR="00CE1397" w:rsidRPr="007B60BF" w:rsidRDefault="00CE1397" w:rsidP="00CE1397">
            <w:pPr>
              <w:jc w:val="right"/>
            </w:pPr>
          </w:p>
        </w:tc>
        <w:tc>
          <w:tcPr>
            <w:tcW w:w="153" w:type="pct"/>
            <w:tcBorders>
              <w:top w:val="nil"/>
              <w:left w:val="nil"/>
              <w:bottom w:val="nil"/>
              <w:right w:val="nil"/>
            </w:tcBorders>
            <w:shd w:val="clear" w:color="auto" w:fill="auto"/>
            <w:vAlign w:val="center"/>
          </w:tcPr>
          <w:p w14:paraId="49E832A6" w14:textId="77777777" w:rsidR="00CE1397" w:rsidRPr="007B60BF" w:rsidRDefault="00CE1397" w:rsidP="00CE1397"/>
        </w:tc>
        <w:tc>
          <w:tcPr>
            <w:tcW w:w="1038" w:type="pct"/>
            <w:tcBorders>
              <w:top w:val="nil"/>
              <w:left w:val="nil"/>
              <w:bottom w:val="nil"/>
              <w:right w:val="nil"/>
            </w:tcBorders>
            <w:shd w:val="clear" w:color="auto" w:fill="auto"/>
          </w:tcPr>
          <w:p w14:paraId="6BEBEF28" w14:textId="5AC47D19" w:rsidR="00CE1397" w:rsidRPr="007B60BF" w:rsidRDefault="00CE1397" w:rsidP="00CE1397">
            <w:pPr>
              <w:jc w:val="right"/>
              <w:rPr>
                <w:b/>
                <w:bCs/>
              </w:rPr>
            </w:pPr>
          </w:p>
        </w:tc>
      </w:tr>
      <w:tr w:rsidR="00CE1397" w:rsidRPr="007B60BF" w14:paraId="15FE8E16" w14:textId="77777777" w:rsidTr="00E97843">
        <w:tc>
          <w:tcPr>
            <w:tcW w:w="2731" w:type="pct"/>
            <w:tcBorders>
              <w:top w:val="nil"/>
              <w:left w:val="nil"/>
              <w:bottom w:val="nil"/>
              <w:right w:val="nil"/>
            </w:tcBorders>
            <w:shd w:val="clear" w:color="000000" w:fill="FFFFFF"/>
            <w:vAlign w:val="center"/>
            <w:hideMark/>
          </w:tcPr>
          <w:p w14:paraId="7C83CCEC" w14:textId="51EDA906" w:rsidR="00CE1397" w:rsidRPr="007B60BF" w:rsidRDefault="00CE1397" w:rsidP="00CE1397">
            <w:r w:rsidRPr="007B60BF">
              <w:t xml:space="preserve">    Juros, Multas, Despesas Bancárias e Descontos</w:t>
            </w:r>
          </w:p>
        </w:tc>
        <w:tc>
          <w:tcPr>
            <w:tcW w:w="1078" w:type="pct"/>
            <w:tcBorders>
              <w:top w:val="nil"/>
              <w:left w:val="nil"/>
              <w:right w:val="nil"/>
            </w:tcBorders>
            <w:shd w:val="clear" w:color="auto" w:fill="auto"/>
          </w:tcPr>
          <w:p w14:paraId="67598600" w14:textId="04A6EA0F" w:rsidR="00CE1397" w:rsidRPr="007B60BF" w:rsidRDefault="00286928" w:rsidP="00CE1397">
            <w:pPr>
              <w:jc w:val="right"/>
            </w:pPr>
            <w:r w:rsidRPr="007B60BF">
              <w:t>(507)</w:t>
            </w:r>
          </w:p>
        </w:tc>
        <w:tc>
          <w:tcPr>
            <w:tcW w:w="153" w:type="pct"/>
            <w:tcBorders>
              <w:top w:val="nil"/>
              <w:left w:val="nil"/>
              <w:bottom w:val="nil"/>
              <w:right w:val="nil"/>
            </w:tcBorders>
            <w:shd w:val="clear" w:color="auto" w:fill="auto"/>
            <w:vAlign w:val="center"/>
          </w:tcPr>
          <w:p w14:paraId="70768909" w14:textId="77777777" w:rsidR="00CE1397" w:rsidRPr="007B60BF" w:rsidRDefault="00CE1397" w:rsidP="00CE1397"/>
        </w:tc>
        <w:tc>
          <w:tcPr>
            <w:tcW w:w="1038" w:type="pct"/>
            <w:tcBorders>
              <w:top w:val="nil"/>
              <w:left w:val="nil"/>
              <w:right w:val="nil"/>
            </w:tcBorders>
            <w:shd w:val="clear" w:color="auto" w:fill="auto"/>
          </w:tcPr>
          <w:p w14:paraId="0E7412B6" w14:textId="07FECAF5" w:rsidR="00CE1397" w:rsidRPr="007B60BF" w:rsidRDefault="00CE1397" w:rsidP="00CE1397">
            <w:pPr>
              <w:jc w:val="right"/>
            </w:pPr>
            <w:r w:rsidRPr="007B60BF">
              <w:t>(322)</w:t>
            </w:r>
          </w:p>
        </w:tc>
      </w:tr>
      <w:tr w:rsidR="00CE1397" w:rsidRPr="007B60BF" w14:paraId="43DBFFB3" w14:textId="77777777" w:rsidTr="00E97843">
        <w:tc>
          <w:tcPr>
            <w:tcW w:w="2731" w:type="pct"/>
            <w:tcBorders>
              <w:top w:val="nil"/>
              <w:left w:val="nil"/>
              <w:bottom w:val="nil"/>
              <w:right w:val="nil"/>
            </w:tcBorders>
            <w:shd w:val="clear" w:color="000000" w:fill="FFFFFF"/>
            <w:vAlign w:val="center"/>
            <w:hideMark/>
          </w:tcPr>
          <w:p w14:paraId="619D9DC9" w14:textId="6448CDF0" w:rsidR="00CE1397" w:rsidRPr="007B60BF" w:rsidRDefault="00CE1397" w:rsidP="00CE1397">
            <w:r w:rsidRPr="007B60BF">
              <w:t xml:space="preserve">    Variação Cambial e Monetária Passiva</w:t>
            </w:r>
          </w:p>
        </w:tc>
        <w:tc>
          <w:tcPr>
            <w:tcW w:w="1078" w:type="pct"/>
            <w:tcBorders>
              <w:top w:val="nil"/>
              <w:left w:val="nil"/>
              <w:bottom w:val="single" w:sz="4" w:space="0" w:color="auto"/>
              <w:right w:val="nil"/>
            </w:tcBorders>
            <w:shd w:val="clear" w:color="auto" w:fill="auto"/>
          </w:tcPr>
          <w:p w14:paraId="76BAFFE8" w14:textId="3BDD7B52" w:rsidR="00CE1397" w:rsidRPr="007B60BF" w:rsidRDefault="00286928" w:rsidP="00CE1397">
            <w:pPr>
              <w:jc w:val="right"/>
            </w:pPr>
            <w:r w:rsidRPr="007B60BF">
              <w:t>(3.134)</w:t>
            </w:r>
          </w:p>
        </w:tc>
        <w:tc>
          <w:tcPr>
            <w:tcW w:w="153" w:type="pct"/>
            <w:tcBorders>
              <w:top w:val="nil"/>
              <w:left w:val="nil"/>
              <w:bottom w:val="nil"/>
              <w:right w:val="nil"/>
            </w:tcBorders>
            <w:shd w:val="clear" w:color="auto" w:fill="auto"/>
            <w:vAlign w:val="center"/>
          </w:tcPr>
          <w:p w14:paraId="7EF869F4" w14:textId="77777777" w:rsidR="00CE1397" w:rsidRPr="007B60BF" w:rsidRDefault="00CE1397" w:rsidP="00CE1397"/>
        </w:tc>
        <w:tc>
          <w:tcPr>
            <w:tcW w:w="1038" w:type="pct"/>
            <w:tcBorders>
              <w:top w:val="nil"/>
              <w:left w:val="nil"/>
              <w:bottom w:val="single" w:sz="4" w:space="0" w:color="auto"/>
              <w:right w:val="nil"/>
            </w:tcBorders>
            <w:shd w:val="clear" w:color="auto" w:fill="auto"/>
          </w:tcPr>
          <w:p w14:paraId="1B05AD74" w14:textId="69200650" w:rsidR="00CE1397" w:rsidRPr="007B60BF" w:rsidRDefault="00CE1397" w:rsidP="00CE1397">
            <w:pPr>
              <w:jc w:val="right"/>
            </w:pPr>
            <w:r w:rsidRPr="007B60BF">
              <w:t>(321)</w:t>
            </w:r>
          </w:p>
        </w:tc>
      </w:tr>
      <w:tr w:rsidR="00CE1397" w:rsidRPr="007B60BF" w14:paraId="7BAB7BF2" w14:textId="77777777" w:rsidTr="00E97843">
        <w:tc>
          <w:tcPr>
            <w:tcW w:w="2731" w:type="pct"/>
            <w:tcBorders>
              <w:top w:val="nil"/>
              <w:left w:val="nil"/>
              <w:bottom w:val="nil"/>
              <w:right w:val="nil"/>
            </w:tcBorders>
            <w:shd w:val="clear" w:color="000000" w:fill="FFFFFF"/>
            <w:vAlign w:val="center"/>
            <w:hideMark/>
          </w:tcPr>
          <w:p w14:paraId="69ED5795" w14:textId="77777777" w:rsidR="00CE1397" w:rsidRPr="007B60BF" w:rsidRDefault="00CE1397" w:rsidP="00CE1397">
            <w:pPr>
              <w:rPr>
                <w:b/>
                <w:bCs/>
              </w:rPr>
            </w:pPr>
            <w:r w:rsidRPr="007B60BF">
              <w:rPr>
                <w:b/>
                <w:bCs/>
              </w:rPr>
              <w:t>Total Despesa Financeira</w:t>
            </w:r>
          </w:p>
        </w:tc>
        <w:tc>
          <w:tcPr>
            <w:tcW w:w="1078" w:type="pct"/>
            <w:tcBorders>
              <w:top w:val="single" w:sz="4" w:space="0" w:color="auto"/>
              <w:left w:val="nil"/>
              <w:bottom w:val="single" w:sz="8" w:space="0" w:color="auto"/>
              <w:right w:val="nil"/>
            </w:tcBorders>
            <w:shd w:val="clear" w:color="auto" w:fill="auto"/>
          </w:tcPr>
          <w:p w14:paraId="5145DC00" w14:textId="357305ED" w:rsidR="00CE1397" w:rsidRPr="007B60BF" w:rsidRDefault="00286928" w:rsidP="00CE1397">
            <w:pPr>
              <w:jc w:val="right"/>
              <w:rPr>
                <w:b/>
              </w:rPr>
            </w:pPr>
            <w:r w:rsidRPr="007B60BF">
              <w:rPr>
                <w:b/>
              </w:rPr>
              <w:t>(3.641)</w:t>
            </w:r>
          </w:p>
        </w:tc>
        <w:tc>
          <w:tcPr>
            <w:tcW w:w="153" w:type="pct"/>
            <w:tcBorders>
              <w:top w:val="nil"/>
              <w:left w:val="nil"/>
              <w:bottom w:val="nil"/>
              <w:right w:val="nil"/>
            </w:tcBorders>
            <w:shd w:val="clear" w:color="auto" w:fill="auto"/>
            <w:vAlign w:val="center"/>
          </w:tcPr>
          <w:p w14:paraId="0015C2EC" w14:textId="77777777" w:rsidR="00CE1397" w:rsidRPr="007B60BF" w:rsidRDefault="00CE1397" w:rsidP="00CE1397">
            <w:pPr>
              <w:rPr>
                <w:b/>
                <w:bCs/>
              </w:rPr>
            </w:pPr>
          </w:p>
        </w:tc>
        <w:tc>
          <w:tcPr>
            <w:tcW w:w="1038" w:type="pct"/>
            <w:tcBorders>
              <w:top w:val="single" w:sz="4" w:space="0" w:color="auto"/>
              <w:left w:val="nil"/>
              <w:bottom w:val="single" w:sz="8" w:space="0" w:color="auto"/>
              <w:right w:val="nil"/>
            </w:tcBorders>
            <w:shd w:val="clear" w:color="auto" w:fill="auto"/>
          </w:tcPr>
          <w:p w14:paraId="5DE37FD2" w14:textId="4D0A3264" w:rsidR="00CE1397" w:rsidRPr="007B60BF" w:rsidRDefault="00CE1397" w:rsidP="00CE1397">
            <w:pPr>
              <w:jc w:val="right"/>
              <w:rPr>
                <w:b/>
                <w:bCs/>
              </w:rPr>
            </w:pPr>
            <w:r w:rsidRPr="007B60BF">
              <w:rPr>
                <w:b/>
              </w:rPr>
              <w:t>(643)</w:t>
            </w:r>
          </w:p>
        </w:tc>
      </w:tr>
      <w:tr w:rsidR="00CE1397" w:rsidRPr="007B60BF" w14:paraId="26CF404B" w14:textId="77777777" w:rsidTr="00E97843">
        <w:tc>
          <w:tcPr>
            <w:tcW w:w="2731" w:type="pct"/>
            <w:tcBorders>
              <w:top w:val="nil"/>
              <w:left w:val="nil"/>
              <w:bottom w:val="nil"/>
              <w:right w:val="nil"/>
            </w:tcBorders>
            <w:shd w:val="clear" w:color="000000" w:fill="FFFFFF"/>
            <w:vAlign w:val="center"/>
            <w:hideMark/>
          </w:tcPr>
          <w:p w14:paraId="7CBEE686" w14:textId="77777777" w:rsidR="00CE1397" w:rsidRPr="007B60BF" w:rsidRDefault="00CE1397" w:rsidP="00CE1397">
            <w:pPr>
              <w:rPr>
                <w:b/>
                <w:bCs/>
              </w:rPr>
            </w:pPr>
            <w:r w:rsidRPr="007B60BF">
              <w:rPr>
                <w:b/>
                <w:bCs/>
              </w:rPr>
              <w:t>Saldo Contábil</w:t>
            </w:r>
          </w:p>
        </w:tc>
        <w:tc>
          <w:tcPr>
            <w:tcW w:w="1078" w:type="pct"/>
            <w:tcBorders>
              <w:top w:val="nil"/>
              <w:left w:val="nil"/>
              <w:bottom w:val="double" w:sz="6" w:space="0" w:color="auto"/>
              <w:right w:val="nil"/>
            </w:tcBorders>
            <w:shd w:val="clear" w:color="auto" w:fill="auto"/>
          </w:tcPr>
          <w:p w14:paraId="429EAD5F" w14:textId="3D4437CF" w:rsidR="00CE1397" w:rsidRPr="007B60BF" w:rsidRDefault="00286928" w:rsidP="00CE1397">
            <w:pPr>
              <w:jc w:val="right"/>
              <w:rPr>
                <w:b/>
              </w:rPr>
            </w:pPr>
            <w:r w:rsidRPr="007B60BF">
              <w:rPr>
                <w:b/>
              </w:rPr>
              <w:t>6.709</w:t>
            </w:r>
          </w:p>
        </w:tc>
        <w:tc>
          <w:tcPr>
            <w:tcW w:w="153" w:type="pct"/>
            <w:tcBorders>
              <w:top w:val="nil"/>
              <w:left w:val="nil"/>
              <w:bottom w:val="nil"/>
              <w:right w:val="nil"/>
            </w:tcBorders>
            <w:shd w:val="clear" w:color="auto" w:fill="auto"/>
            <w:vAlign w:val="center"/>
          </w:tcPr>
          <w:p w14:paraId="5C6DF7BE" w14:textId="77777777" w:rsidR="00CE1397" w:rsidRPr="007B60BF" w:rsidRDefault="00CE1397" w:rsidP="00CE1397">
            <w:pPr>
              <w:rPr>
                <w:b/>
                <w:bCs/>
              </w:rPr>
            </w:pPr>
          </w:p>
        </w:tc>
        <w:tc>
          <w:tcPr>
            <w:tcW w:w="1038" w:type="pct"/>
            <w:tcBorders>
              <w:top w:val="nil"/>
              <w:left w:val="nil"/>
              <w:bottom w:val="double" w:sz="6" w:space="0" w:color="auto"/>
              <w:right w:val="nil"/>
            </w:tcBorders>
            <w:shd w:val="clear" w:color="auto" w:fill="auto"/>
          </w:tcPr>
          <w:p w14:paraId="01C612E3" w14:textId="66277714" w:rsidR="00CE1397" w:rsidRPr="007B60BF" w:rsidRDefault="00CE1397" w:rsidP="00CE1397">
            <w:pPr>
              <w:jc w:val="right"/>
              <w:rPr>
                <w:b/>
                <w:bCs/>
              </w:rPr>
            </w:pPr>
            <w:r w:rsidRPr="007B60BF">
              <w:rPr>
                <w:b/>
              </w:rPr>
              <w:t>4.292</w:t>
            </w:r>
          </w:p>
        </w:tc>
      </w:tr>
    </w:tbl>
    <w:p w14:paraId="77E24F11" w14:textId="74C13EA2" w:rsidR="00A17D31" w:rsidRPr="007B60BF" w:rsidRDefault="00A17D31" w:rsidP="00DD7ADA">
      <w:pPr>
        <w:tabs>
          <w:tab w:val="left" w:pos="851"/>
        </w:tabs>
        <w:jc w:val="both"/>
      </w:pPr>
    </w:p>
    <w:p w14:paraId="66F9EBAA" w14:textId="4E1E58B5" w:rsidR="00C31874" w:rsidRPr="007B60BF" w:rsidRDefault="00916241" w:rsidP="00916241">
      <w:pPr>
        <w:tabs>
          <w:tab w:val="left" w:pos="851"/>
        </w:tabs>
        <w:jc w:val="both"/>
      </w:pPr>
      <w:r w:rsidRPr="007B60BF">
        <w:t>A receita financeira é reconhecida conforme o prazo decorrido pelo regime de competência, usando o m</w:t>
      </w:r>
      <w:r w:rsidR="00DC29D0" w:rsidRPr="007B60BF">
        <w:t>étodo da taxa efetiva de juros.</w:t>
      </w:r>
    </w:p>
    <w:p w14:paraId="380E48CA" w14:textId="27662C65" w:rsidR="00A56B17" w:rsidRDefault="00A56B17" w:rsidP="00916241">
      <w:pPr>
        <w:tabs>
          <w:tab w:val="left" w:pos="851"/>
        </w:tabs>
        <w:jc w:val="both"/>
      </w:pPr>
    </w:p>
    <w:p w14:paraId="33EA30C6" w14:textId="77777777" w:rsidR="00074139" w:rsidRDefault="00074139">
      <w:bookmarkStart w:id="73" w:name="_Toc97550845"/>
      <w:bookmarkStart w:id="74" w:name="_Toc128062948"/>
      <w:bookmarkStart w:id="75" w:name="_Toc159939240"/>
      <w:bookmarkStart w:id="76" w:name="_Toc192082757"/>
      <w:bookmarkStart w:id="77" w:name="_Toc223007871"/>
      <w:r>
        <w:rPr>
          <w:b/>
        </w:rPr>
        <w:br w:type="page"/>
      </w:r>
    </w:p>
    <w:p w14:paraId="16BB3882" w14:textId="2BCEB45D" w:rsidR="00CE1397" w:rsidRPr="008F1108" w:rsidRDefault="00CE1397" w:rsidP="00086B22">
      <w:pPr>
        <w:pStyle w:val="Ttulo1"/>
        <w:numPr>
          <w:ilvl w:val="0"/>
          <w:numId w:val="5"/>
        </w:numPr>
        <w:ind w:left="0" w:hanging="567"/>
        <w:jc w:val="left"/>
      </w:pPr>
      <w:r w:rsidRPr="008F1108">
        <w:lastRenderedPageBreak/>
        <w:t>Partes Relacionadas</w:t>
      </w:r>
      <w:bookmarkEnd w:id="73"/>
      <w:bookmarkEnd w:id="74"/>
      <w:bookmarkEnd w:id="75"/>
      <w:bookmarkEnd w:id="76"/>
      <w:bookmarkEnd w:id="77"/>
    </w:p>
    <w:p w14:paraId="27738701" w14:textId="77777777" w:rsidR="00CE1397" w:rsidRPr="008F1108" w:rsidRDefault="00CE1397" w:rsidP="00CE1397"/>
    <w:p w14:paraId="160EF88C" w14:textId="77777777" w:rsidR="00CE1397" w:rsidRPr="008F1108" w:rsidRDefault="00CE1397" w:rsidP="00CE1397">
      <w:pPr>
        <w:tabs>
          <w:tab w:val="left" w:pos="851"/>
        </w:tabs>
        <w:jc w:val="both"/>
      </w:pPr>
      <w:r w:rsidRPr="008F1108">
        <w:t>Os saldos contábeis e as transações relativas a operações com partes relacionadas decorrem de transações da instituição com outra pessoa ou entidade que se enquadre na definição de parte relacionada constante na Política Institucional do HCPA.</w:t>
      </w:r>
    </w:p>
    <w:p w14:paraId="5761DBC3" w14:textId="77777777" w:rsidR="00CE1397" w:rsidRPr="008F1108" w:rsidRDefault="00CE1397" w:rsidP="00CE1397">
      <w:pPr>
        <w:tabs>
          <w:tab w:val="left" w:pos="851"/>
        </w:tabs>
        <w:jc w:val="both"/>
      </w:pPr>
    </w:p>
    <w:p w14:paraId="6038BDED" w14:textId="77777777" w:rsidR="00CE1397" w:rsidRPr="008F1108" w:rsidRDefault="00CE1397" w:rsidP="00086B22">
      <w:pPr>
        <w:pStyle w:val="Subttulo"/>
        <w:numPr>
          <w:ilvl w:val="1"/>
          <w:numId w:val="6"/>
        </w:numPr>
        <w:spacing w:line="228" w:lineRule="auto"/>
        <w:ind w:left="0" w:hanging="709"/>
      </w:pPr>
      <w:r w:rsidRPr="008F1108">
        <w:t>Valores Recebidos</w:t>
      </w:r>
    </w:p>
    <w:p w14:paraId="7BDB1120" w14:textId="77777777" w:rsidR="00CE1397" w:rsidRPr="008F1108" w:rsidRDefault="00CE1397" w:rsidP="00CE1397">
      <w:pPr>
        <w:tabs>
          <w:tab w:val="left" w:pos="851"/>
        </w:tabs>
        <w:jc w:val="both"/>
      </w:pPr>
    </w:p>
    <w:p w14:paraId="5E6B5CC9" w14:textId="77777777" w:rsidR="0013341B" w:rsidRPr="008F1108" w:rsidRDefault="00CE1397" w:rsidP="0013341B">
      <w:pPr>
        <w:tabs>
          <w:tab w:val="left" w:pos="851"/>
        </w:tabs>
        <w:jc w:val="both"/>
      </w:pPr>
      <w:r w:rsidRPr="008F1108">
        <w:rPr>
          <w:u w:val="single"/>
        </w:rPr>
        <w:t>Banco do Brasil</w:t>
      </w:r>
      <w:r w:rsidRPr="008F1108">
        <w:t xml:space="preserve">: Sociedade de Economia Mista, constituída por capital público e privado. Efetuou pagamentos relativos ao gerenciamento de créditos provenientes da folha de pagamento dos empregados do HCPA. </w:t>
      </w:r>
      <w:r w:rsidR="0013341B" w:rsidRPr="008F1108">
        <w:t>Em 2025, o montante foi de R$ 3.545 (2024: R$ 3.348).</w:t>
      </w:r>
    </w:p>
    <w:p w14:paraId="3B647098" w14:textId="18C1D093" w:rsidR="00CE1397" w:rsidRPr="008F1108" w:rsidRDefault="00CE1397" w:rsidP="00CE1397">
      <w:pPr>
        <w:tabs>
          <w:tab w:val="left" w:pos="851"/>
        </w:tabs>
        <w:jc w:val="both"/>
      </w:pPr>
    </w:p>
    <w:p w14:paraId="69438764" w14:textId="2CF279EA" w:rsidR="0013341B" w:rsidRPr="008F1108" w:rsidRDefault="00CE1397" w:rsidP="0013341B">
      <w:pPr>
        <w:tabs>
          <w:tab w:val="left" w:pos="851"/>
        </w:tabs>
        <w:jc w:val="both"/>
      </w:pPr>
      <w:r w:rsidRPr="008F1108">
        <w:rPr>
          <w:u w:val="single"/>
        </w:rPr>
        <w:t>Fundação Médica do Estado do RS</w:t>
      </w:r>
      <w:r w:rsidRPr="008F1108">
        <w:t xml:space="preserve">: Legalmente constituída como fundação de apoio desta entidade nos projetos de pesquisa, ensino e extensão, desenvolvimento institucional, científico e tecnológico e fomento à inovação, perante o Ministério da Educação e o Ministério da Ciência, Tecnologia, Inovações e Comunicações. </w:t>
      </w:r>
      <w:r w:rsidR="0013341B" w:rsidRPr="008F1108">
        <w:t>Em 2025, o HCPA faturou o total de R$ 11.241 referente a contas hospitalares e repasses de projetos de pesquisa (2024: R$ 53.844). As receitas com doações recebidas em 2025 foram de R$ 188 (2024: R$ 1.402).</w:t>
      </w:r>
    </w:p>
    <w:p w14:paraId="15EEC69A" w14:textId="2F1368D1" w:rsidR="00CE1397" w:rsidRPr="008F1108" w:rsidRDefault="00CE1397" w:rsidP="00CE1397">
      <w:pPr>
        <w:tabs>
          <w:tab w:val="left" w:pos="851"/>
        </w:tabs>
        <w:jc w:val="both"/>
      </w:pPr>
    </w:p>
    <w:p w14:paraId="0445CCE1" w14:textId="77777777" w:rsidR="00CE1397" w:rsidRPr="008F1108" w:rsidRDefault="00CE1397" w:rsidP="00086B22">
      <w:pPr>
        <w:pStyle w:val="Subttulo"/>
        <w:numPr>
          <w:ilvl w:val="1"/>
          <w:numId w:val="6"/>
        </w:numPr>
        <w:spacing w:line="228" w:lineRule="auto"/>
        <w:ind w:left="0" w:hanging="709"/>
      </w:pPr>
      <w:r w:rsidRPr="008F1108">
        <w:t>Valores Pagos</w:t>
      </w:r>
    </w:p>
    <w:p w14:paraId="04D1796E" w14:textId="77777777" w:rsidR="00CE1397" w:rsidRPr="008F1108" w:rsidRDefault="00CE1397" w:rsidP="00CE1397">
      <w:pPr>
        <w:tabs>
          <w:tab w:val="left" w:pos="851"/>
        </w:tabs>
        <w:jc w:val="both"/>
      </w:pPr>
    </w:p>
    <w:p w14:paraId="732C3272" w14:textId="77777777" w:rsidR="00CE1397" w:rsidRPr="008F1108" w:rsidRDefault="00CE1397" w:rsidP="00CE1397">
      <w:pPr>
        <w:tabs>
          <w:tab w:val="left" w:pos="851"/>
        </w:tabs>
        <w:jc w:val="both"/>
      </w:pPr>
      <w:r w:rsidRPr="008F1108">
        <w:t>Abaixo demonstramos os totais pagos no exercício, caracterizados como partes relacionadas da instituição:</w:t>
      </w:r>
    </w:p>
    <w:p w14:paraId="0198362E" w14:textId="77777777" w:rsidR="00CE1397" w:rsidRPr="008F1108" w:rsidRDefault="00CE1397" w:rsidP="00CE1397">
      <w:pPr>
        <w:tabs>
          <w:tab w:val="left" w:pos="851"/>
        </w:tabs>
        <w:jc w:val="both"/>
      </w:pPr>
    </w:p>
    <w:tbl>
      <w:tblPr>
        <w:tblW w:w="9017" w:type="dxa"/>
        <w:tblInd w:w="55" w:type="dxa"/>
        <w:tblCellMar>
          <w:left w:w="70" w:type="dxa"/>
          <w:right w:w="70" w:type="dxa"/>
        </w:tblCellMar>
        <w:tblLook w:val="04A0" w:firstRow="1" w:lastRow="0" w:firstColumn="1" w:lastColumn="0" w:noHBand="0" w:noVBand="1"/>
      </w:tblPr>
      <w:tblGrid>
        <w:gridCol w:w="5757"/>
        <w:gridCol w:w="1559"/>
        <w:gridCol w:w="284"/>
        <w:gridCol w:w="1417"/>
      </w:tblGrid>
      <w:tr w:rsidR="0063648E" w:rsidRPr="008F1108" w14:paraId="4DCC14C8" w14:textId="77777777" w:rsidTr="00A917FF">
        <w:trPr>
          <w:trHeight w:val="255"/>
        </w:trPr>
        <w:tc>
          <w:tcPr>
            <w:tcW w:w="5757" w:type="dxa"/>
            <w:shd w:val="clear" w:color="auto" w:fill="FFFFFF"/>
            <w:noWrap/>
            <w:vAlign w:val="bottom"/>
          </w:tcPr>
          <w:p w14:paraId="47633271" w14:textId="390F14CA" w:rsidR="0063648E" w:rsidRPr="008F1108" w:rsidRDefault="0063648E" w:rsidP="0063648E">
            <w:pPr>
              <w:jc w:val="right"/>
              <w:rPr>
                <w:b/>
              </w:rPr>
            </w:pPr>
            <w:r w:rsidRPr="008F1108">
              <w:rPr>
                <w:b/>
              </w:rPr>
              <w:t> </w:t>
            </w:r>
          </w:p>
        </w:tc>
        <w:tc>
          <w:tcPr>
            <w:tcW w:w="1559" w:type="dxa"/>
            <w:tcBorders>
              <w:top w:val="nil"/>
              <w:left w:val="nil"/>
              <w:bottom w:val="single" w:sz="4" w:space="0" w:color="auto"/>
              <w:right w:val="nil"/>
            </w:tcBorders>
            <w:noWrap/>
            <w:hideMark/>
          </w:tcPr>
          <w:p w14:paraId="4392E794" w14:textId="3A0E5DBA" w:rsidR="0063648E" w:rsidRPr="008F1108" w:rsidRDefault="0063648E" w:rsidP="0063648E">
            <w:pPr>
              <w:jc w:val="right"/>
              <w:rPr>
                <w:b/>
                <w:bCs/>
              </w:rPr>
            </w:pPr>
            <w:r w:rsidRPr="008F1108">
              <w:rPr>
                <w:b/>
              </w:rPr>
              <w:t>2025</w:t>
            </w:r>
          </w:p>
        </w:tc>
        <w:tc>
          <w:tcPr>
            <w:tcW w:w="284" w:type="dxa"/>
            <w:shd w:val="clear" w:color="auto" w:fill="FFFFFF"/>
          </w:tcPr>
          <w:p w14:paraId="75CAE57D" w14:textId="77777777" w:rsidR="0063648E" w:rsidRPr="008F1108" w:rsidRDefault="0063648E" w:rsidP="0063648E">
            <w:pPr>
              <w:jc w:val="right"/>
              <w:rPr>
                <w:b/>
                <w:bCs/>
              </w:rPr>
            </w:pPr>
          </w:p>
        </w:tc>
        <w:tc>
          <w:tcPr>
            <w:tcW w:w="1417" w:type="dxa"/>
            <w:tcBorders>
              <w:top w:val="nil"/>
              <w:left w:val="nil"/>
              <w:bottom w:val="single" w:sz="4" w:space="0" w:color="auto"/>
              <w:right w:val="nil"/>
            </w:tcBorders>
            <w:shd w:val="clear" w:color="auto" w:fill="FFFFFF"/>
            <w:noWrap/>
            <w:hideMark/>
          </w:tcPr>
          <w:p w14:paraId="03D2EC9E" w14:textId="14E6A37F" w:rsidR="0063648E" w:rsidRPr="008F1108" w:rsidRDefault="0063648E" w:rsidP="0063648E">
            <w:pPr>
              <w:jc w:val="right"/>
              <w:rPr>
                <w:b/>
                <w:bCs/>
              </w:rPr>
            </w:pPr>
            <w:r w:rsidRPr="008F1108">
              <w:rPr>
                <w:b/>
              </w:rPr>
              <w:t>2024</w:t>
            </w:r>
          </w:p>
        </w:tc>
      </w:tr>
      <w:tr w:rsidR="0063648E" w:rsidRPr="008F1108" w14:paraId="3DA30D7D" w14:textId="77777777" w:rsidTr="00A917FF">
        <w:trPr>
          <w:trHeight w:val="255"/>
        </w:trPr>
        <w:tc>
          <w:tcPr>
            <w:tcW w:w="5757" w:type="dxa"/>
            <w:shd w:val="clear" w:color="auto" w:fill="FFFFFF"/>
            <w:noWrap/>
            <w:vAlign w:val="bottom"/>
            <w:hideMark/>
          </w:tcPr>
          <w:p w14:paraId="29461D04" w14:textId="77B7C441" w:rsidR="0063648E" w:rsidRPr="008F1108" w:rsidRDefault="0063648E" w:rsidP="0063648E">
            <w:r w:rsidRPr="008F1108">
              <w:t>Comissão Nacional de Energia Nuclear - IPEN</w:t>
            </w:r>
          </w:p>
        </w:tc>
        <w:tc>
          <w:tcPr>
            <w:tcW w:w="1559" w:type="dxa"/>
            <w:shd w:val="clear" w:color="auto" w:fill="FFFFFF" w:themeFill="background1"/>
            <w:noWrap/>
          </w:tcPr>
          <w:p w14:paraId="01D3EC90" w14:textId="3B179E0D" w:rsidR="0063648E" w:rsidRPr="008F1108" w:rsidRDefault="0063648E" w:rsidP="0063648E">
            <w:pPr>
              <w:jc w:val="right"/>
            </w:pPr>
            <w:r w:rsidRPr="008F1108">
              <w:t>495</w:t>
            </w:r>
          </w:p>
        </w:tc>
        <w:tc>
          <w:tcPr>
            <w:tcW w:w="284" w:type="dxa"/>
            <w:shd w:val="clear" w:color="auto" w:fill="FFFFFF" w:themeFill="background1"/>
          </w:tcPr>
          <w:p w14:paraId="3A26F614" w14:textId="77777777" w:rsidR="0063648E" w:rsidRPr="008F1108" w:rsidRDefault="0063648E" w:rsidP="0063648E">
            <w:pPr>
              <w:jc w:val="right"/>
            </w:pPr>
          </w:p>
        </w:tc>
        <w:tc>
          <w:tcPr>
            <w:tcW w:w="1417" w:type="dxa"/>
            <w:shd w:val="clear" w:color="auto" w:fill="FFFFFF" w:themeFill="background1"/>
            <w:noWrap/>
            <w:hideMark/>
          </w:tcPr>
          <w:p w14:paraId="03BB25BA" w14:textId="5743C3C5" w:rsidR="0063648E" w:rsidRPr="008F1108" w:rsidRDefault="0063648E" w:rsidP="0063648E">
            <w:pPr>
              <w:jc w:val="right"/>
            </w:pPr>
            <w:r w:rsidRPr="008F1108">
              <w:t>412</w:t>
            </w:r>
          </w:p>
        </w:tc>
      </w:tr>
      <w:tr w:rsidR="0063648E" w:rsidRPr="008F1108" w14:paraId="12BC7267" w14:textId="77777777" w:rsidTr="00A917FF">
        <w:trPr>
          <w:trHeight w:val="255"/>
        </w:trPr>
        <w:tc>
          <w:tcPr>
            <w:tcW w:w="5757" w:type="dxa"/>
            <w:shd w:val="clear" w:color="auto" w:fill="FFFFFF"/>
            <w:noWrap/>
            <w:vAlign w:val="bottom"/>
            <w:hideMark/>
          </w:tcPr>
          <w:p w14:paraId="334941BD" w14:textId="4E35C964" w:rsidR="0063648E" w:rsidRPr="008F1108" w:rsidRDefault="0063648E" w:rsidP="0063648E">
            <w:r w:rsidRPr="008F1108">
              <w:t>Fundação Médica do Estado do RS</w:t>
            </w:r>
          </w:p>
        </w:tc>
        <w:tc>
          <w:tcPr>
            <w:tcW w:w="1559" w:type="dxa"/>
            <w:noWrap/>
          </w:tcPr>
          <w:p w14:paraId="1C6BB486" w14:textId="28B987A2" w:rsidR="0063648E" w:rsidRPr="008F1108" w:rsidRDefault="0063648E" w:rsidP="0063648E">
            <w:pPr>
              <w:jc w:val="right"/>
            </w:pPr>
            <w:r w:rsidRPr="008F1108">
              <w:t>374</w:t>
            </w:r>
          </w:p>
        </w:tc>
        <w:tc>
          <w:tcPr>
            <w:tcW w:w="284" w:type="dxa"/>
            <w:shd w:val="clear" w:color="auto" w:fill="FFFFFF" w:themeFill="background1"/>
          </w:tcPr>
          <w:p w14:paraId="6AF92961" w14:textId="77777777" w:rsidR="0063648E" w:rsidRPr="008F1108" w:rsidRDefault="0063648E" w:rsidP="0063648E">
            <w:pPr>
              <w:jc w:val="right"/>
            </w:pPr>
          </w:p>
        </w:tc>
        <w:tc>
          <w:tcPr>
            <w:tcW w:w="1417" w:type="dxa"/>
            <w:shd w:val="clear" w:color="auto" w:fill="FFFFFF" w:themeFill="background1"/>
            <w:noWrap/>
            <w:hideMark/>
          </w:tcPr>
          <w:p w14:paraId="73B570FC" w14:textId="2413757D" w:rsidR="0063648E" w:rsidRPr="008F1108" w:rsidRDefault="0063648E" w:rsidP="0063648E">
            <w:pPr>
              <w:jc w:val="right"/>
            </w:pPr>
            <w:r w:rsidRPr="008F1108">
              <w:t>475</w:t>
            </w:r>
          </w:p>
        </w:tc>
      </w:tr>
      <w:tr w:rsidR="0063648E" w:rsidRPr="008F1108" w14:paraId="76C440CE" w14:textId="77777777" w:rsidTr="00A917FF">
        <w:trPr>
          <w:trHeight w:val="255"/>
        </w:trPr>
        <w:tc>
          <w:tcPr>
            <w:tcW w:w="5757" w:type="dxa"/>
            <w:shd w:val="clear" w:color="auto" w:fill="FFFFFF"/>
            <w:noWrap/>
            <w:vAlign w:val="bottom"/>
            <w:hideMark/>
          </w:tcPr>
          <w:p w14:paraId="627DA0D3" w14:textId="1C871E47" w:rsidR="0063648E" w:rsidRPr="008F1108" w:rsidRDefault="0063648E" w:rsidP="0063648E">
            <w:r w:rsidRPr="008F1108">
              <w:t>Empresa Brasil de Comunicação</w:t>
            </w:r>
          </w:p>
        </w:tc>
        <w:tc>
          <w:tcPr>
            <w:tcW w:w="1559" w:type="dxa"/>
            <w:shd w:val="clear" w:color="auto" w:fill="FFFFFF" w:themeFill="background1"/>
            <w:noWrap/>
          </w:tcPr>
          <w:p w14:paraId="088F9C77" w14:textId="72849410" w:rsidR="0063648E" w:rsidRPr="008F1108" w:rsidRDefault="0063648E" w:rsidP="0063648E">
            <w:pPr>
              <w:jc w:val="right"/>
            </w:pPr>
            <w:r w:rsidRPr="008F1108">
              <w:t>24</w:t>
            </w:r>
          </w:p>
        </w:tc>
        <w:tc>
          <w:tcPr>
            <w:tcW w:w="284" w:type="dxa"/>
            <w:shd w:val="clear" w:color="auto" w:fill="FFFFFF" w:themeFill="background1"/>
          </w:tcPr>
          <w:p w14:paraId="08724498" w14:textId="77777777" w:rsidR="0063648E" w:rsidRPr="008F1108" w:rsidRDefault="0063648E" w:rsidP="0063648E">
            <w:pPr>
              <w:jc w:val="right"/>
            </w:pPr>
          </w:p>
        </w:tc>
        <w:tc>
          <w:tcPr>
            <w:tcW w:w="1417" w:type="dxa"/>
            <w:shd w:val="clear" w:color="auto" w:fill="FFFFFF" w:themeFill="background1"/>
            <w:noWrap/>
            <w:hideMark/>
          </w:tcPr>
          <w:p w14:paraId="22BE3A03" w14:textId="6FB2B25F" w:rsidR="0063648E" w:rsidRPr="008F1108" w:rsidRDefault="0063648E" w:rsidP="0063648E">
            <w:pPr>
              <w:jc w:val="right"/>
            </w:pPr>
            <w:r w:rsidRPr="008F1108">
              <w:t>27</w:t>
            </w:r>
          </w:p>
        </w:tc>
      </w:tr>
      <w:tr w:rsidR="0063648E" w:rsidRPr="008F1108" w14:paraId="4A0D8EF3" w14:textId="77777777" w:rsidTr="00A917FF">
        <w:trPr>
          <w:trHeight w:val="255"/>
        </w:trPr>
        <w:tc>
          <w:tcPr>
            <w:tcW w:w="5757" w:type="dxa"/>
            <w:shd w:val="clear" w:color="auto" w:fill="FFFFFF"/>
            <w:noWrap/>
            <w:vAlign w:val="bottom"/>
            <w:hideMark/>
          </w:tcPr>
          <w:p w14:paraId="61F7161F" w14:textId="6A9C0F9B" w:rsidR="0063648E" w:rsidRPr="008F1108" w:rsidRDefault="0063648E" w:rsidP="0063648E">
            <w:r w:rsidRPr="008F1108">
              <w:t>Outras</w:t>
            </w:r>
          </w:p>
        </w:tc>
        <w:tc>
          <w:tcPr>
            <w:tcW w:w="1559" w:type="dxa"/>
            <w:tcBorders>
              <w:bottom w:val="single" w:sz="4" w:space="0" w:color="auto"/>
            </w:tcBorders>
            <w:shd w:val="clear" w:color="auto" w:fill="FFFFFF" w:themeFill="background1"/>
            <w:noWrap/>
          </w:tcPr>
          <w:p w14:paraId="5F1883B1" w14:textId="72A60199" w:rsidR="0063648E" w:rsidRPr="008F1108" w:rsidRDefault="0063648E" w:rsidP="0063648E">
            <w:pPr>
              <w:jc w:val="right"/>
            </w:pPr>
            <w:r w:rsidRPr="008F1108">
              <w:t>3</w:t>
            </w:r>
          </w:p>
        </w:tc>
        <w:tc>
          <w:tcPr>
            <w:tcW w:w="284" w:type="dxa"/>
            <w:shd w:val="clear" w:color="auto" w:fill="FFFFFF" w:themeFill="background1"/>
          </w:tcPr>
          <w:p w14:paraId="4A8114BC" w14:textId="77777777" w:rsidR="0063648E" w:rsidRPr="008F1108" w:rsidRDefault="0063648E" w:rsidP="0063648E">
            <w:pPr>
              <w:jc w:val="right"/>
            </w:pPr>
          </w:p>
        </w:tc>
        <w:tc>
          <w:tcPr>
            <w:tcW w:w="1417" w:type="dxa"/>
            <w:tcBorders>
              <w:bottom w:val="single" w:sz="4" w:space="0" w:color="auto"/>
            </w:tcBorders>
            <w:shd w:val="clear" w:color="auto" w:fill="FFFFFF" w:themeFill="background1"/>
            <w:noWrap/>
            <w:hideMark/>
          </w:tcPr>
          <w:p w14:paraId="55055EAA" w14:textId="1CD3537E" w:rsidR="0063648E" w:rsidRPr="008F1108" w:rsidRDefault="0063648E" w:rsidP="0063648E">
            <w:pPr>
              <w:jc w:val="right"/>
            </w:pPr>
            <w:r w:rsidRPr="008F1108">
              <w:t>1</w:t>
            </w:r>
          </w:p>
        </w:tc>
      </w:tr>
      <w:tr w:rsidR="0063648E" w:rsidRPr="008F1108" w14:paraId="69F85FFC" w14:textId="77777777" w:rsidTr="00A917FF">
        <w:trPr>
          <w:trHeight w:val="255"/>
        </w:trPr>
        <w:tc>
          <w:tcPr>
            <w:tcW w:w="5757" w:type="dxa"/>
            <w:shd w:val="clear" w:color="auto" w:fill="FFFFFF"/>
            <w:noWrap/>
            <w:vAlign w:val="bottom"/>
            <w:hideMark/>
          </w:tcPr>
          <w:p w14:paraId="0531EF66" w14:textId="3A08C79A" w:rsidR="0063648E" w:rsidRPr="008F1108" w:rsidRDefault="0063648E" w:rsidP="0063648E">
            <w:pPr>
              <w:rPr>
                <w:b/>
              </w:rPr>
            </w:pPr>
            <w:r w:rsidRPr="008F1108">
              <w:rPr>
                <w:b/>
              </w:rPr>
              <w:t>Total</w:t>
            </w:r>
          </w:p>
        </w:tc>
        <w:tc>
          <w:tcPr>
            <w:tcW w:w="1559" w:type="dxa"/>
            <w:tcBorders>
              <w:top w:val="single" w:sz="4" w:space="0" w:color="auto"/>
              <w:left w:val="nil"/>
              <w:bottom w:val="double" w:sz="4" w:space="0" w:color="auto"/>
              <w:right w:val="nil"/>
            </w:tcBorders>
            <w:shd w:val="clear" w:color="auto" w:fill="FFFFFF"/>
            <w:noWrap/>
          </w:tcPr>
          <w:p w14:paraId="67B9DDD7" w14:textId="50C80D9B" w:rsidR="0063648E" w:rsidRPr="008F1108" w:rsidRDefault="0063648E" w:rsidP="0063648E">
            <w:pPr>
              <w:jc w:val="right"/>
              <w:rPr>
                <w:b/>
                <w:bCs/>
              </w:rPr>
            </w:pPr>
            <w:r w:rsidRPr="008F1108">
              <w:rPr>
                <w:b/>
                <w:bCs/>
              </w:rPr>
              <w:t>896</w:t>
            </w:r>
          </w:p>
        </w:tc>
        <w:tc>
          <w:tcPr>
            <w:tcW w:w="284" w:type="dxa"/>
            <w:shd w:val="clear" w:color="auto" w:fill="FFFFFF"/>
          </w:tcPr>
          <w:p w14:paraId="60806D60" w14:textId="77777777" w:rsidR="0063648E" w:rsidRPr="008F1108" w:rsidRDefault="0063648E" w:rsidP="0063648E">
            <w:pPr>
              <w:jc w:val="right"/>
              <w:rPr>
                <w:b/>
                <w:bCs/>
              </w:rPr>
            </w:pPr>
          </w:p>
        </w:tc>
        <w:tc>
          <w:tcPr>
            <w:tcW w:w="1417" w:type="dxa"/>
            <w:tcBorders>
              <w:top w:val="single" w:sz="4" w:space="0" w:color="auto"/>
              <w:left w:val="nil"/>
              <w:bottom w:val="double" w:sz="4" w:space="0" w:color="auto"/>
              <w:right w:val="nil"/>
            </w:tcBorders>
            <w:shd w:val="clear" w:color="auto" w:fill="FFFFFF"/>
            <w:noWrap/>
            <w:hideMark/>
          </w:tcPr>
          <w:p w14:paraId="39F0E7C6" w14:textId="243877D3" w:rsidR="0063648E" w:rsidRPr="008F1108" w:rsidRDefault="0063648E" w:rsidP="0063648E">
            <w:pPr>
              <w:jc w:val="right"/>
              <w:rPr>
                <w:b/>
                <w:bCs/>
              </w:rPr>
            </w:pPr>
            <w:r w:rsidRPr="008F1108">
              <w:rPr>
                <w:b/>
              </w:rPr>
              <w:t>915</w:t>
            </w:r>
          </w:p>
        </w:tc>
      </w:tr>
    </w:tbl>
    <w:p w14:paraId="78872434" w14:textId="77777777" w:rsidR="00CE1397" w:rsidRPr="008F1108" w:rsidRDefault="00CE1397" w:rsidP="00CE1397">
      <w:pPr>
        <w:tabs>
          <w:tab w:val="left" w:pos="851"/>
        </w:tabs>
        <w:jc w:val="both"/>
      </w:pPr>
    </w:p>
    <w:p w14:paraId="2B5C8911" w14:textId="74067D8C" w:rsidR="006855FF" w:rsidRPr="007B60BF" w:rsidRDefault="006855FF" w:rsidP="006855FF">
      <w:pPr>
        <w:tabs>
          <w:tab w:val="left" w:pos="851"/>
        </w:tabs>
        <w:jc w:val="both"/>
      </w:pPr>
      <w:r w:rsidRPr="008F1108">
        <w:t xml:space="preserve">O valor de R$ 495 pago à Comissão Nacional de Energia Elétrica, autarquia federal vinculada ao Ministério da Ciência, Tecnologia e </w:t>
      </w:r>
      <w:r w:rsidRPr="007B60BF">
        <w:t xml:space="preserve">Inovação (MCTI), refere-se ao fornecimento de insumos nucleares utilizados em exames médicos. O valor de R$ 374, pago à Fundação Médica do Estado do RS, refere-se à contratação da entidade como apoio ao hospital em projetos de ensino, extensão e de desenvolvimento institucional, científico e tecnológico. </w:t>
      </w:r>
    </w:p>
    <w:p w14:paraId="5052D346" w14:textId="28F47C11" w:rsidR="00CE1397" w:rsidRDefault="00CE1397"/>
    <w:p w14:paraId="46486653" w14:textId="77777777" w:rsidR="00074139" w:rsidRPr="007B60BF" w:rsidRDefault="00074139"/>
    <w:p w14:paraId="6444614B" w14:textId="5E66E3B4" w:rsidR="001045BD" w:rsidRPr="007B60BF" w:rsidRDefault="001045BD" w:rsidP="00086B22">
      <w:pPr>
        <w:pStyle w:val="Ttulo1"/>
        <w:numPr>
          <w:ilvl w:val="0"/>
          <w:numId w:val="5"/>
        </w:numPr>
        <w:ind w:left="0" w:hanging="567"/>
        <w:jc w:val="left"/>
      </w:pPr>
      <w:bookmarkStart w:id="78" w:name="_Toc223007872"/>
      <w:r w:rsidRPr="007B60BF">
        <w:t>Seguros de Riscos</w:t>
      </w:r>
      <w:bookmarkEnd w:id="78"/>
      <w:r w:rsidR="00923D20" w:rsidRPr="007B60BF">
        <w:t xml:space="preserve"> </w:t>
      </w:r>
    </w:p>
    <w:p w14:paraId="2E555583" w14:textId="77777777" w:rsidR="003177BD" w:rsidRPr="007B60BF" w:rsidRDefault="003177BD" w:rsidP="001045BD">
      <w:pPr>
        <w:tabs>
          <w:tab w:val="left" w:pos="851"/>
        </w:tabs>
        <w:jc w:val="both"/>
        <w:rPr>
          <w:b/>
        </w:rPr>
      </w:pPr>
    </w:p>
    <w:p w14:paraId="1ABE3F36" w14:textId="77777777" w:rsidR="008602D8" w:rsidRPr="007B60BF" w:rsidRDefault="008602D8" w:rsidP="008602D8">
      <w:pPr>
        <w:tabs>
          <w:tab w:val="left" w:pos="851"/>
        </w:tabs>
        <w:jc w:val="both"/>
      </w:pPr>
      <w:r w:rsidRPr="007B60BF">
        <w:t>Incêndio Vultoso e Riscos Nomeados:</w:t>
      </w:r>
    </w:p>
    <w:p w14:paraId="0F8BAC13" w14:textId="5C5EC973" w:rsidR="008602D8" w:rsidRPr="008F1108" w:rsidRDefault="008602D8" w:rsidP="008602D8">
      <w:pPr>
        <w:tabs>
          <w:tab w:val="left" w:pos="851"/>
        </w:tabs>
        <w:jc w:val="both"/>
      </w:pPr>
      <w:r w:rsidRPr="007B60BF">
        <w:t xml:space="preserve">A cobertura garante o pagamento de indenização pelos </w:t>
      </w:r>
      <w:r w:rsidRPr="008F1108">
        <w:t>prejuízos de incêndio, queda de raio, explosão de qualquer natureza e outros riscos nomeados na apólice para os imóveis, construções em andamento, instalações, mercadorias, máquinas e equipamentos, móveis e utensílios e bens de terceiros em poder do HCPA. A importância segurada</w:t>
      </w:r>
      <w:r w:rsidR="005B5A17" w:rsidRPr="008F1108">
        <w:t xml:space="preserve"> com a empresa AIG Seguros Brasil S.A</w:t>
      </w:r>
      <w:r w:rsidR="00A240B5" w:rsidRPr="008F1108">
        <w:t>, referente à cobertura básica,</w:t>
      </w:r>
      <w:r w:rsidRPr="008F1108">
        <w:t xml:space="preserve"> é de R$ </w:t>
      </w:r>
      <w:r w:rsidR="005F3A8E" w:rsidRPr="008F1108">
        <w:t>8</w:t>
      </w:r>
      <w:r w:rsidR="005A5CBB" w:rsidRPr="008F1108">
        <w:t>70</w:t>
      </w:r>
      <w:r w:rsidR="005B5A17" w:rsidRPr="008F1108">
        <w:t>.</w:t>
      </w:r>
      <w:r w:rsidR="005A5CBB" w:rsidRPr="008F1108">
        <w:t>548</w:t>
      </w:r>
      <w:r w:rsidR="005B5A17" w:rsidRPr="008F1108">
        <w:t xml:space="preserve"> </w:t>
      </w:r>
      <w:r w:rsidRPr="008F1108">
        <w:t xml:space="preserve">e a vigência da apólice é de 01 de </w:t>
      </w:r>
      <w:r w:rsidR="005B5A17" w:rsidRPr="008F1108">
        <w:t>agosto</w:t>
      </w:r>
      <w:r w:rsidRPr="008F1108">
        <w:t xml:space="preserve"> de </w:t>
      </w:r>
      <w:r w:rsidR="00C96BA3" w:rsidRPr="008F1108">
        <w:t>20</w:t>
      </w:r>
      <w:r w:rsidR="005B5A17" w:rsidRPr="008F1108">
        <w:t>2</w:t>
      </w:r>
      <w:r w:rsidR="005A5CBB" w:rsidRPr="008F1108">
        <w:t>5</w:t>
      </w:r>
      <w:r w:rsidRPr="008F1108">
        <w:t xml:space="preserve"> a 01 de </w:t>
      </w:r>
      <w:r w:rsidR="005B5A17" w:rsidRPr="008F1108">
        <w:t>agosto</w:t>
      </w:r>
      <w:r w:rsidRPr="008F1108">
        <w:t xml:space="preserve"> de 20</w:t>
      </w:r>
      <w:r w:rsidR="00B14B0D" w:rsidRPr="008F1108">
        <w:t>2</w:t>
      </w:r>
      <w:r w:rsidR="005A5CBB" w:rsidRPr="008F1108">
        <w:t>6</w:t>
      </w:r>
      <w:r w:rsidRPr="008F1108">
        <w:t>.</w:t>
      </w:r>
    </w:p>
    <w:p w14:paraId="1FA7A090" w14:textId="1792CB1D" w:rsidR="00597F9D" w:rsidRPr="008F1108" w:rsidRDefault="00597F9D"/>
    <w:p w14:paraId="6482CAAB" w14:textId="009999A3" w:rsidR="008602D8" w:rsidRPr="008F1108" w:rsidRDefault="008602D8" w:rsidP="005B5A17">
      <w:pPr>
        <w:tabs>
          <w:tab w:val="left" w:pos="851"/>
        </w:tabs>
        <w:jc w:val="both"/>
      </w:pPr>
      <w:r w:rsidRPr="008F1108">
        <w:t>Responsabilidade Civil:</w:t>
      </w:r>
    </w:p>
    <w:p w14:paraId="7B33A3E8" w14:textId="719DB575" w:rsidR="008D623E" w:rsidRPr="008F1108" w:rsidRDefault="008602D8" w:rsidP="005B5A17">
      <w:pPr>
        <w:tabs>
          <w:tab w:val="left" w:pos="851"/>
        </w:tabs>
        <w:jc w:val="both"/>
      </w:pPr>
      <w:r w:rsidRPr="008F1108">
        <w:t xml:space="preserve">Cobertura garantindo pagamento de indenização de Responsabilidade Civil com vigência de </w:t>
      </w:r>
      <w:r w:rsidR="005A5CBB" w:rsidRPr="008F1108">
        <w:t>01 de agosto de 2025 a 01 de agosto de 2026</w:t>
      </w:r>
      <w:r w:rsidRPr="008F1108">
        <w:t>. A</w:t>
      </w:r>
      <w:r w:rsidR="005B5A17" w:rsidRPr="008F1108">
        <w:t xml:space="preserve"> importância segurada com a empresa </w:t>
      </w:r>
      <w:r w:rsidR="005A5CBB" w:rsidRPr="008F1108">
        <w:t>AXA</w:t>
      </w:r>
      <w:r w:rsidR="005B5A17" w:rsidRPr="008F1108">
        <w:t xml:space="preserve"> Seguros S.A. é de R$ </w:t>
      </w:r>
      <w:r w:rsidR="005A5CBB" w:rsidRPr="008F1108">
        <w:t>13</w:t>
      </w:r>
      <w:r w:rsidR="005B5A17" w:rsidRPr="008F1108">
        <w:t>.</w:t>
      </w:r>
      <w:r w:rsidR="005A5CBB" w:rsidRPr="008F1108">
        <w:t>882</w:t>
      </w:r>
      <w:r w:rsidR="00534046" w:rsidRPr="008F1108">
        <w:t>.</w:t>
      </w:r>
    </w:p>
    <w:p w14:paraId="5DD452F5" w14:textId="763DABEC" w:rsidR="0053036D" w:rsidRPr="008F1108" w:rsidRDefault="0053036D" w:rsidP="005B5A17">
      <w:pPr>
        <w:tabs>
          <w:tab w:val="left" w:pos="851"/>
        </w:tabs>
        <w:jc w:val="both"/>
      </w:pPr>
    </w:p>
    <w:p w14:paraId="377BB257" w14:textId="77777777" w:rsidR="0053036D" w:rsidRPr="008F1108" w:rsidRDefault="0053036D" w:rsidP="0053036D">
      <w:pPr>
        <w:tabs>
          <w:tab w:val="left" w:pos="851"/>
        </w:tabs>
        <w:jc w:val="both"/>
      </w:pPr>
      <w:r w:rsidRPr="008F1108">
        <w:t>Responsabilidade Civil Diretores &amp; Officer (D&amp;O):</w:t>
      </w:r>
    </w:p>
    <w:p w14:paraId="7645B87D" w14:textId="202C0D98" w:rsidR="0053036D" w:rsidRPr="008F1108" w:rsidRDefault="0053036D" w:rsidP="0053036D">
      <w:pPr>
        <w:tabs>
          <w:tab w:val="left" w:pos="851"/>
        </w:tabs>
        <w:jc w:val="both"/>
      </w:pPr>
      <w:r w:rsidRPr="008F1108">
        <w:t>Cobertura garantindo pagamento de indenização de Responsabilidade Civil dos Diretores e Conselheiros, com vigência de 09 de setembro de 202</w:t>
      </w:r>
      <w:r w:rsidR="005A5CBB" w:rsidRPr="008F1108">
        <w:t>5</w:t>
      </w:r>
      <w:r w:rsidRPr="008F1108">
        <w:t xml:space="preserve"> a 09 de setembro de 202</w:t>
      </w:r>
      <w:r w:rsidR="005A5CBB" w:rsidRPr="008F1108">
        <w:t>6</w:t>
      </w:r>
      <w:r w:rsidRPr="008F1108">
        <w:t xml:space="preserve">. A importância segurada com a empresa </w:t>
      </w:r>
      <w:r w:rsidR="005A5CBB" w:rsidRPr="008F1108">
        <w:t>KOVR</w:t>
      </w:r>
      <w:r w:rsidRPr="008F1108">
        <w:t xml:space="preserve"> Seguradora S.A é de R$ 10.000.</w:t>
      </w:r>
    </w:p>
    <w:p w14:paraId="551243F4" w14:textId="596B1493" w:rsidR="00892233" w:rsidRPr="008F1108" w:rsidRDefault="00892233" w:rsidP="0053036D">
      <w:pPr>
        <w:tabs>
          <w:tab w:val="left" w:pos="851"/>
        </w:tabs>
        <w:jc w:val="both"/>
      </w:pPr>
    </w:p>
    <w:p w14:paraId="710C4DC2" w14:textId="77777777" w:rsidR="00074139" w:rsidRDefault="00074139">
      <w:bookmarkStart w:id="79" w:name="_Toc97550847"/>
      <w:bookmarkStart w:id="80" w:name="_Toc128062950"/>
      <w:bookmarkStart w:id="81" w:name="_Toc159939242"/>
      <w:bookmarkStart w:id="82" w:name="_Toc192082759"/>
      <w:bookmarkStart w:id="83" w:name="_Toc223007873"/>
      <w:r>
        <w:rPr>
          <w:b/>
        </w:rPr>
        <w:br w:type="page"/>
      </w:r>
    </w:p>
    <w:p w14:paraId="0772E007" w14:textId="0A40BFD7" w:rsidR="00CE1397" w:rsidRPr="008F1108" w:rsidRDefault="00CE1397" w:rsidP="00086B22">
      <w:pPr>
        <w:pStyle w:val="Ttulo1"/>
        <w:numPr>
          <w:ilvl w:val="0"/>
          <w:numId w:val="5"/>
        </w:numPr>
        <w:ind w:left="0" w:hanging="567"/>
        <w:jc w:val="left"/>
      </w:pPr>
      <w:r w:rsidRPr="008F1108">
        <w:lastRenderedPageBreak/>
        <w:t>Conciliação das Demonstrações Contábeis com Base nas Leis nº 6.404/76 e nº 4.320/64</w:t>
      </w:r>
      <w:bookmarkEnd w:id="79"/>
      <w:bookmarkEnd w:id="80"/>
      <w:bookmarkEnd w:id="81"/>
      <w:bookmarkEnd w:id="82"/>
      <w:bookmarkEnd w:id="83"/>
      <w:r w:rsidRPr="008F1108">
        <w:t xml:space="preserve"> </w:t>
      </w:r>
    </w:p>
    <w:p w14:paraId="5D091A9F" w14:textId="77777777" w:rsidR="00CE1397" w:rsidRPr="008F1108" w:rsidRDefault="00CE1397" w:rsidP="00CE1397"/>
    <w:p w14:paraId="414F3ACD" w14:textId="77777777" w:rsidR="00CE1397" w:rsidRPr="008F1108" w:rsidRDefault="00CE1397" w:rsidP="00CE1397">
      <w:pPr>
        <w:tabs>
          <w:tab w:val="left" w:pos="851"/>
        </w:tabs>
        <w:jc w:val="both"/>
      </w:pPr>
      <w:r w:rsidRPr="008F1108">
        <w:t>O Hospital de Clínicas de Porto Alegre é uma empresa pública de direito privado sujeita às disposições da Lei nº 6.404/76 e as mudanças impostas pela Lei nº 11.638/07 para fins contábeis e societários. Segundo a Lei de responsabilidade Fiscal (LRF), a Instituição é considerada estatal dependente, vinculada ao Ministério da Educação que, por determinação legal, utiliza o sistema de Administração Financeira Federal (SIAFI), na modalidade total, para registro de sua execução orçamentária, financeira e patrimonial, cuja base é a Lei nº 4.320/94.</w:t>
      </w:r>
    </w:p>
    <w:p w14:paraId="178F99AD" w14:textId="77777777" w:rsidR="00CE1397" w:rsidRPr="008F1108" w:rsidRDefault="00CE1397" w:rsidP="00CE1397">
      <w:pPr>
        <w:tabs>
          <w:tab w:val="left" w:pos="851"/>
        </w:tabs>
        <w:jc w:val="both"/>
      </w:pPr>
    </w:p>
    <w:p w14:paraId="7B073518" w14:textId="2298A85A" w:rsidR="00CE1397" w:rsidRPr="008F1108" w:rsidRDefault="00CE1397" w:rsidP="00CE1397">
      <w:pPr>
        <w:tabs>
          <w:tab w:val="left" w:pos="851"/>
        </w:tabs>
        <w:jc w:val="both"/>
      </w:pPr>
      <w:r w:rsidRPr="008F1108">
        <w:t>No quadro abaixo estão demonstrados os valores em 31 de dezembro de 202</w:t>
      </w:r>
      <w:r w:rsidR="009E77D3" w:rsidRPr="008F1108">
        <w:t>5</w:t>
      </w:r>
      <w:r w:rsidRPr="008F1108">
        <w:t xml:space="preserve"> em cada uma das leis mencionadas.</w:t>
      </w:r>
    </w:p>
    <w:p w14:paraId="5E8CE336" w14:textId="77777777" w:rsidR="00CE1397" w:rsidRPr="008F1108" w:rsidRDefault="00CE1397" w:rsidP="00CE1397">
      <w:pPr>
        <w:tabs>
          <w:tab w:val="left" w:pos="851"/>
        </w:tabs>
        <w:jc w:val="both"/>
      </w:pPr>
    </w:p>
    <w:p w14:paraId="5DF57471" w14:textId="77777777" w:rsidR="00CE1397" w:rsidRPr="008F1108" w:rsidRDefault="00CE1397" w:rsidP="00CE1397">
      <w:pPr>
        <w:tabs>
          <w:tab w:val="left" w:pos="851"/>
        </w:tabs>
        <w:jc w:val="both"/>
        <w:rPr>
          <w:b/>
        </w:rPr>
      </w:pPr>
      <w:r w:rsidRPr="008F1108">
        <w:rPr>
          <w:b/>
        </w:rPr>
        <w:t>Balanço Patrimonial</w:t>
      </w:r>
    </w:p>
    <w:p w14:paraId="2C810D7C" w14:textId="77777777" w:rsidR="00CE1397" w:rsidRPr="008F1108" w:rsidRDefault="00CE1397" w:rsidP="00CE1397">
      <w:pPr>
        <w:tabs>
          <w:tab w:val="left" w:pos="851"/>
        </w:tabs>
        <w:jc w:val="both"/>
        <w:rPr>
          <w:b/>
        </w:rPr>
      </w:pPr>
    </w:p>
    <w:tbl>
      <w:tblPr>
        <w:tblW w:w="4951" w:type="pct"/>
        <w:tblCellMar>
          <w:left w:w="70" w:type="dxa"/>
          <w:right w:w="70" w:type="dxa"/>
        </w:tblCellMar>
        <w:tblLook w:val="04A0" w:firstRow="1" w:lastRow="0" w:firstColumn="1" w:lastColumn="0" w:noHBand="0" w:noVBand="1"/>
      </w:tblPr>
      <w:tblGrid>
        <w:gridCol w:w="4110"/>
        <w:gridCol w:w="1640"/>
        <w:gridCol w:w="158"/>
        <w:gridCol w:w="1417"/>
        <w:gridCol w:w="146"/>
        <w:gridCol w:w="1511"/>
      </w:tblGrid>
      <w:tr w:rsidR="00CE1397" w:rsidRPr="008F1108" w14:paraId="27CDA171" w14:textId="77777777" w:rsidTr="002C525E">
        <w:tc>
          <w:tcPr>
            <w:tcW w:w="2288" w:type="pct"/>
            <w:noWrap/>
            <w:vAlign w:val="center"/>
            <w:hideMark/>
          </w:tcPr>
          <w:p w14:paraId="6DEF203E" w14:textId="77777777" w:rsidR="00CE1397" w:rsidRPr="008F1108" w:rsidRDefault="00CE1397" w:rsidP="00A917FF">
            <w:pPr>
              <w:rPr>
                <w:b/>
                <w:bCs/>
              </w:rPr>
            </w:pPr>
            <w:r w:rsidRPr="008F1108">
              <w:rPr>
                <w:b/>
                <w:bCs/>
              </w:rPr>
              <w:t>Ativo</w:t>
            </w:r>
          </w:p>
        </w:tc>
        <w:tc>
          <w:tcPr>
            <w:tcW w:w="913" w:type="pct"/>
            <w:tcBorders>
              <w:top w:val="nil"/>
              <w:left w:val="nil"/>
              <w:bottom w:val="single" w:sz="8" w:space="0" w:color="auto"/>
              <w:right w:val="nil"/>
            </w:tcBorders>
            <w:vAlign w:val="center"/>
            <w:hideMark/>
          </w:tcPr>
          <w:p w14:paraId="09B4CE55" w14:textId="77777777" w:rsidR="00CE1397" w:rsidRPr="008F1108" w:rsidRDefault="00CE1397" w:rsidP="00A917FF">
            <w:pPr>
              <w:jc w:val="right"/>
              <w:rPr>
                <w:b/>
                <w:bCs/>
              </w:rPr>
            </w:pPr>
            <w:r w:rsidRPr="008F1108">
              <w:rPr>
                <w:b/>
                <w:bCs/>
              </w:rPr>
              <w:t>6.404/76</w:t>
            </w:r>
          </w:p>
        </w:tc>
        <w:tc>
          <w:tcPr>
            <w:tcW w:w="88" w:type="pct"/>
            <w:vAlign w:val="center"/>
            <w:hideMark/>
          </w:tcPr>
          <w:p w14:paraId="785C4441" w14:textId="77777777" w:rsidR="00CE1397" w:rsidRPr="008F1108" w:rsidRDefault="00CE1397" w:rsidP="00A917FF">
            <w:pPr>
              <w:rPr>
                <w:b/>
                <w:bCs/>
              </w:rPr>
            </w:pPr>
          </w:p>
        </w:tc>
        <w:tc>
          <w:tcPr>
            <w:tcW w:w="789" w:type="pct"/>
            <w:tcBorders>
              <w:top w:val="nil"/>
              <w:left w:val="nil"/>
              <w:bottom w:val="single" w:sz="8" w:space="0" w:color="auto"/>
              <w:right w:val="nil"/>
            </w:tcBorders>
            <w:vAlign w:val="center"/>
            <w:hideMark/>
          </w:tcPr>
          <w:p w14:paraId="06B3665B" w14:textId="77777777" w:rsidR="00CE1397" w:rsidRPr="008F1108" w:rsidRDefault="00CE1397" w:rsidP="00A917FF">
            <w:pPr>
              <w:jc w:val="right"/>
              <w:rPr>
                <w:b/>
                <w:bCs/>
              </w:rPr>
            </w:pPr>
            <w:r w:rsidRPr="008F1108">
              <w:rPr>
                <w:b/>
                <w:bCs/>
              </w:rPr>
              <w:t>4.320/64</w:t>
            </w:r>
          </w:p>
        </w:tc>
        <w:tc>
          <w:tcPr>
            <w:tcW w:w="81" w:type="pct"/>
            <w:vAlign w:val="center"/>
            <w:hideMark/>
          </w:tcPr>
          <w:p w14:paraId="2B6A6489" w14:textId="77777777" w:rsidR="00CE1397" w:rsidRPr="008F1108" w:rsidRDefault="00CE1397" w:rsidP="00A917FF">
            <w:pPr>
              <w:rPr>
                <w:b/>
                <w:bCs/>
              </w:rPr>
            </w:pPr>
          </w:p>
        </w:tc>
        <w:tc>
          <w:tcPr>
            <w:tcW w:w="841" w:type="pct"/>
            <w:tcBorders>
              <w:top w:val="nil"/>
              <w:left w:val="nil"/>
              <w:bottom w:val="single" w:sz="8" w:space="0" w:color="auto"/>
              <w:right w:val="nil"/>
            </w:tcBorders>
            <w:noWrap/>
            <w:vAlign w:val="center"/>
            <w:hideMark/>
          </w:tcPr>
          <w:p w14:paraId="2B9FAD71" w14:textId="77777777" w:rsidR="00CE1397" w:rsidRPr="008F1108" w:rsidRDefault="00CE1397" w:rsidP="00A917FF">
            <w:pPr>
              <w:jc w:val="right"/>
              <w:rPr>
                <w:b/>
                <w:bCs/>
              </w:rPr>
            </w:pPr>
            <w:r w:rsidRPr="008F1108">
              <w:rPr>
                <w:b/>
                <w:bCs/>
              </w:rPr>
              <w:t>Diferença</w:t>
            </w:r>
          </w:p>
        </w:tc>
      </w:tr>
      <w:tr w:rsidR="00CE1397" w:rsidRPr="008F1108" w14:paraId="4665C3A5" w14:textId="77777777" w:rsidTr="002C525E">
        <w:tc>
          <w:tcPr>
            <w:tcW w:w="2288" w:type="pct"/>
            <w:noWrap/>
            <w:vAlign w:val="center"/>
            <w:hideMark/>
          </w:tcPr>
          <w:p w14:paraId="16B73A47" w14:textId="77777777" w:rsidR="00CE1397" w:rsidRPr="008F1108" w:rsidRDefault="00CE1397" w:rsidP="00A917FF">
            <w:pPr>
              <w:rPr>
                <w:b/>
                <w:bCs/>
              </w:rPr>
            </w:pPr>
            <w:r w:rsidRPr="008F1108">
              <w:rPr>
                <w:b/>
                <w:bCs/>
              </w:rPr>
              <w:t>Circulante</w:t>
            </w:r>
          </w:p>
        </w:tc>
        <w:tc>
          <w:tcPr>
            <w:tcW w:w="913" w:type="pct"/>
            <w:vAlign w:val="center"/>
            <w:hideMark/>
          </w:tcPr>
          <w:p w14:paraId="0E43818D" w14:textId="77777777" w:rsidR="00CE1397" w:rsidRPr="008F1108" w:rsidRDefault="00CE1397" w:rsidP="00A917FF">
            <w:pPr>
              <w:rPr>
                <w:b/>
                <w:bCs/>
              </w:rPr>
            </w:pPr>
          </w:p>
        </w:tc>
        <w:tc>
          <w:tcPr>
            <w:tcW w:w="88" w:type="pct"/>
            <w:vAlign w:val="center"/>
            <w:hideMark/>
          </w:tcPr>
          <w:p w14:paraId="4ECDA3D6" w14:textId="77777777" w:rsidR="00CE1397" w:rsidRPr="008F1108" w:rsidRDefault="00CE1397" w:rsidP="00A917FF"/>
        </w:tc>
        <w:tc>
          <w:tcPr>
            <w:tcW w:w="789" w:type="pct"/>
            <w:vAlign w:val="center"/>
            <w:hideMark/>
          </w:tcPr>
          <w:p w14:paraId="421329A0" w14:textId="77777777" w:rsidR="00CE1397" w:rsidRPr="008F1108" w:rsidRDefault="00CE1397" w:rsidP="00A917FF"/>
        </w:tc>
        <w:tc>
          <w:tcPr>
            <w:tcW w:w="81" w:type="pct"/>
            <w:vAlign w:val="center"/>
            <w:hideMark/>
          </w:tcPr>
          <w:p w14:paraId="7430B3A4" w14:textId="77777777" w:rsidR="00CE1397" w:rsidRPr="008F1108" w:rsidRDefault="00CE1397" w:rsidP="00A917FF"/>
        </w:tc>
        <w:tc>
          <w:tcPr>
            <w:tcW w:w="841" w:type="pct"/>
            <w:noWrap/>
            <w:vAlign w:val="center"/>
            <w:hideMark/>
          </w:tcPr>
          <w:p w14:paraId="0B689697" w14:textId="77777777" w:rsidR="00CE1397" w:rsidRPr="008F1108" w:rsidRDefault="00CE1397" w:rsidP="00A917FF"/>
        </w:tc>
      </w:tr>
      <w:tr w:rsidR="00CE1397" w:rsidRPr="008F1108" w14:paraId="5BB80444" w14:textId="77777777" w:rsidTr="002C525E">
        <w:tc>
          <w:tcPr>
            <w:tcW w:w="2288" w:type="pct"/>
            <w:noWrap/>
            <w:vAlign w:val="center"/>
            <w:hideMark/>
          </w:tcPr>
          <w:p w14:paraId="490F71E6" w14:textId="77777777" w:rsidR="00CE1397" w:rsidRPr="008F1108" w:rsidRDefault="00CE1397" w:rsidP="00A917FF">
            <w:r w:rsidRPr="008F1108">
              <w:t xml:space="preserve">   Caixa e Equivalente de Caixa </w:t>
            </w:r>
          </w:p>
        </w:tc>
        <w:tc>
          <w:tcPr>
            <w:tcW w:w="913" w:type="pct"/>
            <w:hideMark/>
          </w:tcPr>
          <w:p w14:paraId="7091600A" w14:textId="26019ED0" w:rsidR="00CE1397" w:rsidRPr="008F1108" w:rsidRDefault="00CE1397" w:rsidP="009E77D3">
            <w:pPr>
              <w:jc w:val="right"/>
            </w:pPr>
            <w:r w:rsidRPr="008F1108">
              <w:t>27</w:t>
            </w:r>
            <w:r w:rsidR="009E77D3" w:rsidRPr="008F1108">
              <w:t>6</w:t>
            </w:r>
            <w:r w:rsidRPr="008F1108">
              <w:t>.</w:t>
            </w:r>
            <w:r w:rsidR="009E77D3" w:rsidRPr="008F1108">
              <w:t>492</w:t>
            </w:r>
            <w:r w:rsidRPr="008F1108">
              <w:t xml:space="preserve"> </w:t>
            </w:r>
          </w:p>
        </w:tc>
        <w:tc>
          <w:tcPr>
            <w:tcW w:w="88" w:type="pct"/>
            <w:vAlign w:val="center"/>
            <w:hideMark/>
          </w:tcPr>
          <w:p w14:paraId="141E5785" w14:textId="77777777" w:rsidR="00CE1397" w:rsidRPr="008F1108" w:rsidRDefault="00CE1397" w:rsidP="00A917FF">
            <w:pPr>
              <w:jc w:val="right"/>
            </w:pPr>
          </w:p>
        </w:tc>
        <w:tc>
          <w:tcPr>
            <w:tcW w:w="789" w:type="pct"/>
            <w:hideMark/>
          </w:tcPr>
          <w:p w14:paraId="6B1054C4" w14:textId="3D65A4CB" w:rsidR="00CE1397" w:rsidRPr="008F1108" w:rsidRDefault="00CE1397" w:rsidP="009E77D3">
            <w:pPr>
              <w:jc w:val="right"/>
            </w:pPr>
            <w:r w:rsidRPr="008F1108">
              <w:t xml:space="preserve"> 2</w:t>
            </w:r>
            <w:r w:rsidR="009E77D3" w:rsidRPr="008F1108">
              <w:t>7</w:t>
            </w:r>
            <w:r w:rsidRPr="008F1108">
              <w:t>6.</w:t>
            </w:r>
            <w:r w:rsidR="009E77D3" w:rsidRPr="008F1108">
              <w:t>23</w:t>
            </w:r>
            <w:r w:rsidRPr="008F1108">
              <w:t xml:space="preserve">6 </w:t>
            </w:r>
          </w:p>
        </w:tc>
        <w:tc>
          <w:tcPr>
            <w:tcW w:w="81" w:type="pct"/>
            <w:vAlign w:val="center"/>
            <w:hideMark/>
          </w:tcPr>
          <w:p w14:paraId="6C90E008" w14:textId="77777777" w:rsidR="00CE1397" w:rsidRPr="008F1108" w:rsidRDefault="00CE1397" w:rsidP="00A917FF">
            <w:pPr>
              <w:jc w:val="right"/>
            </w:pPr>
          </w:p>
        </w:tc>
        <w:tc>
          <w:tcPr>
            <w:tcW w:w="841" w:type="pct"/>
            <w:noWrap/>
            <w:vAlign w:val="center"/>
            <w:hideMark/>
          </w:tcPr>
          <w:p w14:paraId="0CEF846D" w14:textId="19A1D525" w:rsidR="00CE1397" w:rsidRPr="008F1108" w:rsidRDefault="00CE1397" w:rsidP="00C77649">
            <w:pPr>
              <w:jc w:val="right"/>
            </w:pPr>
            <w:r w:rsidRPr="008F1108">
              <w:t xml:space="preserve">    </w:t>
            </w:r>
            <w:r w:rsidR="00C77649" w:rsidRPr="008F1108">
              <w:t>256</w:t>
            </w:r>
            <w:r w:rsidRPr="008F1108">
              <w:t xml:space="preserve"> </w:t>
            </w:r>
          </w:p>
        </w:tc>
      </w:tr>
      <w:tr w:rsidR="00CE1397" w:rsidRPr="008F1108" w14:paraId="61876552" w14:textId="77777777" w:rsidTr="002C525E">
        <w:tc>
          <w:tcPr>
            <w:tcW w:w="2288" w:type="pct"/>
            <w:noWrap/>
            <w:vAlign w:val="center"/>
            <w:hideMark/>
          </w:tcPr>
          <w:p w14:paraId="3D888729" w14:textId="77777777" w:rsidR="00CE1397" w:rsidRPr="008F1108" w:rsidRDefault="00CE1397" w:rsidP="00A917FF">
            <w:r w:rsidRPr="008F1108">
              <w:t xml:space="preserve">   Créditos a Receber Curto Prazo</w:t>
            </w:r>
          </w:p>
        </w:tc>
        <w:tc>
          <w:tcPr>
            <w:tcW w:w="913" w:type="pct"/>
            <w:hideMark/>
          </w:tcPr>
          <w:p w14:paraId="39B5FD4C" w14:textId="4D6FF50E" w:rsidR="00CE1397" w:rsidRPr="008F1108" w:rsidRDefault="009E77D3" w:rsidP="00A7247A">
            <w:pPr>
              <w:jc w:val="right"/>
            </w:pPr>
            <w:r w:rsidRPr="008F1108">
              <w:t>11</w:t>
            </w:r>
            <w:r w:rsidR="00A7247A" w:rsidRPr="008F1108">
              <w:t>4</w:t>
            </w:r>
            <w:r w:rsidRPr="008F1108">
              <w:t>.6</w:t>
            </w:r>
            <w:r w:rsidR="00A7247A" w:rsidRPr="008F1108">
              <w:t>1</w:t>
            </w:r>
            <w:r w:rsidRPr="008F1108">
              <w:t>9</w:t>
            </w:r>
            <w:r w:rsidR="00CE1397" w:rsidRPr="008F1108">
              <w:t xml:space="preserve"> </w:t>
            </w:r>
          </w:p>
        </w:tc>
        <w:tc>
          <w:tcPr>
            <w:tcW w:w="88" w:type="pct"/>
            <w:vAlign w:val="center"/>
            <w:hideMark/>
          </w:tcPr>
          <w:p w14:paraId="15C31871" w14:textId="77777777" w:rsidR="00CE1397" w:rsidRPr="008F1108" w:rsidRDefault="00CE1397" w:rsidP="00A917FF">
            <w:pPr>
              <w:jc w:val="right"/>
            </w:pPr>
          </w:p>
        </w:tc>
        <w:tc>
          <w:tcPr>
            <w:tcW w:w="789" w:type="pct"/>
            <w:hideMark/>
          </w:tcPr>
          <w:p w14:paraId="788D53A1" w14:textId="327A0456" w:rsidR="00CE1397" w:rsidRPr="008F1108" w:rsidRDefault="00CE1397" w:rsidP="009E77D3">
            <w:pPr>
              <w:jc w:val="right"/>
            </w:pPr>
            <w:r w:rsidRPr="008F1108">
              <w:t xml:space="preserve"> </w:t>
            </w:r>
            <w:r w:rsidR="009E77D3" w:rsidRPr="008F1108">
              <w:t>104</w:t>
            </w:r>
            <w:r w:rsidRPr="008F1108">
              <w:t>.5</w:t>
            </w:r>
            <w:r w:rsidR="009E77D3" w:rsidRPr="008F1108">
              <w:t>52</w:t>
            </w:r>
            <w:r w:rsidRPr="008F1108">
              <w:t xml:space="preserve"> </w:t>
            </w:r>
          </w:p>
        </w:tc>
        <w:tc>
          <w:tcPr>
            <w:tcW w:w="81" w:type="pct"/>
            <w:vAlign w:val="center"/>
            <w:hideMark/>
          </w:tcPr>
          <w:p w14:paraId="60CE4A9C" w14:textId="77777777" w:rsidR="00CE1397" w:rsidRPr="008F1108" w:rsidRDefault="00CE1397" w:rsidP="00A917FF">
            <w:pPr>
              <w:jc w:val="right"/>
            </w:pPr>
          </w:p>
        </w:tc>
        <w:tc>
          <w:tcPr>
            <w:tcW w:w="841" w:type="pct"/>
            <w:noWrap/>
            <w:vAlign w:val="center"/>
            <w:hideMark/>
          </w:tcPr>
          <w:p w14:paraId="65113E14" w14:textId="1AC74BC0" w:rsidR="00CE1397" w:rsidRPr="008F1108" w:rsidRDefault="00CE1397" w:rsidP="00A7247A">
            <w:pPr>
              <w:jc w:val="right"/>
            </w:pPr>
            <w:r w:rsidRPr="008F1108">
              <w:t xml:space="preserve"> 1</w:t>
            </w:r>
            <w:r w:rsidR="00A7247A" w:rsidRPr="008F1108">
              <w:t>0</w:t>
            </w:r>
            <w:r w:rsidRPr="008F1108">
              <w:t>.</w:t>
            </w:r>
            <w:r w:rsidR="00C77649" w:rsidRPr="008F1108">
              <w:t>0</w:t>
            </w:r>
            <w:r w:rsidR="00A7247A" w:rsidRPr="008F1108">
              <w:t>6</w:t>
            </w:r>
            <w:r w:rsidR="00C77649" w:rsidRPr="008F1108">
              <w:t>7</w:t>
            </w:r>
            <w:r w:rsidRPr="008F1108">
              <w:t xml:space="preserve"> </w:t>
            </w:r>
          </w:p>
        </w:tc>
      </w:tr>
      <w:tr w:rsidR="00CE1397" w:rsidRPr="008F1108" w14:paraId="56F9603D" w14:textId="77777777" w:rsidTr="002C525E">
        <w:tc>
          <w:tcPr>
            <w:tcW w:w="2288" w:type="pct"/>
            <w:noWrap/>
            <w:vAlign w:val="center"/>
            <w:hideMark/>
          </w:tcPr>
          <w:p w14:paraId="2246F5C0" w14:textId="77777777" w:rsidR="00CE1397" w:rsidRPr="008F1108" w:rsidRDefault="00CE1397" w:rsidP="00A917FF">
            <w:r w:rsidRPr="008F1108">
              <w:t xml:space="preserve">   (-) Ajuste de perdas de Créditos</w:t>
            </w:r>
          </w:p>
        </w:tc>
        <w:tc>
          <w:tcPr>
            <w:tcW w:w="913" w:type="pct"/>
            <w:hideMark/>
          </w:tcPr>
          <w:p w14:paraId="174E7D00" w14:textId="2DEE98C6" w:rsidR="00CE1397" w:rsidRPr="008F1108" w:rsidRDefault="00CE1397" w:rsidP="009E77D3">
            <w:pPr>
              <w:jc w:val="right"/>
            </w:pPr>
            <w:r w:rsidRPr="008F1108">
              <w:t>(</w:t>
            </w:r>
            <w:r w:rsidR="009E77D3" w:rsidRPr="008F1108">
              <w:t>9</w:t>
            </w:r>
            <w:r w:rsidRPr="008F1108">
              <w:t>.</w:t>
            </w:r>
            <w:r w:rsidR="009E77D3" w:rsidRPr="008F1108">
              <w:t>945</w:t>
            </w:r>
            <w:r w:rsidRPr="008F1108">
              <w:t xml:space="preserve">) </w:t>
            </w:r>
          </w:p>
        </w:tc>
        <w:tc>
          <w:tcPr>
            <w:tcW w:w="88" w:type="pct"/>
            <w:vAlign w:val="center"/>
            <w:hideMark/>
          </w:tcPr>
          <w:p w14:paraId="391E2FF5" w14:textId="77777777" w:rsidR="00CE1397" w:rsidRPr="008F1108" w:rsidRDefault="00CE1397" w:rsidP="00A917FF">
            <w:pPr>
              <w:jc w:val="right"/>
            </w:pPr>
          </w:p>
        </w:tc>
        <w:tc>
          <w:tcPr>
            <w:tcW w:w="789" w:type="pct"/>
            <w:hideMark/>
          </w:tcPr>
          <w:p w14:paraId="5622A45E" w14:textId="067739C0" w:rsidR="00CE1397" w:rsidRPr="008F1108" w:rsidRDefault="00CE1397" w:rsidP="009E77D3">
            <w:pPr>
              <w:jc w:val="right"/>
            </w:pPr>
            <w:r w:rsidRPr="008F1108">
              <w:t>(</w:t>
            </w:r>
            <w:r w:rsidR="009E77D3" w:rsidRPr="008F1108">
              <w:t>9</w:t>
            </w:r>
            <w:r w:rsidRPr="008F1108">
              <w:t>.</w:t>
            </w:r>
            <w:r w:rsidR="009E77D3" w:rsidRPr="008F1108">
              <w:t>95</w:t>
            </w:r>
            <w:r w:rsidRPr="008F1108">
              <w:t xml:space="preserve">0) </w:t>
            </w:r>
          </w:p>
        </w:tc>
        <w:tc>
          <w:tcPr>
            <w:tcW w:w="81" w:type="pct"/>
            <w:vAlign w:val="center"/>
            <w:hideMark/>
          </w:tcPr>
          <w:p w14:paraId="0A08863D" w14:textId="77777777" w:rsidR="00CE1397" w:rsidRPr="008F1108" w:rsidRDefault="00CE1397" w:rsidP="00A917FF">
            <w:pPr>
              <w:jc w:val="right"/>
            </w:pPr>
          </w:p>
        </w:tc>
        <w:tc>
          <w:tcPr>
            <w:tcW w:w="841" w:type="pct"/>
            <w:noWrap/>
            <w:vAlign w:val="center"/>
            <w:hideMark/>
          </w:tcPr>
          <w:p w14:paraId="04128EB5" w14:textId="37858073" w:rsidR="00CE1397" w:rsidRPr="008F1108" w:rsidRDefault="00CE1397" w:rsidP="00022723">
            <w:pPr>
              <w:jc w:val="right"/>
            </w:pPr>
            <w:r w:rsidRPr="008F1108">
              <w:t xml:space="preserve">  </w:t>
            </w:r>
            <w:r w:rsidR="00022723">
              <w:t>5</w:t>
            </w:r>
            <w:r w:rsidRPr="008F1108">
              <w:t xml:space="preserve">   </w:t>
            </w:r>
          </w:p>
        </w:tc>
      </w:tr>
      <w:tr w:rsidR="00CE1397" w:rsidRPr="008F1108" w14:paraId="5505F579" w14:textId="77777777" w:rsidTr="002C525E">
        <w:tc>
          <w:tcPr>
            <w:tcW w:w="2288" w:type="pct"/>
            <w:noWrap/>
            <w:vAlign w:val="center"/>
            <w:hideMark/>
          </w:tcPr>
          <w:p w14:paraId="37EDDDA0" w14:textId="77777777" w:rsidR="00CE1397" w:rsidRPr="008F1108" w:rsidRDefault="00CE1397" w:rsidP="00A917FF">
            <w:r w:rsidRPr="008F1108">
              <w:t xml:space="preserve">   Estoques</w:t>
            </w:r>
          </w:p>
        </w:tc>
        <w:tc>
          <w:tcPr>
            <w:tcW w:w="913" w:type="pct"/>
            <w:hideMark/>
          </w:tcPr>
          <w:p w14:paraId="3B5C1852" w14:textId="46DD8213" w:rsidR="00CE1397" w:rsidRPr="008F1108" w:rsidRDefault="00CE1397" w:rsidP="009E77D3">
            <w:pPr>
              <w:jc w:val="right"/>
            </w:pPr>
            <w:r w:rsidRPr="008F1108">
              <w:t xml:space="preserve"> 31.</w:t>
            </w:r>
            <w:r w:rsidR="009E77D3" w:rsidRPr="008F1108">
              <w:t>4</w:t>
            </w:r>
            <w:r w:rsidRPr="008F1108">
              <w:t>1</w:t>
            </w:r>
            <w:r w:rsidR="009E77D3" w:rsidRPr="008F1108">
              <w:t>4</w:t>
            </w:r>
            <w:r w:rsidRPr="008F1108">
              <w:t xml:space="preserve"> </w:t>
            </w:r>
          </w:p>
        </w:tc>
        <w:tc>
          <w:tcPr>
            <w:tcW w:w="88" w:type="pct"/>
            <w:vAlign w:val="center"/>
            <w:hideMark/>
          </w:tcPr>
          <w:p w14:paraId="571DC96B" w14:textId="77777777" w:rsidR="00CE1397" w:rsidRPr="008F1108" w:rsidRDefault="00CE1397" w:rsidP="00A917FF">
            <w:pPr>
              <w:jc w:val="right"/>
            </w:pPr>
          </w:p>
        </w:tc>
        <w:tc>
          <w:tcPr>
            <w:tcW w:w="789" w:type="pct"/>
            <w:hideMark/>
          </w:tcPr>
          <w:p w14:paraId="2CC50096" w14:textId="22ED527A" w:rsidR="00CE1397" w:rsidRPr="008F1108" w:rsidRDefault="00CE1397" w:rsidP="009E77D3">
            <w:pPr>
              <w:jc w:val="right"/>
            </w:pPr>
            <w:r w:rsidRPr="008F1108">
              <w:t xml:space="preserve"> 3</w:t>
            </w:r>
            <w:r w:rsidR="009E77D3" w:rsidRPr="008F1108">
              <w:t>0</w:t>
            </w:r>
            <w:r w:rsidRPr="008F1108">
              <w:t>.</w:t>
            </w:r>
            <w:r w:rsidR="009E77D3" w:rsidRPr="008F1108">
              <w:t>264</w:t>
            </w:r>
            <w:r w:rsidRPr="008F1108">
              <w:t xml:space="preserve"> </w:t>
            </w:r>
          </w:p>
        </w:tc>
        <w:tc>
          <w:tcPr>
            <w:tcW w:w="81" w:type="pct"/>
            <w:vAlign w:val="center"/>
            <w:hideMark/>
          </w:tcPr>
          <w:p w14:paraId="1CB457DB" w14:textId="77777777" w:rsidR="00CE1397" w:rsidRPr="008F1108" w:rsidRDefault="00CE1397" w:rsidP="00A917FF">
            <w:pPr>
              <w:jc w:val="right"/>
            </w:pPr>
          </w:p>
        </w:tc>
        <w:tc>
          <w:tcPr>
            <w:tcW w:w="841" w:type="pct"/>
            <w:noWrap/>
            <w:vAlign w:val="center"/>
            <w:hideMark/>
          </w:tcPr>
          <w:p w14:paraId="4D9B2C79" w14:textId="724A81AF" w:rsidR="00CE1397" w:rsidRPr="008F1108" w:rsidRDefault="00CE1397" w:rsidP="00C77649">
            <w:pPr>
              <w:jc w:val="right"/>
            </w:pPr>
            <w:r w:rsidRPr="008F1108">
              <w:t xml:space="preserve">           </w:t>
            </w:r>
            <w:r w:rsidR="00C77649" w:rsidRPr="008F1108">
              <w:t>1.150</w:t>
            </w:r>
            <w:r w:rsidRPr="008F1108">
              <w:t xml:space="preserve"> </w:t>
            </w:r>
          </w:p>
        </w:tc>
      </w:tr>
      <w:tr w:rsidR="00CE1397" w:rsidRPr="008F1108" w14:paraId="647080F5" w14:textId="77777777" w:rsidTr="002C525E">
        <w:tc>
          <w:tcPr>
            <w:tcW w:w="2288" w:type="pct"/>
            <w:noWrap/>
            <w:vAlign w:val="center"/>
            <w:hideMark/>
          </w:tcPr>
          <w:p w14:paraId="60A702CA" w14:textId="77777777" w:rsidR="00CE1397" w:rsidRPr="008F1108" w:rsidRDefault="00CE1397" w:rsidP="00A917FF">
            <w:r w:rsidRPr="008F1108">
              <w:t xml:space="preserve">   Despesas Pagas Antecipadamente</w:t>
            </w:r>
          </w:p>
        </w:tc>
        <w:tc>
          <w:tcPr>
            <w:tcW w:w="913" w:type="pct"/>
            <w:tcBorders>
              <w:top w:val="nil"/>
              <w:left w:val="nil"/>
              <w:right w:val="nil"/>
            </w:tcBorders>
            <w:hideMark/>
          </w:tcPr>
          <w:p w14:paraId="0222E570" w14:textId="64A4761B" w:rsidR="00CE1397" w:rsidRPr="008F1108" w:rsidRDefault="00CE1397" w:rsidP="009E77D3">
            <w:pPr>
              <w:jc w:val="right"/>
            </w:pPr>
            <w:r w:rsidRPr="008F1108">
              <w:t xml:space="preserve"> </w:t>
            </w:r>
            <w:r w:rsidR="009E77D3" w:rsidRPr="008F1108">
              <w:t>1.</w:t>
            </w:r>
            <w:r w:rsidRPr="008F1108">
              <w:t>0</w:t>
            </w:r>
            <w:r w:rsidR="009E77D3" w:rsidRPr="008F1108">
              <w:t>35</w:t>
            </w:r>
          </w:p>
        </w:tc>
        <w:tc>
          <w:tcPr>
            <w:tcW w:w="88" w:type="pct"/>
            <w:vAlign w:val="center"/>
            <w:hideMark/>
          </w:tcPr>
          <w:p w14:paraId="0FC8BC4D" w14:textId="77777777" w:rsidR="00CE1397" w:rsidRPr="008F1108" w:rsidRDefault="00CE1397" w:rsidP="00A917FF">
            <w:pPr>
              <w:jc w:val="right"/>
            </w:pPr>
          </w:p>
        </w:tc>
        <w:tc>
          <w:tcPr>
            <w:tcW w:w="789" w:type="pct"/>
            <w:tcBorders>
              <w:top w:val="nil"/>
              <w:left w:val="nil"/>
              <w:right w:val="nil"/>
            </w:tcBorders>
            <w:hideMark/>
          </w:tcPr>
          <w:p w14:paraId="22EC9BCF" w14:textId="46FFA4B9" w:rsidR="00CE1397" w:rsidRPr="008F1108" w:rsidRDefault="00CE1397" w:rsidP="009E77D3">
            <w:pPr>
              <w:jc w:val="right"/>
            </w:pPr>
            <w:r w:rsidRPr="008F1108">
              <w:t xml:space="preserve"> </w:t>
            </w:r>
            <w:r w:rsidR="009E77D3" w:rsidRPr="008F1108">
              <w:t>1.</w:t>
            </w:r>
            <w:r w:rsidRPr="008F1108">
              <w:t>0</w:t>
            </w:r>
            <w:r w:rsidR="009E77D3" w:rsidRPr="008F1108">
              <w:t>35</w:t>
            </w:r>
            <w:r w:rsidRPr="008F1108">
              <w:t xml:space="preserve"> </w:t>
            </w:r>
          </w:p>
        </w:tc>
        <w:tc>
          <w:tcPr>
            <w:tcW w:w="81" w:type="pct"/>
            <w:vAlign w:val="center"/>
            <w:hideMark/>
          </w:tcPr>
          <w:p w14:paraId="6A2229C4" w14:textId="77777777" w:rsidR="00CE1397" w:rsidRPr="008F1108" w:rsidRDefault="00CE1397" w:rsidP="00A917FF">
            <w:pPr>
              <w:jc w:val="right"/>
            </w:pPr>
          </w:p>
        </w:tc>
        <w:tc>
          <w:tcPr>
            <w:tcW w:w="841" w:type="pct"/>
            <w:tcBorders>
              <w:top w:val="nil"/>
              <w:left w:val="nil"/>
              <w:right w:val="nil"/>
            </w:tcBorders>
            <w:noWrap/>
            <w:vAlign w:val="center"/>
            <w:hideMark/>
          </w:tcPr>
          <w:p w14:paraId="3BA92EAD" w14:textId="77777777" w:rsidR="00CE1397" w:rsidRPr="008F1108" w:rsidRDefault="00CE1397" w:rsidP="00A917FF">
            <w:pPr>
              <w:jc w:val="right"/>
            </w:pPr>
            <w:r w:rsidRPr="008F1108">
              <w:t xml:space="preserve">       -   </w:t>
            </w:r>
          </w:p>
        </w:tc>
      </w:tr>
      <w:tr w:rsidR="00CE1397" w:rsidRPr="008F1108" w14:paraId="0C223877" w14:textId="77777777" w:rsidTr="002C525E">
        <w:tc>
          <w:tcPr>
            <w:tcW w:w="2288" w:type="pct"/>
            <w:noWrap/>
            <w:vAlign w:val="center"/>
            <w:hideMark/>
          </w:tcPr>
          <w:p w14:paraId="4B10163D" w14:textId="77777777" w:rsidR="00CE1397" w:rsidRPr="008F1108" w:rsidRDefault="00CE1397" w:rsidP="00A917FF"/>
        </w:tc>
        <w:tc>
          <w:tcPr>
            <w:tcW w:w="913" w:type="pct"/>
            <w:vAlign w:val="center"/>
            <w:hideMark/>
          </w:tcPr>
          <w:p w14:paraId="4331F6D4" w14:textId="65EA9622" w:rsidR="00CE1397" w:rsidRPr="008F1108" w:rsidRDefault="009E77D3" w:rsidP="00A7247A">
            <w:pPr>
              <w:jc w:val="right"/>
              <w:rPr>
                <w:b/>
                <w:bCs/>
              </w:rPr>
            </w:pPr>
            <w:r w:rsidRPr="008F1108">
              <w:rPr>
                <w:b/>
                <w:bCs/>
              </w:rPr>
              <w:t>41</w:t>
            </w:r>
            <w:r w:rsidR="00A7247A" w:rsidRPr="008F1108">
              <w:rPr>
                <w:b/>
                <w:bCs/>
              </w:rPr>
              <w:t>3</w:t>
            </w:r>
            <w:r w:rsidR="00CE1397" w:rsidRPr="008F1108">
              <w:rPr>
                <w:b/>
                <w:bCs/>
              </w:rPr>
              <w:t>.</w:t>
            </w:r>
            <w:r w:rsidRPr="008F1108">
              <w:rPr>
                <w:b/>
                <w:bCs/>
              </w:rPr>
              <w:t>6</w:t>
            </w:r>
            <w:r w:rsidR="00A7247A" w:rsidRPr="008F1108">
              <w:rPr>
                <w:b/>
                <w:bCs/>
              </w:rPr>
              <w:t>1</w:t>
            </w:r>
            <w:r w:rsidR="00CE1397" w:rsidRPr="008F1108">
              <w:rPr>
                <w:b/>
                <w:bCs/>
              </w:rPr>
              <w:t xml:space="preserve">5 </w:t>
            </w:r>
          </w:p>
        </w:tc>
        <w:tc>
          <w:tcPr>
            <w:tcW w:w="88" w:type="pct"/>
            <w:vAlign w:val="center"/>
            <w:hideMark/>
          </w:tcPr>
          <w:p w14:paraId="6ED70698" w14:textId="77777777" w:rsidR="00CE1397" w:rsidRPr="008F1108" w:rsidRDefault="00CE1397" w:rsidP="00A917FF">
            <w:pPr>
              <w:jc w:val="right"/>
              <w:rPr>
                <w:b/>
                <w:bCs/>
              </w:rPr>
            </w:pPr>
          </w:p>
        </w:tc>
        <w:tc>
          <w:tcPr>
            <w:tcW w:w="789" w:type="pct"/>
            <w:vAlign w:val="center"/>
            <w:hideMark/>
          </w:tcPr>
          <w:p w14:paraId="4A24DE6B" w14:textId="50FEC0F1" w:rsidR="00CE1397" w:rsidRPr="008F1108" w:rsidRDefault="009E77D3" w:rsidP="0041202B">
            <w:pPr>
              <w:jc w:val="right"/>
              <w:rPr>
                <w:b/>
                <w:bCs/>
              </w:rPr>
            </w:pPr>
            <w:r w:rsidRPr="008F1108">
              <w:rPr>
                <w:b/>
                <w:bCs/>
              </w:rPr>
              <w:t>402</w:t>
            </w:r>
            <w:r w:rsidR="00CE1397" w:rsidRPr="008F1108">
              <w:rPr>
                <w:b/>
                <w:bCs/>
              </w:rPr>
              <w:t>.</w:t>
            </w:r>
            <w:r w:rsidRPr="008F1108">
              <w:rPr>
                <w:b/>
                <w:bCs/>
              </w:rPr>
              <w:t>13</w:t>
            </w:r>
            <w:r w:rsidR="0041202B" w:rsidRPr="008F1108">
              <w:rPr>
                <w:b/>
                <w:bCs/>
              </w:rPr>
              <w:t>7</w:t>
            </w:r>
            <w:r w:rsidR="00CE1397" w:rsidRPr="008F1108">
              <w:rPr>
                <w:b/>
                <w:bCs/>
              </w:rPr>
              <w:t xml:space="preserve"> </w:t>
            </w:r>
          </w:p>
        </w:tc>
        <w:tc>
          <w:tcPr>
            <w:tcW w:w="81" w:type="pct"/>
            <w:vAlign w:val="center"/>
            <w:hideMark/>
          </w:tcPr>
          <w:p w14:paraId="0375899D" w14:textId="77777777" w:rsidR="00CE1397" w:rsidRPr="008F1108" w:rsidRDefault="00CE1397" w:rsidP="00A917FF">
            <w:pPr>
              <w:jc w:val="right"/>
              <w:rPr>
                <w:b/>
                <w:bCs/>
              </w:rPr>
            </w:pPr>
          </w:p>
        </w:tc>
        <w:tc>
          <w:tcPr>
            <w:tcW w:w="841" w:type="pct"/>
            <w:vAlign w:val="center"/>
            <w:hideMark/>
          </w:tcPr>
          <w:p w14:paraId="4F2CFE3D" w14:textId="3CFB4D71" w:rsidR="00CE1397" w:rsidRPr="008F1108" w:rsidRDefault="00CE1397" w:rsidP="00A7247A">
            <w:pPr>
              <w:jc w:val="right"/>
              <w:rPr>
                <w:b/>
                <w:bCs/>
              </w:rPr>
            </w:pPr>
            <w:r w:rsidRPr="008F1108">
              <w:rPr>
                <w:b/>
                <w:bCs/>
              </w:rPr>
              <w:t>1</w:t>
            </w:r>
            <w:r w:rsidR="00A7247A" w:rsidRPr="008F1108">
              <w:rPr>
                <w:b/>
                <w:bCs/>
              </w:rPr>
              <w:t>1</w:t>
            </w:r>
            <w:r w:rsidRPr="008F1108">
              <w:rPr>
                <w:b/>
                <w:bCs/>
              </w:rPr>
              <w:t>.</w:t>
            </w:r>
            <w:r w:rsidR="00C77649" w:rsidRPr="008F1108">
              <w:rPr>
                <w:b/>
                <w:bCs/>
              </w:rPr>
              <w:t>4</w:t>
            </w:r>
            <w:r w:rsidR="00A7247A" w:rsidRPr="008F1108">
              <w:rPr>
                <w:b/>
                <w:bCs/>
              </w:rPr>
              <w:t>7</w:t>
            </w:r>
            <w:r w:rsidR="00C77649" w:rsidRPr="008F1108">
              <w:rPr>
                <w:b/>
                <w:bCs/>
              </w:rPr>
              <w:t>8</w:t>
            </w:r>
            <w:r w:rsidRPr="008F1108">
              <w:rPr>
                <w:b/>
                <w:bCs/>
              </w:rPr>
              <w:t xml:space="preserve"> </w:t>
            </w:r>
          </w:p>
        </w:tc>
      </w:tr>
      <w:tr w:rsidR="00CE1397" w:rsidRPr="008F1108" w14:paraId="444DBB53" w14:textId="77777777" w:rsidTr="002C525E">
        <w:tc>
          <w:tcPr>
            <w:tcW w:w="2288" w:type="pct"/>
            <w:noWrap/>
            <w:vAlign w:val="center"/>
            <w:hideMark/>
          </w:tcPr>
          <w:p w14:paraId="17DCD997" w14:textId="77777777" w:rsidR="00CE1397" w:rsidRPr="008F1108" w:rsidRDefault="00CE1397" w:rsidP="00A917FF">
            <w:pPr>
              <w:rPr>
                <w:b/>
                <w:bCs/>
              </w:rPr>
            </w:pPr>
            <w:r w:rsidRPr="008F1108">
              <w:rPr>
                <w:b/>
                <w:bCs/>
              </w:rPr>
              <w:t>Não Circulante</w:t>
            </w:r>
          </w:p>
        </w:tc>
        <w:tc>
          <w:tcPr>
            <w:tcW w:w="913" w:type="pct"/>
            <w:vAlign w:val="center"/>
            <w:hideMark/>
          </w:tcPr>
          <w:p w14:paraId="0E943DB7" w14:textId="77777777" w:rsidR="00CE1397" w:rsidRPr="008F1108" w:rsidRDefault="00CE1397" w:rsidP="00A917FF">
            <w:pPr>
              <w:jc w:val="right"/>
              <w:rPr>
                <w:b/>
                <w:bCs/>
              </w:rPr>
            </w:pPr>
          </w:p>
        </w:tc>
        <w:tc>
          <w:tcPr>
            <w:tcW w:w="88" w:type="pct"/>
            <w:vAlign w:val="center"/>
            <w:hideMark/>
          </w:tcPr>
          <w:p w14:paraId="6810505F" w14:textId="77777777" w:rsidR="00CE1397" w:rsidRPr="008F1108" w:rsidRDefault="00CE1397" w:rsidP="00A917FF">
            <w:pPr>
              <w:jc w:val="right"/>
            </w:pPr>
          </w:p>
        </w:tc>
        <w:tc>
          <w:tcPr>
            <w:tcW w:w="789" w:type="pct"/>
            <w:vAlign w:val="center"/>
            <w:hideMark/>
          </w:tcPr>
          <w:p w14:paraId="54E843DF" w14:textId="77777777" w:rsidR="00CE1397" w:rsidRPr="008F1108" w:rsidRDefault="00CE1397" w:rsidP="00A917FF">
            <w:pPr>
              <w:jc w:val="right"/>
            </w:pPr>
          </w:p>
        </w:tc>
        <w:tc>
          <w:tcPr>
            <w:tcW w:w="81" w:type="pct"/>
            <w:vAlign w:val="center"/>
            <w:hideMark/>
          </w:tcPr>
          <w:p w14:paraId="6D80A969" w14:textId="77777777" w:rsidR="00CE1397" w:rsidRPr="008F1108" w:rsidRDefault="00CE1397" w:rsidP="00A917FF">
            <w:pPr>
              <w:jc w:val="right"/>
            </w:pPr>
          </w:p>
        </w:tc>
        <w:tc>
          <w:tcPr>
            <w:tcW w:w="841" w:type="pct"/>
            <w:noWrap/>
            <w:vAlign w:val="center"/>
            <w:hideMark/>
          </w:tcPr>
          <w:p w14:paraId="7BF01475" w14:textId="77777777" w:rsidR="00CE1397" w:rsidRPr="008F1108" w:rsidRDefault="00CE1397" w:rsidP="00A917FF">
            <w:pPr>
              <w:jc w:val="right"/>
            </w:pPr>
          </w:p>
        </w:tc>
      </w:tr>
      <w:tr w:rsidR="00CE1397" w:rsidRPr="008F1108" w14:paraId="501F8BFC" w14:textId="77777777" w:rsidTr="002C525E">
        <w:tc>
          <w:tcPr>
            <w:tcW w:w="2288" w:type="pct"/>
            <w:noWrap/>
            <w:vAlign w:val="center"/>
            <w:hideMark/>
          </w:tcPr>
          <w:p w14:paraId="75182B80" w14:textId="77777777" w:rsidR="00CE1397" w:rsidRPr="008F1108" w:rsidRDefault="00CE1397" w:rsidP="00A917FF">
            <w:r w:rsidRPr="008F1108">
              <w:t xml:space="preserve">   Depósitos Judiciais </w:t>
            </w:r>
          </w:p>
        </w:tc>
        <w:tc>
          <w:tcPr>
            <w:tcW w:w="913" w:type="pct"/>
            <w:vAlign w:val="center"/>
            <w:hideMark/>
          </w:tcPr>
          <w:p w14:paraId="3B49D139" w14:textId="3DBCDF3B" w:rsidR="00CE1397" w:rsidRPr="008F1108" w:rsidRDefault="00CE1397" w:rsidP="009E77D3">
            <w:pPr>
              <w:jc w:val="right"/>
            </w:pPr>
            <w:r w:rsidRPr="008F1108">
              <w:t xml:space="preserve">           1.</w:t>
            </w:r>
            <w:r w:rsidR="009E77D3" w:rsidRPr="008F1108">
              <w:t>733</w:t>
            </w:r>
            <w:r w:rsidRPr="008F1108">
              <w:t xml:space="preserve"> </w:t>
            </w:r>
          </w:p>
        </w:tc>
        <w:tc>
          <w:tcPr>
            <w:tcW w:w="88" w:type="pct"/>
            <w:vAlign w:val="center"/>
            <w:hideMark/>
          </w:tcPr>
          <w:p w14:paraId="19EC5E23" w14:textId="77777777" w:rsidR="00CE1397" w:rsidRPr="008F1108" w:rsidRDefault="00CE1397" w:rsidP="00A917FF">
            <w:pPr>
              <w:jc w:val="right"/>
            </w:pPr>
          </w:p>
        </w:tc>
        <w:tc>
          <w:tcPr>
            <w:tcW w:w="789" w:type="pct"/>
            <w:vAlign w:val="center"/>
            <w:hideMark/>
          </w:tcPr>
          <w:p w14:paraId="1BE423CF" w14:textId="562CBF0B" w:rsidR="00CE1397" w:rsidRPr="008F1108" w:rsidRDefault="00CE1397" w:rsidP="009E77D3">
            <w:pPr>
              <w:jc w:val="right"/>
            </w:pPr>
            <w:r w:rsidRPr="008F1108">
              <w:t xml:space="preserve">        1.</w:t>
            </w:r>
            <w:r w:rsidR="009E77D3" w:rsidRPr="008F1108">
              <w:t>733</w:t>
            </w:r>
            <w:r w:rsidRPr="008F1108">
              <w:t xml:space="preserve"> </w:t>
            </w:r>
          </w:p>
        </w:tc>
        <w:tc>
          <w:tcPr>
            <w:tcW w:w="81" w:type="pct"/>
            <w:vAlign w:val="center"/>
            <w:hideMark/>
          </w:tcPr>
          <w:p w14:paraId="1A3E6D6E" w14:textId="77777777" w:rsidR="00CE1397" w:rsidRPr="008F1108" w:rsidRDefault="00CE1397" w:rsidP="00A917FF">
            <w:pPr>
              <w:jc w:val="right"/>
            </w:pPr>
          </w:p>
        </w:tc>
        <w:tc>
          <w:tcPr>
            <w:tcW w:w="841" w:type="pct"/>
            <w:vAlign w:val="center"/>
            <w:hideMark/>
          </w:tcPr>
          <w:p w14:paraId="67F8D566" w14:textId="77777777" w:rsidR="00CE1397" w:rsidRPr="008F1108" w:rsidRDefault="00CE1397" w:rsidP="00A917FF">
            <w:pPr>
              <w:jc w:val="right"/>
            </w:pPr>
            <w:r w:rsidRPr="008F1108">
              <w:t xml:space="preserve">     -   </w:t>
            </w:r>
          </w:p>
        </w:tc>
      </w:tr>
      <w:tr w:rsidR="00CE1397" w:rsidRPr="008F1108" w14:paraId="705C5DA0" w14:textId="77777777" w:rsidTr="002C525E">
        <w:tc>
          <w:tcPr>
            <w:tcW w:w="2288" w:type="pct"/>
            <w:noWrap/>
            <w:vAlign w:val="center"/>
            <w:hideMark/>
          </w:tcPr>
          <w:p w14:paraId="654A2BE5" w14:textId="77777777" w:rsidR="00CE1397" w:rsidRPr="008F1108" w:rsidRDefault="00CE1397" w:rsidP="00A917FF">
            <w:r w:rsidRPr="008F1108">
              <w:t xml:space="preserve">   Imobilizado e Intangível</w:t>
            </w:r>
          </w:p>
        </w:tc>
        <w:tc>
          <w:tcPr>
            <w:tcW w:w="913" w:type="pct"/>
            <w:tcBorders>
              <w:top w:val="nil"/>
              <w:left w:val="nil"/>
              <w:right w:val="nil"/>
            </w:tcBorders>
            <w:vAlign w:val="center"/>
            <w:hideMark/>
          </w:tcPr>
          <w:p w14:paraId="6982D8DD" w14:textId="58E128C7" w:rsidR="00CE1397" w:rsidRPr="008F1108" w:rsidRDefault="00CE1397" w:rsidP="009E77D3">
            <w:pPr>
              <w:jc w:val="right"/>
            </w:pPr>
            <w:r w:rsidRPr="008F1108">
              <w:t xml:space="preserve">        9</w:t>
            </w:r>
            <w:r w:rsidR="009E77D3" w:rsidRPr="008F1108">
              <w:t>63</w:t>
            </w:r>
            <w:r w:rsidRPr="008F1108">
              <w:t>.</w:t>
            </w:r>
            <w:r w:rsidR="009E77D3" w:rsidRPr="008F1108">
              <w:t>205</w:t>
            </w:r>
            <w:r w:rsidRPr="008F1108">
              <w:t xml:space="preserve"> </w:t>
            </w:r>
          </w:p>
        </w:tc>
        <w:tc>
          <w:tcPr>
            <w:tcW w:w="88" w:type="pct"/>
            <w:vAlign w:val="center"/>
            <w:hideMark/>
          </w:tcPr>
          <w:p w14:paraId="5BC68CF8" w14:textId="77777777" w:rsidR="00CE1397" w:rsidRPr="008F1108" w:rsidRDefault="00CE1397" w:rsidP="00A917FF">
            <w:pPr>
              <w:jc w:val="right"/>
            </w:pPr>
          </w:p>
        </w:tc>
        <w:tc>
          <w:tcPr>
            <w:tcW w:w="789" w:type="pct"/>
            <w:tcBorders>
              <w:top w:val="nil"/>
              <w:left w:val="nil"/>
              <w:right w:val="nil"/>
            </w:tcBorders>
            <w:vAlign w:val="center"/>
            <w:hideMark/>
          </w:tcPr>
          <w:p w14:paraId="6B1AFB81" w14:textId="60D5CA87" w:rsidR="00CE1397" w:rsidRPr="008F1108" w:rsidRDefault="00CE1397" w:rsidP="009E77D3">
            <w:pPr>
              <w:jc w:val="right"/>
            </w:pPr>
            <w:r w:rsidRPr="008F1108">
              <w:t xml:space="preserve">            9</w:t>
            </w:r>
            <w:r w:rsidR="009E77D3" w:rsidRPr="008F1108">
              <w:t>63</w:t>
            </w:r>
            <w:r w:rsidRPr="008F1108">
              <w:t>.</w:t>
            </w:r>
            <w:r w:rsidR="009E77D3" w:rsidRPr="008F1108">
              <w:t>527</w:t>
            </w:r>
            <w:r w:rsidRPr="008F1108">
              <w:t xml:space="preserve"> </w:t>
            </w:r>
          </w:p>
        </w:tc>
        <w:tc>
          <w:tcPr>
            <w:tcW w:w="81" w:type="pct"/>
            <w:vAlign w:val="center"/>
            <w:hideMark/>
          </w:tcPr>
          <w:p w14:paraId="052F75E8" w14:textId="77777777" w:rsidR="00CE1397" w:rsidRPr="008F1108" w:rsidRDefault="00CE1397" w:rsidP="00A917FF">
            <w:pPr>
              <w:jc w:val="right"/>
            </w:pPr>
          </w:p>
        </w:tc>
        <w:tc>
          <w:tcPr>
            <w:tcW w:w="841" w:type="pct"/>
            <w:tcBorders>
              <w:top w:val="nil"/>
              <w:left w:val="nil"/>
              <w:right w:val="nil"/>
            </w:tcBorders>
            <w:vAlign w:val="center"/>
            <w:hideMark/>
          </w:tcPr>
          <w:p w14:paraId="08CB0A72" w14:textId="69EF3325" w:rsidR="00CE1397" w:rsidRPr="008F1108" w:rsidRDefault="00CE1397" w:rsidP="00C77649">
            <w:pPr>
              <w:jc w:val="right"/>
            </w:pPr>
            <w:r w:rsidRPr="008F1108">
              <w:t>(</w:t>
            </w:r>
            <w:r w:rsidR="00C77649" w:rsidRPr="008F1108">
              <w:t>322</w:t>
            </w:r>
            <w:r w:rsidRPr="008F1108">
              <w:t>)</w:t>
            </w:r>
          </w:p>
        </w:tc>
      </w:tr>
      <w:tr w:rsidR="00CE1397" w:rsidRPr="008F1108" w14:paraId="6F1101A0" w14:textId="77777777" w:rsidTr="002C525E">
        <w:tc>
          <w:tcPr>
            <w:tcW w:w="2288" w:type="pct"/>
            <w:noWrap/>
            <w:vAlign w:val="center"/>
            <w:hideMark/>
          </w:tcPr>
          <w:p w14:paraId="2280B565" w14:textId="77777777" w:rsidR="00CE1397" w:rsidRPr="008F1108" w:rsidRDefault="00CE1397" w:rsidP="00A917FF"/>
        </w:tc>
        <w:tc>
          <w:tcPr>
            <w:tcW w:w="913" w:type="pct"/>
            <w:tcBorders>
              <w:left w:val="nil"/>
              <w:bottom w:val="nil"/>
              <w:right w:val="nil"/>
            </w:tcBorders>
            <w:vAlign w:val="center"/>
            <w:hideMark/>
          </w:tcPr>
          <w:p w14:paraId="3EBB9751" w14:textId="40B06D33" w:rsidR="00CE1397" w:rsidRPr="008F1108" w:rsidRDefault="00CE1397" w:rsidP="009E77D3">
            <w:pPr>
              <w:jc w:val="right"/>
              <w:rPr>
                <w:b/>
                <w:bCs/>
              </w:rPr>
            </w:pPr>
            <w:r w:rsidRPr="008F1108">
              <w:rPr>
                <w:b/>
                <w:bCs/>
              </w:rPr>
              <w:t xml:space="preserve">    9</w:t>
            </w:r>
            <w:r w:rsidR="009E77D3" w:rsidRPr="008F1108">
              <w:rPr>
                <w:b/>
                <w:bCs/>
              </w:rPr>
              <w:t>6</w:t>
            </w:r>
            <w:r w:rsidRPr="008F1108">
              <w:rPr>
                <w:b/>
                <w:bCs/>
              </w:rPr>
              <w:t>4.</w:t>
            </w:r>
            <w:r w:rsidR="009E77D3" w:rsidRPr="008F1108">
              <w:rPr>
                <w:b/>
                <w:bCs/>
              </w:rPr>
              <w:t>938</w:t>
            </w:r>
            <w:r w:rsidRPr="008F1108">
              <w:rPr>
                <w:b/>
                <w:bCs/>
              </w:rPr>
              <w:t xml:space="preserve"> </w:t>
            </w:r>
          </w:p>
        </w:tc>
        <w:tc>
          <w:tcPr>
            <w:tcW w:w="88" w:type="pct"/>
            <w:vAlign w:val="center"/>
            <w:hideMark/>
          </w:tcPr>
          <w:p w14:paraId="3DA8DE09" w14:textId="77777777" w:rsidR="00CE1397" w:rsidRPr="008F1108" w:rsidRDefault="00CE1397" w:rsidP="00A917FF">
            <w:pPr>
              <w:jc w:val="right"/>
              <w:rPr>
                <w:b/>
                <w:bCs/>
              </w:rPr>
            </w:pPr>
          </w:p>
        </w:tc>
        <w:tc>
          <w:tcPr>
            <w:tcW w:w="789" w:type="pct"/>
            <w:tcBorders>
              <w:left w:val="nil"/>
              <w:bottom w:val="nil"/>
              <w:right w:val="nil"/>
            </w:tcBorders>
            <w:vAlign w:val="center"/>
            <w:hideMark/>
          </w:tcPr>
          <w:p w14:paraId="125AD06C" w14:textId="4527EA61" w:rsidR="00CE1397" w:rsidRPr="008F1108" w:rsidRDefault="00CE1397" w:rsidP="009E77D3">
            <w:pPr>
              <w:jc w:val="right"/>
              <w:rPr>
                <w:b/>
                <w:bCs/>
              </w:rPr>
            </w:pPr>
            <w:r w:rsidRPr="008F1108">
              <w:rPr>
                <w:b/>
                <w:bCs/>
              </w:rPr>
              <w:t xml:space="preserve">      9</w:t>
            </w:r>
            <w:r w:rsidR="009E77D3" w:rsidRPr="008F1108">
              <w:rPr>
                <w:b/>
                <w:bCs/>
              </w:rPr>
              <w:t>6</w:t>
            </w:r>
            <w:r w:rsidRPr="008F1108">
              <w:rPr>
                <w:b/>
                <w:bCs/>
              </w:rPr>
              <w:t>5.</w:t>
            </w:r>
            <w:r w:rsidR="009E77D3" w:rsidRPr="008F1108">
              <w:rPr>
                <w:b/>
                <w:bCs/>
              </w:rPr>
              <w:t>2</w:t>
            </w:r>
            <w:r w:rsidRPr="008F1108">
              <w:rPr>
                <w:b/>
                <w:bCs/>
              </w:rPr>
              <w:t>6</w:t>
            </w:r>
            <w:r w:rsidR="009E77D3" w:rsidRPr="008F1108">
              <w:rPr>
                <w:b/>
                <w:bCs/>
              </w:rPr>
              <w:t>0</w:t>
            </w:r>
            <w:r w:rsidRPr="008F1108">
              <w:rPr>
                <w:b/>
                <w:bCs/>
              </w:rPr>
              <w:t xml:space="preserve"> </w:t>
            </w:r>
          </w:p>
        </w:tc>
        <w:tc>
          <w:tcPr>
            <w:tcW w:w="81" w:type="pct"/>
            <w:vAlign w:val="center"/>
            <w:hideMark/>
          </w:tcPr>
          <w:p w14:paraId="40FA67D9" w14:textId="77777777" w:rsidR="00CE1397" w:rsidRPr="008F1108" w:rsidRDefault="00CE1397" w:rsidP="00A917FF">
            <w:pPr>
              <w:jc w:val="right"/>
              <w:rPr>
                <w:b/>
                <w:bCs/>
              </w:rPr>
            </w:pPr>
          </w:p>
        </w:tc>
        <w:tc>
          <w:tcPr>
            <w:tcW w:w="841" w:type="pct"/>
            <w:tcBorders>
              <w:left w:val="nil"/>
              <w:bottom w:val="nil"/>
              <w:right w:val="nil"/>
            </w:tcBorders>
            <w:vAlign w:val="center"/>
            <w:hideMark/>
          </w:tcPr>
          <w:p w14:paraId="616EB48A" w14:textId="5B27652E" w:rsidR="00CE1397" w:rsidRPr="008F1108" w:rsidRDefault="00CE1397" w:rsidP="00C77649">
            <w:pPr>
              <w:jc w:val="right"/>
              <w:rPr>
                <w:b/>
                <w:bCs/>
              </w:rPr>
            </w:pPr>
            <w:r w:rsidRPr="008F1108">
              <w:rPr>
                <w:b/>
                <w:bCs/>
              </w:rPr>
              <w:t xml:space="preserve">  (</w:t>
            </w:r>
            <w:r w:rsidR="00C77649" w:rsidRPr="008F1108">
              <w:rPr>
                <w:b/>
                <w:bCs/>
              </w:rPr>
              <w:t>3</w:t>
            </w:r>
            <w:r w:rsidRPr="008F1108">
              <w:rPr>
                <w:b/>
                <w:bCs/>
              </w:rPr>
              <w:t>2</w:t>
            </w:r>
            <w:r w:rsidR="00C77649" w:rsidRPr="008F1108">
              <w:rPr>
                <w:b/>
                <w:bCs/>
              </w:rPr>
              <w:t>2</w:t>
            </w:r>
            <w:r w:rsidRPr="008F1108">
              <w:rPr>
                <w:b/>
                <w:bCs/>
              </w:rPr>
              <w:t xml:space="preserve">) </w:t>
            </w:r>
          </w:p>
        </w:tc>
      </w:tr>
      <w:tr w:rsidR="00CE1397" w:rsidRPr="008F1108" w14:paraId="1BAB0117" w14:textId="77777777" w:rsidTr="002C525E">
        <w:tc>
          <w:tcPr>
            <w:tcW w:w="2288" w:type="pct"/>
            <w:noWrap/>
            <w:vAlign w:val="center"/>
          </w:tcPr>
          <w:p w14:paraId="7A783BC0" w14:textId="77777777" w:rsidR="00CE1397" w:rsidRPr="008F1108" w:rsidRDefault="00CE1397" w:rsidP="00A917FF"/>
        </w:tc>
        <w:tc>
          <w:tcPr>
            <w:tcW w:w="913" w:type="pct"/>
            <w:tcBorders>
              <w:left w:val="nil"/>
              <w:bottom w:val="nil"/>
              <w:right w:val="nil"/>
            </w:tcBorders>
            <w:vAlign w:val="center"/>
          </w:tcPr>
          <w:p w14:paraId="719932DA" w14:textId="77777777" w:rsidR="00CE1397" w:rsidRPr="008F1108" w:rsidRDefault="00CE1397" w:rsidP="00A917FF">
            <w:pPr>
              <w:jc w:val="right"/>
              <w:rPr>
                <w:b/>
                <w:bCs/>
              </w:rPr>
            </w:pPr>
          </w:p>
        </w:tc>
        <w:tc>
          <w:tcPr>
            <w:tcW w:w="88" w:type="pct"/>
            <w:vAlign w:val="center"/>
          </w:tcPr>
          <w:p w14:paraId="1D40CA03" w14:textId="77777777" w:rsidR="00CE1397" w:rsidRPr="008F1108" w:rsidRDefault="00CE1397" w:rsidP="00A917FF">
            <w:pPr>
              <w:jc w:val="right"/>
              <w:rPr>
                <w:b/>
                <w:bCs/>
              </w:rPr>
            </w:pPr>
          </w:p>
        </w:tc>
        <w:tc>
          <w:tcPr>
            <w:tcW w:w="789" w:type="pct"/>
            <w:tcBorders>
              <w:left w:val="nil"/>
              <w:bottom w:val="nil"/>
              <w:right w:val="nil"/>
            </w:tcBorders>
            <w:vAlign w:val="center"/>
          </w:tcPr>
          <w:p w14:paraId="59928F75" w14:textId="77777777" w:rsidR="00CE1397" w:rsidRPr="008F1108" w:rsidRDefault="00CE1397" w:rsidP="00A917FF">
            <w:pPr>
              <w:jc w:val="right"/>
              <w:rPr>
                <w:b/>
                <w:bCs/>
              </w:rPr>
            </w:pPr>
          </w:p>
        </w:tc>
        <w:tc>
          <w:tcPr>
            <w:tcW w:w="81" w:type="pct"/>
            <w:vAlign w:val="center"/>
          </w:tcPr>
          <w:p w14:paraId="66966873" w14:textId="77777777" w:rsidR="00CE1397" w:rsidRPr="008F1108" w:rsidRDefault="00CE1397" w:rsidP="00A917FF">
            <w:pPr>
              <w:jc w:val="right"/>
              <w:rPr>
                <w:b/>
                <w:bCs/>
              </w:rPr>
            </w:pPr>
          </w:p>
        </w:tc>
        <w:tc>
          <w:tcPr>
            <w:tcW w:w="841" w:type="pct"/>
            <w:tcBorders>
              <w:left w:val="nil"/>
              <w:bottom w:val="nil"/>
              <w:right w:val="nil"/>
            </w:tcBorders>
            <w:vAlign w:val="center"/>
          </w:tcPr>
          <w:p w14:paraId="3331E1AA" w14:textId="77777777" w:rsidR="00CE1397" w:rsidRPr="008F1108" w:rsidRDefault="00CE1397" w:rsidP="00A917FF">
            <w:pPr>
              <w:jc w:val="right"/>
              <w:rPr>
                <w:b/>
                <w:bCs/>
              </w:rPr>
            </w:pPr>
          </w:p>
        </w:tc>
      </w:tr>
      <w:tr w:rsidR="00CE1397" w:rsidRPr="008F1108" w14:paraId="04EAEDE1" w14:textId="77777777" w:rsidTr="002C525E">
        <w:tc>
          <w:tcPr>
            <w:tcW w:w="2288" w:type="pct"/>
            <w:noWrap/>
            <w:vAlign w:val="bottom"/>
            <w:hideMark/>
          </w:tcPr>
          <w:p w14:paraId="0A558A07" w14:textId="77777777" w:rsidR="00CE1397" w:rsidRPr="008F1108" w:rsidRDefault="00CE1397" w:rsidP="00A917FF">
            <w:pPr>
              <w:rPr>
                <w:b/>
                <w:bCs/>
              </w:rPr>
            </w:pPr>
            <w:r w:rsidRPr="008F1108">
              <w:rPr>
                <w:b/>
                <w:bCs/>
              </w:rPr>
              <w:t xml:space="preserve">  Total do Ativo</w:t>
            </w:r>
          </w:p>
        </w:tc>
        <w:tc>
          <w:tcPr>
            <w:tcW w:w="913" w:type="pct"/>
            <w:tcBorders>
              <w:top w:val="nil"/>
              <w:left w:val="nil"/>
              <w:right w:val="nil"/>
            </w:tcBorders>
            <w:vAlign w:val="bottom"/>
            <w:hideMark/>
          </w:tcPr>
          <w:p w14:paraId="0E9CEAA4" w14:textId="2722C8B4" w:rsidR="00CE1397" w:rsidRPr="008F1108" w:rsidRDefault="00CE1397" w:rsidP="00A7247A">
            <w:pPr>
              <w:jc w:val="right"/>
              <w:rPr>
                <w:b/>
                <w:bCs/>
              </w:rPr>
            </w:pPr>
            <w:r w:rsidRPr="008F1108">
              <w:rPr>
                <w:b/>
                <w:bCs/>
              </w:rPr>
              <w:t xml:space="preserve">     1.3</w:t>
            </w:r>
            <w:r w:rsidR="00A7247A" w:rsidRPr="008F1108">
              <w:rPr>
                <w:b/>
                <w:bCs/>
              </w:rPr>
              <w:t>7</w:t>
            </w:r>
            <w:r w:rsidR="009E77D3" w:rsidRPr="008F1108">
              <w:rPr>
                <w:b/>
                <w:bCs/>
              </w:rPr>
              <w:t>8</w:t>
            </w:r>
            <w:r w:rsidRPr="008F1108">
              <w:rPr>
                <w:b/>
                <w:bCs/>
              </w:rPr>
              <w:t>.</w:t>
            </w:r>
            <w:r w:rsidR="009E77D3" w:rsidRPr="008F1108">
              <w:rPr>
                <w:b/>
                <w:bCs/>
              </w:rPr>
              <w:t>5</w:t>
            </w:r>
            <w:r w:rsidR="00A7247A" w:rsidRPr="008F1108">
              <w:rPr>
                <w:b/>
                <w:bCs/>
              </w:rPr>
              <w:t>5</w:t>
            </w:r>
            <w:r w:rsidR="009E77D3" w:rsidRPr="008F1108">
              <w:rPr>
                <w:b/>
                <w:bCs/>
              </w:rPr>
              <w:t>3</w:t>
            </w:r>
            <w:r w:rsidRPr="008F1108">
              <w:rPr>
                <w:b/>
                <w:bCs/>
              </w:rPr>
              <w:t xml:space="preserve"> </w:t>
            </w:r>
          </w:p>
        </w:tc>
        <w:tc>
          <w:tcPr>
            <w:tcW w:w="88" w:type="pct"/>
            <w:vAlign w:val="bottom"/>
            <w:hideMark/>
          </w:tcPr>
          <w:p w14:paraId="34E23C9E" w14:textId="77777777" w:rsidR="00CE1397" w:rsidRPr="008F1108" w:rsidRDefault="00CE1397" w:rsidP="00A917FF">
            <w:pPr>
              <w:jc w:val="right"/>
              <w:rPr>
                <w:b/>
                <w:bCs/>
              </w:rPr>
            </w:pPr>
          </w:p>
        </w:tc>
        <w:tc>
          <w:tcPr>
            <w:tcW w:w="789" w:type="pct"/>
            <w:tcBorders>
              <w:top w:val="nil"/>
              <w:left w:val="nil"/>
              <w:right w:val="nil"/>
            </w:tcBorders>
            <w:vAlign w:val="bottom"/>
            <w:hideMark/>
          </w:tcPr>
          <w:p w14:paraId="663C4539" w14:textId="2B4BD4E6" w:rsidR="00CE1397" w:rsidRPr="008F1108" w:rsidRDefault="00CE1397" w:rsidP="0041202B">
            <w:pPr>
              <w:jc w:val="right"/>
              <w:rPr>
                <w:b/>
                <w:bCs/>
              </w:rPr>
            </w:pPr>
            <w:r w:rsidRPr="008F1108">
              <w:rPr>
                <w:b/>
                <w:bCs/>
              </w:rPr>
              <w:t>1.</w:t>
            </w:r>
            <w:r w:rsidR="00C77649" w:rsidRPr="008F1108">
              <w:rPr>
                <w:b/>
                <w:bCs/>
              </w:rPr>
              <w:t>367</w:t>
            </w:r>
            <w:r w:rsidRPr="008F1108">
              <w:rPr>
                <w:b/>
                <w:bCs/>
              </w:rPr>
              <w:t>.</w:t>
            </w:r>
            <w:r w:rsidR="00C77649" w:rsidRPr="008F1108">
              <w:rPr>
                <w:b/>
                <w:bCs/>
              </w:rPr>
              <w:t>39</w:t>
            </w:r>
            <w:r w:rsidR="0041202B" w:rsidRPr="008F1108">
              <w:rPr>
                <w:b/>
                <w:bCs/>
              </w:rPr>
              <w:t>7</w:t>
            </w:r>
            <w:r w:rsidRPr="008F1108">
              <w:rPr>
                <w:b/>
                <w:bCs/>
              </w:rPr>
              <w:t xml:space="preserve"> </w:t>
            </w:r>
          </w:p>
        </w:tc>
        <w:tc>
          <w:tcPr>
            <w:tcW w:w="81" w:type="pct"/>
            <w:vAlign w:val="bottom"/>
            <w:hideMark/>
          </w:tcPr>
          <w:p w14:paraId="31389504" w14:textId="77777777" w:rsidR="00CE1397" w:rsidRPr="008F1108" w:rsidRDefault="00CE1397" w:rsidP="00A917FF">
            <w:pPr>
              <w:jc w:val="right"/>
              <w:rPr>
                <w:b/>
                <w:bCs/>
              </w:rPr>
            </w:pPr>
          </w:p>
        </w:tc>
        <w:tc>
          <w:tcPr>
            <w:tcW w:w="841" w:type="pct"/>
            <w:tcBorders>
              <w:top w:val="nil"/>
              <w:left w:val="nil"/>
              <w:right w:val="nil"/>
            </w:tcBorders>
            <w:noWrap/>
            <w:vAlign w:val="bottom"/>
            <w:hideMark/>
          </w:tcPr>
          <w:p w14:paraId="62B99736" w14:textId="297D99BB" w:rsidR="00CE1397" w:rsidRPr="008F1108" w:rsidRDefault="00CE1397" w:rsidP="00A7247A">
            <w:pPr>
              <w:jc w:val="right"/>
              <w:rPr>
                <w:b/>
                <w:bCs/>
              </w:rPr>
            </w:pPr>
            <w:r w:rsidRPr="008F1108">
              <w:rPr>
                <w:b/>
                <w:bCs/>
              </w:rPr>
              <w:t xml:space="preserve">  1</w:t>
            </w:r>
            <w:r w:rsidR="00A7247A" w:rsidRPr="008F1108">
              <w:rPr>
                <w:b/>
                <w:bCs/>
              </w:rPr>
              <w:t>1</w:t>
            </w:r>
            <w:r w:rsidRPr="008F1108">
              <w:rPr>
                <w:b/>
                <w:bCs/>
              </w:rPr>
              <w:t>.</w:t>
            </w:r>
            <w:r w:rsidR="00C77649" w:rsidRPr="008F1108">
              <w:rPr>
                <w:b/>
                <w:bCs/>
              </w:rPr>
              <w:t>1</w:t>
            </w:r>
            <w:r w:rsidR="00A7247A" w:rsidRPr="008F1108">
              <w:rPr>
                <w:b/>
                <w:bCs/>
              </w:rPr>
              <w:t>5</w:t>
            </w:r>
            <w:r w:rsidR="00C77649" w:rsidRPr="008F1108">
              <w:rPr>
                <w:b/>
                <w:bCs/>
              </w:rPr>
              <w:t>6</w:t>
            </w:r>
            <w:r w:rsidRPr="008F1108">
              <w:rPr>
                <w:b/>
                <w:bCs/>
              </w:rPr>
              <w:t xml:space="preserve"> </w:t>
            </w:r>
          </w:p>
        </w:tc>
      </w:tr>
      <w:tr w:rsidR="00CE1397" w:rsidRPr="008F1108" w14:paraId="79B2F21C" w14:textId="77777777" w:rsidTr="002C525E">
        <w:tc>
          <w:tcPr>
            <w:tcW w:w="2288" w:type="pct"/>
            <w:noWrap/>
            <w:vAlign w:val="bottom"/>
          </w:tcPr>
          <w:p w14:paraId="43B47C7F" w14:textId="77777777" w:rsidR="00CE1397" w:rsidRPr="008F1108" w:rsidRDefault="00CE1397" w:rsidP="00A917FF">
            <w:pPr>
              <w:rPr>
                <w:b/>
                <w:bCs/>
              </w:rPr>
            </w:pPr>
          </w:p>
        </w:tc>
        <w:tc>
          <w:tcPr>
            <w:tcW w:w="913" w:type="pct"/>
            <w:tcBorders>
              <w:top w:val="nil"/>
              <w:left w:val="nil"/>
              <w:right w:val="nil"/>
            </w:tcBorders>
            <w:vAlign w:val="bottom"/>
          </w:tcPr>
          <w:p w14:paraId="7E18F0F8" w14:textId="77777777" w:rsidR="00CE1397" w:rsidRPr="008F1108" w:rsidRDefault="00CE1397" w:rsidP="00A917FF">
            <w:pPr>
              <w:jc w:val="right"/>
              <w:rPr>
                <w:b/>
                <w:bCs/>
              </w:rPr>
            </w:pPr>
          </w:p>
        </w:tc>
        <w:tc>
          <w:tcPr>
            <w:tcW w:w="88" w:type="pct"/>
            <w:vAlign w:val="bottom"/>
          </w:tcPr>
          <w:p w14:paraId="1DE15C52" w14:textId="77777777" w:rsidR="00CE1397" w:rsidRPr="008F1108" w:rsidRDefault="00CE1397" w:rsidP="00A917FF">
            <w:pPr>
              <w:jc w:val="right"/>
              <w:rPr>
                <w:b/>
                <w:bCs/>
              </w:rPr>
            </w:pPr>
          </w:p>
        </w:tc>
        <w:tc>
          <w:tcPr>
            <w:tcW w:w="789" w:type="pct"/>
            <w:tcBorders>
              <w:top w:val="nil"/>
              <w:left w:val="nil"/>
              <w:right w:val="nil"/>
            </w:tcBorders>
            <w:vAlign w:val="bottom"/>
          </w:tcPr>
          <w:p w14:paraId="699F83F0" w14:textId="77777777" w:rsidR="00CE1397" w:rsidRPr="008F1108" w:rsidRDefault="00CE1397" w:rsidP="00A917FF">
            <w:pPr>
              <w:jc w:val="right"/>
              <w:rPr>
                <w:b/>
                <w:bCs/>
              </w:rPr>
            </w:pPr>
          </w:p>
        </w:tc>
        <w:tc>
          <w:tcPr>
            <w:tcW w:w="81" w:type="pct"/>
            <w:vAlign w:val="bottom"/>
          </w:tcPr>
          <w:p w14:paraId="27957956" w14:textId="77777777" w:rsidR="00CE1397" w:rsidRPr="008F1108" w:rsidRDefault="00CE1397" w:rsidP="00A917FF">
            <w:pPr>
              <w:jc w:val="right"/>
              <w:rPr>
                <w:b/>
                <w:bCs/>
              </w:rPr>
            </w:pPr>
          </w:p>
        </w:tc>
        <w:tc>
          <w:tcPr>
            <w:tcW w:w="841" w:type="pct"/>
            <w:tcBorders>
              <w:top w:val="nil"/>
              <w:left w:val="nil"/>
              <w:right w:val="nil"/>
            </w:tcBorders>
            <w:noWrap/>
            <w:vAlign w:val="bottom"/>
          </w:tcPr>
          <w:p w14:paraId="2C5CA858" w14:textId="77777777" w:rsidR="00CE1397" w:rsidRPr="008F1108" w:rsidRDefault="00CE1397" w:rsidP="00A917FF">
            <w:pPr>
              <w:jc w:val="right"/>
              <w:rPr>
                <w:b/>
                <w:bCs/>
              </w:rPr>
            </w:pPr>
          </w:p>
        </w:tc>
      </w:tr>
      <w:tr w:rsidR="00CE1397" w:rsidRPr="008F1108" w14:paraId="681F0CD1" w14:textId="77777777" w:rsidTr="002C525E">
        <w:tc>
          <w:tcPr>
            <w:tcW w:w="2288" w:type="pct"/>
            <w:noWrap/>
            <w:vAlign w:val="center"/>
            <w:hideMark/>
          </w:tcPr>
          <w:p w14:paraId="60FF1A93" w14:textId="77777777" w:rsidR="00CE1397" w:rsidRPr="008F1108" w:rsidRDefault="00CE1397" w:rsidP="00A917FF">
            <w:pPr>
              <w:rPr>
                <w:b/>
                <w:bCs/>
              </w:rPr>
            </w:pPr>
            <w:r w:rsidRPr="008F1108">
              <w:rPr>
                <w:b/>
                <w:bCs/>
              </w:rPr>
              <w:t>Passivo</w:t>
            </w:r>
          </w:p>
        </w:tc>
        <w:tc>
          <w:tcPr>
            <w:tcW w:w="913" w:type="pct"/>
            <w:vAlign w:val="center"/>
          </w:tcPr>
          <w:p w14:paraId="35AB63BA" w14:textId="77777777" w:rsidR="00CE1397" w:rsidRPr="008F1108" w:rsidRDefault="00CE1397" w:rsidP="00A917FF">
            <w:pPr>
              <w:jc w:val="right"/>
              <w:rPr>
                <w:b/>
                <w:bCs/>
              </w:rPr>
            </w:pPr>
          </w:p>
        </w:tc>
        <w:tc>
          <w:tcPr>
            <w:tcW w:w="88" w:type="pct"/>
            <w:vAlign w:val="center"/>
          </w:tcPr>
          <w:p w14:paraId="0B1DA6BF" w14:textId="77777777" w:rsidR="00CE1397" w:rsidRPr="008F1108" w:rsidRDefault="00CE1397" w:rsidP="00A917FF">
            <w:pPr>
              <w:jc w:val="right"/>
              <w:rPr>
                <w:b/>
                <w:bCs/>
              </w:rPr>
            </w:pPr>
          </w:p>
        </w:tc>
        <w:tc>
          <w:tcPr>
            <w:tcW w:w="789" w:type="pct"/>
            <w:vAlign w:val="center"/>
          </w:tcPr>
          <w:p w14:paraId="0B92AE81" w14:textId="77777777" w:rsidR="00CE1397" w:rsidRPr="008F1108" w:rsidRDefault="00CE1397" w:rsidP="00A917FF">
            <w:pPr>
              <w:jc w:val="right"/>
              <w:rPr>
                <w:b/>
                <w:bCs/>
              </w:rPr>
            </w:pPr>
          </w:p>
        </w:tc>
        <w:tc>
          <w:tcPr>
            <w:tcW w:w="81" w:type="pct"/>
            <w:vAlign w:val="center"/>
          </w:tcPr>
          <w:p w14:paraId="153D386C" w14:textId="77777777" w:rsidR="00CE1397" w:rsidRPr="008F1108" w:rsidRDefault="00CE1397" w:rsidP="00A917FF">
            <w:pPr>
              <w:jc w:val="right"/>
              <w:rPr>
                <w:b/>
                <w:bCs/>
              </w:rPr>
            </w:pPr>
          </w:p>
        </w:tc>
        <w:tc>
          <w:tcPr>
            <w:tcW w:w="841" w:type="pct"/>
            <w:noWrap/>
            <w:vAlign w:val="center"/>
          </w:tcPr>
          <w:p w14:paraId="68AA4B7E" w14:textId="77777777" w:rsidR="00CE1397" w:rsidRPr="008F1108" w:rsidRDefault="00CE1397" w:rsidP="00A917FF">
            <w:pPr>
              <w:jc w:val="right"/>
              <w:rPr>
                <w:b/>
                <w:bCs/>
              </w:rPr>
            </w:pPr>
          </w:p>
        </w:tc>
      </w:tr>
      <w:tr w:rsidR="00CE1397" w:rsidRPr="008F1108" w14:paraId="2732539A" w14:textId="77777777" w:rsidTr="002C525E">
        <w:tc>
          <w:tcPr>
            <w:tcW w:w="2288" w:type="pct"/>
            <w:noWrap/>
            <w:vAlign w:val="center"/>
            <w:hideMark/>
          </w:tcPr>
          <w:p w14:paraId="0A3BAB49" w14:textId="77777777" w:rsidR="00CE1397" w:rsidRPr="008F1108" w:rsidRDefault="00CE1397" w:rsidP="00A917FF">
            <w:pPr>
              <w:rPr>
                <w:b/>
                <w:bCs/>
                <w:iCs/>
              </w:rPr>
            </w:pPr>
            <w:r w:rsidRPr="008F1108">
              <w:rPr>
                <w:b/>
                <w:bCs/>
                <w:iCs/>
              </w:rPr>
              <w:t>Circulante</w:t>
            </w:r>
          </w:p>
        </w:tc>
        <w:tc>
          <w:tcPr>
            <w:tcW w:w="0" w:type="auto"/>
            <w:vAlign w:val="center"/>
            <w:hideMark/>
          </w:tcPr>
          <w:p w14:paraId="2E26BE93" w14:textId="77777777" w:rsidR="00CE1397" w:rsidRPr="008F1108" w:rsidRDefault="00CE1397" w:rsidP="00A917FF">
            <w:pPr>
              <w:jc w:val="right"/>
              <w:rPr>
                <w:b/>
                <w:bCs/>
              </w:rPr>
            </w:pPr>
          </w:p>
        </w:tc>
        <w:tc>
          <w:tcPr>
            <w:tcW w:w="0" w:type="auto"/>
            <w:vAlign w:val="center"/>
            <w:hideMark/>
          </w:tcPr>
          <w:p w14:paraId="1F69E9F1" w14:textId="77777777" w:rsidR="00CE1397" w:rsidRPr="008F1108" w:rsidRDefault="00CE1397" w:rsidP="00A917FF">
            <w:pPr>
              <w:jc w:val="right"/>
              <w:rPr>
                <w:b/>
                <w:bCs/>
              </w:rPr>
            </w:pPr>
          </w:p>
        </w:tc>
        <w:tc>
          <w:tcPr>
            <w:tcW w:w="0" w:type="auto"/>
            <w:vAlign w:val="center"/>
            <w:hideMark/>
          </w:tcPr>
          <w:p w14:paraId="3D40828A" w14:textId="77777777" w:rsidR="00CE1397" w:rsidRPr="008F1108" w:rsidRDefault="00CE1397" w:rsidP="00A917FF">
            <w:pPr>
              <w:jc w:val="right"/>
            </w:pPr>
          </w:p>
        </w:tc>
        <w:tc>
          <w:tcPr>
            <w:tcW w:w="0" w:type="auto"/>
            <w:vAlign w:val="center"/>
            <w:hideMark/>
          </w:tcPr>
          <w:p w14:paraId="6EDCC69D" w14:textId="77777777" w:rsidR="00CE1397" w:rsidRPr="008F1108" w:rsidRDefault="00CE1397" w:rsidP="00A917FF">
            <w:pPr>
              <w:jc w:val="right"/>
            </w:pPr>
          </w:p>
        </w:tc>
        <w:tc>
          <w:tcPr>
            <w:tcW w:w="0" w:type="auto"/>
            <w:vAlign w:val="center"/>
            <w:hideMark/>
          </w:tcPr>
          <w:p w14:paraId="26BC771D" w14:textId="77777777" w:rsidR="00CE1397" w:rsidRPr="008F1108" w:rsidRDefault="00CE1397" w:rsidP="00A917FF">
            <w:pPr>
              <w:jc w:val="right"/>
            </w:pPr>
          </w:p>
        </w:tc>
      </w:tr>
      <w:tr w:rsidR="00CE1397" w:rsidRPr="008F1108" w14:paraId="53C368BB" w14:textId="77777777" w:rsidTr="002C525E">
        <w:tc>
          <w:tcPr>
            <w:tcW w:w="2288" w:type="pct"/>
            <w:noWrap/>
            <w:vAlign w:val="center"/>
            <w:hideMark/>
          </w:tcPr>
          <w:p w14:paraId="50BDFA09" w14:textId="77777777" w:rsidR="00CE1397" w:rsidRPr="008F1108" w:rsidRDefault="00CE1397" w:rsidP="00A917FF">
            <w:r w:rsidRPr="008F1108">
              <w:t xml:space="preserve">   Fornecedores </w:t>
            </w:r>
          </w:p>
        </w:tc>
        <w:tc>
          <w:tcPr>
            <w:tcW w:w="913" w:type="pct"/>
            <w:vAlign w:val="center"/>
            <w:hideMark/>
          </w:tcPr>
          <w:p w14:paraId="232E02DD" w14:textId="794EBBED" w:rsidR="00CE1397" w:rsidRPr="008F1108" w:rsidRDefault="00CE1397" w:rsidP="007A2100">
            <w:pPr>
              <w:jc w:val="right"/>
            </w:pPr>
            <w:r w:rsidRPr="008F1108">
              <w:t xml:space="preserve">          </w:t>
            </w:r>
            <w:r w:rsidR="007A2100" w:rsidRPr="008F1108">
              <w:t>33</w:t>
            </w:r>
            <w:r w:rsidRPr="008F1108">
              <w:t>.9</w:t>
            </w:r>
            <w:r w:rsidR="007A2100" w:rsidRPr="008F1108">
              <w:t>29</w:t>
            </w:r>
            <w:r w:rsidRPr="008F1108">
              <w:t xml:space="preserve"> </w:t>
            </w:r>
          </w:p>
        </w:tc>
        <w:tc>
          <w:tcPr>
            <w:tcW w:w="88" w:type="pct"/>
            <w:vAlign w:val="center"/>
            <w:hideMark/>
          </w:tcPr>
          <w:p w14:paraId="373098B9" w14:textId="77777777" w:rsidR="00CE1397" w:rsidRPr="008F1108" w:rsidRDefault="00CE1397" w:rsidP="00A917FF">
            <w:pPr>
              <w:jc w:val="right"/>
            </w:pPr>
          </w:p>
        </w:tc>
        <w:tc>
          <w:tcPr>
            <w:tcW w:w="789" w:type="pct"/>
            <w:vAlign w:val="center"/>
            <w:hideMark/>
          </w:tcPr>
          <w:p w14:paraId="5E5FD323" w14:textId="764D32EF" w:rsidR="00CE1397" w:rsidRPr="008F1108" w:rsidRDefault="00CE1397" w:rsidP="007A2100">
            <w:pPr>
              <w:jc w:val="right"/>
            </w:pPr>
            <w:r w:rsidRPr="008F1108">
              <w:t xml:space="preserve">      27</w:t>
            </w:r>
            <w:r w:rsidR="007A2100" w:rsidRPr="008F1108">
              <w:t>.732</w:t>
            </w:r>
            <w:r w:rsidRPr="008F1108">
              <w:t xml:space="preserve"> </w:t>
            </w:r>
          </w:p>
        </w:tc>
        <w:tc>
          <w:tcPr>
            <w:tcW w:w="81" w:type="pct"/>
            <w:vAlign w:val="center"/>
            <w:hideMark/>
          </w:tcPr>
          <w:p w14:paraId="1D33CF11" w14:textId="77777777" w:rsidR="00CE1397" w:rsidRPr="008F1108" w:rsidRDefault="00CE1397" w:rsidP="00A917FF">
            <w:pPr>
              <w:jc w:val="right"/>
            </w:pPr>
          </w:p>
        </w:tc>
        <w:tc>
          <w:tcPr>
            <w:tcW w:w="841" w:type="pct"/>
            <w:vAlign w:val="center"/>
            <w:hideMark/>
          </w:tcPr>
          <w:p w14:paraId="679B817C" w14:textId="74CE41D5" w:rsidR="00CE1397" w:rsidRPr="008F1108" w:rsidRDefault="00CE1397" w:rsidP="007A2100">
            <w:pPr>
              <w:jc w:val="right"/>
            </w:pPr>
            <w:r w:rsidRPr="008F1108">
              <w:t xml:space="preserve">    6</w:t>
            </w:r>
            <w:r w:rsidR="007A2100" w:rsidRPr="008F1108">
              <w:t>.197</w:t>
            </w:r>
            <w:r w:rsidRPr="008F1108">
              <w:t xml:space="preserve"> </w:t>
            </w:r>
          </w:p>
        </w:tc>
      </w:tr>
      <w:tr w:rsidR="00CE1397" w:rsidRPr="008F1108" w14:paraId="2C738393" w14:textId="77777777" w:rsidTr="002C525E">
        <w:tc>
          <w:tcPr>
            <w:tcW w:w="2288" w:type="pct"/>
            <w:noWrap/>
            <w:vAlign w:val="center"/>
            <w:hideMark/>
          </w:tcPr>
          <w:p w14:paraId="0A95C35A" w14:textId="77777777" w:rsidR="00CE1397" w:rsidRPr="008F1108" w:rsidRDefault="00CE1397" w:rsidP="00A917FF">
            <w:r w:rsidRPr="008F1108">
              <w:t xml:space="preserve">   Outras Obrigações</w:t>
            </w:r>
          </w:p>
        </w:tc>
        <w:tc>
          <w:tcPr>
            <w:tcW w:w="913" w:type="pct"/>
            <w:tcBorders>
              <w:top w:val="nil"/>
              <w:left w:val="nil"/>
              <w:right w:val="nil"/>
            </w:tcBorders>
            <w:vAlign w:val="center"/>
            <w:hideMark/>
          </w:tcPr>
          <w:p w14:paraId="2E73F903" w14:textId="6A99889D" w:rsidR="00CE1397" w:rsidRPr="008F1108" w:rsidRDefault="00CE1397" w:rsidP="00A7247A">
            <w:pPr>
              <w:jc w:val="right"/>
            </w:pPr>
            <w:r w:rsidRPr="008F1108">
              <w:t xml:space="preserve">         </w:t>
            </w:r>
            <w:r w:rsidR="00A7247A" w:rsidRPr="008F1108">
              <w:t>499</w:t>
            </w:r>
            <w:r w:rsidRPr="008F1108">
              <w:t>.</w:t>
            </w:r>
            <w:r w:rsidR="007A2100" w:rsidRPr="008F1108">
              <w:t>0</w:t>
            </w:r>
            <w:r w:rsidR="00A7247A" w:rsidRPr="008F1108">
              <w:t>8</w:t>
            </w:r>
            <w:r w:rsidR="007A2100" w:rsidRPr="008F1108">
              <w:t>8</w:t>
            </w:r>
          </w:p>
        </w:tc>
        <w:tc>
          <w:tcPr>
            <w:tcW w:w="88" w:type="pct"/>
            <w:vAlign w:val="center"/>
            <w:hideMark/>
          </w:tcPr>
          <w:p w14:paraId="3224AD1A" w14:textId="77777777" w:rsidR="00CE1397" w:rsidRPr="008F1108" w:rsidRDefault="00CE1397" w:rsidP="00A917FF">
            <w:pPr>
              <w:jc w:val="right"/>
            </w:pPr>
          </w:p>
        </w:tc>
        <w:tc>
          <w:tcPr>
            <w:tcW w:w="789" w:type="pct"/>
            <w:tcBorders>
              <w:top w:val="nil"/>
              <w:left w:val="nil"/>
              <w:right w:val="nil"/>
            </w:tcBorders>
            <w:vAlign w:val="center"/>
            <w:hideMark/>
          </w:tcPr>
          <w:p w14:paraId="44117D16" w14:textId="6673E285" w:rsidR="00CE1397" w:rsidRPr="008F1108" w:rsidRDefault="00CE1397" w:rsidP="007A2100">
            <w:pPr>
              <w:jc w:val="right"/>
            </w:pPr>
            <w:r w:rsidRPr="008F1108">
              <w:t xml:space="preserve">      5</w:t>
            </w:r>
            <w:r w:rsidR="007A2100" w:rsidRPr="008F1108">
              <w:t>65</w:t>
            </w:r>
            <w:r w:rsidRPr="008F1108">
              <w:t>.</w:t>
            </w:r>
            <w:r w:rsidR="007A2100" w:rsidRPr="008F1108">
              <w:t>570</w:t>
            </w:r>
            <w:r w:rsidRPr="008F1108">
              <w:t xml:space="preserve"> </w:t>
            </w:r>
          </w:p>
        </w:tc>
        <w:tc>
          <w:tcPr>
            <w:tcW w:w="81" w:type="pct"/>
            <w:vAlign w:val="center"/>
            <w:hideMark/>
          </w:tcPr>
          <w:p w14:paraId="6DF88922" w14:textId="77777777" w:rsidR="00CE1397" w:rsidRPr="008F1108" w:rsidRDefault="00CE1397" w:rsidP="00A917FF">
            <w:pPr>
              <w:jc w:val="right"/>
            </w:pPr>
          </w:p>
        </w:tc>
        <w:tc>
          <w:tcPr>
            <w:tcW w:w="841" w:type="pct"/>
            <w:tcBorders>
              <w:top w:val="nil"/>
              <w:left w:val="nil"/>
              <w:right w:val="nil"/>
            </w:tcBorders>
            <w:vAlign w:val="center"/>
            <w:hideMark/>
          </w:tcPr>
          <w:p w14:paraId="72B1DCE0" w14:textId="5A5664DC" w:rsidR="00CE1397" w:rsidRPr="008F1108" w:rsidRDefault="00CE1397" w:rsidP="00A7247A">
            <w:pPr>
              <w:jc w:val="right"/>
            </w:pPr>
            <w:r w:rsidRPr="008F1108">
              <w:t>(</w:t>
            </w:r>
            <w:r w:rsidR="007A2100" w:rsidRPr="008F1108">
              <w:t>6</w:t>
            </w:r>
            <w:r w:rsidR="00A7247A" w:rsidRPr="008F1108">
              <w:t>6</w:t>
            </w:r>
            <w:r w:rsidRPr="008F1108">
              <w:t>.</w:t>
            </w:r>
            <w:r w:rsidR="007A2100" w:rsidRPr="008F1108">
              <w:t>4</w:t>
            </w:r>
            <w:r w:rsidR="00A7247A" w:rsidRPr="008F1108">
              <w:t>8</w:t>
            </w:r>
            <w:r w:rsidRPr="008F1108">
              <w:t xml:space="preserve">2) </w:t>
            </w:r>
          </w:p>
        </w:tc>
      </w:tr>
      <w:tr w:rsidR="00CE1397" w:rsidRPr="008F1108" w14:paraId="1124F08D" w14:textId="77777777" w:rsidTr="002C525E">
        <w:tc>
          <w:tcPr>
            <w:tcW w:w="2288" w:type="pct"/>
            <w:noWrap/>
            <w:vAlign w:val="center"/>
            <w:hideMark/>
          </w:tcPr>
          <w:p w14:paraId="668B5E2A" w14:textId="77777777" w:rsidR="00CE1397" w:rsidRPr="008F1108" w:rsidRDefault="00CE1397" w:rsidP="00A917FF">
            <w:r w:rsidRPr="008F1108">
              <w:t xml:space="preserve">   </w:t>
            </w:r>
          </w:p>
        </w:tc>
        <w:tc>
          <w:tcPr>
            <w:tcW w:w="913" w:type="pct"/>
            <w:tcBorders>
              <w:left w:val="nil"/>
              <w:bottom w:val="nil"/>
              <w:right w:val="nil"/>
            </w:tcBorders>
            <w:vAlign w:val="center"/>
            <w:hideMark/>
          </w:tcPr>
          <w:p w14:paraId="0BA86134" w14:textId="6F01837C" w:rsidR="00CE1397" w:rsidRPr="008F1108" w:rsidRDefault="00CE1397" w:rsidP="00A7247A">
            <w:pPr>
              <w:jc w:val="right"/>
              <w:rPr>
                <w:b/>
                <w:bCs/>
              </w:rPr>
            </w:pPr>
            <w:r w:rsidRPr="008F1108">
              <w:rPr>
                <w:b/>
                <w:bCs/>
              </w:rPr>
              <w:t xml:space="preserve">        </w:t>
            </w:r>
            <w:r w:rsidR="007A2100" w:rsidRPr="008F1108">
              <w:rPr>
                <w:b/>
                <w:bCs/>
              </w:rPr>
              <w:t>53</w:t>
            </w:r>
            <w:r w:rsidR="00A7247A" w:rsidRPr="008F1108">
              <w:rPr>
                <w:b/>
                <w:bCs/>
              </w:rPr>
              <w:t>3</w:t>
            </w:r>
            <w:r w:rsidRPr="008F1108">
              <w:rPr>
                <w:b/>
                <w:bCs/>
              </w:rPr>
              <w:t>.0</w:t>
            </w:r>
            <w:r w:rsidR="00A7247A" w:rsidRPr="008F1108">
              <w:rPr>
                <w:b/>
                <w:bCs/>
              </w:rPr>
              <w:t>1</w:t>
            </w:r>
            <w:r w:rsidR="007A2100" w:rsidRPr="008F1108">
              <w:rPr>
                <w:b/>
                <w:bCs/>
              </w:rPr>
              <w:t>7</w:t>
            </w:r>
            <w:r w:rsidRPr="008F1108">
              <w:rPr>
                <w:b/>
                <w:bCs/>
              </w:rPr>
              <w:t xml:space="preserve"> </w:t>
            </w:r>
          </w:p>
        </w:tc>
        <w:tc>
          <w:tcPr>
            <w:tcW w:w="88" w:type="pct"/>
            <w:vAlign w:val="center"/>
            <w:hideMark/>
          </w:tcPr>
          <w:p w14:paraId="55A5C99A" w14:textId="77777777" w:rsidR="00CE1397" w:rsidRPr="008F1108" w:rsidRDefault="00CE1397" w:rsidP="00A917FF">
            <w:pPr>
              <w:jc w:val="right"/>
              <w:rPr>
                <w:b/>
                <w:bCs/>
              </w:rPr>
            </w:pPr>
          </w:p>
        </w:tc>
        <w:tc>
          <w:tcPr>
            <w:tcW w:w="789" w:type="pct"/>
            <w:tcBorders>
              <w:left w:val="nil"/>
              <w:bottom w:val="nil"/>
              <w:right w:val="nil"/>
            </w:tcBorders>
            <w:vAlign w:val="center"/>
            <w:hideMark/>
          </w:tcPr>
          <w:p w14:paraId="5433FE3F" w14:textId="05747EE6" w:rsidR="00CE1397" w:rsidRPr="008F1108" w:rsidRDefault="00CE1397" w:rsidP="007A2100">
            <w:pPr>
              <w:jc w:val="right"/>
              <w:rPr>
                <w:b/>
                <w:bCs/>
              </w:rPr>
            </w:pPr>
            <w:r w:rsidRPr="008F1108">
              <w:rPr>
                <w:b/>
                <w:bCs/>
              </w:rPr>
              <w:t xml:space="preserve">     59</w:t>
            </w:r>
            <w:r w:rsidR="007A2100" w:rsidRPr="008F1108">
              <w:rPr>
                <w:b/>
                <w:bCs/>
              </w:rPr>
              <w:t>3</w:t>
            </w:r>
            <w:r w:rsidRPr="008F1108">
              <w:rPr>
                <w:b/>
                <w:bCs/>
              </w:rPr>
              <w:t>.</w:t>
            </w:r>
            <w:r w:rsidR="007A2100" w:rsidRPr="008F1108">
              <w:rPr>
                <w:b/>
                <w:bCs/>
              </w:rPr>
              <w:t>302</w:t>
            </w:r>
            <w:r w:rsidRPr="008F1108">
              <w:rPr>
                <w:b/>
                <w:bCs/>
              </w:rPr>
              <w:t xml:space="preserve"> </w:t>
            </w:r>
          </w:p>
        </w:tc>
        <w:tc>
          <w:tcPr>
            <w:tcW w:w="81" w:type="pct"/>
            <w:vAlign w:val="center"/>
            <w:hideMark/>
          </w:tcPr>
          <w:p w14:paraId="69ADA6E7" w14:textId="77777777" w:rsidR="00CE1397" w:rsidRPr="008F1108" w:rsidRDefault="00CE1397" w:rsidP="00A917FF">
            <w:pPr>
              <w:jc w:val="right"/>
              <w:rPr>
                <w:b/>
                <w:bCs/>
              </w:rPr>
            </w:pPr>
          </w:p>
        </w:tc>
        <w:tc>
          <w:tcPr>
            <w:tcW w:w="841" w:type="pct"/>
            <w:tcBorders>
              <w:left w:val="nil"/>
              <w:bottom w:val="nil"/>
              <w:right w:val="nil"/>
            </w:tcBorders>
            <w:vAlign w:val="center"/>
            <w:hideMark/>
          </w:tcPr>
          <w:p w14:paraId="45E8DAF6" w14:textId="073A4F1A" w:rsidR="00CE1397" w:rsidRPr="008F1108" w:rsidRDefault="00CE1397" w:rsidP="00A7247A">
            <w:pPr>
              <w:jc w:val="right"/>
              <w:rPr>
                <w:b/>
                <w:bCs/>
              </w:rPr>
            </w:pPr>
            <w:r w:rsidRPr="008F1108">
              <w:rPr>
                <w:b/>
                <w:bCs/>
              </w:rPr>
              <w:t>(</w:t>
            </w:r>
            <w:r w:rsidR="007A2100" w:rsidRPr="008F1108">
              <w:rPr>
                <w:b/>
                <w:bCs/>
              </w:rPr>
              <w:t>6</w:t>
            </w:r>
            <w:r w:rsidR="00A7247A" w:rsidRPr="008F1108">
              <w:rPr>
                <w:b/>
                <w:bCs/>
              </w:rPr>
              <w:t>0</w:t>
            </w:r>
            <w:r w:rsidRPr="008F1108">
              <w:rPr>
                <w:b/>
                <w:bCs/>
              </w:rPr>
              <w:t>.</w:t>
            </w:r>
            <w:r w:rsidR="007A2100" w:rsidRPr="008F1108">
              <w:rPr>
                <w:b/>
                <w:bCs/>
              </w:rPr>
              <w:t>2</w:t>
            </w:r>
            <w:r w:rsidR="00A7247A" w:rsidRPr="008F1108">
              <w:rPr>
                <w:b/>
                <w:bCs/>
              </w:rPr>
              <w:t>8</w:t>
            </w:r>
            <w:r w:rsidR="007A2100" w:rsidRPr="008F1108">
              <w:rPr>
                <w:b/>
                <w:bCs/>
              </w:rPr>
              <w:t>5</w:t>
            </w:r>
            <w:r w:rsidRPr="008F1108">
              <w:rPr>
                <w:b/>
                <w:bCs/>
              </w:rPr>
              <w:t xml:space="preserve">) </w:t>
            </w:r>
          </w:p>
        </w:tc>
      </w:tr>
      <w:tr w:rsidR="00CE1397" w:rsidRPr="008F1108" w14:paraId="67B5461B" w14:textId="77777777" w:rsidTr="002C525E">
        <w:tc>
          <w:tcPr>
            <w:tcW w:w="2288" w:type="pct"/>
            <w:noWrap/>
            <w:vAlign w:val="center"/>
            <w:hideMark/>
          </w:tcPr>
          <w:p w14:paraId="512D1B40" w14:textId="77777777" w:rsidR="00CE1397" w:rsidRPr="008F1108" w:rsidRDefault="00CE1397" w:rsidP="00A917FF">
            <w:pPr>
              <w:rPr>
                <w:b/>
                <w:bCs/>
              </w:rPr>
            </w:pPr>
            <w:r w:rsidRPr="008F1108">
              <w:rPr>
                <w:b/>
                <w:bCs/>
              </w:rPr>
              <w:t>Não Circulante</w:t>
            </w:r>
          </w:p>
        </w:tc>
        <w:tc>
          <w:tcPr>
            <w:tcW w:w="913" w:type="pct"/>
            <w:vAlign w:val="center"/>
          </w:tcPr>
          <w:p w14:paraId="4A7B51C6" w14:textId="77777777" w:rsidR="00CE1397" w:rsidRPr="008F1108" w:rsidRDefault="00CE1397" w:rsidP="00A917FF">
            <w:pPr>
              <w:jc w:val="right"/>
              <w:rPr>
                <w:bCs/>
              </w:rPr>
            </w:pPr>
          </w:p>
        </w:tc>
        <w:tc>
          <w:tcPr>
            <w:tcW w:w="88" w:type="pct"/>
            <w:vAlign w:val="center"/>
          </w:tcPr>
          <w:p w14:paraId="77FCE581" w14:textId="77777777" w:rsidR="00CE1397" w:rsidRPr="008F1108" w:rsidRDefault="00CE1397" w:rsidP="00A917FF">
            <w:pPr>
              <w:jc w:val="right"/>
              <w:rPr>
                <w:b/>
                <w:bCs/>
              </w:rPr>
            </w:pPr>
          </w:p>
        </w:tc>
        <w:tc>
          <w:tcPr>
            <w:tcW w:w="789" w:type="pct"/>
            <w:vAlign w:val="center"/>
          </w:tcPr>
          <w:p w14:paraId="3BFD7821" w14:textId="77777777" w:rsidR="00CE1397" w:rsidRPr="008F1108" w:rsidRDefault="00CE1397" w:rsidP="00A917FF">
            <w:pPr>
              <w:jc w:val="right"/>
              <w:rPr>
                <w:bCs/>
              </w:rPr>
            </w:pPr>
          </w:p>
        </w:tc>
        <w:tc>
          <w:tcPr>
            <w:tcW w:w="81" w:type="pct"/>
            <w:vAlign w:val="center"/>
          </w:tcPr>
          <w:p w14:paraId="05F663FB" w14:textId="77777777" w:rsidR="00CE1397" w:rsidRPr="008F1108" w:rsidRDefault="00CE1397" w:rsidP="00A917FF">
            <w:pPr>
              <w:jc w:val="right"/>
              <w:rPr>
                <w:bCs/>
              </w:rPr>
            </w:pPr>
          </w:p>
        </w:tc>
        <w:tc>
          <w:tcPr>
            <w:tcW w:w="841" w:type="pct"/>
            <w:noWrap/>
            <w:vAlign w:val="center"/>
          </w:tcPr>
          <w:p w14:paraId="58664D6D" w14:textId="77777777" w:rsidR="00CE1397" w:rsidRPr="008F1108" w:rsidRDefault="00CE1397" w:rsidP="00A917FF">
            <w:pPr>
              <w:jc w:val="right"/>
              <w:rPr>
                <w:bCs/>
              </w:rPr>
            </w:pPr>
          </w:p>
        </w:tc>
      </w:tr>
      <w:tr w:rsidR="00CE1397" w:rsidRPr="008F1108" w14:paraId="07868C25" w14:textId="77777777" w:rsidTr="002C525E">
        <w:tc>
          <w:tcPr>
            <w:tcW w:w="2288" w:type="pct"/>
            <w:noWrap/>
            <w:vAlign w:val="center"/>
            <w:hideMark/>
          </w:tcPr>
          <w:p w14:paraId="304F6F26" w14:textId="77777777" w:rsidR="00CE1397" w:rsidRPr="008F1108" w:rsidRDefault="00CE1397" w:rsidP="00A917FF">
            <w:pPr>
              <w:rPr>
                <w:b/>
                <w:bCs/>
              </w:rPr>
            </w:pPr>
            <w:r w:rsidRPr="008F1108">
              <w:rPr>
                <w:b/>
                <w:bCs/>
              </w:rPr>
              <w:t xml:space="preserve">   </w:t>
            </w:r>
            <w:r w:rsidRPr="008F1108">
              <w:rPr>
                <w:bCs/>
              </w:rPr>
              <w:t>Subvenções e Doações</w:t>
            </w:r>
          </w:p>
        </w:tc>
        <w:tc>
          <w:tcPr>
            <w:tcW w:w="913" w:type="pct"/>
            <w:vAlign w:val="center"/>
            <w:hideMark/>
          </w:tcPr>
          <w:p w14:paraId="7267C983" w14:textId="2B3141F7" w:rsidR="00CE1397" w:rsidRPr="008F1108" w:rsidRDefault="007A2100" w:rsidP="007A2100">
            <w:pPr>
              <w:jc w:val="right"/>
            </w:pPr>
            <w:r w:rsidRPr="008F1108">
              <w:rPr>
                <w:bCs/>
              </w:rPr>
              <w:t>47</w:t>
            </w:r>
            <w:r w:rsidR="00CE1397" w:rsidRPr="008F1108">
              <w:rPr>
                <w:bCs/>
              </w:rPr>
              <w:t>.</w:t>
            </w:r>
            <w:r w:rsidRPr="008F1108">
              <w:rPr>
                <w:bCs/>
              </w:rPr>
              <w:t>049</w:t>
            </w:r>
          </w:p>
        </w:tc>
        <w:tc>
          <w:tcPr>
            <w:tcW w:w="88" w:type="pct"/>
            <w:vAlign w:val="center"/>
          </w:tcPr>
          <w:p w14:paraId="12AA9616" w14:textId="77777777" w:rsidR="00CE1397" w:rsidRPr="008F1108" w:rsidRDefault="00CE1397" w:rsidP="00A917FF">
            <w:pPr>
              <w:jc w:val="right"/>
            </w:pPr>
          </w:p>
        </w:tc>
        <w:tc>
          <w:tcPr>
            <w:tcW w:w="789" w:type="pct"/>
            <w:vAlign w:val="center"/>
            <w:hideMark/>
          </w:tcPr>
          <w:p w14:paraId="354C8842" w14:textId="6D4101AB" w:rsidR="00CE1397" w:rsidRPr="008F1108" w:rsidRDefault="007A2100" w:rsidP="007A2100">
            <w:pPr>
              <w:jc w:val="right"/>
            </w:pPr>
            <w:r w:rsidRPr="008F1108">
              <w:t>47</w:t>
            </w:r>
            <w:r w:rsidR="00CE1397" w:rsidRPr="008F1108">
              <w:t>.</w:t>
            </w:r>
            <w:r w:rsidRPr="008F1108">
              <w:t>049</w:t>
            </w:r>
          </w:p>
        </w:tc>
        <w:tc>
          <w:tcPr>
            <w:tcW w:w="81" w:type="pct"/>
            <w:vAlign w:val="center"/>
          </w:tcPr>
          <w:p w14:paraId="541423A4" w14:textId="77777777" w:rsidR="00CE1397" w:rsidRPr="008F1108" w:rsidRDefault="00CE1397" w:rsidP="00A917FF">
            <w:pPr>
              <w:jc w:val="right"/>
            </w:pPr>
          </w:p>
        </w:tc>
        <w:tc>
          <w:tcPr>
            <w:tcW w:w="841" w:type="pct"/>
            <w:noWrap/>
            <w:vAlign w:val="center"/>
            <w:hideMark/>
          </w:tcPr>
          <w:p w14:paraId="23A8385A" w14:textId="77777777" w:rsidR="00CE1397" w:rsidRPr="008F1108" w:rsidRDefault="00CE1397" w:rsidP="00A917FF">
            <w:pPr>
              <w:jc w:val="right"/>
            </w:pPr>
            <w:r w:rsidRPr="008F1108">
              <w:t>-</w:t>
            </w:r>
          </w:p>
        </w:tc>
      </w:tr>
      <w:tr w:rsidR="00CE1397" w:rsidRPr="008F1108" w14:paraId="283DC568" w14:textId="77777777" w:rsidTr="002C525E">
        <w:tc>
          <w:tcPr>
            <w:tcW w:w="2288" w:type="pct"/>
            <w:noWrap/>
            <w:vAlign w:val="center"/>
            <w:hideMark/>
          </w:tcPr>
          <w:p w14:paraId="4FBB2ACD" w14:textId="77777777" w:rsidR="00CE1397" w:rsidRPr="008F1108" w:rsidRDefault="00CE1397" w:rsidP="00A917FF">
            <w:pPr>
              <w:rPr>
                <w:b/>
                <w:bCs/>
              </w:rPr>
            </w:pPr>
            <w:r w:rsidRPr="008F1108">
              <w:rPr>
                <w:b/>
                <w:bCs/>
              </w:rPr>
              <w:t xml:space="preserve">   </w:t>
            </w:r>
            <w:r w:rsidRPr="008F1108">
              <w:t>Provisões p/ Contingências</w:t>
            </w:r>
          </w:p>
        </w:tc>
        <w:tc>
          <w:tcPr>
            <w:tcW w:w="913" w:type="pct"/>
            <w:vAlign w:val="center"/>
            <w:hideMark/>
          </w:tcPr>
          <w:p w14:paraId="5A65DFA0" w14:textId="3334C9A6" w:rsidR="00CE1397" w:rsidRPr="008F1108" w:rsidRDefault="007A2100" w:rsidP="007A2100">
            <w:pPr>
              <w:jc w:val="right"/>
            </w:pPr>
            <w:r w:rsidRPr="008F1108">
              <w:t>854</w:t>
            </w:r>
            <w:r w:rsidR="00CE1397" w:rsidRPr="008F1108">
              <w:t>.</w:t>
            </w:r>
            <w:r w:rsidRPr="008F1108">
              <w:t>3</w:t>
            </w:r>
            <w:r w:rsidR="00CE1397" w:rsidRPr="008F1108">
              <w:t>4</w:t>
            </w:r>
            <w:r w:rsidRPr="008F1108">
              <w:t>8</w:t>
            </w:r>
          </w:p>
        </w:tc>
        <w:tc>
          <w:tcPr>
            <w:tcW w:w="88" w:type="pct"/>
            <w:vAlign w:val="center"/>
            <w:hideMark/>
          </w:tcPr>
          <w:p w14:paraId="1140DF36" w14:textId="77777777" w:rsidR="00CE1397" w:rsidRPr="008F1108" w:rsidRDefault="00CE1397" w:rsidP="00A917FF">
            <w:pPr>
              <w:jc w:val="right"/>
            </w:pPr>
          </w:p>
        </w:tc>
        <w:tc>
          <w:tcPr>
            <w:tcW w:w="789" w:type="pct"/>
            <w:vAlign w:val="center"/>
            <w:hideMark/>
          </w:tcPr>
          <w:p w14:paraId="00BFC52E" w14:textId="3235C36A" w:rsidR="00CE1397" w:rsidRPr="008F1108" w:rsidRDefault="007A2100" w:rsidP="007A2100">
            <w:pPr>
              <w:jc w:val="right"/>
            </w:pPr>
            <w:r w:rsidRPr="008F1108">
              <w:t>854</w:t>
            </w:r>
            <w:r w:rsidR="00CE1397" w:rsidRPr="008F1108">
              <w:t>.</w:t>
            </w:r>
            <w:r w:rsidRPr="008F1108">
              <w:t>3</w:t>
            </w:r>
            <w:r w:rsidR="00CE1397" w:rsidRPr="008F1108">
              <w:t>4</w:t>
            </w:r>
            <w:r w:rsidRPr="008F1108">
              <w:t>8</w:t>
            </w:r>
            <w:r w:rsidR="00CE1397" w:rsidRPr="008F1108">
              <w:t xml:space="preserve">       </w:t>
            </w:r>
          </w:p>
        </w:tc>
        <w:tc>
          <w:tcPr>
            <w:tcW w:w="81" w:type="pct"/>
            <w:vAlign w:val="center"/>
            <w:hideMark/>
          </w:tcPr>
          <w:p w14:paraId="57FC2FC7" w14:textId="77777777" w:rsidR="00CE1397" w:rsidRPr="008F1108" w:rsidRDefault="00CE1397" w:rsidP="00A917FF">
            <w:pPr>
              <w:jc w:val="right"/>
            </w:pPr>
          </w:p>
        </w:tc>
        <w:tc>
          <w:tcPr>
            <w:tcW w:w="841" w:type="pct"/>
            <w:noWrap/>
            <w:vAlign w:val="center"/>
            <w:hideMark/>
          </w:tcPr>
          <w:p w14:paraId="00C1DCBC" w14:textId="77777777" w:rsidR="00CE1397" w:rsidRPr="008F1108" w:rsidRDefault="00CE1397" w:rsidP="00A917FF">
            <w:pPr>
              <w:jc w:val="right"/>
            </w:pPr>
            <w:r w:rsidRPr="008F1108">
              <w:t xml:space="preserve">    -   </w:t>
            </w:r>
          </w:p>
        </w:tc>
      </w:tr>
      <w:tr w:rsidR="00CE1397" w:rsidRPr="008F1108" w14:paraId="4BB046A3" w14:textId="77777777" w:rsidTr="002C525E">
        <w:tc>
          <w:tcPr>
            <w:tcW w:w="2288" w:type="pct"/>
            <w:noWrap/>
            <w:vAlign w:val="center"/>
          </w:tcPr>
          <w:p w14:paraId="64CAE798" w14:textId="77777777" w:rsidR="00CE1397" w:rsidRPr="008F1108" w:rsidRDefault="00CE1397" w:rsidP="00A917FF">
            <w:pPr>
              <w:rPr>
                <w:b/>
                <w:bCs/>
              </w:rPr>
            </w:pPr>
          </w:p>
        </w:tc>
        <w:tc>
          <w:tcPr>
            <w:tcW w:w="913" w:type="pct"/>
            <w:vAlign w:val="center"/>
            <w:hideMark/>
          </w:tcPr>
          <w:p w14:paraId="57239C21" w14:textId="2FA4B28E" w:rsidR="00CE1397" w:rsidRPr="008F1108" w:rsidRDefault="007A2100" w:rsidP="007A2100">
            <w:pPr>
              <w:jc w:val="right"/>
              <w:rPr>
                <w:b/>
              </w:rPr>
            </w:pPr>
            <w:r w:rsidRPr="008F1108">
              <w:rPr>
                <w:b/>
              </w:rPr>
              <w:t>90</w:t>
            </w:r>
            <w:r w:rsidR="00CE1397" w:rsidRPr="008F1108">
              <w:rPr>
                <w:b/>
              </w:rPr>
              <w:t>1.</w:t>
            </w:r>
            <w:r w:rsidRPr="008F1108">
              <w:rPr>
                <w:b/>
              </w:rPr>
              <w:t>397</w:t>
            </w:r>
          </w:p>
        </w:tc>
        <w:tc>
          <w:tcPr>
            <w:tcW w:w="88" w:type="pct"/>
            <w:vAlign w:val="center"/>
          </w:tcPr>
          <w:p w14:paraId="0C298159" w14:textId="77777777" w:rsidR="00CE1397" w:rsidRPr="008F1108" w:rsidRDefault="00CE1397" w:rsidP="00A917FF">
            <w:pPr>
              <w:jc w:val="right"/>
              <w:rPr>
                <w:b/>
              </w:rPr>
            </w:pPr>
          </w:p>
        </w:tc>
        <w:tc>
          <w:tcPr>
            <w:tcW w:w="789" w:type="pct"/>
            <w:vAlign w:val="center"/>
            <w:hideMark/>
          </w:tcPr>
          <w:p w14:paraId="2F53E144" w14:textId="3C799702" w:rsidR="00CE1397" w:rsidRPr="008F1108" w:rsidRDefault="007A2100" w:rsidP="007A2100">
            <w:pPr>
              <w:jc w:val="right"/>
              <w:rPr>
                <w:b/>
              </w:rPr>
            </w:pPr>
            <w:r w:rsidRPr="008F1108">
              <w:rPr>
                <w:b/>
              </w:rPr>
              <w:t>90</w:t>
            </w:r>
            <w:r w:rsidR="00CE1397" w:rsidRPr="008F1108">
              <w:rPr>
                <w:b/>
              </w:rPr>
              <w:t>1.</w:t>
            </w:r>
            <w:r w:rsidRPr="008F1108">
              <w:rPr>
                <w:b/>
              </w:rPr>
              <w:t>397</w:t>
            </w:r>
          </w:p>
        </w:tc>
        <w:tc>
          <w:tcPr>
            <w:tcW w:w="81" w:type="pct"/>
            <w:vAlign w:val="center"/>
          </w:tcPr>
          <w:p w14:paraId="3FF5AE71" w14:textId="77777777" w:rsidR="00CE1397" w:rsidRPr="008F1108" w:rsidRDefault="00CE1397" w:rsidP="00A917FF">
            <w:pPr>
              <w:jc w:val="right"/>
              <w:rPr>
                <w:b/>
              </w:rPr>
            </w:pPr>
          </w:p>
        </w:tc>
        <w:tc>
          <w:tcPr>
            <w:tcW w:w="841" w:type="pct"/>
            <w:noWrap/>
            <w:vAlign w:val="center"/>
            <w:hideMark/>
          </w:tcPr>
          <w:p w14:paraId="4F31FC7E" w14:textId="77777777" w:rsidR="00CE1397" w:rsidRPr="008F1108" w:rsidRDefault="00CE1397" w:rsidP="00A917FF">
            <w:pPr>
              <w:jc w:val="right"/>
              <w:rPr>
                <w:b/>
              </w:rPr>
            </w:pPr>
            <w:r w:rsidRPr="008F1108">
              <w:rPr>
                <w:b/>
              </w:rPr>
              <w:t>-</w:t>
            </w:r>
          </w:p>
        </w:tc>
      </w:tr>
      <w:tr w:rsidR="00CE1397" w:rsidRPr="008F1108" w14:paraId="19369828" w14:textId="77777777" w:rsidTr="002C525E">
        <w:tc>
          <w:tcPr>
            <w:tcW w:w="2288" w:type="pct"/>
            <w:noWrap/>
            <w:vAlign w:val="center"/>
            <w:hideMark/>
          </w:tcPr>
          <w:p w14:paraId="4492C563" w14:textId="77777777" w:rsidR="00CE1397" w:rsidRPr="008F1108" w:rsidRDefault="00CE1397" w:rsidP="00A917FF">
            <w:pPr>
              <w:rPr>
                <w:b/>
                <w:bCs/>
              </w:rPr>
            </w:pPr>
            <w:r w:rsidRPr="008F1108">
              <w:rPr>
                <w:b/>
                <w:bCs/>
              </w:rPr>
              <w:t>Patrimônio Líquido</w:t>
            </w:r>
          </w:p>
        </w:tc>
        <w:tc>
          <w:tcPr>
            <w:tcW w:w="913" w:type="pct"/>
            <w:vAlign w:val="center"/>
            <w:hideMark/>
          </w:tcPr>
          <w:p w14:paraId="4DAB4F90" w14:textId="77777777" w:rsidR="00CE1397" w:rsidRPr="008F1108" w:rsidRDefault="00CE1397" w:rsidP="00A917FF">
            <w:pPr>
              <w:jc w:val="right"/>
              <w:rPr>
                <w:b/>
                <w:bCs/>
              </w:rPr>
            </w:pPr>
          </w:p>
        </w:tc>
        <w:tc>
          <w:tcPr>
            <w:tcW w:w="88" w:type="pct"/>
            <w:vAlign w:val="center"/>
            <w:hideMark/>
          </w:tcPr>
          <w:p w14:paraId="40183708" w14:textId="77777777" w:rsidR="00CE1397" w:rsidRPr="008F1108" w:rsidRDefault="00CE1397" w:rsidP="00A917FF">
            <w:pPr>
              <w:jc w:val="right"/>
            </w:pPr>
          </w:p>
        </w:tc>
        <w:tc>
          <w:tcPr>
            <w:tcW w:w="789" w:type="pct"/>
            <w:vAlign w:val="center"/>
            <w:hideMark/>
          </w:tcPr>
          <w:p w14:paraId="7C040113" w14:textId="77777777" w:rsidR="00CE1397" w:rsidRPr="008F1108" w:rsidRDefault="00CE1397" w:rsidP="00A917FF">
            <w:pPr>
              <w:jc w:val="right"/>
            </w:pPr>
          </w:p>
        </w:tc>
        <w:tc>
          <w:tcPr>
            <w:tcW w:w="81" w:type="pct"/>
            <w:vAlign w:val="center"/>
            <w:hideMark/>
          </w:tcPr>
          <w:p w14:paraId="40AA2792" w14:textId="77777777" w:rsidR="00CE1397" w:rsidRPr="008F1108" w:rsidRDefault="00CE1397" w:rsidP="00A917FF">
            <w:pPr>
              <w:jc w:val="right"/>
            </w:pPr>
          </w:p>
        </w:tc>
        <w:tc>
          <w:tcPr>
            <w:tcW w:w="841" w:type="pct"/>
            <w:noWrap/>
            <w:vAlign w:val="center"/>
            <w:hideMark/>
          </w:tcPr>
          <w:p w14:paraId="5ABCD4A5" w14:textId="77777777" w:rsidR="00CE1397" w:rsidRPr="008F1108" w:rsidRDefault="00CE1397" w:rsidP="00A917FF">
            <w:pPr>
              <w:jc w:val="right"/>
            </w:pPr>
          </w:p>
        </w:tc>
      </w:tr>
      <w:tr w:rsidR="00CE1397" w:rsidRPr="008F1108" w14:paraId="2792994D" w14:textId="77777777" w:rsidTr="002C525E">
        <w:tc>
          <w:tcPr>
            <w:tcW w:w="2288" w:type="pct"/>
            <w:noWrap/>
            <w:vAlign w:val="center"/>
            <w:hideMark/>
          </w:tcPr>
          <w:p w14:paraId="5E7804AE" w14:textId="77777777" w:rsidR="00CE1397" w:rsidRPr="008F1108" w:rsidRDefault="00CE1397" w:rsidP="00A917FF">
            <w:r w:rsidRPr="008F1108">
              <w:t xml:space="preserve">   Capital Realizado</w:t>
            </w:r>
          </w:p>
        </w:tc>
        <w:tc>
          <w:tcPr>
            <w:tcW w:w="913" w:type="pct"/>
            <w:vAlign w:val="center"/>
            <w:hideMark/>
          </w:tcPr>
          <w:p w14:paraId="3D58725C" w14:textId="1B23555E" w:rsidR="00CE1397" w:rsidRPr="008F1108" w:rsidRDefault="00CE1397" w:rsidP="007A2100">
            <w:pPr>
              <w:jc w:val="right"/>
            </w:pPr>
            <w:r w:rsidRPr="008F1108">
              <w:t xml:space="preserve">      1.2</w:t>
            </w:r>
            <w:r w:rsidR="007A2100" w:rsidRPr="008F1108">
              <w:t>93</w:t>
            </w:r>
            <w:r w:rsidRPr="008F1108">
              <w:t>.</w:t>
            </w:r>
            <w:r w:rsidR="007A2100" w:rsidRPr="008F1108">
              <w:t>468</w:t>
            </w:r>
          </w:p>
        </w:tc>
        <w:tc>
          <w:tcPr>
            <w:tcW w:w="88" w:type="pct"/>
            <w:vAlign w:val="center"/>
            <w:hideMark/>
          </w:tcPr>
          <w:p w14:paraId="05280386" w14:textId="77777777" w:rsidR="00CE1397" w:rsidRPr="008F1108" w:rsidRDefault="00CE1397" w:rsidP="00A917FF">
            <w:pPr>
              <w:jc w:val="right"/>
            </w:pPr>
          </w:p>
        </w:tc>
        <w:tc>
          <w:tcPr>
            <w:tcW w:w="789" w:type="pct"/>
            <w:vAlign w:val="center"/>
            <w:hideMark/>
          </w:tcPr>
          <w:p w14:paraId="6B1BE5D2" w14:textId="39B0D515" w:rsidR="00CE1397" w:rsidRPr="008F1108" w:rsidRDefault="00CE1397" w:rsidP="007A2100">
            <w:pPr>
              <w:jc w:val="right"/>
            </w:pPr>
            <w:r w:rsidRPr="008F1108">
              <w:t xml:space="preserve">    1.2</w:t>
            </w:r>
            <w:r w:rsidR="007A2100" w:rsidRPr="008F1108">
              <w:t>93</w:t>
            </w:r>
            <w:r w:rsidRPr="008F1108">
              <w:t>.</w:t>
            </w:r>
            <w:r w:rsidR="007A2100" w:rsidRPr="008F1108">
              <w:t>468</w:t>
            </w:r>
          </w:p>
        </w:tc>
        <w:tc>
          <w:tcPr>
            <w:tcW w:w="81" w:type="pct"/>
            <w:vAlign w:val="center"/>
            <w:hideMark/>
          </w:tcPr>
          <w:p w14:paraId="284CA7B2" w14:textId="77777777" w:rsidR="00CE1397" w:rsidRPr="008F1108" w:rsidRDefault="00CE1397" w:rsidP="00A917FF">
            <w:pPr>
              <w:jc w:val="right"/>
            </w:pPr>
          </w:p>
        </w:tc>
        <w:tc>
          <w:tcPr>
            <w:tcW w:w="841" w:type="pct"/>
            <w:vAlign w:val="center"/>
            <w:hideMark/>
          </w:tcPr>
          <w:p w14:paraId="1FCA1BA0" w14:textId="77777777" w:rsidR="00CE1397" w:rsidRPr="008F1108" w:rsidRDefault="00CE1397" w:rsidP="00A917FF">
            <w:pPr>
              <w:jc w:val="right"/>
            </w:pPr>
            <w:r w:rsidRPr="008F1108">
              <w:t xml:space="preserve">          -   </w:t>
            </w:r>
          </w:p>
        </w:tc>
      </w:tr>
      <w:tr w:rsidR="00CE1397" w:rsidRPr="008F1108" w14:paraId="4F4C9E05" w14:textId="77777777" w:rsidTr="002C525E">
        <w:tc>
          <w:tcPr>
            <w:tcW w:w="2288" w:type="pct"/>
            <w:noWrap/>
            <w:vAlign w:val="center"/>
            <w:hideMark/>
          </w:tcPr>
          <w:p w14:paraId="3E0FE016" w14:textId="77777777" w:rsidR="00CE1397" w:rsidRPr="008F1108" w:rsidRDefault="00CE1397" w:rsidP="00A917FF">
            <w:r w:rsidRPr="008F1108">
              <w:t xml:space="preserve">   Adiantamento p/ Futuro Aumento de Capital</w:t>
            </w:r>
          </w:p>
        </w:tc>
        <w:tc>
          <w:tcPr>
            <w:tcW w:w="913" w:type="pct"/>
            <w:vAlign w:val="center"/>
            <w:hideMark/>
          </w:tcPr>
          <w:p w14:paraId="02147FEA" w14:textId="5C8B009B" w:rsidR="00CE1397" w:rsidRPr="008F1108" w:rsidRDefault="00CE1397" w:rsidP="007A2100">
            <w:pPr>
              <w:jc w:val="right"/>
            </w:pPr>
            <w:r w:rsidRPr="008F1108">
              <w:t xml:space="preserve">        </w:t>
            </w:r>
            <w:r w:rsidR="007A2100" w:rsidRPr="008F1108">
              <w:t>24</w:t>
            </w:r>
            <w:r w:rsidRPr="008F1108">
              <w:t>.3</w:t>
            </w:r>
            <w:r w:rsidR="007A2100" w:rsidRPr="008F1108">
              <w:t>16</w:t>
            </w:r>
            <w:r w:rsidRPr="008F1108">
              <w:t xml:space="preserve"> </w:t>
            </w:r>
          </w:p>
        </w:tc>
        <w:tc>
          <w:tcPr>
            <w:tcW w:w="88" w:type="pct"/>
            <w:vAlign w:val="center"/>
            <w:hideMark/>
          </w:tcPr>
          <w:p w14:paraId="677BF844" w14:textId="77777777" w:rsidR="00CE1397" w:rsidRPr="008F1108" w:rsidRDefault="00CE1397" w:rsidP="00A917FF">
            <w:pPr>
              <w:jc w:val="right"/>
            </w:pPr>
          </w:p>
        </w:tc>
        <w:tc>
          <w:tcPr>
            <w:tcW w:w="789" w:type="pct"/>
            <w:vAlign w:val="center"/>
            <w:hideMark/>
          </w:tcPr>
          <w:p w14:paraId="19F034C1" w14:textId="011496D9" w:rsidR="00CE1397" w:rsidRPr="008F1108" w:rsidRDefault="00CE1397" w:rsidP="007A2100">
            <w:pPr>
              <w:jc w:val="right"/>
            </w:pPr>
            <w:r w:rsidRPr="008F1108">
              <w:t xml:space="preserve">       </w:t>
            </w:r>
            <w:r w:rsidR="007A2100" w:rsidRPr="008F1108">
              <w:t>24</w:t>
            </w:r>
            <w:r w:rsidRPr="008F1108">
              <w:t>.3</w:t>
            </w:r>
            <w:r w:rsidR="007A2100" w:rsidRPr="008F1108">
              <w:t>16</w:t>
            </w:r>
          </w:p>
        </w:tc>
        <w:tc>
          <w:tcPr>
            <w:tcW w:w="81" w:type="pct"/>
            <w:vAlign w:val="center"/>
            <w:hideMark/>
          </w:tcPr>
          <w:p w14:paraId="2F2497BF" w14:textId="77777777" w:rsidR="00CE1397" w:rsidRPr="008F1108" w:rsidRDefault="00CE1397" w:rsidP="00A917FF">
            <w:pPr>
              <w:jc w:val="right"/>
            </w:pPr>
          </w:p>
        </w:tc>
        <w:tc>
          <w:tcPr>
            <w:tcW w:w="841" w:type="pct"/>
            <w:vAlign w:val="center"/>
            <w:hideMark/>
          </w:tcPr>
          <w:p w14:paraId="29DE46BE" w14:textId="77777777" w:rsidR="00CE1397" w:rsidRPr="008F1108" w:rsidRDefault="00CE1397" w:rsidP="00A917FF">
            <w:pPr>
              <w:jc w:val="right"/>
            </w:pPr>
            <w:r w:rsidRPr="008F1108">
              <w:t xml:space="preserve">            -   </w:t>
            </w:r>
          </w:p>
        </w:tc>
      </w:tr>
      <w:tr w:rsidR="00CE1397" w:rsidRPr="008F1108" w14:paraId="06C9F92B" w14:textId="77777777" w:rsidTr="002C525E">
        <w:tc>
          <w:tcPr>
            <w:tcW w:w="2288" w:type="pct"/>
            <w:noWrap/>
            <w:vAlign w:val="center"/>
            <w:hideMark/>
          </w:tcPr>
          <w:p w14:paraId="49570C18" w14:textId="77777777" w:rsidR="00CE1397" w:rsidRPr="008F1108" w:rsidRDefault="00CE1397" w:rsidP="00A917FF">
            <w:r w:rsidRPr="008F1108">
              <w:t xml:space="preserve">   Ajustes de Avaliação Patrimonial</w:t>
            </w:r>
          </w:p>
        </w:tc>
        <w:tc>
          <w:tcPr>
            <w:tcW w:w="913" w:type="pct"/>
            <w:vAlign w:val="center"/>
            <w:hideMark/>
          </w:tcPr>
          <w:p w14:paraId="2B77CC3D" w14:textId="0E105225" w:rsidR="00CE1397" w:rsidRPr="008F1108" w:rsidRDefault="00CE1397" w:rsidP="003861DC">
            <w:pPr>
              <w:jc w:val="right"/>
            </w:pPr>
            <w:r w:rsidRPr="008F1108">
              <w:t xml:space="preserve">          (20.</w:t>
            </w:r>
            <w:r w:rsidR="003861DC" w:rsidRPr="008F1108">
              <w:t>89</w:t>
            </w:r>
            <w:r w:rsidRPr="008F1108">
              <w:t>3)</w:t>
            </w:r>
          </w:p>
        </w:tc>
        <w:tc>
          <w:tcPr>
            <w:tcW w:w="88" w:type="pct"/>
            <w:vAlign w:val="center"/>
            <w:hideMark/>
          </w:tcPr>
          <w:p w14:paraId="2DE2F9A2" w14:textId="77777777" w:rsidR="00CE1397" w:rsidRPr="008F1108" w:rsidRDefault="00CE1397" w:rsidP="00A917FF">
            <w:pPr>
              <w:jc w:val="right"/>
            </w:pPr>
          </w:p>
        </w:tc>
        <w:tc>
          <w:tcPr>
            <w:tcW w:w="789" w:type="pct"/>
            <w:vAlign w:val="center"/>
            <w:hideMark/>
          </w:tcPr>
          <w:p w14:paraId="778F7B8A" w14:textId="55502233" w:rsidR="00CE1397" w:rsidRPr="008F1108" w:rsidRDefault="00CE1397" w:rsidP="003861DC">
            <w:pPr>
              <w:jc w:val="right"/>
            </w:pPr>
            <w:r w:rsidRPr="008F1108">
              <w:t xml:space="preserve">      (20.</w:t>
            </w:r>
            <w:r w:rsidR="003861DC" w:rsidRPr="008F1108">
              <w:t>89</w:t>
            </w:r>
            <w:r w:rsidRPr="008F1108">
              <w:t>3)</w:t>
            </w:r>
          </w:p>
        </w:tc>
        <w:tc>
          <w:tcPr>
            <w:tcW w:w="81" w:type="pct"/>
            <w:vAlign w:val="center"/>
            <w:hideMark/>
          </w:tcPr>
          <w:p w14:paraId="5683461B" w14:textId="77777777" w:rsidR="00CE1397" w:rsidRPr="008F1108" w:rsidRDefault="00CE1397" w:rsidP="00A917FF">
            <w:pPr>
              <w:jc w:val="right"/>
            </w:pPr>
          </w:p>
        </w:tc>
        <w:tc>
          <w:tcPr>
            <w:tcW w:w="841" w:type="pct"/>
            <w:vAlign w:val="center"/>
            <w:hideMark/>
          </w:tcPr>
          <w:p w14:paraId="05256615" w14:textId="77777777" w:rsidR="00CE1397" w:rsidRPr="008F1108" w:rsidRDefault="00CE1397" w:rsidP="00A917FF">
            <w:pPr>
              <w:jc w:val="right"/>
            </w:pPr>
            <w:r w:rsidRPr="008F1108">
              <w:t xml:space="preserve">      -   </w:t>
            </w:r>
          </w:p>
        </w:tc>
      </w:tr>
      <w:tr w:rsidR="00CE1397" w:rsidRPr="008F1108" w14:paraId="445F924B" w14:textId="77777777" w:rsidTr="002C525E">
        <w:tc>
          <w:tcPr>
            <w:tcW w:w="2288" w:type="pct"/>
            <w:noWrap/>
            <w:vAlign w:val="center"/>
            <w:hideMark/>
          </w:tcPr>
          <w:p w14:paraId="0D688951" w14:textId="77777777" w:rsidR="00CE1397" w:rsidRPr="008F1108" w:rsidRDefault="00CE1397" w:rsidP="00A917FF">
            <w:r w:rsidRPr="008F1108">
              <w:t xml:space="preserve">   Prejuízos Acumulados</w:t>
            </w:r>
          </w:p>
        </w:tc>
        <w:tc>
          <w:tcPr>
            <w:tcW w:w="913" w:type="pct"/>
            <w:vAlign w:val="center"/>
          </w:tcPr>
          <w:p w14:paraId="7E689FB8" w14:textId="690DB014" w:rsidR="00CE1397" w:rsidRPr="008F1108" w:rsidRDefault="00CE1397" w:rsidP="00226AE6">
            <w:pPr>
              <w:jc w:val="right"/>
            </w:pPr>
            <w:r w:rsidRPr="008F1108">
              <w:t>(1.</w:t>
            </w:r>
            <w:r w:rsidR="003861DC" w:rsidRPr="008F1108">
              <w:t>35</w:t>
            </w:r>
            <w:r w:rsidRPr="008F1108">
              <w:t>2.</w:t>
            </w:r>
            <w:r w:rsidR="003861DC" w:rsidRPr="008F1108">
              <w:t>75</w:t>
            </w:r>
            <w:r w:rsidR="00226AE6" w:rsidRPr="008F1108">
              <w:t>2</w:t>
            </w:r>
            <w:r w:rsidRPr="008F1108">
              <w:t>)</w:t>
            </w:r>
          </w:p>
        </w:tc>
        <w:tc>
          <w:tcPr>
            <w:tcW w:w="88" w:type="pct"/>
            <w:vAlign w:val="center"/>
          </w:tcPr>
          <w:p w14:paraId="0EC457FF" w14:textId="77777777" w:rsidR="00CE1397" w:rsidRPr="008F1108" w:rsidRDefault="00CE1397" w:rsidP="00A917FF">
            <w:pPr>
              <w:jc w:val="right"/>
            </w:pPr>
          </w:p>
        </w:tc>
        <w:tc>
          <w:tcPr>
            <w:tcW w:w="789" w:type="pct"/>
            <w:vAlign w:val="center"/>
          </w:tcPr>
          <w:p w14:paraId="1D7098BF" w14:textId="337DE28A" w:rsidR="00CE1397" w:rsidRPr="008F1108" w:rsidRDefault="00CE1397" w:rsidP="00226AE6">
            <w:pPr>
              <w:jc w:val="right"/>
            </w:pPr>
            <w:r w:rsidRPr="008F1108">
              <w:t>(1.</w:t>
            </w:r>
            <w:r w:rsidR="003861DC" w:rsidRPr="008F1108">
              <w:t>424</w:t>
            </w:r>
            <w:r w:rsidRPr="008F1108">
              <w:t>.</w:t>
            </w:r>
            <w:r w:rsidR="003861DC" w:rsidRPr="008F1108">
              <w:t>19</w:t>
            </w:r>
            <w:r w:rsidR="00226AE6" w:rsidRPr="008F1108">
              <w:t>3</w:t>
            </w:r>
            <w:r w:rsidRPr="008F1108">
              <w:t>)</w:t>
            </w:r>
          </w:p>
        </w:tc>
        <w:tc>
          <w:tcPr>
            <w:tcW w:w="81" w:type="pct"/>
            <w:vAlign w:val="center"/>
          </w:tcPr>
          <w:p w14:paraId="03A09954" w14:textId="77777777" w:rsidR="00CE1397" w:rsidRPr="008F1108" w:rsidRDefault="00CE1397" w:rsidP="00A917FF">
            <w:pPr>
              <w:jc w:val="right"/>
            </w:pPr>
          </w:p>
        </w:tc>
        <w:tc>
          <w:tcPr>
            <w:tcW w:w="841" w:type="pct"/>
            <w:vAlign w:val="center"/>
          </w:tcPr>
          <w:p w14:paraId="4326D8FF" w14:textId="668C1723" w:rsidR="00CE1397" w:rsidRPr="008F1108" w:rsidRDefault="003861DC" w:rsidP="003861DC">
            <w:pPr>
              <w:jc w:val="right"/>
            </w:pPr>
            <w:r w:rsidRPr="008F1108">
              <w:t>7</w:t>
            </w:r>
            <w:r w:rsidR="00CE1397" w:rsidRPr="008F1108">
              <w:t>1.</w:t>
            </w:r>
            <w:r w:rsidRPr="008F1108">
              <w:t>44</w:t>
            </w:r>
            <w:r w:rsidR="00CE1397" w:rsidRPr="008F1108">
              <w:t>1</w:t>
            </w:r>
          </w:p>
        </w:tc>
      </w:tr>
      <w:tr w:rsidR="00CE1397" w:rsidRPr="008F1108" w14:paraId="20E99958" w14:textId="77777777" w:rsidTr="002C525E">
        <w:tc>
          <w:tcPr>
            <w:tcW w:w="2288" w:type="pct"/>
            <w:noWrap/>
            <w:vAlign w:val="center"/>
            <w:hideMark/>
          </w:tcPr>
          <w:p w14:paraId="217C110D" w14:textId="77777777" w:rsidR="00CE1397" w:rsidRPr="008F1108" w:rsidRDefault="00CE1397" w:rsidP="00A917FF"/>
        </w:tc>
        <w:tc>
          <w:tcPr>
            <w:tcW w:w="913" w:type="pct"/>
            <w:vAlign w:val="center"/>
            <w:hideMark/>
          </w:tcPr>
          <w:p w14:paraId="2FA6F657" w14:textId="120A8DDD" w:rsidR="00CE1397" w:rsidRPr="008F1108" w:rsidRDefault="00CE1397" w:rsidP="003861DC">
            <w:pPr>
              <w:jc w:val="right"/>
              <w:rPr>
                <w:b/>
                <w:bCs/>
              </w:rPr>
            </w:pPr>
            <w:r w:rsidRPr="008F1108">
              <w:rPr>
                <w:b/>
                <w:bCs/>
              </w:rPr>
              <w:t xml:space="preserve">         </w:t>
            </w:r>
            <w:r w:rsidR="003861DC" w:rsidRPr="008F1108">
              <w:rPr>
                <w:b/>
                <w:bCs/>
              </w:rPr>
              <w:t>(55</w:t>
            </w:r>
            <w:r w:rsidRPr="008F1108">
              <w:rPr>
                <w:b/>
                <w:bCs/>
              </w:rPr>
              <w:t>.</w:t>
            </w:r>
            <w:r w:rsidR="003861DC" w:rsidRPr="008F1108">
              <w:rPr>
                <w:b/>
                <w:bCs/>
              </w:rPr>
              <w:t>861)</w:t>
            </w:r>
            <w:r w:rsidRPr="008F1108">
              <w:rPr>
                <w:b/>
                <w:bCs/>
              </w:rPr>
              <w:t xml:space="preserve"> </w:t>
            </w:r>
          </w:p>
        </w:tc>
        <w:tc>
          <w:tcPr>
            <w:tcW w:w="88" w:type="pct"/>
            <w:vAlign w:val="center"/>
            <w:hideMark/>
          </w:tcPr>
          <w:p w14:paraId="3345408C" w14:textId="77777777" w:rsidR="00CE1397" w:rsidRPr="008F1108" w:rsidRDefault="00CE1397" w:rsidP="00A917FF">
            <w:pPr>
              <w:jc w:val="right"/>
              <w:rPr>
                <w:b/>
                <w:bCs/>
              </w:rPr>
            </w:pPr>
          </w:p>
        </w:tc>
        <w:tc>
          <w:tcPr>
            <w:tcW w:w="789" w:type="pct"/>
            <w:vAlign w:val="center"/>
            <w:hideMark/>
          </w:tcPr>
          <w:p w14:paraId="02CA05A4" w14:textId="631AD5B8" w:rsidR="00CE1397" w:rsidRPr="008F1108" w:rsidRDefault="00CE1397" w:rsidP="003861DC">
            <w:pPr>
              <w:jc w:val="right"/>
              <w:rPr>
                <w:b/>
                <w:bCs/>
              </w:rPr>
            </w:pPr>
            <w:r w:rsidRPr="008F1108">
              <w:rPr>
                <w:b/>
                <w:bCs/>
              </w:rPr>
              <w:t xml:space="preserve">       (1</w:t>
            </w:r>
            <w:r w:rsidR="003861DC" w:rsidRPr="008F1108">
              <w:rPr>
                <w:b/>
                <w:bCs/>
              </w:rPr>
              <w:t>27</w:t>
            </w:r>
            <w:r w:rsidRPr="008F1108">
              <w:rPr>
                <w:b/>
                <w:bCs/>
              </w:rPr>
              <w:t>.</w:t>
            </w:r>
            <w:r w:rsidR="003861DC" w:rsidRPr="008F1108">
              <w:rPr>
                <w:b/>
                <w:bCs/>
              </w:rPr>
              <w:t>302</w:t>
            </w:r>
            <w:r w:rsidRPr="008F1108">
              <w:rPr>
                <w:b/>
                <w:bCs/>
              </w:rPr>
              <w:t xml:space="preserve">) </w:t>
            </w:r>
          </w:p>
        </w:tc>
        <w:tc>
          <w:tcPr>
            <w:tcW w:w="81" w:type="pct"/>
            <w:vAlign w:val="center"/>
            <w:hideMark/>
          </w:tcPr>
          <w:p w14:paraId="1B4722B2" w14:textId="77777777" w:rsidR="00CE1397" w:rsidRPr="008F1108" w:rsidRDefault="00CE1397" w:rsidP="00A917FF">
            <w:pPr>
              <w:jc w:val="right"/>
              <w:rPr>
                <w:b/>
                <w:bCs/>
              </w:rPr>
            </w:pPr>
          </w:p>
        </w:tc>
        <w:tc>
          <w:tcPr>
            <w:tcW w:w="841" w:type="pct"/>
            <w:vAlign w:val="center"/>
            <w:hideMark/>
          </w:tcPr>
          <w:p w14:paraId="130AD066" w14:textId="06C6EC8F" w:rsidR="00CE1397" w:rsidRPr="008F1108" w:rsidRDefault="00CE1397" w:rsidP="003861DC">
            <w:pPr>
              <w:jc w:val="right"/>
              <w:rPr>
                <w:b/>
                <w:bCs/>
              </w:rPr>
            </w:pPr>
            <w:r w:rsidRPr="008F1108">
              <w:rPr>
                <w:b/>
                <w:bCs/>
              </w:rPr>
              <w:t xml:space="preserve">   </w:t>
            </w:r>
            <w:r w:rsidR="003861DC" w:rsidRPr="008F1108">
              <w:rPr>
                <w:b/>
                <w:bCs/>
              </w:rPr>
              <w:t>7</w:t>
            </w:r>
            <w:r w:rsidRPr="008F1108">
              <w:rPr>
                <w:b/>
                <w:bCs/>
              </w:rPr>
              <w:t>1.</w:t>
            </w:r>
            <w:r w:rsidR="003861DC" w:rsidRPr="008F1108">
              <w:rPr>
                <w:b/>
                <w:bCs/>
              </w:rPr>
              <w:t>441</w:t>
            </w:r>
          </w:p>
        </w:tc>
      </w:tr>
      <w:tr w:rsidR="00CE1397" w:rsidRPr="008F1108" w14:paraId="4EF20E48" w14:textId="77777777" w:rsidTr="002C525E">
        <w:tc>
          <w:tcPr>
            <w:tcW w:w="2288" w:type="pct"/>
            <w:noWrap/>
            <w:vAlign w:val="center"/>
          </w:tcPr>
          <w:p w14:paraId="3CAC98F7" w14:textId="77777777" w:rsidR="00CE1397" w:rsidRPr="008F1108" w:rsidRDefault="00CE1397" w:rsidP="00A917FF"/>
        </w:tc>
        <w:tc>
          <w:tcPr>
            <w:tcW w:w="913" w:type="pct"/>
            <w:vAlign w:val="center"/>
          </w:tcPr>
          <w:p w14:paraId="447506F5" w14:textId="77777777" w:rsidR="00CE1397" w:rsidRPr="008F1108" w:rsidRDefault="00CE1397" w:rsidP="00A917FF">
            <w:pPr>
              <w:jc w:val="right"/>
              <w:rPr>
                <w:b/>
                <w:bCs/>
              </w:rPr>
            </w:pPr>
          </w:p>
        </w:tc>
        <w:tc>
          <w:tcPr>
            <w:tcW w:w="88" w:type="pct"/>
            <w:vAlign w:val="center"/>
          </w:tcPr>
          <w:p w14:paraId="5898CCEE" w14:textId="77777777" w:rsidR="00CE1397" w:rsidRPr="008F1108" w:rsidRDefault="00CE1397" w:rsidP="00A917FF">
            <w:pPr>
              <w:jc w:val="right"/>
              <w:rPr>
                <w:b/>
                <w:bCs/>
              </w:rPr>
            </w:pPr>
          </w:p>
        </w:tc>
        <w:tc>
          <w:tcPr>
            <w:tcW w:w="789" w:type="pct"/>
            <w:vAlign w:val="center"/>
          </w:tcPr>
          <w:p w14:paraId="78FA9DD3" w14:textId="77777777" w:rsidR="00CE1397" w:rsidRPr="008F1108" w:rsidRDefault="00CE1397" w:rsidP="00A917FF">
            <w:pPr>
              <w:jc w:val="right"/>
              <w:rPr>
                <w:b/>
                <w:bCs/>
              </w:rPr>
            </w:pPr>
          </w:p>
        </w:tc>
        <w:tc>
          <w:tcPr>
            <w:tcW w:w="81" w:type="pct"/>
            <w:vAlign w:val="center"/>
          </w:tcPr>
          <w:p w14:paraId="41859FEA" w14:textId="77777777" w:rsidR="00CE1397" w:rsidRPr="008F1108" w:rsidRDefault="00CE1397" w:rsidP="00A917FF">
            <w:pPr>
              <w:jc w:val="right"/>
              <w:rPr>
                <w:b/>
                <w:bCs/>
              </w:rPr>
            </w:pPr>
          </w:p>
        </w:tc>
        <w:tc>
          <w:tcPr>
            <w:tcW w:w="841" w:type="pct"/>
            <w:vAlign w:val="center"/>
          </w:tcPr>
          <w:p w14:paraId="3E549C04" w14:textId="77777777" w:rsidR="00CE1397" w:rsidRPr="008F1108" w:rsidRDefault="00CE1397" w:rsidP="00A917FF">
            <w:pPr>
              <w:jc w:val="right"/>
              <w:rPr>
                <w:b/>
                <w:bCs/>
              </w:rPr>
            </w:pPr>
          </w:p>
        </w:tc>
      </w:tr>
      <w:tr w:rsidR="00CE1397" w:rsidRPr="008F1108" w14:paraId="250E8E04" w14:textId="77777777" w:rsidTr="002C525E">
        <w:tc>
          <w:tcPr>
            <w:tcW w:w="2288" w:type="pct"/>
            <w:noWrap/>
            <w:vAlign w:val="center"/>
            <w:hideMark/>
          </w:tcPr>
          <w:p w14:paraId="371ACF47" w14:textId="77777777" w:rsidR="00CE1397" w:rsidRPr="008F1108" w:rsidRDefault="00CE1397" w:rsidP="00A917FF">
            <w:r w:rsidRPr="008F1108">
              <w:t xml:space="preserve">  </w:t>
            </w:r>
            <w:r w:rsidRPr="008F1108">
              <w:rPr>
                <w:b/>
                <w:bCs/>
              </w:rPr>
              <w:t>Total do Passivo</w:t>
            </w:r>
          </w:p>
        </w:tc>
        <w:tc>
          <w:tcPr>
            <w:tcW w:w="913" w:type="pct"/>
            <w:tcBorders>
              <w:top w:val="nil"/>
              <w:left w:val="nil"/>
              <w:right w:val="nil"/>
            </w:tcBorders>
            <w:vAlign w:val="center"/>
            <w:hideMark/>
          </w:tcPr>
          <w:p w14:paraId="1A8E9895" w14:textId="174AC56D" w:rsidR="00CE1397" w:rsidRPr="008F1108" w:rsidRDefault="00CE1397" w:rsidP="00A7247A">
            <w:pPr>
              <w:jc w:val="right"/>
              <w:rPr>
                <w:b/>
                <w:bCs/>
              </w:rPr>
            </w:pPr>
            <w:r w:rsidRPr="008F1108">
              <w:rPr>
                <w:b/>
                <w:bCs/>
              </w:rPr>
              <w:t xml:space="preserve">       1.3</w:t>
            </w:r>
            <w:r w:rsidR="00A7247A" w:rsidRPr="008F1108">
              <w:rPr>
                <w:b/>
                <w:bCs/>
              </w:rPr>
              <w:t>7</w:t>
            </w:r>
            <w:r w:rsidR="003861DC" w:rsidRPr="008F1108">
              <w:rPr>
                <w:b/>
                <w:bCs/>
              </w:rPr>
              <w:t>8</w:t>
            </w:r>
            <w:r w:rsidRPr="008F1108">
              <w:rPr>
                <w:b/>
                <w:bCs/>
              </w:rPr>
              <w:t>.</w:t>
            </w:r>
            <w:r w:rsidR="003861DC" w:rsidRPr="008F1108">
              <w:rPr>
                <w:b/>
                <w:bCs/>
              </w:rPr>
              <w:t>5</w:t>
            </w:r>
            <w:r w:rsidR="00A7247A" w:rsidRPr="008F1108">
              <w:rPr>
                <w:b/>
                <w:bCs/>
              </w:rPr>
              <w:t>5</w:t>
            </w:r>
            <w:r w:rsidR="003861DC" w:rsidRPr="008F1108">
              <w:rPr>
                <w:b/>
                <w:bCs/>
              </w:rPr>
              <w:t>3</w:t>
            </w:r>
            <w:r w:rsidRPr="008F1108">
              <w:rPr>
                <w:b/>
                <w:bCs/>
              </w:rPr>
              <w:t xml:space="preserve"> </w:t>
            </w:r>
          </w:p>
        </w:tc>
        <w:tc>
          <w:tcPr>
            <w:tcW w:w="88" w:type="pct"/>
            <w:vAlign w:val="center"/>
            <w:hideMark/>
          </w:tcPr>
          <w:p w14:paraId="6B805209" w14:textId="77777777" w:rsidR="00CE1397" w:rsidRPr="008F1108" w:rsidRDefault="00CE1397" w:rsidP="00A917FF">
            <w:pPr>
              <w:jc w:val="right"/>
              <w:rPr>
                <w:b/>
                <w:bCs/>
              </w:rPr>
            </w:pPr>
          </w:p>
        </w:tc>
        <w:tc>
          <w:tcPr>
            <w:tcW w:w="789" w:type="pct"/>
            <w:tcBorders>
              <w:top w:val="nil"/>
              <w:left w:val="nil"/>
              <w:right w:val="nil"/>
            </w:tcBorders>
            <w:vAlign w:val="center"/>
            <w:hideMark/>
          </w:tcPr>
          <w:p w14:paraId="34D80F2B" w14:textId="052705E5" w:rsidR="00CE1397" w:rsidRPr="008F1108" w:rsidRDefault="00CE1397" w:rsidP="003861DC">
            <w:pPr>
              <w:jc w:val="right"/>
              <w:rPr>
                <w:b/>
                <w:bCs/>
              </w:rPr>
            </w:pPr>
            <w:r w:rsidRPr="008F1108">
              <w:rPr>
                <w:b/>
                <w:bCs/>
              </w:rPr>
              <w:t xml:space="preserve">       1.</w:t>
            </w:r>
            <w:r w:rsidR="003861DC" w:rsidRPr="008F1108">
              <w:rPr>
                <w:b/>
                <w:bCs/>
              </w:rPr>
              <w:t>367</w:t>
            </w:r>
            <w:r w:rsidRPr="008F1108">
              <w:rPr>
                <w:b/>
                <w:bCs/>
              </w:rPr>
              <w:t>.</w:t>
            </w:r>
            <w:r w:rsidR="003861DC" w:rsidRPr="008F1108">
              <w:rPr>
                <w:b/>
                <w:bCs/>
              </w:rPr>
              <w:t>39</w:t>
            </w:r>
            <w:r w:rsidRPr="008F1108">
              <w:rPr>
                <w:b/>
                <w:bCs/>
              </w:rPr>
              <w:t xml:space="preserve">7 </w:t>
            </w:r>
          </w:p>
        </w:tc>
        <w:tc>
          <w:tcPr>
            <w:tcW w:w="81" w:type="pct"/>
            <w:vAlign w:val="center"/>
            <w:hideMark/>
          </w:tcPr>
          <w:p w14:paraId="5FCAADAD" w14:textId="77777777" w:rsidR="00CE1397" w:rsidRPr="008F1108" w:rsidRDefault="00CE1397" w:rsidP="00A917FF">
            <w:pPr>
              <w:jc w:val="right"/>
              <w:rPr>
                <w:b/>
                <w:bCs/>
              </w:rPr>
            </w:pPr>
          </w:p>
        </w:tc>
        <w:tc>
          <w:tcPr>
            <w:tcW w:w="841" w:type="pct"/>
            <w:tcBorders>
              <w:top w:val="nil"/>
              <w:left w:val="nil"/>
              <w:right w:val="nil"/>
            </w:tcBorders>
            <w:vAlign w:val="center"/>
            <w:hideMark/>
          </w:tcPr>
          <w:p w14:paraId="7D75A381" w14:textId="58F0E14E" w:rsidR="00CE1397" w:rsidRPr="008F1108" w:rsidRDefault="00CE1397" w:rsidP="00A7247A">
            <w:pPr>
              <w:jc w:val="right"/>
              <w:rPr>
                <w:b/>
                <w:bCs/>
              </w:rPr>
            </w:pPr>
            <w:r w:rsidRPr="008F1108">
              <w:rPr>
                <w:b/>
                <w:bCs/>
              </w:rPr>
              <w:t>1</w:t>
            </w:r>
            <w:r w:rsidR="00A7247A" w:rsidRPr="008F1108">
              <w:rPr>
                <w:b/>
                <w:bCs/>
              </w:rPr>
              <w:t>1</w:t>
            </w:r>
            <w:r w:rsidRPr="008F1108">
              <w:rPr>
                <w:b/>
                <w:bCs/>
              </w:rPr>
              <w:t>.</w:t>
            </w:r>
            <w:r w:rsidR="003861DC" w:rsidRPr="008F1108">
              <w:rPr>
                <w:b/>
                <w:bCs/>
              </w:rPr>
              <w:t>1</w:t>
            </w:r>
            <w:r w:rsidR="00A7247A" w:rsidRPr="008F1108">
              <w:rPr>
                <w:b/>
                <w:bCs/>
              </w:rPr>
              <w:t>5</w:t>
            </w:r>
            <w:r w:rsidR="003861DC" w:rsidRPr="008F1108">
              <w:rPr>
                <w:b/>
                <w:bCs/>
              </w:rPr>
              <w:t>6</w:t>
            </w:r>
            <w:r w:rsidRPr="008F1108">
              <w:rPr>
                <w:b/>
                <w:bCs/>
              </w:rPr>
              <w:t xml:space="preserve"> </w:t>
            </w:r>
          </w:p>
        </w:tc>
      </w:tr>
    </w:tbl>
    <w:p w14:paraId="3A6AF690" w14:textId="77777777" w:rsidR="00CE1397" w:rsidRPr="008F1108" w:rsidRDefault="00CE1397" w:rsidP="00CE1397">
      <w:pPr>
        <w:tabs>
          <w:tab w:val="left" w:pos="851"/>
        </w:tabs>
        <w:jc w:val="both"/>
        <w:rPr>
          <w:b/>
        </w:rPr>
      </w:pPr>
    </w:p>
    <w:p w14:paraId="3481B440" w14:textId="7237BE32" w:rsidR="00CE1397" w:rsidRPr="008F1108" w:rsidRDefault="00CE1397" w:rsidP="00CE1397">
      <w:pPr>
        <w:tabs>
          <w:tab w:val="left" w:pos="851"/>
        </w:tabs>
        <w:jc w:val="both"/>
      </w:pPr>
      <w:r w:rsidRPr="008F1108">
        <w:rPr>
          <w:u w:val="single"/>
        </w:rPr>
        <w:t>Ativo Circulante e Não Circulante:</w:t>
      </w:r>
      <w:r w:rsidRPr="008F1108">
        <w:t xml:space="preserve"> o valor de R$ </w:t>
      </w:r>
      <w:r w:rsidR="00226AE6" w:rsidRPr="008F1108">
        <w:t>256</w:t>
      </w:r>
      <w:r w:rsidRPr="008F1108">
        <w:t xml:space="preserve"> corresponde: R$ </w:t>
      </w:r>
      <w:r w:rsidR="00226AE6" w:rsidRPr="008F1108">
        <w:t>15</w:t>
      </w:r>
      <w:r w:rsidRPr="008F1108">
        <w:t xml:space="preserve"> a registros contábeis de pagamentos recebidos e não transferidos para a conta única em 202</w:t>
      </w:r>
      <w:r w:rsidR="00226AE6" w:rsidRPr="008F1108">
        <w:t>5</w:t>
      </w:r>
      <w:r w:rsidRPr="008F1108">
        <w:t xml:space="preserve">; R$ </w:t>
      </w:r>
      <w:r w:rsidR="00226AE6" w:rsidRPr="008F1108">
        <w:t>241</w:t>
      </w:r>
      <w:r w:rsidRPr="008F1108">
        <w:t xml:space="preserve"> à reclassificação de remuneração de recursos aplicados na conta única a receber. O valor de R$ 1</w:t>
      </w:r>
      <w:r w:rsidR="00A7247A" w:rsidRPr="008F1108">
        <w:t>0</w:t>
      </w:r>
      <w:r w:rsidRPr="008F1108">
        <w:t>.</w:t>
      </w:r>
      <w:r w:rsidR="00226AE6" w:rsidRPr="008F1108">
        <w:t>0</w:t>
      </w:r>
      <w:r w:rsidR="00A7247A" w:rsidRPr="008F1108">
        <w:t>6</w:t>
      </w:r>
      <w:r w:rsidR="00226AE6" w:rsidRPr="008F1108">
        <w:t>7</w:t>
      </w:r>
      <w:r w:rsidRPr="008F1108">
        <w:t xml:space="preserve"> corresponde a: </w:t>
      </w:r>
      <w:r w:rsidR="00226AE6" w:rsidRPr="008F1108">
        <w:t>(</w:t>
      </w:r>
      <w:r w:rsidRPr="008F1108">
        <w:t xml:space="preserve">R$ </w:t>
      </w:r>
      <w:r w:rsidR="00226AE6" w:rsidRPr="008F1108">
        <w:t>3</w:t>
      </w:r>
      <w:r w:rsidRPr="008F1108">
        <w:t>.</w:t>
      </w:r>
      <w:r w:rsidR="00226AE6" w:rsidRPr="008F1108">
        <w:t>152)</w:t>
      </w:r>
      <w:r w:rsidRPr="008F1108">
        <w:t xml:space="preserve"> baixas de clientes por competência; (R$ </w:t>
      </w:r>
      <w:r w:rsidR="00226AE6" w:rsidRPr="008F1108">
        <w:t>241</w:t>
      </w:r>
      <w:r w:rsidRPr="008F1108">
        <w:t>) reclassificação de remuneração de recursos aplicados na conta única a receber; R$ 13</w:t>
      </w:r>
      <w:r w:rsidR="000B6AD2" w:rsidRPr="008F1108">
        <w:t>.459</w:t>
      </w:r>
      <w:r w:rsidRPr="008F1108">
        <w:t xml:space="preserve"> reversão do lançamento de regularização do saldo contábil</w:t>
      </w:r>
      <w:r w:rsidR="00A7247A" w:rsidRPr="008F1108">
        <w:t xml:space="preserve"> de adiantamento versus férias a pagar</w:t>
      </w:r>
      <w:r w:rsidRPr="008F1108">
        <w:t xml:space="preserve">. O valor de R$ </w:t>
      </w:r>
      <w:r w:rsidR="00022723">
        <w:t xml:space="preserve">5 </w:t>
      </w:r>
      <w:r w:rsidRPr="008F1108">
        <w:t xml:space="preserve">refere-se à </w:t>
      </w:r>
      <w:r w:rsidR="000B6AD2" w:rsidRPr="008F1108">
        <w:t>reversão</w:t>
      </w:r>
      <w:r w:rsidRPr="008F1108">
        <w:t xml:space="preserve"> da provisão estimada de crédito de liquidação duvidosa. </w:t>
      </w:r>
      <w:r w:rsidR="000B6AD2" w:rsidRPr="008F1108">
        <w:t xml:space="preserve">O valor de R$ 1.150 refere-se </w:t>
      </w:r>
      <w:r w:rsidR="008F1512" w:rsidRPr="008F1108">
        <w:t>à</w:t>
      </w:r>
      <w:r w:rsidR="000B6AD2" w:rsidRPr="008F1108">
        <w:t xml:space="preserve"> apropriação de importação sem fechamento de câmbio. </w:t>
      </w:r>
      <w:r w:rsidRPr="008F1108">
        <w:t xml:space="preserve">Sobre o valor de (R$ </w:t>
      </w:r>
      <w:r w:rsidR="000B6AD2" w:rsidRPr="008F1108">
        <w:t>32</w:t>
      </w:r>
      <w:r w:rsidRPr="008F1108">
        <w:t>2) do não circulante, refere-se a registro contábil realizado por outra UG ainda sem comprovação, sendo por isso estornado na contabilidade societária.</w:t>
      </w:r>
    </w:p>
    <w:p w14:paraId="6EECCF18" w14:textId="77777777" w:rsidR="00CE1397" w:rsidRPr="008F1108" w:rsidRDefault="00CE1397" w:rsidP="00CE1397">
      <w:pPr>
        <w:tabs>
          <w:tab w:val="left" w:pos="851"/>
        </w:tabs>
        <w:jc w:val="both"/>
      </w:pPr>
    </w:p>
    <w:p w14:paraId="0DD1AF60" w14:textId="7A86502D" w:rsidR="00CE1397" w:rsidRPr="008F1108" w:rsidRDefault="00CE1397" w:rsidP="00CE1397">
      <w:pPr>
        <w:tabs>
          <w:tab w:val="left" w:pos="851"/>
        </w:tabs>
        <w:jc w:val="both"/>
      </w:pPr>
      <w:r w:rsidRPr="008F1108">
        <w:rPr>
          <w:u w:val="single"/>
        </w:rPr>
        <w:lastRenderedPageBreak/>
        <w:t>Passivo Circulante e Não Circulante</w:t>
      </w:r>
      <w:r w:rsidRPr="008F1108">
        <w:t>: o valor de R$ 6</w:t>
      </w:r>
      <w:r w:rsidR="00B13DAA" w:rsidRPr="008F1108">
        <w:t>.197</w:t>
      </w:r>
      <w:r w:rsidRPr="008F1108">
        <w:t xml:space="preserve"> refere-se a apropriações por competência de fornecedores. O valor de (R$ </w:t>
      </w:r>
      <w:r w:rsidR="00B13DAA" w:rsidRPr="008F1108">
        <w:t>6</w:t>
      </w:r>
      <w:r w:rsidR="00A7247A" w:rsidRPr="008F1108">
        <w:t>6</w:t>
      </w:r>
      <w:r w:rsidR="00B13DAA" w:rsidRPr="008F1108">
        <w:t>.4</w:t>
      </w:r>
      <w:r w:rsidR="00A7247A" w:rsidRPr="008F1108">
        <w:t>8</w:t>
      </w:r>
      <w:r w:rsidR="00B13DAA" w:rsidRPr="008F1108">
        <w:t>2</w:t>
      </w:r>
      <w:r w:rsidRPr="008F1108">
        <w:t xml:space="preserve">) refere-se a: R$ </w:t>
      </w:r>
      <w:r w:rsidR="00B13DAA" w:rsidRPr="008F1108">
        <w:t>594</w:t>
      </w:r>
      <w:r w:rsidRPr="008F1108">
        <w:t xml:space="preserve"> de provisões trabalhistas; (R$ </w:t>
      </w:r>
      <w:r w:rsidR="00B13DAA" w:rsidRPr="008F1108">
        <w:t>76</w:t>
      </w:r>
      <w:r w:rsidRPr="008F1108">
        <w:t>.</w:t>
      </w:r>
      <w:r w:rsidR="00B13DAA" w:rsidRPr="008F1108">
        <w:t>545</w:t>
      </w:r>
      <w:r w:rsidRPr="008F1108">
        <w:t>) a estorno referente a recurso recebido por descentralização; R$ 13</w:t>
      </w:r>
      <w:r w:rsidR="00B13DAA" w:rsidRPr="008F1108">
        <w:t>.459</w:t>
      </w:r>
      <w:r w:rsidRPr="008F1108">
        <w:t xml:space="preserve"> reversão do lançamento de regularização do saldo contábil de adiantamento versus férias a pagar</w:t>
      </w:r>
      <w:r w:rsidR="00A7247A" w:rsidRPr="008F1108">
        <w:t xml:space="preserve">; </w:t>
      </w:r>
      <w:r w:rsidR="007405C0" w:rsidRPr="008F1108">
        <w:t>(</w:t>
      </w:r>
      <w:r w:rsidR="00A7247A" w:rsidRPr="008F1108">
        <w:t>R$ 3.990</w:t>
      </w:r>
      <w:r w:rsidR="007405C0" w:rsidRPr="008F1108">
        <w:t>)</w:t>
      </w:r>
      <w:r w:rsidR="00A7247A" w:rsidRPr="008F1108">
        <w:t xml:space="preserve"> </w:t>
      </w:r>
      <w:r w:rsidR="00592CF5" w:rsidRPr="008F1108">
        <w:t>estorno do</w:t>
      </w:r>
      <w:r w:rsidR="00094969" w:rsidRPr="008F1108">
        <w:t xml:space="preserve"> </w:t>
      </w:r>
      <w:r w:rsidR="007405C0" w:rsidRPr="008F1108">
        <w:t>depósito</w:t>
      </w:r>
      <w:r w:rsidR="00A7247A" w:rsidRPr="008F1108">
        <w:t xml:space="preserve"> por devolução de despesas</w:t>
      </w:r>
      <w:r w:rsidR="007405C0" w:rsidRPr="008F1108">
        <w:t xml:space="preserve"> do plano de saúde</w:t>
      </w:r>
      <w:r w:rsidRPr="008F1108">
        <w:t xml:space="preserve">. </w:t>
      </w:r>
    </w:p>
    <w:p w14:paraId="4041BFD4" w14:textId="77777777" w:rsidR="00CE1397" w:rsidRPr="008F1108" w:rsidRDefault="00CE1397" w:rsidP="00CE1397">
      <w:pPr>
        <w:tabs>
          <w:tab w:val="left" w:pos="851"/>
        </w:tabs>
        <w:jc w:val="both"/>
      </w:pPr>
    </w:p>
    <w:p w14:paraId="35690C92" w14:textId="77777777" w:rsidR="00CE1397" w:rsidRPr="008F1108" w:rsidRDefault="00CE1397" w:rsidP="00CE1397">
      <w:pPr>
        <w:jc w:val="both"/>
      </w:pPr>
      <w:r w:rsidRPr="008F1108">
        <w:rPr>
          <w:u w:val="single"/>
        </w:rPr>
        <w:t>Patrimônio Líquido:</w:t>
      </w:r>
      <w:r w:rsidRPr="008F1108">
        <w:t xml:space="preserve"> os valores referem-se às contrapartidas dos ajustes no Ativo e Passivo Circulantes e Não Circulantes.</w:t>
      </w:r>
    </w:p>
    <w:p w14:paraId="1A140DBD" w14:textId="77777777" w:rsidR="00CE1397" w:rsidRPr="008F1108" w:rsidRDefault="00CE1397" w:rsidP="00CE1397"/>
    <w:tbl>
      <w:tblPr>
        <w:tblW w:w="5000" w:type="pct"/>
        <w:tblCellMar>
          <w:left w:w="70" w:type="dxa"/>
          <w:right w:w="70" w:type="dxa"/>
        </w:tblCellMar>
        <w:tblLook w:val="04A0" w:firstRow="1" w:lastRow="0" w:firstColumn="1" w:lastColumn="0" w:noHBand="0" w:noVBand="1"/>
      </w:tblPr>
      <w:tblGrid>
        <w:gridCol w:w="4253"/>
        <w:gridCol w:w="1559"/>
        <w:gridCol w:w="221"/>
        <w:gridCol w:w="1480"/>
        <w:gridCol w:w="190"/>
        <w:gridCol w:w="1368"/>
      </w:tblGrid>
      <w:tr w:rsidR="00CE1397" w:rsidRPr="008F1108" w14:paraId="64AD1451" w14:textId="77777777" w:rsidTr="00917117">
        <w:tc>
          <w:tcPr>
            <w:tcW w:w="2344" w:type="pct"/>
            <w:shd w:val="clear" w:color="auto" w:fill="FFFFFF"/>
            <w:vAlign w:val="center"/>
            <w:hideMark/>
          </w:tcPr>
          <w:p w14:paraId="0E5FD731" w14:textId="77777777" w:rsidR="00CE1397" w:rsidRPr="008F1108" w:rsidRDefault="00CE1397" w:rsidP="00A917FF">
            <w:pPr>
              <w:jc w:val="both"/>
              <w:rPr>
                <w:b/>
                <w:bCs/>
              </w:rPr>
            </w:pPr>
            <w:r w:rsidRPr="008F1108">
              <w:rPr>
                <w:b/>
                <w:bCs/>
              </w:rPr>
              <w:t>Demonstração do Resultado do Exercício</w:t>
            </w:r>
          </w:p>
        </w:tc>
        <w:tc>
          <w:tcPr>
            <w:tcW w:w="859" w:type="pct"/>
            <w:tcBorders>
              <w:top w:val="nil"/>
              <w:left w:val="nil"/>
              <w:bottom w:val="single" w:sz="8" w:space="0" w:color="auto"/>
              <w:right w:val="nil"/>
            </w:tcBorders>
            <w:shd w:val="clear" w:color="auto" w:fill="FFFFFF"/>
            <w:vAlign w:val="center"/>
            <w:hideMark/>
          </w:tcPr>
          <w:p w14:paraId="0DCF29E0" w14:textId="77777777" w:rsidR="00CE1397" w:rsidRPr="008F1108" w:rsidRDefault="00CE1397" w:rsidP="00A917FF">
            <w:pPr>
              <w:jc w:val="right"/>
              <w:rPr>
                <w:b/>
                <w:bCs/>
              </w:rPr>
            </w:pPr>
            <w:r w:rsidRPr="008F1108">
              <w:rPr>
                <w:b/>
                <w:bCs/>
              </w:rPr>
              <w:t>6.404/76</w:t>
            </w:r>
          </w:p>
        </w:tc>
        <w:tc>
          <w:tcPr>
            <w:tcW w:w="122" w:type="pct"/>
            <w:shd w:val="clear" w:color="auto" w:fill="FFFFFF"/>
            <w:vAlign w:val="center"/>
            <w:hideMark/>
          </w:tcPr>
          <w:p w14:paraId="5F863D41" w14:textId="77777777" w:rsidR="00CE1397" w:rsidRPr="008F1108" w:rsidRDefault="00CE1397" w:rsidP="00A917FF">
            <w:pPr>
              <w:jc w:val="right"/>
              <w:rPr>
                <w:b/>
                <w:bCs/>
              </w:rPr>
            </w:pPr>
            <w:r w:rsidRPr="008F1108">
              <w:rPr>
                <w:b/>
                <w:bCs/>
              </w:rPr>
              <w:t> </w:t>
            </w:r>
          </w:p>
        </w:tc>
        <w:tc>
          <w:tcPr>
            <w:tcW w:w="816" w:type="pct"/>
            <w:tcBorders>
              <w:top w:val="nil"/>
              <w:left w:val="nil"/>
              <w:bottom w:val="single" w:sz="8" w:space="0" w:color="auto"/>
              <w:right w:val="nil"/>
            </w:tcBorders>
            <w:shd w:val="clear" w:color="auto" w:fill="FFFFFF"/>
            <w:vAlign w:val="center"/>
            <w:hideMark/>
          </w:tcPr>
          <w:p w14:paraId="3BE8E05F" w14:textId="77777777" w:rsidR="00CE1397" w:rsidRPr="008F1108" w:rsidRDefault="00CE1397" w:rsidP="00A917FF">
            <w:pPr>
              <w:jc w:val="right"/>
              <w:rPr>
                <w:b/>
                <w:bCs/>
              </w:rPr>
            </w:pPr>
            <w:r w:rsidRPr="008F1108">
              <w:rPr>
                <w:b/>
                <w:bCs/>
              </w:rPr>
              <w:t>4.320/64</w:t>
            </w:r>
          </w:p>
        </w:tc>
        <w:tc>
          <w:tcPr>
            <w:tcW w:w="105" w:type="pct"/>
            <w:shd w:val="clear" w:color="auto" w:fill="FFFFFF"/>
            <w:vAlign w:val="center"/>
            <w:hideMark/>
          </w:tcPr>
          <w:p w14:paraId="6FF47CB8" w14:textId="77777777" w:rsidR="00CE1397" w:rsidRPr="008F1108" w:rsidRDefault="00CE1397" w:rsidP="00A917FF">
            <w:pPr>
              <w:jc w:val="right"/>
              <w:rPr>
                <w:b/>
                <w:bCs/>
              </w:rPr>
            </w:pPr>
            <w:r w:rsidRPr="008F1108">
              <w:rPr>
                <w:b/>
                <w:bCs/>
              </w:rPr>
              <w:t> </w:t>
            </w:r>
          </w:p>
        </w:tc>
        <w:tc>
          <w:tcPr>
            <w:tcW w:w="754" w:type="pct"/>
            <w:tcBorders>
              <w:top w:val="nil"/>
              <w:left w:val="nil"/>
              <w:bottom w:val="single" w:sz="8" w:space="0" w:color="auto"/>
              <w:right w:val="nil"/>
            </w:tcBorders>
            <w:shd w:val="clear" w:color="auto" w:fill="FFFFFF"/>
            <w:vAlign w:val="center"/>
            <w:hideMark/>
          </w:tcPr>
          <w:p w14:paraId="11618161" w14:textId="77777777" w:rsidR="00CE1397" w:rsidRPr="008F1108" w:rsidRDefault="00CE1397" w:rsidP="00A917FF">
            <w:pPr>
              <w:jc w:val="right"/>
              <w:rPr>
                <w:b/>
                <w:bCs/>
              </w:rPr>
            </w:pPr>
            <w:r w:rsidRPr="008F1108">
              <w:rPr>
                <w:b/>
                <w:bCs/>
              </w:rPr>
              <w:t>Diferença</w:t>
            </w:r>
          </w:p>
        </w:tc>
      </w:tr>
      <w:tr w:rsidR="00917117" w:rsidRPr="008F1108" w14:paraId="152A1FF5" w14:textId="77777777" w:rsidTr="00917117">
        <w:tc>
          <w:tcPr>
            <w:tcW w:w="2344" w:type="pct"/>
            <w:shd w:val="clear" w:color="auto" w:fill="FFFFFF"/>
            <w:vAlign w:val="center"/>
            <w:hideMark/>
          </w:tcPr>
          <w:p w14:paraId="5EF15C76" w14:textId="77777777" w:rsidR="00917117" w:rsidRPr="008F1108" w:rsidRDefault="00917117" w:rsidP="00917117">
            <w:pPr>
              <w:rPr>
                <w:b/>
                <w:bCs/>
              </w:rPr>
            </w:pPr>
            <w:r w:rsidRPr="008F1108">
              <w:rPr>
                <w:b/>
                <w:bCs/>
              </w:rPr>
              <w:t>Receita Operacional Bruta</w:t>
            </w:r>
          </w:p>
        </w:tc>
        <w:tc>
          <w:tcPr>
            <w:tcW w:w="859" w:type="pct"/>
            <w:shd w:val="clear" w:color="auto" w:fill="FFFFFF"/>
            <w:hideMark/>
          </w:tcPr>
          <w:p w14:paraId="6C75106D" w14:textId="3F54E773" w:rsidR="00917117" w:rsidRPr="008F1108" w:rsidRDefault="00917117" w:rsidP="00917117">
            <w:pPr>
              <w:jc w:val="right"/>
              <w:rPr>
                <w:b/>
                <w:bCs/>
              </w:rPr>
            </w:pPr>
            <w:r w:rsidRPr="008F1108">
              <w:rPr>
                <w:b/>
              </w:rPr>
              <w:t xml:space="preserve">            2.409.144 </w:t>
            </w:r>
          </w:p>
        </w:tc>
        <w:tc>
          <w:tcPr>
            <w:tcW w:w="122" w:type="pct"/>
            <w:shd w:val="clear" w:color="auto" w:fill="FFFFFF"/>
            <w:hideMark/>
          </w:tcPr>
          <w:p w14:paraId="62042593" w14:textId="77777777" w:rsidR="00917117" w:rsidRPr="008F1108" w:rsidRDefault="00917117" w:rsidP="00917117">
            <w:pPr>
              <w:jc w:val="right"/>
              <w:rPr>
                <w:b/>
                <w:bCs/>
              </w:rPr>
            </w:pPr>
            <w:r w:rsidRPr="008F1108">
              <w:rPr>
                <w:b/>
              </w:rPr>
              <w:t xml:space="preserve"> </w:t>
            </w:r>
          </w:p>
        </w:tc>
        <w:tc>
          <w:tcPr>
            <w:tcW w:w="816" w:type="pct"/>
            <w:shd w:val="clear" w:color="auto" w:fill="FFFFFF"/>
            <w:hideMark/>
          </w:tcPr>
          <w:p w14:paraId="54225B88" w14:textId="3C4A58B2" w:rsidR="00917117" w:rsidRPr="008F1108" w:rsidRDefault="00917117" w:rsidP="00917117">
            <w:pPr>
              <w:jc w:val="right"/>
              <w:rPr>
                <w:b/>
                <w:bCs/>
              </w:rPr>
            </w:pPr>
            <w:r w:rsidRPr="008F1108">
              <w:rPr>
                <w:b/>
              </w:rPr>
              <w:t xml:space="preserve">          2.409.144 </w:t>
            </w:r>
          </w:p>
        </w:tc>
        <w:tc>
          <w:tcPr>
            <w:tcW w:w="105" w:type="pct"/>
            <w:shd w:val="clear" w:color="auto" w:fill="FFFFFF"/>
            <w:hideMark/>
          </w:tcPr>
          <w:p w14:paraId="451E5629" w14:textId="77777777" w:rsidR="00917117" w:rsidRPr="008F1108" w:rsidRDefault="00917117" w:rsidP="00917117">
            <w:pPr>
              <w:jc w:val="right"/>
              <w:rPr>
                <w:b/>
                <w:bCs/>
              </w:rPr>
            </w:pPr>
            <w:r w:rsidRPr="008F1108">
              <w:rPr>
                <w:b/>
              </w:rPr>
              <w:t xml:space="preserve"> </w:t>
            </w:r>
          </w:p>
        </w:tc>
        <w:tc>
          <w:tcPr>
            <w:tcW w:w="754" w:type="pct"/>
            <w:shd w:val="clear" w:color="auto" w:fill="FFFFFF"/>
            <w:hideMark/>
          </w:tcPr>
          <w:p w14:paraId="37DC2FFF" w14:textId="77777777" w:rsidR="00917117" w:rsidRPr="008F1108" w:rsidRDefault="00917117" w:rsidP="00917117">
            <w:pPr>
              <w:jc w:val="right"/>
              <w:rPr>
                <w:b/>
                <w:bCs/>
              </w:rPr>
            </w:pPr>
            <w:r w:rsidRPr="008F1108">
              <w:rPr>
                <w:b/>
              </w:rPr>
              <w:t xml:space="preserve">      -</w:t>
            </w:r>
          </w:p>
        </w:tc>
      </w:tr>
      <w:tr w:rsidR="00917117" w:rsidRPr="008F1108" w14:paraId="1676FD08" w14:textId="77777777" w:rsidTr="00917117">
        <w:tc>
          <w:tcPr>
            <w:tcW w:w="2344" w:type="pct"/>
            <w:shd w:val="clear" w:color="auto" w:fill="FFFFFF"/>
            <w:vAlign w:val="center"/>
            <w:hideMark/>
          </w:tcPr>
          <w:p w14:paraId="0C18B713" w14:textId="77777777" w:rsidR="00917117" w:rsidRPr="008F1108" w:rsidRDefault="00917117" w:rsidP="00917117">
            <w:pPr>
              <w:jc w:val="both"/>
            </w:pPr>
            <w:r w:rsidRPr="008F1108">
              <w:rPr>
                <w:bCs/>
              </w:rPr>
              <w:t xml:space="preserve">    Ajustes da Receita Bruta</w:t>
            </w:r>
          </w:p>
        </w:tc>
        <w:tc>
          <w:tcPr>
            <w:tcW w:w="859" w:type="pct"/>
            <w:shd w:val="clear" w:color="auto" w:fill="FFFFFF"/>
            <w:hideMark/>
          </w:tcPr>
          <w:p w14:paraId="2B3408CE" w14:textId="518EE70E" w:rsidR="00917117" w:rsidRPr="008F1108" w:rsidRDefault="00917117" w:rsidP="00917117">
            <w:pPr>
              <w:jc w:val="right"/>
            </w:pPr>
            <w:r w:rsidRPr="008F1108">
              <w:t xml:space="preserve">       10.331</w:t>
            </w:r>
          </w:p>
        </w:tc>
        <w:tc>
          <w:tcPr>
            <w:tcW w:w="122" w:type="pct"/>
            <w:shd w:val="clear" w:color="auto" w:fill="FFFFFF"/>
            <w:hideMark/>
          </w:tcPr>
          <w:p w14:paraId="06428375" w14:textId="77777777" w:rsidR="00917117" w:rsidRPr="008F1108" w:rsidRDefault="00917117" w:rsidP="00917117">
            <w:pPr>
              <w:jc w:val="right"/>
            </w:pPr>
            <w:r w:rsidRPr="008F1108">
              <w:t xml:space="preserve"> </w:t>
            </w:r>
          </w:p>
        </w:tc>
        <w:tc>
          <w:tcPr>
            <w:tcW w:w="816" w:type="pct"/>
            <w:shd w:val="clear" w:color="auto" w:fill="FFFFFF"/>
            <w:hideMark/>
          </w:tcPr>
          <w:p w14:paraId="40B9D0F5" w14:textId="3E03B6AE" w:rsidR="00917117" w:rsidRPr="008F1108" w:rsidRDefault="00917117" w:rsidP="00917117">
            <w:pPr>
              <w:jc w:val="right"/>
            </w:pPr>
            <w:r w:rsidRPr="008F1108">
              <w:t xml:space="preserve">       10.331</w:t>
            </w:r>
          </w:p>
        </w:tc>
        <w:tc>
          <w:tcPr>
            <w:tcW w:w="105" w:type="pct"/>
            <w:shd w:val="clear" w:color="auto" w:fill="FFFFFF"/>
            <w:hideMark/>
          </w:tcPr>
          <w:p w14:paraId="33921C59" w14:textId="77777777" w:rsidR="00917117" w:rsidRPr="008F1108" w:rsidRDefault="00917117" w:rsidP="00917117">
            <w:pPr>
              <w:jc w:val="right"/>
            </w:pPr>
          </w:p>
        </w:tc>
        <w:tc>
          <w:tcPr>
            <w:tcW w:w="754" w:type="pct"/>
            <w:shd w:val="clear" w:color="auto" w:fill="FFFFFF"/>
            <w:hideMark/>
          </w:tcPr>
          <w:p w14:paraId="075657E7" w14:textId="5AA01F78" w:rsidR="00917117" w:rsidRPr="008F1108" w:rsidRDefault="00917117" w:rsidP="00917117">
            <w:pPr>
              <w:jc w:val="right"/>
            </w:pPr>
            <w:r w:rsidRPr="008F1108">
              <w:t>-</w:t>
            </w:r>
          </w:p>
        </w:tc>
      </w:tr>
      <w:tr w:rsidR="00917117" w:rsidRPr="008F1108" w14:paraId="625D88FD" w14:textId="77777777" w:rsidTr="00917117">
        <w:tc>
          <w:tcPr>
            <w:tcW w:w="2344" w:type="pct"/>
            <w:shd w:val="clear" w:color="auto" w:fill="FFFFFF"/>
            <w:vAlign w:val="center"/>
            <w:hideMark/>
          </w:tcPr>
          <w:p w14:paraId="6DD5D3A7" w14:textId="77777777" w:rsidR="00917117" w:rsidRPr="008F1108" w:rsidRDefault="00917117" w:rsidP="00917117">
            <w:pPr>
              <w:jc w:val="both"/>
            </w:pPr>
            <w:r w:rsidRPr="008F1108">
              <w:rPr>
                <w:bCs/>
              </w:rPr>
              <w:t xml:space="preserve">    Deduções da Receita Bruta</w:t>
            </w:r>
          </w:p>
        </w:tc>
        <w:tc>
          <w:tcPr>
            <w:tcW w:w="859" w:type="pct"/>
            <w:shd w:val="clear" w:color="auto" w:fill="FFFFFF"/>
            <w:hideMark/>
          </w:tcPr>
          <w:p w14:paraId="3F258CE7" w14:textId="37C54A0E" w:rsidR="00917117" w:rsidRPr="008F1108" w:rsidRDefault="00917117" w:rsidP="00917117">
            <w:pPr>
              <w:jc w:val="right"/>
            </w:pPr>
            <w:r w:rsidRPr="008F1108">
              <w:t xml:space="preserve">             (3.356)</w:t>
            </w:r>
          </w:p>
        </w:tc>
        <w:tc>
          <w:tcPr>
            <w:tcW w:w="122" w:type="pct"/>
            <w:shd w:val="clear" w:color="auto" w:fill="FFFFFF"/>
            <w:hideMark/>
          </w:tcPr>
          <w:p w14:paraId="1E9B4EAA" w14:textId="77777777" w:rsidR="00917117" w:rsidRPr="008F1108" w:rsidRDefault="00917117" w:rsidP="00917117">
            <w:pPr>
              <w:jc w:val="right"/>
            </w:pPr>
            <w:r w:rsidRPr="008F1108">
              <w:t xml:space="preserve"> </w:t>
            </w:r>
          </w:p>
        </w:tc>
        <w:tc>
          <w:tcPr>
            <w:tcW w:w="816" w:type="pct"/>
            <w:shd w:val="clear" w:color="auto" w:fill="FFFFFF"/>
            <w:hideMark/>
          </w:tcPr>
          <w:p w14:paraId="472593F1" w14:textId="7472A861" w:rsidR="00917117" w:rsidRPr="008F1108" w:rsidRDefault="00917117" w:rsidP="00917117">
            <w:pPr>
              <w:jc w:val="right"/>
            </w:pPr>
            <w:r w:rsidRPr="008F1108">
              <w:t xml:space="preserve">             (3.356)</w:t>
            </w:r>
          </w:p>
        </w:tc>
        <w:tc>
          <w:tcPr>
            <w:tcW w:w="105" w:type="pct"/>
            <w:shd w:val="clear" w:color="auto" w:fill="FFFFFF"/>
            <w:hideMark/>
          </w:tcPr>
          <w:p w14:paraId="07A969A2" w14:textId="77777777" w:rsidR="00917117" w:rsidRPr="008F1108" w:rsidRDefault="00917117" w:rsidP="00917117">
            <w:pPr>
              <w:jc w:val="right"/>
            </w:pPr>
            <w:r w:rsidRPr="008F1108">
              <w:t xml:space="preserve"> </w:t>
            </w:r>
          </w:p>
        </w:tc>
        <w:tc>
          <w:tcPr>
            <w:tcW w:w="754" w:type="pct"/>
            <w:shd w:val="clear" w:color="auto" w:fill="FFFFFF"/>
            <w:hideMark/>
          </w:tcPr>
          <w:p w14:paraId="0946209B" w14:textId="77777777" w:rsidR="00917117" w:rsidRPr="008F1108" w:rsidRDefault="00917117" w:rsidP="00917117">
            <w:pPr>
              <w:jc w:val="right"/>
            </w:pPr>
            <w:r w:rsidRPr="008F1108">
              <w:t xml:space="preserve">                -   </w:t>
            </w:r>
          </w:p>
        </w:tc>
      </w:tr>
      <w:tr w:rsidR="00917117" w:rsidRPr="008F1108" w14:paraId="1BF29AE5" w14:textId="77777777" w:rsidTr="00917117">
        <w:tc>
          <w:tcPr>
            <w:tcW w:w="2344" w:type="pct"/>
            <w:shd w:val="clear" w:color="auto" w:fill="FFFFFF"/>
            <w:vAlign w:val="center"/>
          </w:tcPr>
          <w:p w14:paraId="395D31F8" w14:textId="77777777" w:rsidR="00917117" w:rsidRPr="008F1108" w:rsidRDefault="00917117" w:rsidP="00917117">
            <w:pPr>
              <w:jc w:val="both"/>
              <w:rPr>
                <w:bCs/>
              </w:rPr>
            </w:pPr>
            <w:r w:rsidRPr="008F1108">
              <w:rPr>
                <w:bCs/>
              </w:rPr>
              <w:t xml:space="preserve">    Repasses Transferidos para AFAC/Subvenção</w:t>
            </w:r>
          </w:p>
        </w:tc>
        <w:tc>
          <w:tcPr>
            <w:tcW w:w="859" w:type="pct"/>
            <w:shd w:val="clear" w:color="auto" w:fill="FFFFFF"/>
          </w:tcPr>
          <w:p w14:paraId="4752CBB0" w14:textId="00A38E5E" w:rsidR="00917117" w:rsidRPr="008F1108" w:rsidRDefault="00917117" w:rsidP="00917117">
            <w:pPr>
              <w:jc w:val="right"/>
            </w:pPr>
            <w:r w:rsidRPr="008F1108">
              <w:t>(58.684)</w:t>
            </w:r>
          </w:p>
        </w:tc>
        <w:tc>
          <w:tcPr>
            <w:tcW w:w="122" w:type="pct"/>
            <w:shd w:val="clear" w:color="auto" w:fill="FFFFFF"/>
          </w:tcPr>
          <w:p w14:paraId="4E5CFB8C" w14:textId="77777777" w:rsidR="00917117" w:rsidRPr="008F1108" w:rsidRDefault="00917117" w:rsidP="00917117">
            <w:pPr>
              <w:jc w:val="right"/>
            </w:pPr>
          </w:p>
        </w:tc>
        <w:tc>
          <w:tcPr>
            <w:tcW w:w="816" w:type="pct"/>
            <w:shd w:val="clear" w:color="auto" w:fill="FFFFFF"/>
          </w:tcPr>
          <w:p w14:paraId="602B172E" w14:textId="74D900EF" w:rsidR="00917117" w:rsidRPr="008F1108" w:rsidRDefault="00917117" w:rsidP="00917117">
            <w:pPr>
              <w:jc w:val="right"/>
            </w:pPr>
            <w:r w:rsidRPr="008F1108">
              <w:t>(58.684)</w:t>
            </w:r>
          </w:p>
        </w:tc>
        <w:tc>
          <w:tcPr>
            <w:tcW w:w="105" w:type="pct"/>
            <w:shd w:val="clear" w:color="auto" w:fill="FFFFFF"/>
          </w:tcPr>
          <w:p w14:paraId="70251A12" w14:textId="77777777" w:rsidR="00917117" w:rsidRPr="008F1108" w:rsidRDefault="00917117" w:rsidP="00917117">
            <w:pPr>
              <w:jc w:val="right"/>
            </w:pPr>
          </w:p>
        </w:tc>
        <w:tc>
          <w:tcPr>
            <w:tcW w:w="754" w:type="pct"/>
            <w:shd w:val="clear" w:color="auto" w:fill="FFFFFF"/>
          </w:tcPr>
          <w:p w14:paraId="5A6626FD" w14:textId="77777777" w:rsidR="00917117" w:rsidRPr="008F1108" w:rsidRDefault="00917117" w:rsidP="00917117">
            <w:pPr>
              <w:jc w:val="right"/>
            </w:pPr>
            <w:r w:rsidRPr="008F1108">
              <w:t>-</w:t>
            </w:r>
          </w:p>
        </w:tc>
      </w:tr>
      <w:tr w:rsidR="00917117" w:rsidRPr="008F1108" w14:paraId="6548CAC6" w14:textId="77777777" w:rsidTr="00917117">
        <w:tc>
          <w:tcPr>
            <w:tcW w:w="2344" w:type="pct"/>
            <w:shd w:val="clear" w:color="auto" w:fill="FFFFFF"/>
            <w:vAlign w:val="center"/>
            <w:hideMark/>
          </w:tcPr>
          <w:p w14:paraId="452CF4A5" w14:textId="77777777" w:rsidR="00917117" w:rsidRPr="008F1108" w:rsidRDefault="00917117" w:rsidP="00917117">
            <w:pPr>
              <w:jc w:val="both"/>
              <w:rPr>
                <w:b/>
                <w:bCs/>
              </w:rPr>
            </w:pPr>
            <w:r w:rsidRPr="008F1108">
              <w:rPr>
                <w:b/>
                <w:bCs/>
              </w:rPr>
              <w:t>Receita Operacional Líquida</w:t>
            </w:r>
          </w:p>
        </w:tc>
        <w:tc>
          <w:tcPr>
            <w:tcW w:w="859" w:type="pct"/>
            <w:shd w:val="clear" w:color="auto" w:fill="FFFFFF"/>
            <w:hideMark/>
          </w:tcPr>
          <w:p w14:paraId="68B23348" w14:textId="210A6583" w:rsidR="00917117" w:rsidRPr="008F1108" w:rsidRDefault="00917117" w:rsidP="00917117">
            <w:pPr>
              <w:jc w:val="right"/>
              <w:rPr>
                <w:b/>
                <w:bCs/>
              </w:rPr>
            </w:pPr>
            <w:r w:rsidRPr="008F1108">
              <w:rPr>
                <w:b/>
              </w:rPr>
              <w:t xml:space="preserve">           2.357.435 </w:t>
            </w:r>
          </w:p>
        </w:tc>
        <w:tc>
          <w:tcPr>
            <w:tcW w:w="122" w:type="pct"/>
            <w:shd w:val="clear" w:color="auto" w:fill="FFFFFF"/>
            <w:hideMark/>
          </w:tcPr>
          <w:p w14:paraId="17664D17" w14:textId="77777777" w:rsidR="00917117" w:rsidRPr="008F1108" w:rsidRDefault="00917117" w:rsidP="00917117">
            <w:pPr>
              <w:jc w:val="right"/>
              <w:rPr>
                <w:b/>
                <w:bCs/>
              </w:rPr>
            </w:pPr>
            <w:r w:rsidRPr="008F1108">
              <w:rPr>
                <w:b/>
              </w:rPr>
              <w:t xml:space="preserve"> </w:t>
            </w:r>
          </w:p>
        </w:tc>
        <w:tc>
          <w:tcPr>
            <w:tcW w:w="816" w:type="pct"/>
            <w:shd w:val="clear" w:color="auto" w:fill="FFFFFF"/>
            <w:hideMark/>
          </w:tcPr>
          <w:p w14:paraId="4AA82F77" w14:textId="1AAFDC07" w:rsidR="00917117" w:rsidRPr="008F1108" w:rsidRDefault="00917117" w:rsidP="00EE63C8">
            <w:pPr>
              <w:jc w:val="right"/>
              <w:rPr>
                <w:b/>
                <w:bCs/>
              </w:rPr>
            </w:pPr>
            <w:r w:rsidRPr="008F1108">
              <w:rPr>
                <w:b/>
              </w:rPr>
              <w:t xml:space="preserve">      2.</w:t>
            </w:r>
            <w:r w:rsidR="00EE63C8" w:rsidRPr="008F1108">
              <w:rPr>
                <w:b/>
              </w:rPr>
              <w:t>357</w:t>
            </w:r>
            <w:r w:rsidRPr="008F1108">
              <w:rPr>
                <w:b/>
              </w:rPr>
              <w:t>.</w:t>
            </w:r>
            <w:r w:rsidR="00EE63C8" w:rsidRPr="008F1108">
              <w:rPr>
                <w:b/>
              </w:rPr>
              <w:t>43</w:t>
            </w:r>
            <w:r w:rsidRPr="008F1108">
              <w:rPr>
                <w:b/>
              </w:rPr>
              <w:t xml:space="preserve">5 </w:t>
            </w:r>
          </w:p>
        </w:tc>
        <w:tc>
          <w:tcPr>
            <w:tcW w:w="105" w:type="pct"/>
            <w:shd w:val="clear" w:color="auto" w:fill="FFFFFF"/>
            <w:hideMark/>
          </w:tcPr>
          <w:p w14:paraId="3131C657" w14:textId="77777777" w:rsidR="00917117" w:rsidRPr="008F1108" w:rsidRDefault="00917117" w:rsidP="00917117">
            <w:pPr>
              <w:jc w:val="right"/>
              <w:rPr>
                <w:b/>
              </w:rPr>
            </w:pPr>
            <w:r w:rsidRPr="008F1108">
              <w:rPr>
                <w:b/>
              </w:rPr>
              <w:t xml:space="preserve"> </w:t>
            </w:r>
          </w:p>
        </w:tc>
        <w:tc>
          <w:tcPr>
            <w:tcW w:w="754" w:type="pct"/>
            <w:shd w:val="clear" w:color="auto" w:fill="FFFFFF"/>
            <w:hideMark/>
          </w:tcPr>
          <w:p w14:paraId="5D92D6D6" w14:textId="7C72D3EC" w:rsidR="00917117" w:rsidRPr="008F1108" w:rsidRDefault="00917117" w:rsidP="00917117">
            <w:pPr>
              <w:jc w:val="right"/>
              <w:rPr>
                <w:b/>
                <w:bCs/>
              </w:rPr>
            </w:pPr>
            <w:r w:rsidRPr="008F1108">
              <w:rPr>
                <w:b/>
              </w:rPr>
              <w:t xml:space="preserve">    - </w:t>
            </w:r>
          </w:p>
        </w:tc>
      </w:tr>
      <w:tr w:rsidR="00917117" w:rsidRPr="008F1108" w14:paraId="20DE2E70" w14:textId="77777777" w:rsidTr="00917117">
        <w:tc>
          <w:tcPr>
            <w:tcW w:w="2344" w:type="pct"/>
            <w:shd w:val="clear" w:color="auto" w:fill="FFFFFF"/>
            <w:vAlign w:val="center"/>
            <w:hideMark/>
          </w:tcPr>
          <w:p w14:paraId="3497F183" w14:textId="77777777" w:rsidR="00917117" w:rsidRPr="008F1108" w:rsidRDefault="00917117" w:rsidP="00917117">
            <w:pPr>
              <w:jc w:val="both"/>
            </w:pPr>
            <w:r w:rsidRPr="008F1108">
              <w:rPr>
                <w:bCs/>
              </w:rPr>
              <w:t xml:space="preserve">   Custo dos Serviços</w:t>
            </w:r>
          </w:p>
        </w:tc>
        <w:tc>
          <w:tcPr>
            <w:tcW w:w="859" w:type="pct"/>
            <w:shd w:val="clear" w:color="auto" w:fill="FFFFFF"/>
            <w:hideMark/>
          </w:tcPr>
          <w:p w14:paraId="4418F16D" w14:textId="246A65D9" w:rsidR="00917117" w:rsidRPr="008F1108" w:rsidRDefault="00917117" w:rsidP="001C4F67">
            <w:pPr>
              <w:jc w:val="right"/>
            </w:pPr>
            <w:r w:rsidRPr="008F1108">
              <w:t xml:space="preserve">        (2.078.36</w:t>
            </w:r>
            <w:r w:rsidR="001C4F67" w:rsidRPr="008F1108">
              <w:t>6</w:t>
            </w:r>
            <w:r w:rsidRPr="008F1108">
              <w:t>)</w:t>
            </w:r>
          </w:p>
        </w:tc>
        <w:tc>
          <w:tcPr>
            <w:tcW w:w="122" w:type="pct"/>
            <w:shd w:val="clear" w:color="auto" w:fill="FFFFFF"/>
            <w:hideMark/>
          </w:tcPr>
          <w:p w14:paraId="0BF2BD57" w14:textId="77777777" w:rsidR="00917117" w:rsidRPr="008F1108" w:rsidRDefault="00917117" w:rsidP="00917117">
            <w:pPr>
              <w:jc w:val="right"/>
            </w:pPr>
            <w:r w:rsidRPr="008F1108">
              <w:t xml:space="preserve"> </w:t>
            </w:r>
          </w:p>
        </w:tc>
        <w:tc>
          <w:tcPr>
            <w:tcW w:w="816" w:type="pct"/>
            <w:shd w:val="clear" w:color="auto" w:fill="FFFFFF"/>
            <w:hideMark/>
          </w:tcPr>
          <w:p w14:paraId="7A5664CE" w14:textId="3B789658" w:rsidR="00917117" w:rsidRPr="008F1108" w:rsidRDefault="00917117" w:rsidP="00917117">
            <w:pPr>
              <w:jc w:val="right"/>
            </w:pPr>
            <w:r w:rsidRPr="008F1108">
              <w:t xml:space="preserve">      (2.070.533)</w:t>
            </w:r>
          </w:p>
        </w:tc>
        <w:tc>
          <w:tcPr>
            <w:tcW w:w="105" w:type="pct"/>
            <w:shd w:val="clear" w:color="auto" w:fill="FFFFFF"/>
            <w:hideMark/>
          </w:tcPr>
          <w:p w14:paraId="5F66277F" w14:textId="77777777" w:rsidR="00917117" w:rsidRPr="008F1108" w:rsidRDefault="00917117" w:rsidP="00917117">
            <w:pPr>
              <w:jc w:val="right"/>
            </w:pPr>
            <w:r w:rsidRPr="008F1108">
              <w:t xml:space="preserve"> </w:t>
            </w:r>
          </w:p>
        </w:tc>
        <w:tc>
          <w:tcPr>
            <w:tcW w:w="754" w:type="pct"/>
            <w:shd w:val="clear" w:color="auto" w:fill="FFFFFF"/>
            <w:hideMark/>
          </w:tcPr>
          <w:p w14:paraId="6D062C4B" w14:textId="160038DF" w:rsidR="00917117" w:rsidRPr="008F1108" w:rsidRDefault="00917117" w:rsidP="00892233">
            <w:pPr>
              <w:jc w:val="right"/>
            </w:pPr>
            <w:r w:rsidRPr="008F1108">
              <w:t xml:space="preserve">   (7.83</w:t>
            </w:r>
            <w:r w:rsidR="00892233" w:rsidRPr="008F1108">
              <w:t>3</w:t>
            </w:r>
            <w:r w:rsidRPr="008F1108">
              <w:t xml:space="preserve">) </w:t>
            </w:r>
          </w:p>
        </w:tc>
      </w:tr>
      <w:tr w:rsidR="00917117" w:rsidRPr="008F1108" w14:paraId="1BF7CF3D" w14:textId="77777777" w:rsidTr="00917117">
        <w:trPr>
          <w:trHeight w:val="207"/>
        </w:trPr>
        <w:tc>
          <w:tcPr>
            <w:tcW w:w="2344" w:type="pct"/>
            <w:shd w:val="clear" w:color="auto" w:fill="FFFFFF"/>
            <w:vAlign w:val="center"/>
            <w:hideMark/>
          </w:tcPr>
          <w:p w14:paraId="06A83577" w14:textId="77777777" w:rsidR="00917117" w:rsidRPr="008F1108" w:rsidRDefault="00917117" w:rsidP="00917117">
            <w:pPr>
              <w:jc w:val="both"/>
              <w:rPr>
                <w:b/>
                <w:bCs/>
              </w:rPr>
            </w:pPr>
            <w:r w:rsidRPr="008F1108">
              <w:rPr>
                <w:b/>
                <w:bCs/>
              </w:rPr>
              <w:t>Resultado Operacional Bruto</w:t>
            </w:r>
          </w:p>
        </w:tc>
        <w:tc>
          <w:tcPr>
            <w:tcW w:w="859" w:type="pct"/>
            <w:shd w:val="clear" w:color="auto" w:fill="FFFFFF"/>
            <w:hideMark/>
          </w:tcPr>
          <w:p w14:paraId="7E17C13C" w14:textId="142C7CBE" w:rsidR="00917117" w:rsidRPr="008F1108" w:rsidRDefault="00917117" w:rsidP="00022723">
            <w:pPr>
              <w:jc w:val="right"/>
              <w:rPr>
                <w:b/>
                <w:bCs/>
              </w:rPr>
            </w:pPr>
            <w:r w:rsidRPr="008F1108">
              <w:rPr>
                <w:b/>
              </w:rPr>
              <w:t xml:space="preserve">               2</w:t>
            </w:r>
            <w:r w:rsidR="00EE63C8" w:rsidRPr="008F1108">
              <w:rPr>
                <w:b/>
              </w:rPr>
              <w:t>7</w:t>
            </w:r>
            <w:r w:rsidRPr="008F1108">
              <w:rPr>
                <w:b/>
              </w:rPr>
              <w:t>9.</w:t>
            </w:r>
            <w:r w:rsidR="00EE63C8" w:rsidRPr="008F1108">
              <w:rPr>
                <w:b/>
              </w:rPr>
              <w:t>0</w:t>
            </w:r>
            <w:r w:rsidR="00022723">
              <w:rPr>
                <w:b/>
              </w:rPr>
              <w:t>69</w:t>
            </w:r>
            <w:r w:rsidRPr="008F1108">
              <w:rPr>
                <w:b/>
              </w:rPr>
              <w:t xml:space="preserve"> </w:t>
            </w:r>
          </w:p>
        </w:tc>
        <w:tc>
          <w:tcPr>
            <w:tcW w:w="122" w:type="pct"/>
            <w:shd w:val="clear" w:color="auto" w:fill="FFFFFF"/>
            <w:hideMark/>
          </w:tcPr>
          <w:p w14:paraId="705D2509" w14:textId="77777777" w:rsidR="00917117" w:rsidRPr="008F1108" w:rsidRDefault="00917117" w:rsidP="00917117">
            <w:pPr>
              <w:jc w:val="right"/>
              <w:rPr>
                <w:b/>
                <w:bCs/>
              </w:rPr>
            </w:pPr>
            <w:r w:rsidRPr="008F1108">
              <w:rPr>
                <w:b/>
              </w:rPr>
              <w:t xml:space="preserve"> </w:t>
            </w:r>
          </w:p>
        </w:tc>
        <w:tc>
          <w:tcPr>
            <w:tcW w:w="816" w:type="pct"/>
            <w:shd w:val="clear" w:color="auto" w:fill="FFFFFF"/>
            <w:hideMark/>
          </w:tcPr>
          <w:p w14:paraId="4062CF6B" w14:textId="06C966B6" w:rsidR="00917117" w:rsidRPr="008F1108" w:rsidRDefault="00917117" w:rsidP="00EE63C8">
            <w:pPr>
              <w:jc w:val="right"/>
              <w:rPr>
                <w:b/>
                <w:bCs/>
              </w:rPr>
            </w:pPr>
            <w:r w:rsidRPr="008F1108">
              <w:rPr>
                <w:b/>
              </w:rPr>
              <w:t>28</w:t>
            </w:r>
            <w:r w:rsidR="00EE63C8" w:rsidRPr="008F1108">
              <w:rPr>
                <w:b/>
              </w:rPr>
              <w:t>6</w:t>
            </w:r>
            <w:r w:rsidRPr="008F1108">
              <w:rPr>
                <w:b/>
              </w:rPr>
              <w:t>.9</w:t>
            </w:r>
            <w:r w:rsidR="00EE63C8" w:rsidRPr="008F1108">
              <w:rPr>
                <w:b/>
              </w:rPr>
              <w:t>0</w:t>
            </w:r>
            <w:r w:rsidRPr="008F1108">
              <w:rPr>
                <w:b/>
              </w:rPr>
              <w:t>2</w:t>
            </w:r>
          </w:p>
        </w:tc>
        <w:tc>
          <w:tcPr>
            <w:tcW w:w="105" w:type="pct"/>
            <w:shd w:val="clear" w:color="auto" w:fill="FFFFFF"/>
            <w:hideMark/>
          </w:tcPr>
          <w:p w14:paraId="29BC0D2C" w14:textId="77777777" w:rsidR="00917117" w:rsidRPr="008F1108" w:rsidRDefault="00917117" w:rsidP="00917117">
            <w:pPr>
              <w:jc w:val="right"/>
              <w:rPr>
                <w:b/>
                <w:bCs/>
              </w:rPr>
            </w:pPr>
            <w:r w:rsidRPr="008F1108">
              <w:rPr>
                <w:b/>
              </w:rPr>
              <w:t xml:space="preserve"> </w:t>
            </w:r>
          </w:p>
        </w:tc>
        <w:tc>
          <w:tcPr>
            <w:tcW w:w="754" w:type="pct"/>
            <w:shd w:val="clear" w:color="auto" w:fill="FFFFFF"/>
            <w:hideMark/>
          </w:tcPr>
          <w:p w14:paraId="2E520789" w14:textId="15A92655" w:rsidR="00917117" w:rsidRPr="008F1108" w:rsidRDefault="00917117" w:rsidP="00892233">
            <w:pPr>
              <w:jc w:val="right"/>
              <w:rPr>
                <w:b/>
                <w:bCs/>
              </w:rPr>
            </w:pPr>
            <w:r w:rsidRPr="008F1108">
              <w:rPr>
                <w:b/>
              </w:rPr>
              <w:t xml:space="preserve">           </w:t>
            </w:r>
            <w:r w:rsidR="00EE63C8" w:rsidRPr="008F1108">
              <w:rPr>
                <w:b/>
              </w:rPr>
              <w:t>(7</w:t>
            </w:r>
            <w:r w:rsidRPr="008F1108">
              <w:rPr>
                <w:b/>
              </w:rPr>
              <w:t>.</w:t>
            </w:r>
            <w:r w:rsidR="00EE63C8" w:rsidRPr="008F1108">
              <w:rPr>
                <w:b/>
              </w:rPr>
              <w:t>83</w:t>
            </w:r>
            <w:r w:rsidR="00892233" w:rsidRPr="008F1108">
              <w:rPr>
                <w:b/>
              </w:rPr>
              <w:t>3</w:t>
            </w:r>
            <w:r w:rsidR="00EE63C8" w:rsidRPr="008F1108">
              <w:rPr>
                <w:b/>
              </w:rPr>
              <w:t>)</w:t>
            </w:r>
            <w:r w:rsidRPr="008F1108">
              <w:rPr>
                <w:b/>
              </w:rPr>
              <w:t xml:space="preserve"> </w:t>
            </w:r>
          </w:p>
        </w:tc>
      </w:tr>
      <w:tr w:rsidR="00917117" w:rsidRPr="008F1108" w14:paraId="0149F05A" w14:textId="77777777" w:rsidTr="00917117">
        <w:trPr>
          <w:trHeight w:val="207"/>
        </w:trPr>
        <w:tc>
          <w:tcPr>
            <w:tcW w:w="2344" w:type="pct"/>
            <w:shd w:val="clear" w:color="auto" w:fill="FFFFFF"/>
            <w:vAlign w:val="center"/>
            <w:hideMark/>
          </w:tcPr>
          <w:p w14:paraId="0CD6210B" w14:textId="77777777" w:rsidR="00917117" w:rsidRPr="008F1108" w:rsidRDefault="00917117" w:rsidP="00917117">
            <w:pPr>
              <w:jc w:val="both"/>
            </w:pPr>
            <w:r w:rsidRPr="008F1108">
              <w:rPr>
                <w:bCs/>
              </w:rPr>
              <w:t xml:space="preserve">   Despesas Operacionais</w:t>
            </w:r>
          </w:p>
        </w:tc>
        <w:tc>
          <w:tcPr>
            <w:tcW w:w="859" w:type="pct"/>
            <w:shd w:val="clear" w:color="auto" w:fill="FFFFFF"/>
            <w:hideMark/>
          </w:tcPr>
          <w:p w14:paraId="0DBE5A39" w14:textId="4D19AA9C" w:rsidR="00917117" w:rsidRPr="008F1108" w:rsidRDefault="00917117" w:rsidP="00EE63C8">
            <w:pPr>
              <w:jc w:val="right"/>
            </w:pPr>
            <w:r w:rsidRPr="008F1108">
              <w:t xml:space="preserve">           (3</w:t>
            </w:r>
            <w:r w:rsidR="00EE63C8" w:rsidRPr="008F1108">
              <w:t>97</w:t>
            </w:r>
            <w:r w:rsidRPr="008F1108">
              <w:t>.</w:t>
            </w:r>
            <w:r w:rsidR="00EE63C8" w:rsidRPr="008F1108">
              <w:t>9</w:t>
            </w:r>
            <w:r w:rsidRPr="008F1108">
              <w:t>3</w:t>
            </w:r>
            <w:r w:rsidR="00EE63C8" w:rsidRPr="008F1108">
              <w:t>8</w:t>
            </w:r>
            <w:r w:rsidRPr="008F1108">
              <w:t>)</w:t>
            </w:r>
          </w:p>
        </w:tc>
        <w:tc>
          <w:tcPr>
            <w:tcW w:w="122" w:type="pct"/>
            <w:shd w:val="clear" w:color="auto" w:fill="FFFFFF"/>
            <w:hideMark/>
          </w:tcPr>
          <w:p w14:paraId="5A97EB29" w14:textId="77777777" w:rsidR="00917117" w:rsidRPr="008F1108" w:rsidRDefault="00917117" w:rsidP="00917117">
            <w:pPr>
              <w:jc w:val="right"/>
            </w:pPr>
            <w:r w:rsidRPr="008F1108">
              <w:t xml:space="preserve"> </w:t>
            </w:r>
          </w:p>
        </w:tc>
        <w:tc>
          <w:tcPr>
            <w:tcW w:w="816" w:type="pct"/>
            <w:shd w:val="clear" w:color="auto" w:fill="FFFFFF"/>
            <w:hideMark/>
          </w:tcPr>
          <w:p w14:paraId="1125756A" w14:textId="59E00482" w:rsidR="00917117" w:rsidRPr="008F1108" w:rsidRDefault="00917117" w:rsidP="005B5443">
            <w:pPr>
              <w:jc w:val="right"/>
            </w:pPr>
            <w:r w:rsidRPr="008F1108">
              <w:t>(3</w:t>
            </w:r>
            <w:r w:rsidR="00EE63C8" w:rsidRPr="008F1108">
              <w:t>96</w:t>
            </w:r>
            <w:r w:rsidRPr="008F1108">
              <w:t>.6</w:t>
            </w:r>
            <w:r w:rsidR="00EE63C8" w:rsidRPr="008F1108">
              <w:t>7</w:t>
            </w:r>
            <w:r w:rsidR="005B5443" w:rsidRPr="008F1108">
              <w:t>2</w:t>
            </w:r>
            <w:r w:rsidRPr="008F1108">
              <w:t>)</w:t>
            </w:r>
          </w:p>
        </w:tc>
        <w:tc>
          <w:tcPr>
            <w:tcW w:w="105" w:type="pct"/>
            <w:shd w:val="clear" w:color="auto" w:fill="FFFFFF"/>
            <w:hideMark/>
          </w:tcPr>
          <w:p w14:paraId="65161E1A" w14:textId="77777777" w:rsidR="00917117" w:rsidRPr="008F1108" w:rsidRDefault="00917117" w:rsidP="00917117">
            <w:pPr>
              <w:jc w:val="right"/>
            </w:pPr>
            <w:r w:rsidRPr="008F1108">
              <w:t xml:space="preserve"> </w:t>
            </w:r>
          </w:p>
        </w:tc>
        <w:tc>
          <w:tcPr>
            <w:tcW w:w="754" w:type="pct"/>
            <w:shd w:val="clear" w:color="auto" w:fill="FFFFFF"/>
            <w:hideMark/>
          </w:tcPr>
          <w:p w14:paraId="1C8DA6EF" w14:textId="39445C6C" w:rsidR="00917117" w:rsidRPr="008F1108" w:rsidRDefault="00917117" w:rsidP="00EE63C8">
            <w:pPr>
              <w:jc w:val="right"/>
            </w:pPr>
            <w:r w:rsidRPr="008F1108">
              <w:t xml:space="preserve">     (</w:t>
            </w:r>
            <w:r w:rsidR="00EE63C8" w:rsidRPr="008F1108">
              <w:t>1.266</w:t>
            </w:r>
            <w:r w:rsidRPr="008F1108">
              <w:t xml:space="preserve">) </w:t>
            </w:r>
          </w:p>
        </w:tc>
      </w:tr>
      <w:tr w:rsidR="00917117" w:rsidRPr="008F1108" w14:paraId="0A55AA56" w14:textId="77777777" w:rsidTr="00917117">
        <w:tc>
          <w:tcPr>
            <w:tcW w:w="2344" w:type="pct"/>
            <w:shd w:val="clear" w:color="auto" w:fill="FFFFFF"/>
            <w:vAlign w:val="center"/>
            <w:hideMark/>
          </w:tcPr>
          <w:p w14:paraId="0C9651CA" w14:textId="77777777" w:rsidR="00917117" w:rsidRPr="008F1108" w:rsidRDefault="00917117" w:rsidP="00917117">
            <w:pPr>
              <w:jc w:val="both"/>
            </w:pPr>
            <w:r w:rsidRPr="008F1108">
              <w:rPr>
                <w:bCs/>
              </w:rPr>
              <w:t xml:space="preserve">   Outras Receitas e Despesas      </w:t>
            </w:r>
          </w:p>
        </w:tc>
        <w:tc>
          <w:tcPr>
            <w:tcW w:w="859" w:type="pct"/>
            <w:shd w:val="clear" w:color="auto" w:fill="FFFFFF"/>
            <w:hideMark/>
          </w:tcPr>
          <w:p w14:paraId="7DCC627C" w14:textId="0DDA4868" w:rsidR="00917117" w:rsidRPr="008F1108" w:rsidRDefault="00917117" w:rsidP="001C4F67">
            <w:pPr>
              <w:jc w:val="right"/>
            </w:pPr>
            <w:r w:rsidRPr="008F1108">
              <w:t xml:space="preserve">     </w:t>
            </w:r>
            <w:r w:rsidR="00EE63C8" w:rsidRPr="008F1108">
              <w:t>21</w:t>
            </w:r>
            <w:r w:rsidRPr="008F1108">
              <w:t>.</w:t>
            </w:r>
            <w:r w:rsidR="00EE63C8" w:rsidRPr="008F1108">
              <w:t>5</w:t>
            </w:r>
            <w:r w:rsidRPr="008F1108">
              <w:t>4</w:t>
            </w:r>
            <w:r w:rsidR="001C4F67" w:rsidRPr="008F1108">
              <w:t>4</w:t>
            </w:r>
            <w:r w:rsidRPr="008F1108">
              <w:t xml:space="preserve"> </w:t>
            </w:r>
          </w:p>
        </w:tc>
        <w:tc>
          <w:tcPr>
            <w:tcW w:w="122" w:type="pct"/>
            <w:shd w:val="clear" w:color="auto" w:fill="FFFFFF"/>
            <w:hideMark/>
          </w:tcPr>
          <w:p w14:paraId="24EB2BEB" w14:textId="77777777" w:rsidR="00917117" w:rsidRPr="008F1108" w:rsidRDefault="00917117" w:rsidP="00917117">
            <w:pPr>
              <w:jc w:val="right"/>
            </w:pPr>
            <w:r w:rsidRPr="008F1108">
              <w:t xml:space="preserve"> </w:t>
            </w:r>
          </w:p>
        </w:tc>
        <w:tc>
          <w:tcPr>
            <w:tcW w:w="816" w:type="pct"/>
            <w:shd w:val="clear" w:color="auto" w:fill="FFFFFF"/>
            <w:hideMark/>
          </w:tcPr>
          <w:p w14:paraId="6D0091C9" w14:textId="276BD864" w:rsidR="00917117" w:rsidRPr="008F1108" w:rsidRDefault="00917117" w:rsidP="00EE63C8">
            <w:pPr>
              <w:jc w:val="right"/>
            </w:pPr>
            <w:r w:rsidRPr="008F1108">
              <w:t xml:space="preserve">       </w:t>
            </w:r>
            <w:r w:rsidR="00EE63C8" w:rsidRPr="008F1108">
              <w:t>66</w:t>
            </w:r>
            <w:r w:rsidRPr="008F1108">
              <w:t>.</w:t>
            </w:r>
            <w:r w:rsidR="00EE63C8" w:rsidRPr="008F1108">
              <w:t>694</w:t>
            </w:r>
            <w:r w:rsidRPr="008F1108">
              <w:t xml:space="preserve"> </w:t>
            </w:r>
          </w:p>
        </w:tc>
        <w:tc>
          <w:tcPr>
            <w:tcW w:w="105" w:type="pct"/>
            <w:shd w:val="clear" w:color="auto" w:fill="FFFFFF"/>
            <w:hideMark/>
          </w:tcPr>
          <w:p w14:paraId="49E5CDCC" w14:textId="77777777" w:rsidR="00917117" w:rsidRPr="008F1108" w:rsidRDefault="00917117" w:rsidP="00917117">
            <w:pPr>
              <w:jc w:val="right"/>
            </w:pPr>
            <w:r w:rsidRPr="008F1108">
              <w:t xml:space="preserve"> </w:t>
            </w:r>
          </w:p>
        </w:tc>
        <w:tc>
          <w:tcPr>
            <w:tcW w:w="754" w:type="pct"/>
            <w:shd w:val="clear" w:color="auto" w:fill="FFFFFF"/>
            <w:hideMark/>
          </w:tcPr>
          <w:p w14:paraId="1014D5AB" w14:textId="6D4878FD" w:rsidR="00917117" w:rsidRPr="008F1108" w:rsidRDefault="00917117" w:rsidP="00892233">
            <w:pPr>
              <w:jc w:val="right"/>
            </w:pPr>
            <w:r w:rsidRPr="008F1108">
              <w:t xml:space="preserve">      </w:t>
            </w:r>
            <w:r w:rsidR="00EE63C8" w:rsidRPr="008F1108">
              <w:t>(4</w:t>
            </w:r>
            <w:r w:rsidRPr="008F1108">
              <w:t>5</w:t>
            </w:r>
            <w:r w:rsidR="00EE63C8" w:rsidRPr="008F1108">
              <w:t>.15</w:t>
            </w:r>
            <w:r w:rsidR="00892233" w:rsidRPr="008F1108">
              <w:t>0</w:t>
            </w:r>
            <w:r w:rsidR="00EE63C8" w:rsidRPr="008F1108">
              <w:t>)</w:t>
            </w:r>
          </w:p>
        </w:tc>
      </w:tr>
      <w:tr w:rsidR="00917117" w:rsidRPr="008F1108" w14:paraId="4B1BFAB2" w14:textId="77777777" w:rsidTr="00917117">
        <w:tc>
          <w:tcPr>
            <w:tcW w:w="2344" w:type="pct"/>
            <w:shd w:val="clear" w:color="auto" w:fill="FFFFFF"/>
            <w:vAlign w:val="center"/>
            <w:hideMark/>
          </w:tcPr>
          <w:p w14:paraId="137454F9" w14:textId="77777777" w:rsidR="00917117" w:rsidRPr="008F1108" w:rsidRDefault="00917117" w:rsidP="00917117">
            <w:pPr>
              <w:jc w:val="both"/>
            </w:pPr>
            <w:r w:rsidRPr="008F1108">
              <w:rPr>
                <w:iCs/>
              </w:rPr>
              <w:t xml:space="preserve">   Resultado Financeiro</w:t>
            </w:r>
          </w:p>
        </w:tc>
        <w:tc>
          <w:tcPr>
            <w:tcW w:w="859" w:type="pct"/>
            <w:tcBorders>
              <w:top w:val="nil"/>
              <w:left w:val="nil"/>
              <w:right w:val="nil"/>
            </w:tcBorders>
            <w:shd w:val="clear" w:color="auto" w:fill="FFFFFF"/>
            <w:hideMark/>
          </w:tcPr>
          <w:p w14:paraId="70ECA2FB" w14:textId="4A7905C7" w:rsidR="00917117" w:rsidRPr="008F1108" w:rsidRDefault="00917117" w:rsidP="00342421">
            <w:pPr>
              <w:jc w:val="right"/>
            </w:pPr>
            <w:r w:rsidRPr="008F1108">
              <w:t xml:space="preserve">      </w:t>
            </w:r>
            <w:r w:rsidR="00EE63C8" w:rsidRPr="008F1108">
              <w:t>6</w:t>
            </w:r>
            <w:r w:rsidRPr="008F1108">
              <w:t>.</w:t>
            </w:r>
            <w:r w:rsidR="00EE63C8" w:rsidRPr="008F1108">
              <w:t>70</w:t>
            </w:r>
            <w:r w:rsidR="00342421" w:rsidRPr="008F1108">
              <w:t>9</w:t>
            </w:r>
          </w:p>
        </w:tc>
        <w:tc>
          <w:tcPr>
            <w:tcW w:w="122" w:type="pct"/>
            <w:shd w:val="clear" w:color="auto" w:fill="FFFFFF"/>
            <w:hideMark/>
          </w:tcPr>
          <w:p w14:paraId="41355ECF" w14:textId="77777777" w:rsidR="00917117" w:rsidRPr="008F1108" w:rsidRDefault="00917117" w:rsidP="00917117">
            <w:pPr>
              <w:jc w:val="right"/>
            </w:pPr>
            <w:r w:rsidRPr="008F1108">
              <w:t xml:space="preserve"> </w:t>
            </w:r>
          </w:p>
        </w:tc>
        <w:tc>
          <w:tcPr>
            <w:tcW w:w="816" w:type="pct"/>
            <w:tcBorders>
              <w:top w:val="nil"/>
              <w:left w:val="nil"/>
              <w:right w:val="nil"/>
            </w:tcBorders>
            <w:shd w:val="clear" w:color="auto" w:fill="FFFFFF"/>
            <w:hideMark/>
          </w:tcPr>
          <w:p w14:paraId="37830D22" w14:textId="5D2C2360" w:rsidR="00917117" w:rsidRPr="008F1108" w:rsidRDefault="00917117" w:rsidP="00342421">
            <w:pPr>
              <w:jc w:val="right"/>
            </w:pPr>
            <w:r w:rsidRPr="008F1108">
              <w:t xml:space="preserve">         </w:t>
            </w:r>
            <w:r w:rsidR="00EE63C8" w:rsidRPr="008F1108">
              <w:t>6</w:t>
            </w:r>
            <w:r w:rsidRPr="008F1108">
              <w:t>.</w:t>
            </w:r>
            <w:r w:rsidR="00EE63C8" w:rsidRPr="008F1108">
              <w:t>70</w:t>
            </w:r>
            <w:r w:rsidR="00342421" w:rsidRPr="008F1108">
              <w:t>9</w:t>
            </w:r>
          </w:p>
        </w:tc>
        <w:tc>
          <w:tcPr>
            <w:tcW w:w="105" w:type="pct"/>
            <w:shd w:val="clear" w:color="auto" w:fill="FFFFFF"/>
            <w:hideMark/>
          </w:tcPr>
          <w:p w14:paraId="399B9457" w14:textId="77777777" w:rsidR="00917117" w:rsidRPr="008F1108" w:rsidRDefault="00917117" w:rsidP="00917117">
            <w:pPr>
              <w:jc w:val="right"/>
            </w:pPr>
            <w:r w:rsidRPr="008F1108">
              <w:t xml:space="preserve"> </w:t>
            </w:r>
          </w:p>
        </w:tc>
        <w:tc>
          <w:tcPr>
            <w:tcW w:w="754" w:type="pct"/>
            <w:tcBorders>
              <w:top w:val="nil"/>
              <w:left w:val="nil"/>
              <w:right w:val="nil"/>
            </w:tcBorders>
            <w:shd w:val="clear" w:color="auto" w:fill="FFFFFF"/>
            <w:hideMark/>
          </w:tcPr>
          <w:p w14:paraId="20968FEB" w14:textId="77777777" w:rsidR="00917117" w:rsidRPr="008F1108" w:rsidRDefault="00917117" w:rsidP="00917117">
            <w:pPr>
              <w:jc w:val="right"/>
            </w:pPr>
            <w:r w:rsidRPr="008F1108">
              <w:t xml:space="preserve">          - </w:t>
            </w:r>
          </w:p>
        </w:tc>
      </w:tr>
      <w:tr w:rsidR="00917117" w:rsidRPr="008F1108" w14:paraId="300EB6CE" w14:textId="77777777" w:rsidTr="00917117">
        <w:tc>
          <w:tcPr>
            <w:tcW w:w="2344" w:type="pct"/>
            <w:shd w:val="clear" w:color="auto" w:fill="FFFFFF"/>
            <w:noWrap/>
            <w:vAlign w:val="center"/>
            <w:hideMark/>
          </w:tcPr>
          <w:p w14:paraId="0B6D4DB8" w14:textId="77777777" w:rsidR="00917117" w:rsidRPr="008F1108" w:rsidRDefault="00917117" w:rsidP="00917117">
            <w:pPr>
              <w:jc w:val="both"/>
              <w:rPr>
                <w:b/>
                <w:bCs/>
              </w:rPr>
            </w:pPr>
            <w:r w:rsidRPr="008F1108">
              <w:rPr>
                <w:b/>
                <w:bCs/>
              </w:rPr>
              <w:t>Prejuízo do Exercício</w:t>
            </w:r>
          </w:p>
        </w:tc>
        <w:tc>
          <w:tcPr>
            <w:tcW w:w="859" w:type="pct"/>
            <w:tcBorders>
              <w:top w:val="nil"/>
              <w:left w:val="nil"/>
              <w:right w:val="nil"/>
            </w:tcBorders>
            <w:shd w:val="clear" w:color="auto" w:fill="FFFFFF"/>
            <w:hideMark/>
          </w:tcPr>
          <w:p w14:paraId="7B4B3128" w14:textId="1D777BF1" w:rsidR="00917117" w:rsidRPr="008F1108" w:rsidRDefault="00917117" w:rsidP="00EE63C8">
            <w:pPr>
              <w:jc w:val="right"/>
              <w:rPr>
                <w:b/>
                <w:bCs/>
              </w:rPr>
            </w:pPr>
            <w:r w:rsidRPr="008F1108">
              <w:rPr>
                <w:b/>
              </w:rPr>
              <w:t xml:space="preserve">      </w:t>
            </w:r>
            <w:r w:rsidR="00EE63C8" w:rsidRPr="008F1108">
              <w:rPr>
                <w:b/>
              </w:rPr>
              <w:t>(9</w:t>
            </w:r>
            <w:r w:rsidRPr="008F1108">
              <w:rPr>
                <w:b/>
              </w:rPr>
              <w:t>0.</w:t>
            </w:r>
            <w:r w:rsidR="00EE63C8" w:rsidRPr="008F1108">
              <w:rPr>
                <w:b/>
              </w:rPr>
              <w:t>6</w:t>
            </w:r>
            <w:r w:rsidRPr="008F1108">
              <w:rPr>
                <w:b/>
              </w:rPr>
              <w:t>1</w:t>
            </w:r>
            <w:r w:rsidR="00EE63C8" w:rsidRPr="008F1108">
              <w:rPr>
                <w:b/>
              </w:rPr>
              <w:t>6)</w:t>
            </w:r>
          </w:p>
        </w:tc>
        <w:tc>
          <w:tcPr>
            <w:tcW w:w="122" w:type="pct"/>
            <w:shd w:val="clear" w:color="auto" w:fill="FFFFFF"/>
            <w:hideMark/>
          </w:tcPr>
          <w:p w14:paraId="0EA9B6E8" w14:textId="77777777" w:rsidR="00917117" w:rsidRPr="008F1108" w:rsidRDefault="00917117" w:rsidP="00917117">
            <w:pPr>
              <w:jc w:val="right"/>
              <w:rPr>
                <w:b/>
                <w:bCs/>
              </w:rPr>
            </w:pPr>
            <w:r w:rsidRPr="008F1108">
              <w:rPr>
                <w:b/>
              </w:rPr>
              <w:t xml:space="preserve"> </w:t>
            </w:r>
          </w:p>
        </w:tc>
        <w:tc>
          <w:tcPr>
            <w:tcW w:w="816" w:type="pct"/>
            <w:tcBorders>
              <w:top w:val="nil"/>
              <w:left w:val="nil"/>
              <w:right w:val="nil"/>
            </w:tcBorders>
            <w:shd w:val="clear" w:color="auto" w:fill="FFFFFF"/>
            <w:hideMark/>
          </w:tcPr>
          <w:p w14:paraId="1FDAA100" w14:textId="596525CC" w:rsidR="00917117" w:rsidRPr="008F1108" w:rsidRDefault="00917117" w:rsidP="00342421">
            <w:pPr>
              <w:jc w:val="right"/>
              <w:rPr>
                <w:b/>
                <w:bCs/>
              </w:rPr>
            </w:pPr>
            <w:r w:rsidRPr="008F1108">
              <w:rPr>
                <w:b/>
              </w:rPr>
              <w:t xml:space="preserve">    (3</w:t>
            </w:r>
            <w:r w:rsidR="00EE63C8" w:rsidRPr="008F1108">
              <w:rPr>
                <w:b/>
              </w:rPr>
              <w:t>6</w:t>
            </w:r>
            <w:r w:rsidRPr="008F1108">
              <w:rPr>
                <w:b/>
              </w:rPr>
              <w:t>.</w:t>
            </w:r>
            <w:r w:rsidR="00EE63C8" w:rsidRPr="008F1108">
              <w:rPr>
                <w:b/>
              </w:rPr>
              <w:t>36</w:t>
            </w:r>
            <w:r w:rsidR="00342421" w:rsidRPr="008F1108">
              <w:rPr>
                <w:b/>
              </w:rPr>
              <w:t>7</w:t>
            </w:r>
            <w:r w:rsidRPr="008F1108">
              <w:rPr>
                <w:b/>
              </w:rPr>
              <w:t>)</w:t>
            </w:r>
          </w:p>
        </w:tc>
        <w:tc>
          <w:tcPr>
            <w:tcW w:w="105" w:type="pct"/>
            <w:shd w:val="clear" w:color="auto" w:fill="FFFFFF"/>
            <w:hideMark/>
          </w:tcPr>
          <w:p w14:paraId="215F31C0" w14:textId="77777777" w:rsidR="00917117" w:rsidRPr="008F1108" w:rsidRDefault="00917117" w:rsidP="00917117">
            <w:pPr>
              <w:jc w:val="right"/>
              <w:rPr>
                <w:b/>
                <w:bCs/>
              </w:rPr>
            </w:pPr>
            <w:r w:rsidRPr="008F1108">
              <w:rPr>
                <w:b/>
              </w:rPr>
              <w:t xml:space="preserve"> </w:t>
            </w:r>
          </w:p>
        </w:tc>
        <w:tc>
          <w:tcPr>
            <w:tcW w:w="754" w:type="pct"/>
            <w:tcBorders>
              <w:top w:val="nil"/>
              <w:left w:val="nil"/>
              <w:right w:val="nil"/>
            </w:tcBorders>
            <w:shd w:val="clear" w:color="auto" w:fill="FFFFFF"/>
            <w:hideMark/>
          </w:tcPr>
          <w:p w14:paraId="5C0467CB" w14:textId="3A25202A" w:rsidR="00917117" w:rsidRPr="008F1108" w:rsidRDefault="00EE63C8" w:rsidP="00342421">
            <w:pPr>
              <w:jc w:val="right"/>
              <w:rPr>
                <w:b/>
                <w:bCs/>
              </w:rPr>
            </w:pPr>
            <w:r w:rsidRPr="008F1108">
              <w:rPr>
                <w:b/>
              </w:rPr>
              <w:t xml:space="preserve">    (54</w:t>
            </w:r>
            <w:r w:rsidR="00917117" w:rsidRPr="008F1108">
              <w:rPr>
                <w:b/>
              </w:rPr>
              <w:t>.</w:t>
            </w:r>
            <w:r w:rsidRPr="008F1108">
              <w:rPr>
                <w:b/>
              </w:rPr>
              <w:t>2</w:t>
            </w:r>
            <w:r w:rsidR="00342421" w:rsidRPr="008F1108">
              <w:rPr>
                <w:b/>
              </w:rPr>
              <w:t>49</w:t>
            </w:r>
            <w:r w:rsidRPr="008F1108">
              <w:rPr>
                <w:b/>
              </w:rPr>
              <w:t>)</w:t>
            </w:r>
            <w:r w:rsidR="00917117" w:rsidRPr="008F1108">
              <w:rPr>
                <w:b/>
              </w:rPr>
              <w:t xml:space="preserve"> </w:t>
            </w:r>
          </w:p>
        </w:tc>
      </w:tr>
    </w:tbl>
    <w:p w14:paraId="3F87D16E" w14:textId="77777777" w:rsidR="00CE1397" w:rsidRPr="008F1108" w:rsidRDefault="00CE1397" w:rsidP="00CE1397"/>
    <w:p w14:paraId="5944A6C9" w14:textId="3F62DF45" w:rsidR="00CE1397" w:rsidRPr="008F1108" w:rsidRDefault="00CE1397" w:rsidP="00CE1397">
      <w:pPr>
        <w:tabs>
          <w:tab w:val="left" w:pos="851"/>
        </w:tabs>
        <w:jc w:val="both"/>
      </w:pPr>
      <w:bookmarkStart w:id="84" w:name="_Toc65061189"/>
      <w:bookmarkStart w:id="85" w:name="_Toc31373378"/>
      <w:bookmarkStart w:id="86" w:name="_Toc1120464"/>
      <w:r w:rsidRPr="008F1108">
        <w:t>O valor de (R$ 7</w:t>
      </w:r>
      <w:r w:rsidR="00CE4CA6" w:rsidRPr="008F1108">
        <w:t>.83</w:t>
      </w:r>
      <w:r w:rsidR="00892233" w:rsidRPr="008F1108">
        <w:t>3</w:t>
      </w:r>
      <w:r w:rsidRPr="008F1108">
        <w:t xml:space="preserve">) de custos dos serviços e de (R$ </w:t>
      </w:r>
      <w:r w:rsidR="00CE4CA6" w:rsidRPr="008F1108">
        <w:t>1.266</w:t>
      </w:r>
      <w:r w:rsidRPr="008F1108">
        <w:t xml:space="preserve">) em despesas operacionais referem-se a (R$ </w:t>
      </w:r>
      <w:r w:rsidR="00CE4CA6" w:rsidRPr="008F1108">
        <w:t>8</w:t>
      </w:r>
      <w:r w:rsidRPr="008F1108">
        <w:t>.</w:t>
      </w:r>
      <w:r w:rsidR="00CE4CA6" w:rsidRPr="008F1108">
        <w:t>56</w:t>
      </w:r>
      <w:r w:rsidR="00892233" w:rsidRPr="008F1108">
        <w:t>3</w:t>
      </w:r>
      <w:r w:rsidRPr="008F1108">
        <w:t xml:space="preserve">) reclassificação da depreciação por baixa de bens e </w:t>
      </w:r>
      <w:r w:rsidR="00CE4CA6" w:rsidRPr="008F1108">
        <w:t>(</w:t>
      </w:r>
      <w:r w:rsidRPr="008F1108">
        <w:t xml:space="preserve">R$ </w:t>
      </w:r>
      <w:r w:rsidR="00CE4CA6" w:rsidRPr="008F1108">
        <w:t>5</w:t>
      </w:r>
      <w:r w:rsidRPr="008F1108">
        <w:t>3</w:t>
      </w:r>
      <w:r w:rsidR="00CE4CA6" w:rsidRPr="008F1108">
        <w:t>6)</w:t>
      </w:r>
      <w:r w:rsidRPr="008F1108">
        <w:t xml:space="preserve"> a provisões trabalhistas e despesas por competência registradas na contabilidade societária em 202</w:t>
      </w:r>
      <w:r w:rsidR="00CE4CA6" w:rsidRPr="008F1108">
        <w:t>5</w:t>
      </w:r>
      <w:r w:rsidRPr="008F1108">
        <w:t xml:space="preserve"> e, no SIAFI, em janeiro de 202</w:t>
      </w:r>
      <w:r w:rsidR="00CE4CA6" w:rsidRPr="008F1108">
        <w:t>6</w:t>
      </w:r>
      <w:r w:rsidRPr="008F1108">
        <w:t>.</w:t>
      </w:r>
    </w:p>
    <w:p w14:paraId="39BF491B" w14:textId="77777777" w:rsidR="00CE1397" w:rsidRPr="008F1108" w:rsidRDefault="00CE1397" w:rsidP="00CE1397">
      <w:pPr>
        <w:tabs>
          <w:tab w:val="left" w:pos="851"/>
        </w:tabs>
        <w:jc w:val="both"/>
      </w:pPr>
    </w:p>
    <w:p w14:paraId="7A6473B6" w14:textId="17C82CF6" w:rsidR="00CE1397" w:rsidRPr="008F1108" w:rsidRDefault="00CE1397" w:rsidP="00CE1397">
      <w:pPr>
        <w:tabs>
          <w:tab w:val="left" w:pos="851"/>
        </w:tabs>
        <w:jc w:val="both"/>
      </w:pPr>
      <w:r w:rsidRPr="008F1108">
        <w:t xml:space="preserve">Quanto ao valor de </w:t>
      </w:r>
      <w:r w:rsidR="00CE4CA6" w:rsidRPr="008F1108">
        <w:t>(</w:t>
      </w:r>
      <w:r w:rsidRPr="008F1108">
        <w:t xml:space="preserve">R$ </w:t>
      </w:r>
      <w:r w:rsidR="00CE4CA6" w:rsidRPr="008F1108">
        <w:t>45</w:t>
      </w:r>
      <w:r w:rsidRPr="008F1108">
        <w:t>.15</w:t>
      </w:r>
      <w:r w:rsidR="00892233" w:rsidRPr="008F1108">
        <w:t>0</w:t>
      </w:r>
      <w:r w:rsidR="00CE4CA6" w:rsidRPr="008F1108">
        <w:t>)</w:t>
      </w:r>
      <w:r w:rsidRPr="008F1108">
        <w:t xml:space="preserve"> no grupo de outras receitas e despesas, </w:t>
      </w:r>
      <w:r w:rsidR="00DB4FD1" w:rsidRPr="008F1108">
        <w:t>(</w:t>
      </w:r>
      <w:r w:rsidRPr="008F1108">
        <w:t>R$ 5</w:t>
      </w:r>
      <w:r w:rsidR="003109E4" w:rsidRPr="008F1108">
        <w:t>2</w:t>
      </w:r>
      <w:r w:rsidRPr="008F1108">
        <w:t>.</w:t>
      </w:r>
      <w:r w:rsidR="003109E4" w:rsidRPr="008F1108">
        <w:t>08</w:t>
      </w:r>
      <w:r w:rsidR="00892233" w:rsidRPr="008F1108">
        <w:t>3</w:t>
      </w:r>
      <w:r w:rsidR="00DB4FD1" w:rsidRPr="008F1108">
        <w:t>)</w:t>
      </w:r>
      <w:r w:rsidRPr="008F1108">
        <w:t xml:space="preserve"> refere-se ao estorno do passivo de recursos recebidos por descentralização; R$ </w:t>
      </w:r>
      <w:r w:rsidR="003109E4" w:rsidRPr="008F1108">
        <w:t>1</w:t>
      </w:r>
      <w:r w:rsidRPr="008F1108">
        <w:t>.4</w:t>
      </w:r>
      <w:r w:rsidR="0087519B" w:rsidRPr="008F1108">
        <w:t>67</w:t>
      </w:r>
      <w:r w:rsidRPr="008F1108">
        <w:t xml:space="preserve"> referente à provisão para créditos de liquidação duvidosa de 202</w:t>
      </w:r>
      <w:r w:rsidR="0087519B" w:rsidRPr="008F1108">
        <w:t>4</w:t>
      </w:r>
      <w:r w:rsidRPr="008F1108">
        <w:t>, apropriada em 202</w:t>
      </w:r>
      <w:r w:rsidR="0087519B" w:rsidRPr="008F1108">
        <w:t>5</w:t>
      </w:r>
      <w:r w:rsidRPr="008F1108">
        <w:t>; R$ 6 referente à provisão para créditos de liquidação duvidosa de 202</w:t>
      </w:r>
      <w:r w:rsidR="0087519B" w:rsidRPr="008F1108">
        <w:t>5</w:t>
      </w:r>
      <w:r w:rsidRPr="008F1108">
        <w:t xml:space="preserve">, apropriada em 2025; </w:t>
      </w:r>
      <w:r w:rsidR="00DB4FD1" w:rsidRPr="008F1108">
        <w:t>(</w:t>
      </w:r>
      <w:r w:rsidRPr="008F1108">
        <w:t xml:space="preserve">R$ </w:t>
      </w:r>
      <w:r w:rsidR="00DB4FD1" w:rsidRPr="008F1108">
        <w:t>5</w:t>
      </w:r>
      <w:r w:rsidRPr="008F1108">
        <w:t>.</w:t>
      </w:r>
      <w:r w:rsidR="00DB4FD1" w:rsidRPr="008F1108">
        <w:t>4</w:t>
      </w:r>
      <w:r w:rsidR="001621F3" w:rsidRPr="008F1108">
        <w:t>93</w:t>
      </w:r>
      <w:r w:rsidR="00DB4FD1" w:rsidRPr="008F1108">
        <w:t>)</w:t>
      </w:r>
      <w:r w:rsidRPr="008F1108">
        <w:t xml:space="preserve"> referente a ajuste de classificação de receita e despesa, R$ </w:t>
      </w:r>
      <w:r w:rsidR="003109E4" w:rsidRPr="008F1108">
        <w:t>8</w:t>
      </w:r>
      <w:r w:rsidRPr="008F1108">
        <w:t>.</w:t>
      </w:r>
      <w:r w:rsidR="003109E4" w:rsidRPr="008F1108">
        <w:t>56</w:t>
      </w:r>
      <w:r w:rsidR="001621F3" w:rsidRPr="008F1108">
        <w:t>1</w:t>
      </w:r>
      <w:r w:rsidRPr="008F1108">
        <w:t xml:space="preserve"> referente à reversão da depreciação de bens móveis e imóveis e R$ 2.</w:t>
      </w:r>
      <w:r w:rsidR="003109E4" w:rsidRPr="008F1108">
        <w:t>392</w:t>
      </w:r>
      <w:r w:rsidRPr="008F1108">
        <w:t xml:space="preserve"> referente </w:t>
      </w:r>
      <w:r w:rsidR="003109E4" w:rsidRPr="008F1108">
        <w:t xml:space="preserve">estorno e anulação de </w:t>
      </w:r>
      <w:r w:rsidRPr="008F1108">
        <w:t>estorno de doação aguardando documentação.</w:t>
      </w:r>
    </w:p>
    <w:p w14:paraId="7AB80453" w14:textId="77777777" w:rsidR="00CE1397" w:rsidRPr="008F1108" w:rsidRDefault="00CE1397" w:rsidP="00CE1397"/>
    <w:p w14:paraId="008AE40F" w14:textId="77777777" w:rsidR="00CE1397" w:rsidRPr="008F1108" w:rsidRDefault="00CE1397" w:rsidP="00CE1397"/>
    <w:p w14:paraId="6B5BC952" w14:textId="45CA9AA7" w:rsidR="00CE1397" w:rsidRPr="008F1108" w:rsidRDefault="00CE1397" w:rsidP="00086B22">
      <w:pPr>
        <w:pStyle w:val="Ttulo1"/>
        <w:numPr>
          <w:ilvl w:val="0"/>
          <w:numId w:val="5"/>
        </w:numPr>
        <w:ind w:left="0" w:hanging="567"/>
        <w:jc w:val="left"/>
      </w:pPr>
      <w:bookmarkStart w:id="87" w:name="_Toc97550848"/>
      <w:bookmarkStart w:id="88" w:name="_Toc128062951"/>
      <w:bookmarkStart w:id="89" w:name="_Toc159939243"/>
      <w:bookmarkStart w:id="90" w:name="_Toc192082760"/>
      <w:bookmarkStart w:id="91" w:name="_Toc223007874"/>
      <w:r w:rsidRPr="008F1108">
        <w:t>Remunerações Pagas a Empregados e Administradores</w:t>
      </w:r>
      <w:bookmarkEnd w:id="84"/>
      <w:bookmarkEnd w:id="85"/>
      <w:bookmarkEnd w:id="86"/>
      <w:bookmarkEnd w:id="87"/>
      <w:bookmarkEnd w:id="88"/>
      <w:bookmarkEnd w:id="89"/>
      <w:bookmarkEnd w:id="90"/>
      <w:bookmarkEnd w:id="91"/>
    </w:p>
    <w:p w14:paraId="3B473FA2" w14:textId="77777777" w:rsidR="00CE1397" w:rsidRPr="008F1108" w:rsidRDefault="00CE1397" w:rsidP="00CE1397"/>
    <w:p w14:paraId="3760FDFF" w14:textId="77777777" w:rsidR="00CE1397" w:rsidRPr="008F1108" w:rsidRDefault="00CE1397" w:rsidP="00CE1397">
      <w:pPr>
        <w:jc w:val="both"/>
      </w:pPr>
      <w:r w:rsidRPr="008F1108">
        <w:t>De acordo com a Resolução nº 30, de 04 de agosto de 2022 da Comissão Interministerial de Governança Corporativa e de Administração de Participações Societárias da União (CGPAR), apresentamos o quadro abaixo. O valor da remuneração contempla os adicionais fixos.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
        <w:gridCol w:w="1585"/>
        <w:gridCol w:w="1329"/>
        <w:gridCol w:w="1218"/>
        <w:gridCol w:w="1585"/>
        <w:gridCol w:w="1329"/>
        <w:gridCol w:w="1218"/>
      </w:tblGrid>
      <w:tr w:rsidR="00CE1397" w:rsidRPr="008F1108" w14:paraId="4DE49928" w14:textId="77777777" w:rsidTr="00DF6F1A">
        <w:trPr>
          <w:trHeight w:val="247"/>
        </w:trPr>
        <w:tc>
          <w:tcPr>
            <w:tcW w:w="807" w:type="dxa"/>
            <w:tcBorders>
              <w:top w:val="nil"/>
              <w:left w:val="nil"/>
              <w:bottom w:val="single" w:sz="4" w:space="0" w:color="auto"/>
              <w:right w:val="nil"/>
            </w:tcBorders>
            <w:shd w:val="clear" w:color="auto" w:fill="FFFFFF" w:themeFill="background1"/>
            <w:vAlign w:val="center"/>
          </w:tcPr>
          <w:p w14:paraId="1EFCF8CE" w14:textId="77777777" w:rsidR="00CE1397" w:rsidRPr="008F1108" w:rsidRDefault="00CE1397" w:rsidP="00A917FF">
            <w:pPr>
              <w:jc w:val="center"/>
              <w:rPr>
                <w:b/>
                <w:bCs/>
              </w:rPr>
            </w:pPr>
          </w:p>
        </w:tc>
        <w:tc>
          <w:tcPr>
            <w:tcW w:w="0" w:type="auto"/>
            <w:gridSpan w:val="3"/>
            <w:tcBorders>
              <w:top w:val="nil"/>
              <w:left w:val="nil"/>
              <w:bottom w:val="single" w:sz="4" w:space="0" w:color="auto"/>
              <w:right w:val="nil"/>
            </w:tcBorders>
            <w:shd w:val="clear" w:color="auto" w:fill="FFFFFF" w:themeFill="background1"/>
            <w:vAlign w:val="center"/>
          </w:tcPr>
          <w:p w14:paraId="69E1B027" w14:textId="77777777" w:rsidR="00CE1397" w:rsidRPr="008F1108" w:rsidRDefault="00CE1397" w:rsidP="00A917FF">
            <w:pPr>
              <w:jc w:val="center"/>
              <w:rPr>
                <w:b/>
                <w:bCs/>
              </w:rPr>
            </w:pPr>
          </w:p>
        </w:tc>
        <w:tc>
          <w:tcPr>
            <w:tcW w:w="0" w:type="auto"/>
            <w:gridSpan w:val="3"/>
            <w:tcBorders>
              <w:top w:val="nil"/>
              <w:left w:val="nil"/>
              <w:bottom w:val="single" w:sz="4" w:space="0" w:color="auto"/>
              <w:right w:val="nil"/>
            </w:tcBorders>
            <w:shd w:val="clear" w:color="auto" w:fill="FFFFFF" w:themeFill="background1"/>
            <w:vAlign w:val="center"/>
          </w:tcPr>
          <w:p w14:paraId="122FC6A6" w14:textId="77777777" w:rsidR="00CE1397" w:rsidRPr="008F1108" w:rsidRDefault="00CE1397" w:rsidP="00A917FF">
            <w:pPr>
              <w:jc w:val="right"/>
              <w:rPr>
                <w:bCs/>
              </w:rPr>
            </w:pPr>
            <w:r w:rsidRPr="008F1108">
              <w:rPr>
                <w:bCs/>
              </w:rPr>
              <w:t>Valores em Reais</w:t>
            </w:r>
          </w:p>
        </w:tc>
      </w:tr>
      <w:tr w:rsidR="00CE1397" w:rsidRPr="008F1108" w14:paraId="03C885F9" w14:textId="77777777" w:rsidTr="00DF6F1A">
        <w:trPr>
          <w:trHeight w:val="247"/>
        </w:trPr>
        <w:tc>
          <w:tcPr>
            <w:tcW w:w="807" w:type="dxa"/>
            <w:vMerge w:val="restart"/>
            <w:tcBorders>
              <w:top w:val="single" w:sz="4" w:space="0" w:color="auto"/>
            </w:tcBorders>
            <w:shd w:val="clear" w:color="auto" w:fill="FFFFFF" w:themeFill="background1"/>
            <w:vAlign w:val="center"/>
          </w:tcPr>
          <w:p w14:paraId="55D47EFA" w14:textId="77777777" w:rsidR="00CE1397" w:rsidRPr="008F1108" w:rsidRDefault="00CE1397" w:rsidP="00A917FF">
            <w:pPr>
              <w:jc w:val="center"/>
              <w:rPr>
                <w:b/>
                <w:bCs/>
              </w:rPr>
            </w:pPr>
          </w:p>
          <w:p w14:paraId="541828CB" w14:textId="77777777" w:rsidR="00CE1397" w:rsidRPr="008F1108" w:rsidRDefault="00CE1397" w:rsidP="00A917FF">
            <w:pPr>
              <w:jc w:val="center"/>
              <w:rPr>
                <w:b/>
                <w:bCs/>
              </w:rPr>
            </w:pPr>
            <w:r w:rsidRPr="008F1108">
              <w:rPr>
                <w:b/>
                <w:bCs/>
              </w:rPr>
              <w:t>Mensal</w:t>
            </w:r>
          </w:p>
        </w:tc>
        <w:tc>
          <w:tcPr>
            <w:tcW w:w="0" w:type="auto"/>
            <w:gridSpan w:val="3"/>
            <w:tcBorders>
              <w:top w:val="single" w:sz="4" w:space="0" w:color="auto"/>
            </w:tcBorders>
            <w:shd w:val="clear" w:color="auto" w:fill="FFFFFF" w:themeFill="background1"/>
            <w:vAlign w:val="center"/>
            <w:hideMark/>
          </w:tcPr>
          <w:p w14:paraId="3DE1C3C5" w14:textId="66E1E78C" w:rsidR="00CE1397" w:rsidRPr="008F1108" w:rsidRDefault="00CE1397" w:rsidP="00A917FF">
            <w:pPr>
              <w:jc w:val="center"/>
              <w:rPr>
                <w:b/>
                <w:bCs/>
              </w:rPr>
            </w:pPr>
            <w:r w:rsidRPr="008F1108">
              <w:rPr>
                <w:b/>
                <w:bCs/>
              </w:rPr>
              <w:t>202</w:t>
            </w:r>
            <w:r w:rsidR="00DF6F1A" w:rsidRPr="008F1108">
              <w:rPr>
                <w:b/>
                <w:bCs/>
              </w:rPr>
              <w:t>5</w:t>
            </w:r>
          </w:p>
        </w:tc>
        <w:tc>
          <w:tcPr>
            <w:tcW w:w="0" w:type="auto"/>
            <w:gridSpan w:val="3"/>
            <w:tcBorders>
              <w:top w:val="single" w:sz="4" w:space="0" w:color="auto"/>
            </w:tcBorders>
            <w:shd w:val="clear" w:color="auto" w:fill="FFFFFF" w:themeFill="background1"/>
            <w:vAlign w:val="center"/>
            <w:hideMark/>
          </w:tcPr>
          <w:p w14:paraId="1920361C" w14:textId="0B87643F" w:rsidR="00CE1397" w:rsidRPr="008F1108" w:rsidRDefault="00CE1397" w:rsidP="00A917FF">
            <w:pPr>
              <w:jc w:val="center"/>
              <w:rPr>
                <w:b/>
                <w:bCs/>
              </w:rPr>
            </w:pPr>
            <w:r w:rsidRPr="008F1108">
              <w:rPr>
                <w:b/>
                <w:bCs/>
              </w:rPr>
              <w:t>202</w:t>
            </w:r>
            <w:r w:rsidR="00DF6F1A" w:rsidRPr="008F1108">
              <w:rPr>
                <w:b/>
                <w:bCs/>
              </w:rPr>
              <w:t>4</w:t>
            </w:r>
          </w:p>
        </w:tc>
      </w:tr>
      <w:tr w:rsidR="00CE1397" w:rsidRPr="008F1108" w14:paraId="529FA31D" w14:textId="77777777" w:rsidTr="00DF6F1A">
        <w:trPr>
          <w:trHeight w:val="233"/>
        </w:trPr>
        <w:tc>
          <w:tcPr>
            <w:tcW w:w="807" w:type="dxa"/>
            <w:vMerge/>
            <w:tcBorders>
              <w:right w:val="single" w:sz="4" w:space="0" w:color="auto"/>
            </w:tcBorders>
            <w:vAlign w:val="center"/>
            <w:hideMark/>
          </w:tcPr>
          <w:p w14:paraId="3EC864F8" w14:textId="77777777" w:rsidR="00CE1397" w:rsidRPr="008F1108" w:rsidRDefault="00CE1397" w:rsidP="00A917FF">
            <w:pPr>
              <w:rPr>
                <w:b/>
                <w:bCs/>
              </w:rPr>
            </w:pPr>
          </w:p>
        </w:tc>
        <w:tc>
          <w:tcPr>
            <w:tcW w:w="0" w:type="auto"/>
            <w:tcBorders>
              <w:top w:val="single" w:sz="4" w:space="0" w:color="auto"/>
              <w:left w:val="single" w:sz="4" w:space="0" w:color="auto"/>
              <w:bottom w:val="nil"/>
              <w:right w:val="single" w:sz="4" w:space="0" w:color="auto"/>
            </w:tcBorders>
            <w:shd w:val="clear" w:color="auto" w:fill="FFFFFF" w:themeFill="background1"/>
            <w:vAlign w:val="center"/>
            <w:hideMark/>
          </w:tcPr>
          <w:p w14:paraId="28D64AD2" w14:textId="77777777" w:rsidR="00CE1397" w:rsidRPr="008F1108" w:rsidRDefault="00CE1397" w:rsidP="00A917FF">
            <w:pPr>
              <w:jc w:val="center"/>
              <w:rPr>
                <w:b/>
                <w:bCs/>
              </w:rPr>
            </w:pPr>
            <w:r w:rsidRPr="008F1108">
              <w:rPr>
                <w:b/>
                <w:bCs/>
              </w:rPr>
              <w:t>Remuneração</w:t>
            </w:r>
          </w:p>
        </w:tc>
        <w:tc>
          <w:tcPr>
            <w:tcW w:w="0" w:type="auto"/>
            <w:tcBorders>
              <w:top w:val="single" w:sz="4" w:space="0" w:color="auto"/>
              <w:left w:val="single" w:sz="4" w:space="0" w:color="auto"/>
              <w:bottom w:val="nil"/>
              <w:right w:val="single" w:sz="4" w:space="0" w:color="auto"/>
            </w:tcBorders>
            <w:shd w:val="clear" w:color="auto" w:fill="FFFFFF" w:themeFill="background1"/>
            <w:vAlign w:val="center"/>
            <w:hideMark/>
          </w:tcPr>
          <w:p w14:paraId="40013421" w14:textId="77777777" w:rsidR="00CE1397" w:rsidRPr="008F1108" w:rsidRDefault="00CE1397" w:rsidP="00A917FF">
            <w:pPr>
              <w:jc w:val="center"/>
              <w:rPr>
                <w:b/>
                <w:bCs/>
              </w:rPr>
            </w:pPr>
            <w:r w:rsidRPr="008F1108">
              <w:rPr>
                <w:b/>
                <w:bCs/>
              </w:rPr>
              <w:t>Remuneração</w:t>
            </w:r>
          </w:p>
        </w:tc>
        <w:tc>
          <w:tcPr>
            <w:tcW w:w="0" w:type="auto"/>
            <w:vMerge w:val="restart"/>
            <w:tcBorders>
              <w:left w:val="single" w:sz="4" w:space="0" w:color="auto"/>
              <w:right w:val="single" w:sz="4" w:space="0" w:color="auto"/>
            </w:tcBorders>
            <w:shd w:val="clear" w:color="auto" w:fill="FFFFFF" w:themeFill="background1"/>
            <w:vAlign w:val="center"/>
            <w:hideMark/>
          </w:tcPr>
          <w:p w14:paraId="0939A7AA" w14:textId="77777777" w:rsidR="00CE1397" w:rsidRPr="008F1108" w:rsidRDefault="00CE1397" w:rsidP="00A917FF">
            <w:pPr>
              <w:jc w:val="center"/>
              <w:rPr>
                <w:b/>
                <w:bCs/>
              </w:rPr>
            </w:pPr>
            <w:r w:rsidRPr="008F1108">
              <w:rPr>
                <w:b/>
                <w:bCs/>
              </w:rPr>
              <w:t>Salário Base</w:t>
            </w:r>
          </w:p>
          <w:p w14:paraId="03E1D7CA" w14:textId="77777777" w:rsidR="00CE1397" w:rsidRPr="008F1108" w:rsidRDefault="00CE1397" w:rsidP="00A917FF">
            <w:pPr>
              <w:jc w:val="center"/>
              <w:rPr>
                <w:b/>
                <w:bCs/>
              </w:rPr>
            </w:pPr>
            <w:r w:rsidRPr="008F1108">
              <w:rPr>
                <w:b/>
                <w:bCs/>
              </w:rPr>
              <w:t>Empregados</w:t>
            </w:r>
          </w:p>
        </w:tc>
        <w:tc>
          <w:tcPr>
            <w:tcW w:w="0" w:type="auto"/>
            <w:tcBorders>
              <w:top w:val="single" w:sz="4" w:space="0" w:color="auto"/>
              <w:left w:val="single" w:sz="4" w:space="0" w:color="auto"/>
              <w:bottom w:val="nil"/>
              <w:right w:val="single" w:sz="4" w:space="0" w:color="auto"/>
            </w:tcBorders>
            <w:shd w:val="clear" w:color="auto" w:fill="FFFFFF" w:themeFill="background1"/>
            <w:vAlign w:val="center"/>
            <w:hideMark/>
          </w:tcPr>
          <w:p w14:paraId="0A200840" w14:textId="77777777" w:rsidR="00CE1397" w:rsidRPr="008F1108" w:rsidRDefault="00CE1397" w:rsidP="00A917FF">
            <w:pPr>
              <w:jc w:val="center"/>
              <w:rPr>
                <w:b/>
                <w:bCs/>
              </w:rPr>
            </w:pPr>
            <w:r w:rsidRPr="008F1108">
              <w:rPr>
                <w:b/>
                <w:bCs/>
              </w:rPr>
              <w:t>Remuneração</w:t>
            </w:r>
          </w:p>
        </w:tc>
        <w:tc>
          <w:tcPr>
            <w:tcW w:w="0" w:type="auto"/>
            <w:tcBorders>
              <w:top w:val="single" w:sz="4" w:space="0" w:color="auto"/>
              <w:left w:val="single" w:sz="4" w:space="0" w:color="auto"/>
              <w:bottom w:val="nil"/>
              <w:right w:val="single" w:sz="4" w:space="0" w:color="auto"/>
            </w:tcBorders>
            <w:shd w:val="clear" w:color="auto" w:fill="FFFFFF" w:themeFill="background1"/>
            <w:vAlign w:val="center"/>
            <w:hideMark/>
          </w:tcPr>
          <w:p w14:paraId="09E924A5" w14:textId="77777777" w:rsidR="00CE1397" w:rsidRPr="008F1108" w:rsidRDefault="00CE1397" w:rsidP="00A917FF">
            <w:pPr>
              <w:jc w:val="center"/>
              <w:rPr>
                <w:b/>
                <w:bCs/>
              </w:rPr>
            </w:pPr>
            <w:r w:rsidRPr="008F1108">
              <w:rPr>
                <w:b/>
                <w:bCs/>
              </w:rPr>
              <w:t>Remuneração</w:t>
            </w:r>
          </w:p>
        </w:tc>
        <w:tc>
          <w:tcPr>
            <w:tcW w:w="0" w:type="auto"/>
            <w:vMerge w:val="restart"/>
            <w:tcBorders>
              <w:left w:val="single" w:sz="4" w:space="0" w:color="auto"/>
            </w:tcBorders>
            <w:shd w:val="clear" w:color="auto" w:fill="FFFFFF" w:themeFill="background1"/>
            <w:vAlign w:val="center"/>
            <w:hideMark/>
          </w:tcPr>
          <w:p w14:paraId="502F738E" w14:textId="77777777" w:rsidR="00CE1397" w:rsidRPr="008F1108" w:rsidRDefault="00CE1397" w:rsidP="00A917FF">
            <w:pPr>
              <w:jc w:val="center"/>
              <w:rPr>
                <w:b/>
                <w:bCs/>
              </w:rPr>
            </w:pPr>
            <w:r w:rsidRPr="008F1108">
              <w:rPr>
                <w:b/>
                <w:bCs/>
              </w:rPr>
              <w:t>Salário Base</w:t>
            </w:r>
          </w:p>
          <w:p w14:paraId="4770EF78" w14:textId="77777777" w:rsidR="00CE1397" w:rsidRPr="008F1108" w:rsidRDefault="00CE1397" w:rsidP="00A917FF">
            <w:pPr>
              <w:jc w:val="center"/>
              <w:rPr>
                <w:b/>
                <w:bCs/>
              </w:rPr>
            </w:pPr>
            <w:r w:rsidRPr="008F1108">
              <w:rPr>
                <w:b/>
                <w:bCs/>
              </w:rPr>
              <w:t>Empregados</w:t>
            </w:r>
          </w:p>
        </w:tc>
      </w:tr>
      <w:tr w:rsidR="00CE1397" w:rsidRPr="008F1108" w14:paraId="58649E96" w14:textId="77777777" w:rsidTr="00DF6F1A">
        <w:trPr>
          <w:trHeight w:val="247"/>
        </w:trPr>
        <w:tc>
          <w:tcPr>
            <w:tcW w:w="807" w:type="dxa"/>
            <w:vMerge/>
            <w:tcBorders>
              <w:right w:val="single" w:sz="4" w:space="0" w:color="auto"/>
            </w:tcBorders>
            <w:vAlign w:val="center"/>
            <w:hideMark/>
          </w:tcPr>
          <w:p w14:paraId="5141652D" w14:textId="77777777" w:rsidR="00CE1397" w:rsidRPr="008F1108" w:rsidRDefault="00CE1397" w:rsidP="00A917FF">
            <w:pPr>
              <w:rPr>
                <w:b/>
                <w:bCs/>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54D360CA" w14:textId="77777777" w:rsidR="00CE1397" w:rsidRPr="008F1108" w:rsidRDefault="00CE1397" w:rsidP="00A917FF">
            <w:pPr>
              <w:jc w:val="center"/>
              <w:rPr>
                <w:b/>
                <w:bCs/>
              </w:rPr>
            </w:pPr>
            <w:r w:rsidRPr="008F1108">
              <w:rPr>
                <w:b/>
                <w:bCs/>
              </w:rPr>
              <w:t>Administradores</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C34FF5F" w14:textId="77777777" w:rsidR="00CE1397" w:rsidRPr="008F1108" w:rsidRDefault="00CE1397" w:rsidP="00A917FF">
            <w:pPr>
              <w:jc w:val="center"/>
              <w:rPr>
                <w:b/>
                <w:bCs/>
              </w:rPr>
            </w:pPr>
            <w:r w:rsidRPr="008F1108">
              <w:rPr>
                <w:b/>
                <w:bCs/>
              </w:rPr>
              <w:t>Empregados</w:t>
            </w:r>
          </w:p>
        </w:tc>
        <w:tc>
          <w:tcPr>
            <w:tcW w:w="0" w:type="auto"/>
            <w:vMerge/>
            <w:tcBorders>
              <w:left w:val="single" w:sz="4" w:space="0" w:color="auto"/>
              <w:right w:val="single" w:sz="4" w:space="0" w:color="auto"/>
            </w:tcBorders>
            <w:vAlign w:val="center"/>
            <w:hideMark/>
          </w:tcPr>
          <w:p w14:paraId="2835BF1F" w14:textId="77777777" w:rsidR="00CE1397" w:rsidRPr="008F1108" w:rsidRDefault="00CE1397" w:rsidP="00A917FF">
            <w:pPr>
              <w:rPr>
                <w:b/>
                <w:bCs/>
              </w:rPr>
            </w:pP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30F1D969" w14:textId="77777777" w:rsidR="00CE1397" w:rsidRPr="008F1108" w:rsidRDefault="00CE1397" w:rsidP="00A917FF">
            <w:pPr>
              <w:jc w:val="center"/>
              <w:rPr>
                <w:b/>
                <w:bCs/>
              </w:rPr>
            </w:pPr>
            <w:r w:rsidRPr="008F1108">
              <w:rPr>
                <w:b/>
                <w:bCs/>
              </w:rPr>
              <w:t>Administradores</w:t>
            </w:r>
          </w:p>
        </w:tc>
        <w:tc>
          <w:tcPr>
            <w:tcW w:w="0" w:type="auto"/>
            <w:tcBorders>
              <w:top w:val="nil"/>
              <w:left w:val="single" w:sz="4" w:space="0" w:color="auto"/>
              <w:bottom w:val="single" w:sz="4" w:space="0" w:color="auto"/>
              <w:right w:val="single" w:sz="4" w:space="0" w:color="auto"/>
            </w:tcBorders>
            <w:shd w:val="clear" w:color="auto" w:fill="FFFFFF" w:themeFill="background1"/>
            <w:vAlign w:val="center"/>
            <w:hideMark/>
          </w:tcPr>
          <w:p w14:paraId="492E601E" w14:textId="77777777" w:rsidR="00CE1397" w:rsidRPr="008F1108" w:rsidRDefault="00CE1397" w:rsidP="00A917FF">
            <w:pPr>
              <w:jc w:val="center"/>
              <w:rPr>
                <w:b/>
                <w:bCs/>
              </w:rPr>
            </w:pPr>
            <w:r w:rsidRPr="008F1108">
              <w:rPr>
                <w:b/>
                <w:bCs/>
              </w:rPr>
              <w:t>Empregados</w:t>
            </w:r>
          </w:p>
        </w:tc>
        <w:tc>
          <w:tcPr>
            <w:tcW w:w="0" w:type="auto"/>
            <w:vMerge/>
            <w:tcBorders>
              <w:left w:val="single" w:sz="4" w:space="0" w:color="auto"/>
            </w:tcBorders>
            <w:vAlign w:val="center"/>
            <w:hideMark/>
          </w:tcPr>
          <w:p w14:paraId="132A49F9" w14:textId="77777777" w:rsidR="00CE1397" w:rsidRPr="008F1108" w:rsidRDefault="00CE1397" w:rsidP="00A917FF">
            <w:pPr>
              <w:rPr>
                <w:b/>
                <w:bCs/>
              </w:rPr>
            </w:pPr>
          </w:p>
        </w:tc>
      </w:tr>
      <w:tr w:rsidR="00DF6F1A" w:rsidRPr="008F1108" w14:paraId="65C4F64E" w14:textId="77777777" w:rsidTr="00DF6F1A">
        <w:trPr>
          <w:trHeight w:val="247"/>
        </w:trPr>
        <w:tc>
          <w:tcPr>
            <w:tcW w:w="807" w:type="dxa"/>
            <w:vAlign w:val="center"/>
            <w:hideMark/>
          </w:tcPr>
          <w:p w14:paraId="2724C51F" w14:textId="77777777" w:rsidR="00DF6F1A" w:rsidRPr="008F1108" w:rsidRDefault="00DF6F1A" w:rsidP="00DF6F1A">
            <w:pPr>
              <w:jc w:val="center"/>
              <w:rPr>
                <w:b/>
                <w:bCs/>
              </w:rPr>
            </w:pPr>
            <w:r w:rsidRPr="008F1108">
              <w:rPr>
                <w:b/>
                <w:bCs/>
              </w:rPr>
              <w:t>Maior</w:t>
            </w:r>
          </w:p>
        </w:tc>
        <w:tc>
          <w:tcPr>
            <w:tcW w:w="0" w:type="auto"/>
            <w:tcBorders>
              <w:top w:val="single" w:sz="4" w:space="0" w:color="auto"/>
            </w:tcBorders>
          </w:tcPr>
          <w:p w14:paraId="48AB0DED" w14:textId="712700F0" w:rsidR="00DF6F1A" w:rsidRPr="008F1108" w:rsidRDefault="004159D5" w:rsidP="00DF6F1A">
            <w:pPr>
              <w:jc w:val="right"/>
            </w:pPr>
            <w:r w:rsidRPr="008F1108">
              <w:rPr>
                <w:shd w:val="clear" w:color="auto" w:fill="FFFFFF"/>
              </w:rPr>
              <w:t>41.493,98</w:t>
            </w:r>
          </w:p>
        </w:tc>
        <w:tc>
          <w:tcPr>
            <w:tcW w:w="0" w:type="auto"/>
            <w:tcBorders>
              <w:top w:val="single" w:sz="4" w:space="0" w:color="auto"/>
            </w:tcBorders>
          </w:tcPr>
          <w:p w14:paraId="65422ADE" w14:textId="0AE6C462" w:rsidR="00DF6F1A" w:rsidRPr="008F1108" w:rsidRDefault="004159D5" w:rsidP="00DF6F1A">
            <w:pPr>
              <w:jc w:val="right"/>
            </w:pPr>
            <w:r w:rsidRPr="008F1108">
              <w:rPr>
                <w:shd w:val="clear" w:color="auto" w:fill="FFFFFF"/>
              </w:rPr>
              <w:t>46.366,19</w:t>
            </w:r>
          </w:p>
        </w:tc>
        <w:tc>
          <w:tcPr>
            <w:tcW w:w="0" w:type="auto"/>
          </w:tcPr>
          <w:p w14:paraId="36736476" w14:textId="52F00672" w:rsidR="00DF6F1A" w:rsidRPr="008F1108" w:rsidRDefault="004159D5" w:rsidP="00DF6F1A">
            <w:pPr>
              <w:jc w:val="right"/>
            </w:pPr>
            <w:r w:rsidRPr="008F1108">
              <w:rPr>
                <w:shd w:val="clear" w:color="auto" w:fill="FFFFFF"/>
              </w:rPr>
              <w:t>32.246,00 </w:t>
            </w:r>
          </w:p>
        </w:tc>
        <w:tc>
          <w:tcPr>
            <w:tcW w:w="0" w:type="auto"/>
            <w:tcBorders>
              <w:top w:val="single" w:sz="4" w:space="0" w:color="auto"/>
            </w:tcBorders>
            <w:hideMark/>
          </w:tcPr>
          <w:p w14:paraId="03E1C63B" w14:textId="3CF528E7" w:rsidR="00DF6F1A" w:rsidRPr="008F1108" w:rsidRDefault="00DF6F1A" w:rsidP="00DF6F1A">
            <w:pPr>
              <w:jc w:val="right"/>
            </w:pPr>
            <w:r w:rsidRPr="008F1108">
              <w:t>38.751,28</w:t>
            </w:r>
          </w:p>
        </w:tc>
        <w:tc>
          <w:tcPr>
            <w:tcW w:w="0" w:type="auto"/>
            <w:tcBorders>
              <w:top w:val="single" w:sz="4" w:space="0" w:color="auto"/>
            </w:tcBorders>
            <w:hideMark/>
          </w:tcPr>
          <w:p w14:paraId="077E843A" w14:textId="38AC5772" w:rsidR="00DF6F1A" w:rsidRPr="008F1108" w:rsidRDefault="00DF6F1A" w:rsidP="00DF6F1A">
            <w:pPr>
              <w:jc w:val="right"/>
            </w:pPr>
            <w:r w:rsidRPr="008F1108">
              <w:t>44.008,52</w:t>
            </w:r>
          </w:p>
        </w:tc>
        <w:tc>
          <w:tcPr>
            <w:tcW w:w="0" w:type="auto"/>
            <w:hideMark/>
          </w:tcPr>
          <w:p w14:paraId="1BA360CA" w14:textId="083E50D8" w:rsidR="00DF6F1A" w:rsidRPr="008F1108" w:rsidRDefault="00DF6F1A" w:rsidP="00DF6F1A">
            <w:pPr>
              <w:jc w:val="right"/>
            </w:pPr>
            <w:r w:rsidRPr="008F1108">
              <w:t>29.720,00</w:t>
            </w:r>
          </w:p>
        </w:tc>
      </w:tr>
      <w:tr w:rsidR="004159D5" w:rsidRPr="008F1108" w14:paraId="7B8A64B2" w14:textId="77777777" w:rsidTr="00DF6F1A">
        <w:trPr>
          <w:trHeight w:val="247"/>
        </w:trPr>
        <w:tc>
          <w:tcPr>
            <w:tcW w:w="807" w:type="dxa"/>
            <w:vAlign w:val="center"/>
            <w:hideMark/>
          </w:tcPr>
          <w:p w14:paraId="5029EEC5" w14:textId="77777777" w:rsidR="004159D5" w:rsidRPr="008F1108" w:rsidRDefault="004159D5" w:rsidP="004159D5">
            <w:pPr>
              <w:jc w:val="center"/>
              <w:rPr>
                <w:b/>
                <w:bCs/>
              </w:rPr>
            </w:pPr>
            <w:r w:rsidRPr="008F1108">
              <w:rPr>
                <w:b/>
                <w:bCs/>
              </w:rPr>
              <w:t>Menor</w:t>
            </w:r>
          </w:p>
        </w:tc>
        <w:tc>
          <w:tcPr>
            <w:tcW w:w="0" w:type="auto"/>
          </w:tcPr>
          <w:p w14:paraId="73B9CCA3" w14:textId="3E3F39CC" w:rsidR="004159D5" w:rsidRPr="008F1108" w:rsidRDefault="004159D5" w:rsidP="004159D5">
            <w:pPr>
              <w:jc w:val="right"/>
            </w:pPr>
            <w:r w:rsidRPr="008F1108">
              <w:rPr>
                <w:shd w:val="clear" w:color="auto" w:fill="FFFFFF"/>
              </w:rPr>
              <w:t>41.493,98</w:t>
            </w:r>
          </w:p>
        </w:tc>
        <w:tc>
          <w:tcPr>
            <w:tcW w:w="0" w:type="auto"/>
          </w:tcPr>
          <w:p w14:paraId="39EC7796" w14:textId="0A5D3FF8" w:rsidR="004159D5" w:rsidRPr="008F1108" w:rsidRDefault="004159D5" w:rsidP="004159D5">
            <w:pPr>
              <w:jc w:val="right"/>
            </w:pPr>
            <w:r w:rsidRPr="008F1108">
              <w:rPr>
                <w:shd w:val="clear" w:color="auto" w:fill="FFFFFF"/>
              </w:rPr>
              <w:t>2.406,81 </w:t>
            </w:r>
          </w:p>
        </w:tc>
        <w:tc>
          <w:tcPr>
            <w:tcW w:w="0" w:type="auto"/>
          </w:tcPr>
          <w:p w14:paraId="3FB47E66" w14:textId="31CDA850" w:rsidR="004159D5" w:rsidRPr="008F1108" w:rsidRDefault="004159D5" w:rsidP="004159D5">
            <w:pPr>
              <w:jc w:val="right"/>
            </w:pPr>
            <w:r w:rsidRPr="008F1108">
              <w:rPr>
                <w:shd w:val="clear" w:color="auto" w:fill="FFFFFF"/>
              </w:rPr>
              <w:t>2.188,79</w:t>
            </w:r>
          </w:p>
        </w:tc>
        <w:tc>
          <w:tcPr>
            <w:tcW w:w="0" w:type="auto"/>
            <w:hideMark/>
          </w:tcPr>
          <w:p w14:paraId="0A61DEC8" w14:textId="56384565" w:rsidR="004159D5" w:rsidRPr="008F1108" w:rsidRDefault="004159D5" w:rsidP="004159D5">
            <w:pPr>
              <w:jc w:val="right"/>
            </w:pPr>
            <w:r w:rsidRPr="008F1108">
              <w:t>38.751,28</w:t>
            </w:r>
          </w:p>
        </w:tc>
        <w:tc>
          <w:tcPr>
            <w:tcW w:w="0" w:type="auto"/>
            <w:hideMark/>
          </w:tcPr>
          <w:p w14:paraId="67AC5C52" w14:textId="5400EA02" w:rsidR="004159D5" w:rsidRPr="008F1108" w:rsidRDefault="004159D5" w:rsidP="004159D5">
            <w:pPr>
              <w:jc w:val="right"/>
            </w:pPr>
            <w:r w:rsidRPr="008F1108">
              <w:t>2.743,49</w:t>
            </w:r>
          </w:p>
        </w:tc>
        <w:tc>
          <w:tcPr>
            <w:tcW w:w="0" w:type="auto"/>
            <w:hideMark/>
          </w:tcPr>
          <w:p w14:paraId="5A5EA26F" w14:textId="1B93C281" w:rsidR="004159D5" w:rsidRPr="008F1108" w:rsidRDefault="004159D5" w:rsidP="004159D5">
            <w:pPr>
              <w:jc w:val="right"/>
            </w:pPr>
            <w:r w:rsidRPr="008F1108">
              <w:t>2.170,35</w:t>
            </w:r>
          </w:p>
        </w:tc>
      </w:tr>
      <w:tr w:rsidR="004159D5" w:rsidRPr="008F1108" w14:paraId="59C1697D" w14:textId="77777777" w:rsidTr="00DF6F1A">
        <w:trPr>
          <w:trHeight w:val="247"/>
        </w:trPr>
        <w:tc>
          <w:tcPr>
            <w:tcW w:w="807" w:type="dxa"/>
            <w:vAlign w:val="center"/>
            <w:hideMark/>
          </w:tcPr>
          <w:p w14:paraId="074601D8" w14:textId="77777777" w:rsidR="004159D5" w:rsidRPr="008F1108" w:rsidRDefault="004159D5" w:rsidP="004159D5">
            <w:pPr>
              <w:jc w:val="center"/>
              <w:rPr>
                <w:b/>
                <w:bCs/>
              </w:rPr>
            </w:pPr>
            <w:r w:rsidRPr="008F1108">
              <w:rPr>
                <w:b/>
                <w:bCs/>
              </w:rPr>
              <w:t>Média</w:t>
            </w:r>
          </w:p>
        </w:tc>
        <w:tc>
          <w:tcPr>
            <w:tcW w:w="0" w:type="auto"/>
          </w:tcPr>
          <w:p w14:paraId="23C174A4" w14:textId="27432D54" w:rsidR="004159D5" w:rsidRPr="008F1108" w:rsidRDefault="004159D5" w:rsidP="004159D5">
            <w:pPr>
              <w:jc w:val="right"/>
            </w:pPr>
            <w:r w:rsidRPr="008F1108">
              <w:rPr>
                <w:shd w:val="clear" w:color="auto" w:fill="FFFFFF"/>
              </w:rPr>
              <w:t>41.493,98</w:t>
            </w:r>
          </w:p>
        </w:tc>
        <w:tc>
          <w:tcPr>
            <w:tcW w:w="0" w:type="auto"/>
          </w:tcPr>
          <w:p w14:paraId="4FA481C2" w14:textId="1B63E1EA" w:rsidR="004159D5" w:rsidRPr="008F1108" w:rsidRDefault="004159D5" w:rsidP="004159D5">
            <w:pPr>
              <w:jc w:val="right"/>
            </w:pPr>
            <w:r w:rsidRPr="008F1108">
              <w:rPr>
                <w:shd w:val="clear" w:color="auto" w:fill="FFFFFF"/>
              </w:rPr>
              <w:t>13.585,48 </w:t>
            </w:r>
          </w:p>
        </w:tc>
        <w:tc>
          <w:tcPr>
            <w:tcW w:w="0" w:type="auto"/>
          </w:tcPr>
          <w:p w14:paraId="7512C292" w14:textId="4E278E84" w:rsidR="004159D5" w:rsidRPr="008F1108" w:rsidRDefault="004159D5" w:rsidP="004159D5">
            <w:pPr>
              <w:jc w:val="right"/>
            </w:pPr>
            <w:r w:rsidRPr="008F1108">
              <w:rPr>
                <w:shd w:val="clear" w:color="auto" w:fill="FFFFFF"/>
              </w:rPr>
              <w:t>7.867,06 </w:t>
            </w:r>
          </w:p>
        </w:tc>
        <w:tc>
          <w:tcPr>
            <w:tcW w:w="0" w:type="auto"/>
            <w:hideMark/>
          </w:tcPr>
          <w:p w14:paraId="6BBF45BC" w14:textId="331B8A6A" w:rsidR="004159D5" w:rsidRPr="008F1108" w:rsidRDefault="004159D5" w:rsidP="004159D5">
            <w:pPr>
              <w:jc w:val="right"/>
            </w:pPr>
            <w:r w:rsidRPr="008F1108">
              <w:t>38.751,28</w:t>
            </w:r>
          </w:p>
        </w:tc>
        <w:tc>
          <w:tcPr>
            <w:tcW w:w="0" w:type="auto"/>
            <w:hideMark/>
          </w:tcPr>
          <w:p w14:paraId="23E33050" w14:textId="23C01055" w:rsidR="004159D5" w:rsidRPr="008F1108" w:rsidRDefault="004159D5" w:rsidP="004159D5">
            <w:pPr>
              <w:jc w:val="right"/>
            </w:pPr>
            <w:r w:rsidRPr="008F1108">
              <w:t>12.048,52</w:t>
            </w:r>
          </w:p>
        </w:tc>
        <w:tc>
          <w:tcPr>
            <w:tcW w:w="0" w:type="auto"/>
            <w:hideMark/>
          </w:tcPr>
          <w:p w14:paraId="5DC14002" w14:textId="0CE177B1" w:rsidR="004159D5" w:rsidRPr="008F1108" w:rsidRDefault="004159D5" w:rsidP="004159D5">
            <w:pPr>
              <w:jc w:val="right"/>
            </w:pPr>
            <w:r w:rsidRPr="008F1108">
              <w:t>7.600,97</w:t>
            </w:r>
          </w:p>
        </w:tc>
      </w:tr>
    </w:tbl>
    <w:p w14:paraId="6BF8B54D" w14:textId="77777777" w:rsidR="00CE1397" w:rsidRPr="008F1108" w:rsidRDefault="00CE1397" w:rsidP="00CE1397">
      <w:pPr>
        <w:jc w:val="both"/>
      </w:pPr>
    </w:p>
    <w:p w14:paraId="3F504375" w14:textId="7FCC4362" w:rsidR="00CE1397" w:rsidRPr="008F1108" w:rsidRDefault="00CE1397" w:rsidP="00CE1397">
      <w:pPr>
        <w:jc w:val="both"/>
      </w:pPr>
      <w:r w:rsidRPr="008F1108">
        <w:t>Em 202</w:t>
      </w:r>
      <w:r w:rsidR="00DF6F1A" w:rsidRPr="008F1108">
        <w:t>5</w:t>
      </w:r>
      <w:r w:rsidRPr="008F1108">
        <w:t xml:space="preserve">, os membros dos Conselhos de Administração e Fiscal receberam honorários mensais de R$ </w:t>
      </w:r>
      <w:r w:rsidR="004159D5" w:rsidRPr="008F1108">
        <w:t>4.023,30</w:t>
      </w:r>
      <w:r w:rsidRPr="008F1108">
        <w:t xml:space="preserve"> (202</w:t>
      </w:r>
      <w:r w:rsidR="00DF6F1A" w:rsidRPr="008F1108">
        <w:t>4</w:t>
      </w:r>
      <w:r w:rsidRPr="008F1108">
        <w:t>: R$ 3.837,93). Conforme estatuto social do HCPA a remuneração mensal destes não excederá a 10% da remuneração mensal média dos Diretores Executivos, excluídos os valores relativos a adicional de férias e benefícios.</w:t>
      </w:r>
    </w:p>
    <w:p w14:paraId="0538BC58" w14:textId="77777777" w:rsidR="00CE1397" w:rsidRPr="008F1108" w:rsidRDefault="00CE1397" w:rsidP="00CE1397">
      <w:pPr>
        <w:jc w:val="both"/>
      </w:pPr>
    </w:p>
    <w:p w14:paraId="6C9E3177" w14:textId="3DA5D465" w:rsidR="00CE1397" w:rsidRPr="008F1108" w:rsidRDefault="00CE1397" w:rsidP="00CE1397">
      <w:pPr>
        <w:jc w:val="both"/>
      </w:pPr>
      <w:r w:rsidRPr="008F1108">
        <w:t>O total de funcionários contratados em 31 de dezembro de 202</w:t>
      </w:r>
      <w:r w:rsidR="00DF6F1A" w:rsidRPr="008F1108">
        <w:t>5</w:t>
      </w:r>
      <w:r w:rsidRPr="008F1108">
        <w:t xml:space="preserve"> é de </w:t>
      </w:r>
      <w:r w:rsidR="004159D5" w:rsidRPr="008F1108">
        <w:t>7.37</w:t>
      </w:r>
      <w:r w:rsidR="002D0CA1">
        <w:t>3</w:t>
      </w:r>
      <w:r w:rsidRPr="008F1108">
        <w:t xml:space="preserve"> (202</w:t>
      </w:r>
      <w:r w:rsidR="00DF6F1A" w:rsidRPr="008F1108">
        <w:t>4</w:t>
      </w:r>
      <w:r w:rsidRPr="008F1108">
        <w:t xml:space="preserve">: </w:t>
      </w:r>
      <w:r w:rsidR="00DF6F1A" w:rsidRPr="008F1108">
        <w:t>7.105</w:t>
      </w:r>
      <w:r w:rsidRPr="008F1108">
        <w:t>).</w:t>
      </w:r>
    </w:p>
    <w:p w14:paraId="39D2EBD9" w14:textId="3A3A509F" w:rsidR="00892233" w:rsidRPr="008F1108" w:rsidRDefault="00892233" w:rsidP="00CE1397">
      <w:pPr>
        <w:jc w:val="both"/>
      </w:pPr>
    </w:p>
    <w:p w14:paraId="59DD7B80" w14:textId="77777777" w:rsidR="00074139" w:rsidRDefault="00074139">
      <w:bookmarkStart w:id="92" w:name="_Toc223007875"/>
      <w:r>
        <w:rPr>
          <w:b/>
        </w:rPr>
        <w:br w:type="page"/>
      </w:r>
    </w:p>
    <w:p w14:paraId="51F16C2A" w14:textId="08C3C807" w:rsidR="00892233" w:rsidRDefault="00892233" w:rsidP="00892233">
      <w:pPr>
        <w:pStyle w:val="Ttulo1"/>
        <w:numPr>
          <w:ilvl w:val="0"/>
          <w:numId w:val="5"/>
        </w:numPr>
        <w:ind w:left="0" w:hanging="567"/>
        <w:jc w:val="left"/>
      </w:pPr>
      <w:r w:rsidRPr="008F1108">
        <w:lastRenderedPageBreak/>
        <w:t>Sustentabilidade e Gestão Econômico-Financeira</w:t>
      </w:r>
      <w:bookmarkEnd w:id="92"/>
    </w:p>
    <w:p w14:paraId="7ACF1E39" w14:textId="4A24A098" w:rsidR="005E2A1E" w:rsidRDefault="005E2A1E" w:rsidP="005E2A1E"/>
    <w:p w14:paraId="23E48363" w14:textId="1AF9E499" w:rsidR="005E2A1E" w:rsidRPr="00B619A0" w:rsidRDefault="005E2A1E" w:rsidP="005E2A1E">
      <w:pPr>
        <w:shd w:val="clear" w:color="auto" w:fill="FFFFFF"/>
        <w:jc w:val="both"/>
      </w:pPr>
      <w:r w:rsidRPr="00B619A0">
        <w:t>O IFRS S1 contempla requisitos gerais para divulgações de informações financeiras sobre sustentabilidade e o IFRS S2 contempla requisitos quanto às publicações relacionadas a questões climáticas. Tais exigências não se aplicam diretamente ao HCPA, contudo a administração entende oportuna a adesão voluntária às normas, reconhecendo-as como uma boa prática de gestão de riscos, transparência e posicionamento estratégico. A obrigatoriedade de divulgação com a publicação das demonstrações contábeis ocorrerá a partir de 2027.</w:t>
      </w:r>
    </w:p>
    <w:p w14:paraId="35CF5CE7" w14:textId="77777777" w:rsidR="00892233" w:rsidRPr="00B619A0" w:rsidRDefault="00892233" w:rsidP="00892233">
      <w:pPr>
        <w:shd w:val="clear" w:color="auto" w:fill="FFFFFF"/>
        <w:rPr>
          <w:rFonts w:ascii="Calibri" w:hAnsi="Calibri" w:cs="Calibri"/>
          <w:sz w:val="22"/>
          <w:szCs w:val="22"/>
        </w:rPr>
      </w:pPr>
      <w:r w:rsidRPr="00B619A0">
        <w:rPr>
          <w:rFonts w:ascii="Calibri" w:hAnsi="Calibri" w:cs="Calibri"/>
          <w:sz w:val="24"/>
          <w:szCs w:val="24"/>
        </w:rPr>
        <w:t> </w:t>
      </w:r>
    </w:p>
    <w:p w14:paraId="6F2BD4FE" w14:textId="3607A9DB" w:rsidR="00892233" w:rsidRPr="00B619A0" w:rsidRDefault="00892233" w:rsidP="00892233">
      <w:pPr>
        <w:shd w:val="clear" w:color="auto" w:fill="FFFFFF"/>
        <w:jc w:val="both"/>
      </w:pPr>
      <w:r w:rsidRPr="00B619A0">
        <w:t xml:space="preserve">A sustentabilidade é um dos valores centrais do Hospital de Clínicas de Porto Alegre (HCPA), estando integrada de forma transversal </w:t>
      </w:r>
      <w:r w:rsidR="00CE47BE" w:rsidRPr="00B619A0">
        <w:t>no</w:t>
      </w:r>
      <w:r w:rsidRPr="00B619A0">
        <w:t xml:space="preserve"> Plano de Negócios e Gestão Estratégica (PNGE) para o ciclo 2025-2028. A instituição reconhece a sustentabilidade em seus </w:t>
      </w:r>
      <w:r w:rsidR="00CE47BE" w:rsidRPr="00B619A0">
        <w:t>aspectos ambientais, sociais</w:t>
      </w:r>
      <w:r w:rsidRPr="00B619A0">
        <w:t xml:space="preserve"> e econômico</w:t>
      </w:r>
      <w:r w:rsidR="00CE47BE" w:rsidRPr="00B619A0">
        <w:t>s</w:t>
      </w:r>
      <w:r w:rsidRPr="00B619A0">
        <w:t xml:space="preserve"> como diretriz fundamental para o uso responsável dos recursos públicos.</w:t>
      </w:r>
    </w:p>
    <w:p w14:paraId="5F0C0023" w14:textId="47B36B76" w:rsidR="00CE47BE" w:rsidRPr="00B619A0" w:rsidRDefault="00CE47BE" w:rsidP="00892233">
      <w:pPr>
        <w:shd w:val="clear" w:color="auto" w:fill="FFFFFF"/>
        <w:jc w:val="both"/>
      </w:pPr>
    </w:p>
    <w:p w14:paraId="492E5A72" w14:textId="4CFB4307" w:rsidR="00CE47BE" w:rsidRPr="008F1108" w:rsidRDefault="00CE47BE" w:rsidP="00892233">
      <w:pPr>
        <w:shd w:val="clear" w:color="auto" w:fill="FFFFFF"/>
        <w:jc w:val="both"/>
        <w:rPr>
          <w:b/>
        </w:rPr>
      </w:pPr>
      <w:r w:rsidRPr="00B619A0">
        <w:rPr>
          <w:b/>
        </w:rPr>
        <w:t>Ambiental</w:t>
      </w:r>
    </w:p>
    <w:p w14:paraId="5E474386" w14:textId="09B1BF75" w:rsidR="00CE47BE" w:rsidRPr="008F1108" w:rsidRDefault="00CE47BE" w:rsidP="00892233">
      <w:pPr>
        <w:shd w:val="clear" w:color="auto" w:fill="FFFFFF"/>
        <w:jc w:val="both"/>
      </w:pPr>
    </w:p>
    <w:p w14:paraId="030A988A" w14:textId="3E4EFD2C" w:rsidR="00CE47BE" w:rsidRPr="008F1108" w:rsidRDefault="00CE47BE" w:rsidP="001F08E4">
      <w:pPr>
        <w:autoSpaceDE w:val="0"/>
        <w:autoSpaceDN w:val="0"/>
        <w:adjustRightInd w:val="0"/>
        <w:jc w:val="both"/>
      </w:pPr>
      <w:r w:rsidRPr="008F1108">
        <w:t>O HCPA direciona suas práticas para a promoção do bem-estar das pessoas e ao uso responsável dos recursos naturais como forma de promover o desenvolvimento sustentável e reduzir impactos negativos relacionados às suas atividades da instituição.</w:t>
      </w:r>
      <w:r w:rsidR="00151248" w:rsidRPr="008F1108">
        <w:t xml:space="preserve"> </w:t>
      </w:r>
      <w:r w:rsidR="001F08E4" w:rsidRPr="008F1108">
        <w:t xml:space="preserve">Seguem algumas </w:t>
      </w:r>
      <w:r w:rsidR="008F1512" w:rsidRPr="008F1108">
        <w:t>inciativas</w:t>
      </w:r>
      <w:r w:rsidR="001F08E4" w:rsidRPr="008F1108">
        <w:t xml:space="preserve"> desenvolvidas:</w:t>
      </w:r>
    </w:p>
    <w:p w14:paraId="045A1A17" w14:textId="4761C138" w:rsidR="00151248" w:rsidRPr="008F1108" w:rsidRDefault="00151248" w:rsidP="001F08E4">
      <w:pPr>
        <w:pStyle w:val="PargrafodaLista"/>
        <w:numPr>
          <w:ilvl w:val="0"/>
          <w:numId w:val="15"/>
        </w:numPr>
        <w:autoSpaceDE w:val="0"/>
        <w:autoSpaceDN w:val="0"/>
        <w:adjustRightInd w:val="0"/>
        <w:jc w:val="both"/>
      </w:pPr>
      <w:r w:rsidRPr="008F1108">
        <w:t>Consumo Sustentável: acompanhamento de consumo de folhas A4, copos descartáveis e fraldas;</w:t>
      </w:r>
    </w:p>
    <w:p w14:paraId="4B7FFC8C" w14:textId="33368F43" w:rsidR="00151248" w:rsidRPr="008F1108" w:rsidRDefault="007B3C8B" w:rsidP="001F08E4">
      <w:pPr>
        <w:pStyle w:val="PargrafodaLista"/>
        <w:numPr>
          <w:ilvl w:val="0"/>
          <w:numId w:val="15"/>
        </w:numPr>
        <w:shd w:val="clear" w:color="auto" w:fill="FFFFFF"/>
        <w:jc w:val="both"/>
      </w:pPr>
      <w:r w:rsidRPr="008F1108">
        <w:t xml:space="preserve">Consumo de Energia: A migração para o mercado livre de energia </w:t>
      </w:r>
      <w:r w:rsidR="00151248" w:rsidRPr="008F1108">
        <w:t>permitiu à ins</w:t>
      </w:r>
      <w:r w:rsidRPr="008F1108">
        <w:t xml:space="preserve">tituição uma economia direta de </w:t>
      </w:r>
      <w:r w:rsidR="00151248" w:rsidRPr="008F1108">
        <w:t xml:space="preserve">R$ 2,8 milhões em 2025. </w:t>
      </w:r>
      <w:r w:rsidR="00463FF9" w:rsidRPr="008F1108">
        <w:t>O</w:t>
      </w:r>
      <w:r w:rsidR="00151248" w:rsidRPr="008F1108">
        <w:t xml:space="preserve"> uso exclusivo de energia renovável em 2024 foi comprovado pelo certificado internacional I-REC, evitando a emissão de 1.263 toneladas de CO₂ naquele período.</w:t>
      </w:r>
    </w:p>
    <w:p w14:paraId="1303524E" w14:textId="30112AC7" w:rsidR="00151248" w:rsidRPr="008F1108" w:rsidRDefault="00151248" w:rsidP="001F08E4">
      <w:pPr>
        <w:pStyle w:val="PargrafodaLista"/>
        <w:numPr>
          <w:ilvl w:val="0"/>
          <w:numId w:val="15"/>
        </w:numPr>
        <w:autoSpaceDE w:val="0"/>
        <w:autoSpaceDN w:val="0"/>
        <w:adjustRightInd w:val="0"/>
        <w:jc w:val="both"/>
      </w:pPr>
      <w:r w:rsidRPr="008F1108">
        <w:t>Gerenciamento de resíduos: Para que o descarte de resíduos</w:t>
      </w:r>
      <w:r w:rsidR="007E03EF" w:rsidRPr="008F1108">
        <w:t xml:space="preserve"> </w:t>
      </w:r>
      <w:r w:rsidRPr="008F1108">
        <w:t>seja realizado de forma adequada, o hospital mantém auditorias e promove treinamentos presenciais e</w:t>
      </w:r>
      <w:r w:rsidR="007E03EF" w:rsidRPr="008F1108">
        <w:t xml:space="preserve"> </w:t>
      </w:r>
      <w:r w:rsidRPr="008F1108">
        <w:t>no formato de educação a distância voltados ao público interno. O tema também é abordado em campanhas institucionais.</w:t>
      </w:r>
    </w:p>
    <w:p w14:paraId="3A019559" w14:textId="4C0E34E5" w:rsidR="007E03EF" w:rsidRPr="008F1108" w:rsidRDefault="007E03EF" w:rsidP="00463FF9">
      <w:pPr>
        <w:pStyle w:val="PargrafodaLista"/>
        <w:numPr>
          <w:ilvl w:val="0"/>
          <w:numId w:val="15"/>
        </w:numPr>
        <w:autoSpaceDE w:val="0"/>
        <w:autoSpaceDN w:val="0"/>
        <w:adjustRightInd w:val="0"/>
        <w:jc w:val="both"/>
      </w:pPr>
      <w:r w:rsidRPr="008F1108">
        <w:t>Editais e compras públicas sustentáveis: Em 2025, o HCPA avan</w:t>
      </w:r>
      <w:r w:rsidRPr="008F1108">
        <w:rPr>
          <w:rFonts w:hint="eastAsia"/>
        </w:rPr>
        <w:t>ç</w:t>
      </w:r>
      <w:r w:rsidRPr="008F1108">
        <w:t>ou de forma significativa</w:t>
      </w:r>
      <w:r w:rsidR="00463FF9" w:rsidRPr="008F1108">
        <w:t xml:space="preserve"> </w:t>
      </w:r>
      <w:r w:rsidRPr="008F1108">
        <w:t>na incorpora</w:t>
      </w:r>
      <w:r w:rsidRPr="008F1108">
        <w:rPr>
          <w:rFonts w:hint="eastAsia"/>
        </w:rPr>
        <w:t>çã</w:t>
      </w:r>
      <w:r w:rsidRPr="008F1108">
        <w:t>o de crit</w:t>
      </w:r>
      <w:r w:rsidRPr="008F1108">
        <w:rPr>
          <w:rFonts w:hint="eastAsia"/>
        </w:rPr>
        <w:t>é</w:t>
      </w:r>
      <w:r w:rsidRPr="008F1108">
        <w:t>rios de sustentabilidade</w:t>
      </w:r>
      <w:r w:rsidR="001F08E4" w:rsidRPr="008F1108">
        <w:t xml:space="preserve"> </w:t>
      </w:r>
      <w:r w:rsidRPr="008F1108">
        <w:t>ambiental e social em seus processos de</w:t>
      </w:r>
      <w:r w:rsidR="001F08E4" w:rsidRPr="008F1108">
        <w:t xml:space="preserve"> </w:t>
      </w:r>
      <w:r w:rsidRPr="008F1108">
        <w:t>compras p</w:t>
      </w:r>
      <w:r w:rsidRPr="008F1108">
        <w:rPr>
          <w:rFonts w:hint="eastAsia"/>
        </w:rPr>
        <w:t>ú</w:t>
      </w:r>
      <w:r w:rsidRPr="008F1108">
        <w:t>blicas, consolidando uma trajet</w:t>
      </w:r>
      <w:r w:rsidRPr="008F1108">
        <w:rPr>
          <w:rFonts w:hint="eastAsia"/>
        </w:rPr>
        <w:t>ó</w:t>
      </w:r>
      <w:r w:rsidRPr="008F1108">
        <w:t>ria</w:t>
      </w:r>
      <w:r w:rsidR="001F08E4" w:rsidRPr="008F1108">
        <w:t xml:space="preserve"> </w:t>
      </w:r>
      <w:r w:rsidRPr="008F1108">
        <w:t>de crescimento cont</w:t>
      </w:r>
      <w:r w:rsidRPr="008F1108">
        <w:rPr>
          <w:rFonts w:hint="eastAsia"/>
        </w:rPr>
        <w:t>í</w:t>
      </w:r>
      <w:r w:rsidRPr="008F1108">
        <w:t>nuo observada desde 2023.</w:t>
      </w:r>
      <w:r w:rsidR="001F08E4" w:rsidRPr="008F1108">
        <w:t xml:space="preserve"> </w:t>
      </w:r>
      <w:r w:rsidRPr="008F1108">
        <w:t>No exerc</w:t>
      </w:r>
      <w:r w:rsidRPr="008F1108">
        <w:rPr>
          <w:rFonts w:hint="eastAsia"/>
        </w:rPr>
        <w:t>í</w:t>
      </w:r>
      <w:r w:rsidRPr="008F1108">
        <w:t>cio, os editais com crit</w:t>
      </w:r>
      <w:r w:rsidRPr="008F1108">
        <w:rPr>
          <w:rFonts w:hint="eastAsia"/>
        </w:rPr>
        <w:t>é</w:t>
      </w:r>
      <w:r w:rsidRPr="008F1108">
        <w:t>rios de</w:t>
      </w:r>
      <w:r w:rsidR="001F08E4" w:rsidRPr="008F1108">
        <w:t xml:space="preserve"> </w:t>
      </w:r>
      <w:r w:rsidRPr="008F1108">
        <w:t>sustentabilidade apresentaram crescimento de</w:t>
      </w:r>
      <w:r w:rsidR="001F08E4" w:rsidRPr="008F1108">
        <w:t xml:space="preserve"> </w:t>
      </w:r>
      <w:r w:rsidRPr="008F1108">
        <w:t>94% em rela</w:t>
      </w:r>
      <w:r w:rsidRPr="008F1108">
        <w:rPr>
          <w:rFonts w:hint="eastAsia"/>
        </w:rPr>
        <w:t>çã</w:t>
      </w:r>
      <w:r w:rsidRPr="008F1108">
        <w:t>o ao ano anterior, passando a</w:t>
      </w:r>
      <w:r w:rsidR="001F08E4" w:rsidRPr="008F1108">
        <w:t xml:space="preserve"> </w:t>
      </w:r>
      <w:r w:rsidRPr="008F1108">
        <w:t>representar 20% do total de licita</w:t>
      </w:r>
      <w:r w:rsidRPr="008F1108">
        <w:rPr>
          <w:rFonts w:hint="eastAsia"/>
        </w:rPr>
        <w:t>çõ</w:t>
      </w:r>
      <w:r w:rsidRPr="008F1108">
        <w:t>es</w:t>
      </w:r>
      <w:r w:rsidR="001F08E4" w:rsidRPr="008F1108">
        <w:t xml:space="preserve"> </w:t>
      </w:r>
      <w:r w:rsidRPr="008F1108">
        <w:t>realizadas, o que supera a meta institucional</w:t>
      </w:r>
      <w:r w:rsidR="001F08E4" w:rsidRPr="008F1108">
        <w:t xml:space="preserve"> </w:t>
      </w:r>
      <w:r w:rsidRPr="008F1108">
        <w:t>estabelecida.</w:t>
      </w:r>
    </w:p>
    <w:p w14:paraId="23AA7B14" w14:textId="77777777" w:rsidR="00151248" w:rsidRPr="008F1108" w:rsidRDefault="00151248" w:rsidP="001F08E4">
      <w:pPr>
        <w:autoSpaceDE w:val="0"/>
        <w:autoSpaceDN w:val="0"/>
        <w:adjustRightInd w:val="0"/>
        <w:jc w:val="both"/>
        <w:rPr>
          <w:rFonts w:ascii="FiraSansCondensed-Medium" w:hAnsi="FiraSansCondensed-Medium" w:cs="FiraSansCondensed-Medium"/>
          <w:sz w:val="19"/>
          <w:szCs w:val="19"/>
        </w:rPr>
      </w:pPr>
    </w:p>
    <w:p w14:paraId="7B07AA57" w14:textId="0EF9ACE1" w:rsidR="00151248" w:rsidRPr="008F1108" w:rsidRDefault="00C95D5D" w:rsidP="00463FF9">
      <w:pPr>
        <w:shd w:val="clear" w:color="auto" w:fill="FFFFFF"/>
        <w:jc w:val="both"/>
        <w:rPr>
          <w:b/>
        </w:rPr>
      </w:pPr>
      <w:r>
        <w:rPr>
          <w:b/>
        </w:rPr>
        <w:t>Social</w:t>
      </w:r>
    </w:p>
    <w:p w14:paraId="6C6C517C" w14:textId="77777777" w:rsidR="00463FF9" w:rsidRPr="008F1108" w:rsidRDefault="00463FF9" w:rsidP="001F08E4">
      <w:pPr>
        <w:autoSpaceDE w:val="0"/>
        <w:autoSpaceDN w:val="0"/>
        <w:adjustRightInd w:val="0"/>
        <w:jc w:val="both"/>
      </w:pPr>
    </w:p>
    <w:p w14:paraId="3981560E" w14:textId="2AA66EF1" w:rsidR="007E03EF" w:rsidRPr="008F1108" w:rsidRDefault="007E03EF" w:rsidP="001F08E4">
      <w:pPr>
        <w:autoSpaceDE w:val="0"/>
        <w:autoSpaceDN w:val="0"/>
        <w:adjustRightInd w:val="0"/>
        <w:jc w:val="both"/>
      </w:pPr>
      <w:r w:rsidRPr="008F1108">
        <w:t>A atuação do HCPA é guiada por um forte</w:t>
      </w:r>
      <w:r w:rsidR="00463FF9" w:rsidRPr="008F1108">
        <w:t xml:space="preserve"> </w:t>
      </w:r>
      <w:r w:rsidRPr="008F1108">
        <w:t>compromisso com a sustentabilidade</w:t>
      </w:r>
      <w:r w:rsidR="00463FF9" w:rsidRPr="008F1108">
        <w:t xml:space="preserve"> </w:t>
      </w:r>
      <w:r w:rsidRPr="008F1108">
        <w:t>social, refletido em seu propósito: vidas</w:t>
      </w:r>
      <w:r w:rsidR="00463FF9" w:rsidRPr="008F1108">
        <w:t xml:space="preserve"> </w:t>
      </w:r>
      <w:r w:rsidRPr="008F1108">
        <w:t>fazendo mais pela vida. Esse</w:t>
      </w:r>
      <w:r w:rsidR="00463FF9" w:rsidRPr="008F1108">
        <w:t xml:space="preserve"> </w:t>
      </w:r>
      <w:r w:rsidRPr="008F1108">
        <w:t>compromisso se revela no cuidado</w:t>
      </w:r>
      <w:r w:rsidR="00463FF9" w:rsidRPr="008F1108">
        <w:t xml:space="preserve"> </w:t>
      </w:r>
      <w:r w:rsidRPr="008F1108">
        <w:t>humanizado, no ensino que forma</w:t>
      </w:r>
      <w:r w:rsidR="00463FF9" w:rsidRPr="008F1108">
        <w:t xml:space="preserve"> </w:t>
      </w:r>
      <w:r w:rsidRPr="008F1108">
        <w:t>profissionais alinhados aos valores</w:t>
      </w:r>
      <w:r w:rsidR="00463FF9" w:rsidRPr="008F1108">
        <w:t xml:space="preserve"> </w:t>
      </w:r>
      <w:r w:rsidRPr="008F1108">
        <w:t>institucionais e na pesquisa que retorna</w:t>
      </w:r>
      <w:r w:rsidR="00463FF9" w:rsidRPr="008F1108">
        <w:t xml:space="preserve"> </w:t>
      </w:r>
      <w:r w:rsidRPr="008F1108">
        <w:t>à sociedade em forma de conhecimento,</w:t>
      </w:r>
      <w:r w:rsidR="008F1512">
        <w:t xml:space="preserve"> </w:t>
      </w:r>
      <w:r w:rsidRPr="008F1108">
        <w:t>inovação e impacto positivo para a</w:t>
      </w:r>
      <w:r w:rsidR="00463FF9" w:rsidRPr="008F1108">
        <w:t xml:space="preserve"> </w:t>
      </w:r>
      <w:r w:rsidRPr="008F1108">
        <w:t>sociedade.</w:t>
      </w:r>
      <w:r w:rsidR="00463FF9" w:rsidRPr="008F1108">
        <w:t xml:space="preserve"> Principais iniciativas:</w:t>
      </w:r>
    </w:p>
    <w:p w14:paraId="1F146D3C" w14:textId="7C742DBE" w:rsidR="007E03EF" w:rsidRPr="008F1108" w:rsidRDefault="007E03EF" w:rsidP="00A03CE3">
      <w:pPr>
        <w:pStyle w:val="PargrafodaLista"/>
        <w:numPr>
          <w:ilvl w:val="0"/>
          <w:numId w:val="16"/>
        </w:numPr>
        <w:autoSpaceDE w:val="0"/>
        <w:autoSpaceDN w:val="0"/>
        <w:adjustRightInd w:val="0"/>
        <w:jc w:val="both"/>
      </w:pPr>
      <w:r w:rsidRPr="008F1108">
        <w:t>Doação de leite humano</w:t>
      </w:r>
      <w:r w:rsidR="0078588C" w:rsidRPr="008F1108">
        <w:t xml:space="preserve">: </w:t>
      </w:r>
      <w:r w:rsidRPr="008F1108">
        <w:t>Em 2025, o Banco de Leite Humano (BLH) do</w:t>
      </w:r>
      <w:r w:rsidR="0078588C" w:rsidRPr="008F1108">
        <w:t xml:space="preserve"> </w:t>
      </w:r>
      <w:r w:rsidRPr="008F1108">
        <w:t>Cl</w:t>
      </w:r>
      <w:r w:rsidRPr="008F1108">
        <w:rPr>
          <w:rFonts w:hint="eastAsia"/>
        </w:rPr>
        <w:t>í</w:t>
      </w:r>
      <w:r w:rsidRPr="008F1108">
        <w:t>nicas atendeu 13,8 mil m</w:t>
      </w:r>
      <w:r w:rsidRPr="008F1108">
        <w:rPr>
          <w:rFonts w:hint="eastAsia"/>
        </w:rPr>
        <w:t>ã</w:t>
      </w:r>
      <w:r w:rsidRPr="008F1108">
        <w:t>es e pais, contou</w:t>
      </w:r>
      <w:r w:rsidR="0078588C" w:rsidRPr="008F1108">
        <w:t xml:space="preserve"> </w:t>
      </w:r>
      <w:r w:rsidRPr="008F1108">
        <w:t>com 1,4 mil doadoras registradas e coletou 980</w:t>
      </w:r>
      <w:r w:rsidR="0078588C" w:rsidRPr="008F1108">
        <w:t xml:space="preserve"> </w:t>
      </w:r>
      <w:r w:rsidRPr="008F1108">
        <w:t>litros de leite humano.</w:t>
      </w:r>
      <w:r w:rsidR="0078588C" w:rsidRPr="008F1108">
        <w:t xml:space="preserve"> </w:t>
      </w:r>
      <w:r w:rsidRPr="008F1108">
        <w:t>Ao longo do ano, o BLH manteve a campanha</w:t>
      </w:r>
      <w:r w:rsidR="0078588C" w:rsidRPr="008F1108">
        <w:t xml:space="preserve"> </w:t>
      </w:r>
      <w:r w:rsidRPr="008F1108">
        <w:t xml:space="preserve">de incentivo </w:t>
      </w:r>
      <w:r w:rsidRPr="008F1108">
        <w:rPr>
          <w:rFonts w:hint="eastAsia"/>
        </w:rPr>
        <w:t>à</w:t>
      </w:r>
      <w:r w:rsidRPr="008F1108">
        <w:t xml:space="preserve"> doa</w:t>
      </w:r>
      <w:r w:rsidRPr="008F1108">
        <w:rPr>
          <w:rFonts w:hint="eastAsia"/>
        </w:rPr>
        <w:t>çã</w:t>
      </w:r>
      <w:r w:rsidRPr="008F1108">
        <w:t>o de leite humano,</w:t>
      </w:r>
      <w:r w:rsidR="0078588C" w:rsidRPr="008F1108">
        <w:t xml:space="preserve"> </w:t>
      </w:r>
      <w:r w:rsidRPr="008F1108">
        <w:t>contribuindo para o cuidado de</w:t>
      </w:r>
      <w:r w:rsidR="0078588C" w:rsidRPr="008F1108">
        <w:t xml:space="preserve"> </w:t>
      </w:r>
      <w:r w:rsidRPr="008F1108">
        <w:t>rec</w:t>
      </w:r>
      <w:r w:rsidRPr="008F1108">
        <w:rPr>
          <w:rFonts w:hint="eastAsia"/>
        </w:rPr>
        <w:t>é</w:t>
      </w:r>
      <w:r w:rsidRPr="008F1108">
        <w:t>m-nascidos internados na UTI Neonatal e</w:t>
      </w:r>
      <w:r w:rsidR="0078588C" w:rsidRPr="008F1108">
        <w:t xml:space="preserve"> </w:t>
      </w:r>
      <w:r w:rsidRPr="008F1108">
        <w:t>reafirmando seu papel estrat</w:t>
      </w:r>
      <w:r w:rsidRPr="008F1108">
        <w:rPr>
          <w:rFonts w:hint="eastAsia"/>
        </w:rPr>
        <w:t>é</w:t>
      </w:r>
      <w:r w:rsidRPr="008F1108">
        <w:t>gico na</w:t>
      </w:r>
      <w:r w:rsidR="0078588C" w:rsidRPr="008F1108">
        <w:t xml:space="preserve"> </w:t>
      </w:r>
      <w:r w:rsidRPr="008F1108">
        <w:t>assist</w:t>
      </w:r>
      <w:r w:rsidRPr="008F1108">
        <w:rPr>
          <w:rFonts w:hint="eastAsia"/>
        </w:rPr>
        <w:t>ê</w:t>
      </w:r>
      <w:r w:rsidRPr="008F1108">
        <w:t>ncia neonatal.</w:t>
      </w:r>
    </w:p>
    <w:p w14:paraId="3BFC4DCF" w14:textId="2913340E" w:rsidR="007E03EF" w:rsidRPr="008F1108" w:rsidRDefault="007E03EF" w:rsidP="00A03CE3">
      <w:pPr>
        <w:pStyle w:val="PargrafodaLista"/>
        <w:numPr>
          <w:ilvl w:val="0"/>
          <w:numId w:val="16"/>
        </w:numPr>
        <w:autoSpaceDE w:val="0"/>
        <w:autoSpaceDN w:val="0"/>
        <w:adjustRightInd w:val="0"/>
        <w:jc w:val="both"/>
      </w:pPr>
      <w:r w:rsidRPr="008F1108">
        <w:t>Grupo de Voluntariado</w:t>
      </w:r>
      <w:r w:rsidR="0078588C" w:rsidRPr="008F1108">
        <w:t xml:space="preserve">: </w:t>
      </w:r>
      <w:r w:rsidRPr="008F1108">
        <w:t>Oferece apoio a pacientes em tratamento</w:t>
      </w:r>
      <w:r w:rsidR="0078588C" w:rsidRPr="008F1108">
        <w:t xml:space="preserve"> </w:t>
      </w:r>
      <w:r w:rsidRPr="008F1108">
        <w:t>no hospital, levando acolhimento, conforto e</w:t>
      </w:r>
      <w:r w:rsidR="00A03CE3" w:rsidRPr="008F1108">
        <w:t xml:space="preserve"> </w:t>
      </w:r>
      <w:r w:rsidRPr="008F1108">
        <w:t>orienta</w:t>
      </w:r>
      <w:r w:rsidRPr="008F1108">
        <w:rPr>
          <w:rFonts w:hint="eastAsia"/>
        </w:rPr>
        <w:t>çã</w:t>
      </w:r>
      <w:r w:rsidRPr="008F1108">
        <w:t>o a pessoas atendidas em</w:t>
      </w:r>
      <w:r w:rsidR="0078588C" w:rsidRPr="008F1108">
        <w:t xml:space="preserve"> </w:t>
      </w:r>
      <w:r w:rsidRPr="008F1108">
        <w:t>diferentes especialidades e servi</w:t>
      </w:r>
      <w:r w:rsidRPr="008F1108">
        <w:rPr>
          <w:rFonts w:hint="eastAsia"/>
        </w:rPr>
        <w:t>ç</w:t>
      </w:r>
      <w:r w:rsidRPr="008F1108">
        <w:t>os.</w:t>
      </w:r>
      <w:r w:rsidR="0078588C" w:rsidRPr="008F1108">
        <w:t xml:space="preserve"> </w:t>
      </w:r>
      <w:r w:rsidRPr="008F1108">
        <w:t>Em 2025, o grupo realizou 5,5 mil visitas a</w:t>
      </w:r>
      <w:r w:rsidR="0078588C" w:rsidRPr="008F1108">
        <w:t xml:space="preserve"> </w:t>
      </w:r>
      <w:r w:rsidRPr="008F1108">
        <w:t>pacientes e doou mais de 3 mil itens, entre</w:t>
      </w:r>
      <w:r w:rsidR="0078588C" w:rsidRPr="008F1108">
        <w:t xml:space="preserve"> </w:t>
      </w:r>
      <w:r w:rsidRPr="008F1108">
        <w:t>pr</w:t>
      </w:r>
      <w:r w:rsidRPr="008F1108">
        <w:rPr>
          <w:rFonts w:hint="eastAsia"/>
        </w:rPr>
        <w:t>ó</w:t>
      </w:r>
      <w:r w:rsidRPr="008F1108">
        <w:t>teses, enxovais, roupas, cal</w:t>
      </w:r>
      <w:r w:rsidRPr="008F1108">
        <w:rPr>
          <w:rFonts w:hint="eastAsia"/>
        </w:rPr>
        <w:t>ç</w:t>
      </w:r>
      <w:r w:rsidRPr="008F1108">
        <w:t>ados e kits de</w:t>
      </w:r>
      <w:r w:rsidR="0078588C" w:rsidRPr="008F1108">
        <w:t xml:space="preserve"> </w:t>
      </w:r>
      <w:r w:rsidRPr="008F1108">
        <w:t>higiene. Tamb</w:t>
      </w:r>
      <w:r w:rsidRPr="008F1108">
        <w:rPr>
          <w:rFonts w:hint="eastAsia"/>
        </w:rPr>
        <w:t>é</w:t>
      </w:r>
      <w:r w:rsidRPr="008F1108">
        <w:t>m s</w:t>
      </w:r>
      <w:r w:rsidRPr="008F1108">
        <w:rPr>
          <w:rFonts w:hint="eastAsia"/>
        </w:rPr>
        <w:t>ã</w:t>
      </w:r>
      <w:r w:rsidRPr="008F1108">
        <w:t>o emprestadas perucas a</w:t>
      </w:r>
      <w:r w:rsidR="0078588C" w:rsidRPr="008F1108">
        <w:t xml:space="preserve"> </w:t>
      </w:r>
      <w:r w:rsidRPr="008F1108">
        <w:t>quem est</w:t>
      </w:r>
      <w:r w:rsidRPr="008F1108">
        <w:rPr>
          <w:rFonts w:hint="eastAsia"/>
        </w:rPr>
        <w:t>á</w:t>
      </w:r>
      <w:r w:rsidRPr="008F1108">
        <w:t xml:space="preserve"> em tratamento oncol</w:t>
      </w:r>
      <w:r w:rsidRPr="008F1108">
        <w:rPr>
          <w:rFonts w:hint="eastAsia"/>
        </w:rPr>
        <w:t>ó</w:t>
      </w:r>
      <w:r w:rsidRPr="008F1108">
        <w:t>gico.</w:t>
      </w:r>
    </w:p>
    <w:p w14:paraId="518228F8" w14:textId="4EE8511F" w:rsidR="007E03EF" w:rsidRPr="007B60BF" w:rsidRDefault="007E03EF" w:rsidP="00A03CE3">
      <w:pPr>
        <w:pStyle w:val="PargrafodaLista"/>
        <w:numPr>
          <w:ilvl w:val="0"/>
          <w:numId w:val="16"/>
        </w:numPr>
        <w:autoSpaceDE w:val="0"/>
        <w:autoSpaceDN w:val="0"/>
        <w:adjustRightInd w:val="0"/>
        <w:jc w:val="both"/>
      </w:pPr>
      <w:r w:rsidRPr="008F1108">
        <w:t>Apoio linguístico</w:t>
      </w:r>
      <w:r w:rsidR="0078588C" w:rsidRPr="008F1108">
        <w:t xml:space="preserve">: </w:t>
      </w:r>
      <w:r w:rsidRPr="008F1108">
        <w:t>Projeto de inclus</w:t>
      </w:r>
      <w:r w:rsidRPr="008F1108">
        <w:rPr>
          <w:rFonts w:hint="eastAsia"/>
        </w:rPr>
        <w:t>ã</w:t>
      </w:r>
      <w:r w:rsidRPr="008F1108">
        <w:t xml:space="preserve">o que </w:t>
      </w:r>
      <w:r w:rsidRPr="007B60BF">
        <w:t>visa uma comunica</w:t>
      </w:r>
      <w:r w:rsidRPr="007B60BF">
        <w:rPr>
          <w:rFonts w:hint="eastAsia"/>
        </w:rPr>
        <w:t>çã</w:t>
      </w:r>
      <w:r w:rsidRPr="007B60BF">
        <w:t>o</w:t>
      </w:r>
      <w:r w:rsidR="0078588C" w:rsidRPr="007B60BF">
        <w:t xml:space="preserve"> </w:t>
      </w:r>
      <w:r w:rsidRPr="007B60BF">
        <w:t>efetiva com pacientes que n</w:t>
      </w:r>
      <w:r w:rsidRPr="007B60BF">
        <w:rPr>
          <w:rFonts w:hint="eastAsia"/>
        </w:rPr>
        <w:t>ã</w:t>
      </w:r>
      <w:r w:rsidRPr="007B60BF">
        <w:t>o dominam a</w:t>
      </w:r>
      <w:r w:rsidR="00A03CE3" w:rsidRPr="007B60BF">
        <w:t xml:space="preserve"> </w:t>
      </w:r>
      <w:r w:rsidRPr="007B60BF">
        <w:t>l</w:t>
      </w:r>
      <w:r w:rsidRPr="007B60BF">
        <w:rPr>
          <w:rFonts w:hint="eastAsia"/>
        </w:rPr>
        <w:t>í</w:t>
      </w:r>
      <w:r w:rsidRPr="007B60BF">
        <w:t>ngua portuguesa ou que utilizam a L</w:t>
      </w:r>
      <w:r w:rsidRPr="007B60BF">
        <w:rPr>
          <w:rFonts w:hint="eastAsia"/>
        </w:rPr>
        <w:t>í</w:t>
      </w:r>
      <w:r w:rsidRPr="007B60BF">
        <w:t>ngua</w:t>
      </w:r>
      <w:r w:rsidR="0078588C" w:rsidRPr="007B60BF">
        <w:t xml:space="preserve"> </w:t>
      </w:r>
      <w:r w:rsidRPr="007B60BF">
        <w:t>Brasileira de Sinais (Libras) para se comunicar.</w:t>
      </w:r>
    </w:p>
    <w:p w14:paraId="58E61776" w14:textId="7C79B43F" w:rsidR="007E03EF" w:rsidRPr="007B60BF" w:rsidRDefault="007E03EF" w:rsidP="00A03CE3">
      <w:pPr>
        <w:pStyle w:val="PargrafodaLista"/>
        <w:numPr>
          <w:ilvl w:val="0"/>
          <w:numId w:val="16"/>
        </w:numPr>
        <w:autoSpaceDE w:val="0"/>
        <w:autoSpaceDN w:val="0"/>
        <w:adjustRightInd w:val="0"/>
        <w:jc w:val="both"/>
      </w:pPr>
      <w:r w:rsidRPr="007B60BF">
        <w:t>Casa de Apoio</w:t>
      </w:r>
      <w:r w:rsidR="0078588C" w:rsidRPr="007B60BF">
        <w:t xml:space="preserve">: </w:t>
      </w:r>
      <w:r w:rsidRPr="007B60BF">
        <w:t>Crian</w:t>
      </w:r>
      <w:r w:rsidRPr="007B60BF">
        <w:rPr>
          <w:rFonts w:hint="eastAsia"/>
        </w:rPr>
        <w:t>ç</w:t>
      </w:r>
      <w:r w:rsidRPr="007B60BF">
        <w:t>as e adolescentes em tratamentos</w:t>
      </w:r>
      <w:r w:rsidR="0078588C" w:rsidRPr="007B60BF">
        <w:t xml:space="preserve"> </w:t>
      </w:r>
      <w:r w:rsidRPr="007B60BF">
        <w:t>prolongados podem se hospedar, junto a um</w:t>
      </w:r>
      <w:r w:rsidR="00A03CE3" w:rsidRPr="007B60BF">
        <w:t xml:space="preserve"> </w:t>
      </w:r>
      <w:r w:rsidRPr="007B60BF">
        <w:t>acompanhante, na Casa de Apoio.</w:t>
      </w:r>
      <w:r w:rsidR="0078588C" w:rsidRPr="007B60BF">
        <w:t xml:space="preserve"> </w:t>
      </w:r>
      <w:r w:rsidRPr="007B60BF">
        <w:t>Criada h</w:t>
      </w:r>
      <w:r w:rsidRPr="007B60BF">
        <w:rPr>
          <w:rFonts w:hint="eastAsia"/>
        </w:rPr>
        <w:t>á</w:t>
      </w:r>
      <w:r w:rsidRPr="007B60BF">
        <w:t xml:space="preserve"> 29 anos, tem capacidade para receber</w:t>
      </w:r>
      <w:r w:rsidR="0078588C" w:rsidRPr="007B60BF">
        <w:t xml:space="preserve"> </w:t>
      </w:r>
      <w:r w:rsidRPr="007B60BF">
        <w:t>at</w:t>
      </w:r>
      <w:r w:rsidRPr="007B60BF">
        <w:rPr>
          <w:rFonts w:hint="eastAsia"/>
        </w:rPr>
        <w:t>é</w:t>
      </w:r>
      <w:r w:rsidRPr="007B60BF">
        <w:t xml:space="preserve"> 54 pessoas simultaneamente</w:t>
      </w:r>
      <w:r w:rsidR="007B3C8B" w:rsidRPr="007B60BF">
        <w:t xml:space="preserve"> e c</w:t>
      </w:r>
      <w:r w:rsidRPr="007B60BF">
        <w:t>onta com</w:t>
      </w:r>
      <w:r w:rsidR="0078588C" w:rsidRPr="007B60BF">
        <w:t xml:space="preserve"> </w:t>
      </w:r>
      <w:r w:rsidRPr="007B60BF">
        <w:t>uma equipe multidisciplinar dedicada a</w:t>
      </w:r>
      <w:r w:rsidR="0078588C" w:rsidRPr="007B60BF">
        <w:t xml:space="preserve"> </w:t>
      </w:r>
      <w:r w:rsidRPr="007B60BF">
        <w:t>oferecer um ambiente acolhedor de aten</w:t>
      </w:r>
      <w:r w:rsidRPr="007B60BF">
        <w:rPr>
          <w:rFonts w:hint="eastAsia"/>
        </w:rPr>
        <w:t>çã</w:t>
      </w:r>
      <w:r w:rsidRPr="007B60BF">
        <w:t>o e</w:t>
      </w:r>
      <w:r w:rsidR="0078588C" w:rsidRPr="007B60BF">
        <w:t xml:space="preserve"> </w:t>
      </w:r>
      <w:r w:rsidRPr="007B60BF">
        <w:t xml:space="preserve">apoio </w:t>
      </w:r>
      <w:r w:rsidRPr="007B60BF">
        <w:rPr>
          <w:rFonts w:hint="eastAsia"/>
        </w:rPr>
        <w:t>à</w:t>
      </w:r>
      <w:r w:rsidRPr="007B60BF">
        <w:t>s necessidades individuais.</w:t>
      </w:r>
    </w:p>
    <w:p w14:paraId="1935D295" w14:textId="24BA7114" w:rsidR="007E03EF" w:rsidRPr="007B60BF" w:rsidRDefault="007E03EF" w:rsidP="00A03CE3">
      <w:pPr>
        <w:pStyle w:val="PargrafodaLista"/>
        <w:numPr>
          <w:ilvl w:val="0"/>
          <w:numId w:val="16"/>
        </w:numPr>
        <w:autoSpaceDE w:val="0"/>
        <w:autoSpaceDN w:val="0"/>
        <w:adjustRightInd w:val="0"/>
        <w:jc w:val="both"/>
      </w:pPr>
      <w:r w:rsidRPr="007B60BF">
        <w:t>Promoção à saúde em datas alusivas: Para conscientizar e promover a prevenção de doenças, o HCPA realizou</w:t>
      </w:r>
      <w:r w:rsidR="0078588C" w:rsidRPr="007B60BF">
        <w:t xml:space="preserve"> </w:t>
      </w:r>
      <w:r w:rsidRPr="007B60BF">
        <w:t>diferentes iniciativas voltadas à comunidade interna e à sensibilização</w:t>
      </w:r>
      <w:r w:rsidR="0078588C" w:rsidRPr="007B60BF">
        <w:t xml:space="preserve"> </w:t>
      </w:r>
      <w:r w:rsidRPr="007B60BF">
        <w:t>dos profissionais de saúde como multiplicadores de conhecimento junto</w:t>
      </w:r>
      <w:r w:rsidR="0078588C" w:rsidRPr="007B60BF">
        <w:t xml:space="preserve"> </w:t>
      </w:r>
      <w:r w:rsidRPr="007B60BF">
        <w:t>aos pacientes.</w:t>
      </w:r>
    </w:p>
    <w:p w14:paraId="5881DCEF" w14:textId="3D976B7B" w:rsidR="007E03EF" w:rsidRPr="007B60BF" w:rsidRDefault="007E03EF" w:rsidP="00A03CE3">
      <w:pPr>
        <w:pStyle w:val="PargrafodaLista"/>
        <w:numPr>
          <w:ilvl w:val="0"/>
          <w:numId w:val="16"/>
        </w:numPr>
        <w:autoSpaceDE w:val="0"/>
        <w:autoSpaceDN w:val="0"/>
        <w:adjustRightInd w:val="0"/>
        <w:jc w:val="both"/>
      </w:pPr>
      <w:r w:rsidRPr="007B60BF">
        <w:lastRenderedPageBreak/>
        <w:t>Programa Cultura no Clínicas</w:t>
      </w:r>
      <w:r w:rsidR="0078588C" w:rsidRPr="007B60BF">
        <w:t xml:space="preserve">: </w:t>
      </w:r>
      <w:r w:rsidRPr="007B60BF">
        <w:t>Ao longo do ano, foram realizadas</w:t>
      </w:r>
      <w:r w:rsidR="0078588C" w:rsidRPr="007B60BF">
        <w:t xml:space="preserve"> </w:t>
      </w:r>
      <w:r w:rsidRPr="007B60BF">
        <w:t>apresenta</w:t>
      </w:r>
      <w:r w:rsidRPr="007B60BF">
        <w:rPr>
          <w:rFonts w:hint="eastAsia"/>
        </w:rPr>
        <w:t>çõ</w:t>
      </w:r>
      <w:r w:rsidRPr="007B60BF">
        <w:t>es de m</w:t>
      </w:r>
      <w:r w:rsidRPr="007B60BF">
        <w:rPr>
          <w:rFonts w:hint="eastAsia"/>
        </w:rPr>
        <w:t>ú</w:t>
      </w:r>
      <w:r w:rsidRPr="007B60BF">
        <w:t>sica, declama</w:t>
      </w:r>
      <w:r w:rsidRPr="007B60BF">
        <w:rPr>
          <w:rFonts w:hint="eastAsia"/>
        </w:rPr>
        <w:t>çã</w:t>
      </w:r>
      <w:r w:rsidRPr="007B60BF">
        <w:t>o de poesias, exposi</w:t>
      </w:r>
      <w:r w:rsidRPr="007B60BF">
        <w:rPr>
          <w:rFonts w:hint="eastAsia"/>
        </w:rPr>
        <w:t>çã</w:t>
      </w:r>
      <w:r w:rsidRPr="007B60BF">
        <w:t>o de pintura e outras</w:t>
      </w:r>
      <w:r w:rsidR="0078588C" w:rsidRPr="007B60BF">
        <w:t xml:space="preserve"> </w:t>
      </w:r>
      <w:r w:rsidRPr="007B60BF">
        <w:t>express</w:t>
      </w:r>
      <w:r w:rsidRPr="007B60BF">
        <w:rPr>
          <w:rFonts w:hint="eastAsia"/>
        </w:rPr>
        <w:t>õ</w:t>
      </w:r>
      <w:r w:rsidRPr="007B60BF">
        <w:t>es art</w:t>
      </w:r>
      <w:r w:rsidRPr="007B60BF">
        <w:rPr>
          <w:rFonts w:hint="eastAsia"/>
        </w:rPr>
        <w:t>í</w:t>
      </w:r>
      <w:r w:rsidRPr="007B60BF">
        <w:t>sticas, levando leveza e inspira</w:t>
      </w:r>
      <w:r w:rsidRPr="007B60BF">
        <w:rPr>
          <w:rFonts w:hint="eastAsia"/>
        </w:rPr>
        <w:t>çã</w:t>
      </w:r>
      <w:r w:rsidRPr="007B60BF">
        <w:t xml:space="preserve">o </w:t>
      </w:r>
      <w:r w:rsidRPr="007B60BF">
        <w:rPr>
          <w:rFonts w:hint="eastAsia"/>
        </w:rPr>
        <w:t>à</w:t>
      </w:r>
      <w:r w:rsidRPr="007B60BF">
        <w:t xml:space="preserve"> rotina da comunidade interna.</w:t>
      </w:r>
    </w:p>
    <w:p w14:paraId="6D8A933D" w14:textId="00BCC12C" w:rsidR="007E03EF" w:rsidRPr="007B60BF" w:rsidRDefault="007E03EF" w:rsidP="00A03CE3">
      <w:pPr>
        <w:pStyle w:val="PargrafodaLista"/>
        <w:numPr>
          <w:ilvl w:val="0"/>
          <w:numId w:val="16"/>
        </w:numPr>
        <w:autoSpaceDE w:val="0"/>
        <w:autoSpaceDN w:val="0"/>
        <w:adjustRightInd w:val="0"/>
        <w:jc w:val="both"/>
      </w:pPr>
      <w:r w:rsidRPr="007B60BF">
        <w:t>Diversidade, equidade</w:t>
      </w:r>
      <w:r w:rsidR="0078588C" w:rsidRPr="007B60BF">
        <w:t xml:space="preserve"> </w:t>
      </w:r>
      <w:r w:rsidRPr="007B60BF">
        <w:t>e inclusão</w:t>
      </w:r>
      <w:r w:rsidR="0078588C" w:rsidRPr="007B60BF">
        <w:t xml:space="preserve">: </w:t>
      </w:r>
      <w:r w:rsidR="00E417F1" w:rsidRPr="007B60BF">
        <w:t>Em 2025, o HCPA manteve e ampliou ações</w:t>
      </w:r>
      <w:r w:rsidR="0078588C" w:rsidRPr="007B60BF">
        <w:t xml:space="preserve"> </w:t>
      </w:r>
      <w:r w:rsidR="00E417F1" w:rsidRPr="007B60BF">
        <w:t>voltadas à promoção da diversidade, da</w:t>
      </w:r>
      <w:r w:rsidR="0078588C" w:rsidRPr="007B60BF">
        <w:t xml:space="preserve"> </w:t>
      </w:r>
      <w:r w:rsidR="00E417F1" w:rsidRPr="007B60BF">
        <w:t>equidade e da inclusão.</w:t>
      </w:r>
      <w:r w:rsidR="0078588C" w:rsidRPr="007B60BF">
        <w:t xml:space="preserve"> </w:t>
      </w:r>
      <w:r w:rsidR="00E417F1" w:rsidRPr="007B60BF">
        <w:t>O hospital é signatário do Pacto pela</w:t>
      </w:r>
      <w:r w:rsidR="0078588C" w:rsidRPr="007B60BF">
        <w:t xml:space="preserve"> </w:t>
      </w:r>
      <w:r w:rsidR="00E417F1" w:rsidRPr="007B60BF">
        <w:t>Diversidade, Equidade e Inclusão das Empresas</w:t>
      </w:r>
      <w:r w:rsidR="0078588C" w:rsidRPr="007B60BF">
        <w:t xml:space="preserve"> </w:t>
      </w:r>
      <w:r w:rsidR="00E417F1" w:rsidRPr="007B60BF">
        <w:t>Estatais (promovido pelo Ministério da Gestão e</w:t>
      </w:r>
      <w:r w:rsidR="0078588C" w:rsidRPr="007B60BF">
        <w:t xml:space="preserve"> </w:t>
      </w:r>
      <w:r w:rsidR="00E417F1" w:rsidRPr="007B60BF">
        <w:t>da Inovação) e aderiu à 7ª edição do Programa</w:t>
      </w:r>
      <w:r w:rsidR="0078588C" w:rsidRPr="007B60BF">
        <w:t xml:space="preserve"> </w:t>
      </w:r>
      <w:r w:rsidR="00E417F1" w:rsidRPr="007B60BF">
        <w:t>Pró-Equidade de Gênero e Raça (iniciativa do</w:t>
      </w:r>
      <w:r w:rsidR="0078588C" w:rsidRPr="007B60BF">
        <w:t xml:space="preserve"> </w:t>
      </w:r>
      <w:r w:rsidR="00E417F1" w:rsidRPr="007B60BF">
        <w:t>Ministério das Mulheres em parceria com a ONU</w:t>
      </w:r>
      <w:r w:rsidR="0078588C" w:rsidRPr="007B60BF">
        <w:t xml:space="preserve"> </w:t>
      </w:r>
      <w:r w:rsidR="00E417F1" w:rsidRPr="007B60BF">
        <w:t>Mulheres e os ministérios da Igualdade Racial e</w:t>
      </w:r>
      <w:r w:rsidR="0078588C" w:rsidRPr="007B60BF">
        <w:t xml:space="preserve"> </w:t>
      </w:r>
      <w:r w:rsidR="00E417F1" w:rsidRPr="007B60BF">
        <w:t>do Trabalho).</w:t>
      </w:r>
    </w:p>
    <w:p w14:paraId="18ECA58F" w14:textId="77777777" w:rsidR="005C7F0B" w:rsidRDefault="005C7F0B" w:rsidP="00A03CE3">
      <w:pPr>
        <w:shd w:val="clear" w:color="auto" w:fill="FFFFFF"/>
        <w:jc w:val="both"/>
        <w:rPr>
          <w:b/>
        </w:rPr>
      </w:pPr>
    </w:p>
    <w:p w14:paraId="6CB2500C" w14:textId="0A88A04E" w:rsidR="00E417F1" w:rsidRPr="007B60BF" w:rsidRDefault="00C95D5D" w:rsidP="00A03CE3">
      <w:pPr>
        <w:shd w:val="clear" w:color="auto" w:fill="FFFFFF"/>
        <w:jc w:val="both"/>
        <w:rPr>
          <w:b/>
        </w:rPr>
      </w:pPr>
      <w:r>
        <w:rPr>
          <w:b/>
        </w:rPr>
        <w:t>Econômica</w:t>
      </w:r>
    </w:p>
    <w:p w14:paraId="7828D588" w14:textId="77777777" w:rsidR="00463FF9" w:rsidRPr="007B60BF" w:rsidRDefault="00463FF9" w:rsidP="001F08E4">
      <w:pPr>
        <w:autoSpaceDE w:val="0"/>
        <w:autoSpaceDN w:val="0"/>
        <w:adjustRightInd w:val="0"/>
        <w:jc w:val="both"/>
      </w:pPr>
    </w:p>
    <w:p w14:paraId="2C1666D4" w14:textId="02AF797D" w:rsidR="00E417F1" w:rsidRPr="007B60BF" w:rsidRDefault="00E417F1" w:rsidP="001F08E4">
      <w:pPr>
        <w:autoSpaceDE w:val="0"/>
        <w:autoSpaceDN w:val="0"/>
        <w:adjustRightInd w:val="0"/>
        <w:jc w:val="both"/>
      </w:pPr>
      <w:r w:rsidRPr="007B60BF">
        <w:t>No HCPA, o aspecto financeiro da</w:t>
      </w:r>
      <w:r w:rsidR="00463FF9" w:rsidRPr="007B60BF">
        <w:t xml:space="preserve"> </w:t>
      </w:r>
      <w:r w:rsidRPr="007B60BF">
        <w:t>sustentabilidade é compreendido</w:t>
      </w:r>
      <w:r w:rsidR="00463FF9" w:rsidRPr="007B60BF">
        <w:t xml:space="preserve"> </w:t>
      </w:r>
      <w:r w:rsidRPr="007B60BF">
        <w:t>como o pilar que viabiliza a</w:t>
      </w:r>
      <w:r w:rsidR="00A03CE3" w:rsidRPr="007B60BF">
        <w:t xml:space="preserve"> </w:t>
      </w:r>
      <w:r w:rsidRPr="007B60BF">
        <w:t>excelência no ensino, na pesquisa</w:t>
      </w:r>
      <w:r w:rsidR="00463FF9" w:rsidRPr="007B60BF">
        <w:t xml:space="preserve"> </w:t>
      </w:r>
      <w:r w:rsidRPr="007B60BF">
        <w:t>e na assistência à saúde. A gestão</w:t>
      </w:r>
      <w:r w:rsidR="00463FF9" w:rsidRPr="007B60BF">
        <w:t xml:space="preserve"> </w:t>
      </w:r>
      <w:r w:rsidR="007B3C8B" w:rsidRPr="007B60BF">
        <w:t xml:space="preserve">financeira </w:t>
      </w:r>
      <w:r w:rsidRPr="007B60BF">
        <w:t>não se limita ao</w:t>
      </w:r>
      <w:r w:rsidR="00463FF9" w:rsidRPr="007B60BF">
        <w:t xml:space="preserve"> </w:t>
      </w:r>
      <w:r w:rsidRPr="007B60BF">
        <w:t>equilíbrio de contas, mas foca na</w:t>
      </w:r>
      <w:r w:rsidR="00463FF9" w:rsidRPr="007B60BF">
        <w:t xml:space="preserve"> </w:t>
      </w:r>
      <w:r w:rsidRPr="007B60BF">
        <w:t>eficiência operacional e na</w:t>
      </w:r>
      <w:r w:rsidR="00463FF9" w:rsidRPr="007B60BF">
        <w:t xml:space="preserve"> </w:t>
      </w:r>
      <w:r w:rsidRPr="007B60BF">
        <w:t>responsabilidade fiscal, garantindo</w:t>
      </w:r>
      <w:r w:rsidR="00463FF9" w:rsidRPr="007B60BF">
        <w:t xml:space="preserve"> </w:t>
      </w:r>
      <w:r w:rsidRPr="007B60BF">
        <w:t>que cada recurso público investido</w:t>
      </w:r>
      <w:r w:rsidR="00463FF9" w:rsidRPr="007B60BF">
        <w:t xml:space="preserve"> </w:t>
      </w:r>
      <w:r w:rsidRPr="007B60BF">
        <w:t>retorne à sociedade na forma de</w:t>
      </w:r>
      <w:r w:rsidR="00463FF9" w:rsidRPr="007B60BF">
        <w:t xml:space="preserve"> </w:t>
      </w:r>
      <w:r w:rsidRPr="007B60BF">
        <w:t>serviços de alta complexidade e</w:t>
      </w:r>
      <w:r w:rsidR="00A03CE3" w:rsidRPr="007B60BF">
        <w:t xml:space="preserve"> </w:t>
      </w:r>
      <w:r w:rsidRPr="007B60BF">
        <w:t>inovação tecnológica.</w:t>
      </w:r>
      <w:r w:rsidR="00463FF9" w:rsidRPr="007B60BF">
        <w:t xml:space="preserve"> </w:t>
      </w:r>
      <w:r w:rsidRPr="007B60BF">
        <w:t>Para monitorar e reportar essa sustentabilidade, o HCPA fundamenta-se nos seguintes eixos:</w:t>
      </w:r>
    </w:p>
    <w:p w14:paraId="42BE2745" w14:textId="28C86D5B" w:rsidR="00E417F1" w:rsidRPr="007B60BF" w:rsidRDefault="00E417F1" w:rsidP="00A03CE3">
      <w:pPr>
        <w:pStyle w:val="PargrafodaLista"/>
        <w:numPr>
          <w:ilvl w:val="0"/>
          <w:numId w:val="17"/>
        </w:numPr>
        <w:autoSpaceDE w:val="0"/>
        <w:autoSpaceDN w:val="0"/>
        <w:adjustRightInd w:val="0"/>
        <w:jc w:val="both"/>
      </w:pPr>
      <w:r w:rsidRPr="007B60BF">
        <w:t>Eficiência no uso de recursos: monitoramento constante da captação de receitas próprias,</w:t>
      </w:r>
      <w:r w:rsidR="00A03CE3" w:rsidRPr="007B60BF">
        <w:t xml:space="preserve"> </w:t>
      </w:r>
      <w:r w:rsidRPr="007B60BF">
        <w:t>ades</w:t>
      </w:r>
      <w:r w:rsidRPr="007B60BF">
        <w:rPr>
          <w:rFonts w:hint="eastAsia"/>
        </w:rPr>
        <w:t>ã</w:t>
      </w:r>
      <w:r w:rsidRPr="007B60BF">
        <w:t>o a emendas parlamentares com projetos de qualifica</w:t>
      </w:r>
      <w:r w:rsidRPr="007B60BF">
        <w:rPr>
          <w:rFonts w:hint="eastAsia"/>
        </w:rPr>
        <w:t>çã</w:t>
      </w:r>
      <w:r w:rsidRPr="007B60BF">
        <w:t>o da infraestrutura tecnol</w:t>
      </w:r>
      <w:r w:rsidRPr="007B60BF">
        <w:rPr>
          <w:rFonts w:hint="eastAsia"/>
        </w:rPr>
        <w:t>ó</w:t>
      </w:r>
      <w:r w:rsidRPr="007B60BF">
        <w:t>gica,</w:t>
      </w:r>
      <w:r w:rsidR="00A03CE3" w:rsidRPr="007B60BF">
        <w:t xml:space="preserve"> </w:t>
      </w:r>
      <w:r w:rsidRPr="007B60BF">
        <w:t>bem como na aplica</w:t>
      </w:r>
      <w:r w:rsidRPr="007B60BF">
        <w:rPr>
          <w:rFonts w:hint="eastAsia"/>
        </w:rPr>
        <w:t>çã</w:t>
      </w:r>
      <w:r w:rsidRPr="007B60BF">
        <w:t>o de metodologia para utilização das verbas de capital.</w:t>
      </w:r>
    </w:p>
    <w:p w14:paraId="65A6F134" w14:textId="2DB79E3A" w:rsidR="00E417F1" w:rsidRPr="007B60BF" w:rsidRDefault="00E417F1" w:rsidP="00A03CE3">
      <w:pPr>
        <w:pStyle w:val="PargrafodaLista"/>
        <w:numPr>
          <w:ilvl w:val="0"/>
          <w:numId w:val="17"/>
        </w:numPr>
        <w:autoSpaceDE w:val="0"/>
        <w:autoSpaceDN w:val="0"/>
        <w:adjustRightInd w:val="0"/>
        <w:jc w:val="both"/>
      </w:pPr>
      <w:r w:rsidRPr="007B60BF">
        <w:t>Redução de desperdícios: implementa</w:t>
      </w:r>
      <w:r w:rsidRPr="007B60BF">
        <w:rPr>
          <w:rFonts w:hint="eastAsia"/>
        </w:rPr>
        <w:t>çã</w:t>
      </w:r>
      <w:r w:rsidRPr="007B60BF">
        <w:t>o de programas de gest</w:t>
      </w:r>
      <w:r w:rsidRPr="007B60BF">
        <w:rPr>
          <w:rFonts w:hint="eastAsia"/>
        </w:rPr>
        <w:t>ã</w:t>
      </w:r>
      <w:r w:rsidRPr="007B60BF">
        <w:t xml:space="preserve">o assistencial que visam </w:t>
      </w:r>
      <w:r w:rsidRPr="007B60BF">
        <w:rPr>
          <w:rFonts w:hint="eastAsia"/>
        </w:rPr>
        <w:t>à</w:t>
      </w:r>
      <w:r w:rsidR="00A03CE3" w:rsidRPr="007B60BF">
        <w:t xml:space="preserve"> </w:t>
      </w:r>
      <w:r w:rsidRPr="007B60BF">
        <w:t>redução da média de permanência e a taxa de cancelamentos de cirurgias por causas</w:t>
      </w:r>
      <w:r w:rsidR="00A03CE3" w:rsidRPr="007B60BF">
        <w:t xml:space="preserve"> </w:t>
      </w:r>
      <w:r w:rsidRPr="007B60BF">
        <w:t>hospitalares, o controle r</w:t>
      </w:r>
      <w:r w:rsidRPr="007B60BF">
        <w:rPr>
          <w:rFonts w:hint="eastAsia"/>
        </w:rPr>
        <w:t>í</w:t>
      </w:r>
      <w:r w:rsidRPr="007B60BF">
        <w:t>gido de estoques e a eficiência energética.</w:t>
      </w:r>
    </w:p>
    <w:p w14:paraId="6939403C" w14:textId="77777777" w:rsidR="00A03CE3" w:rsidRPr="007B60BF" w:rsidRDefault="00E417F1" w:rsidP="00A03CE3">
      <w:pPr>
        <w:pStyle w:val="PargrafodaLista"/>
        <w:numPr>
          <w:ilvl w:val="0"/>
          <w:numId w:val="17"/>
        </w:numPr>
        <w:autoSpaceDE w:val="0"/>
        <w:autoSpaceDN w:val="0"/>
        <w:adjustRightInd w:val="0"/>
        <w:jc w:val="both"/>
      </w:pPr>
      <w:r w:rsidRPr="007B60BF">
        <w:t>Impacto econômico das políticas públicas: avalia</w:t>
      </w:r>
      <w:r w:rsidRPr="007B60BF">
        <w:rPr>
          <w:rFonts w:hint="eastAsia"/>
        </w:rPr>
        <w:t>çã</w:t>
      </w:r>
      <w:r w:rsidRPr="007B60BF">
        <w:t>o do retorno social gerado pela assistência</w:t>
      </w:r>
      <w:r w:rsidR="00A03CE3" w:rsidRPr="007B60BF">
        <w:t xml:space="preserve"> </w:t>
      </w:r>
      <w:r w:rsidRPr="007B60BF">
        <w:t>à saúde pela forma</w:t>
      </w:r>
      <w:r w:rsidRPr="007B60BF">
        <w:rPr>
          <w:rFonts w:hint="eastAsia"/>
        </w:rPr>
        <w:t>çã</w:t>
      </w:r>
      <w:r w:rsidRPr="007B60BF">
        <w:t>o de profissionais de sa</w:t>
      </w:r>
      <w:r w:rsidRPr="007B60BF">
        <w:rPr>
          <w:rFonts w:hint="eastAsia"/>
        </w:rPr>
        <w:t>ú</w:t>
      </w:r>
      <w:r w:rsidRPr="007B60BF">
        <w:t>de e pelo desenvolvimento de pesquisas para o</w:t>
      </w:r>
      <w:r w:rsidR="00A03CE3" w:rsidRPr="007B60BF">
        <w:t xml:space="preserve"> </w:t>
      </w:r>
      <w:r w:rsidRPr="007B60BF">
        <w:t>avan</w:t>
      </w:r>
      <w:r w:rsidRPr="007B60BF">
        <w:rPr>
          <w:rFonts w:hint="eastAsia"/>
        </w:rPr>
        <w:t>ç</w:t>
      </w:r>
      <w:r w:rsidRPr="007B60BF">
        <w:t xml:space="preserve">o do Sistema </w:t>
      </w:r>
      <w:r w:rsidRPr="007B60BF">
        <w:rPr>
          <w:rFonts w:hint="eastAsia"/>
        </w:rPr>
        <w:t>Ú</w:t>
      </w:r>
      <w:r w:rsidRPr="007B60BF">
        <w:t>nico de Sa</w:t>
      </w:r>
      <w:r w:rsidRPr="007B60BF">
        <w:rPr>
          <w:rFonts w:hint="eastAsia"/>
        </w:rPr>
        <w:t>ú</w:t>
      </w:r>
      <w:r w:rsidRPr="007B60BF">
        <w:t>de (SUS).</w:t>
      </w:r>
    </w:p>
    <w:p w14:paraId="6EE92F55" w14:textId="0C013785" w:rsidR="00892233" w:rsidRPr="007B60BF" w:rsidRDefault="00AC54D4" w:rsidP="00AC54D4">
      <w:pPr>
        <w:pStyle w:val="PargrafodaLista"/>
        <w:numPr>
          <w:ilvl w:val="0"/>
          <w:numId w:val="17"/>
        </w:numPr>
        <w:autoSpaceDE w:val="0"/>
        <w:autoSpaceDN w:val="0"/>
        <w:adjustRightInd w:val="0"/>
        <w:jc w:val="both"/>
      </w:pPr>
      <w:r w:rsidRPr="007B60BF">
        <w:t xml:space="preserve">Captação de Receitas Próprias: </w:t>
      </w:r>
      <w:r w:rsidR="00892233" w:rsidRPr="007B60BF">
        <w:t>No exercício de 2025, o HCP</w:t>
      </w:r>
      <w:r w:rsidR="00201977" w:rsidRPr="007B60BF">
        <w:t xml:space="preserve">A alcançou um montante total de </w:t>
      </w:r>
      <w:r w:rsidR="00892233" w:rsidRPr="007B60BF">
        <w:t>R$ 385</w:t>
      </w:r>
      <w:r w:rsidR="007B3C8B" w:rsidRPr="007B60BF">
        <w:t>,8 milhões</w:t>
      </w:r>
      <w:r w:rsidR="00892233" w:rsidRPr="007B60BF">
        <w:t xml:space="preserve"> em receitas próprias, </w:t>
      </w:r>
      <w:r w:rsidRPr="007B60BF">
        <w:t xml:space="preserve">representando um crescimento de 12,3% </w:t>
      </w:r>
      <w:r w:rsidR="00892233" w:rsidRPr="007B60BF">
        <w:t>em relação ao ano anterior.</w:t>
      </w:r>
    </w:p>
    <w:p w14:paraId="1140DE66" w14:textId="611C9077" w:rsidR="00892233" w:rsidRPr="007B60BF" w:rsidRDefault="00892233" w:rsidP="007B3C8B">
      <w:pPr>
        <w:autoSpaceDE w:val="0"/>
        <w:autoSpaceDN w:val="0"/>
        <w:adjustRightInd w:val="0"/>
        <w:jc w:val="both"/>
      </w:pPr>
      <w:r w:rsidRPr="007B60BF">
        <w:t>A capacidade de investi</w:t>
      </w:r>
      <w:r w:rsidR="00491360" w:rsidRPr="007B60BF">
        <w:t xml:space="preserve">mento do HCPA em 2025 totalizou </w:t>
      </w:r>
      <w:r w:rsidRPr="007B60BF">
        <w:t>R$ 68</w:t>
      </w:r>
      <w:r w:rsidR="007B3C8B" w:rsidRPr="007B60BF">
        <w:t>, 3 milhões</w:t>
      </w:r>
      <w:r w:rsidRPr="007B60BF">
        <w:t>, destinados à modernização do parque tecnológico e contin</w:t>
      </w:r>
      <w:r w:rsidR="00491360" w:rsidRPr="007B60BF">
        <w:t>uidade operacional, tendo como f</w:t>
      </w:r>
      <w:r w:rsidRPr="007B60BF">
        <w:t xml:space="preserve">ontes de </w:t>
      </w:r>
      <w:r w:rsidR="00491360" w:rsidRPr="007B60BF">
        <w:t>f</w:t>
      </w:r>
      <w:r w:rsidRPr="007B60BF">
        <w:t>inanc</w:t>
      </w:r>
      <w:r w:rsidR="00491360" w:rsidRPr="007B60BF">
        <w:t xml:space="preserve">iamento </w:t>
      </w:r>
      <w:r w:rsidRPr="007B60BF">
        <w:t>recursos próprios/MEC (R$ 35,4</w:t>
      </w:r>
      <w:r w:rsidR="007B3C8B" w:rsidRPr="007B60BF">
        <w:t xml:space="preserve"> </w:t>
      </w:r>
      <w:r w:rsidRPr="007B60BF">
        <w:t>milhões),</w:t>
      </w:r>
      <w:r w:rsidR="00201977" w:rsidRPr="007B60BF">
        <w:t xml:space="preserve"> </w:t>
      </w:r>
      <w:r w:rsidRPr="007B60BF">
        <w:t>emendas parlamentares</w:t>
      </w:r>
      <w:r w:rsidR="00201977" w:rsidRPr="007B60BF">
        <w:t xml:space="preserve"> (R$ 4,2 milhões)</w:t>
      </w:r>
      <w:r w:rsidRPr="007B60BF">
        <w:t xml:space="preserve"> e parcerias estratégicas, como o projeto C</w:t>
      </w:r>
      <w:r w:rsidR="00201977" w:rsidRPr="007B60BF">
        <w:t>IONCO</w:t>
      </w:r>
      <w:r w:rsidRPr="007B60BF">
        <w:t xml:space="preserve"> </w:t>
      </w:r>
      <w:r w:rsidR="00201977" w:rsidRPr="007B60BF">
        <w:t>em parceria com o</w:t>
      </w:r>
      <w:r w:rsidRPr="007B60BF">
        <w:t xml:space="preserve"> Tribunal de Justiça do RS (R$ 20</w:t>
      </w:r>
      <w:r w:rsidR="00201977" w:rsidRPr="007B60BF">
        <w:t xml:space="preserve"> </w:t>
      </w:r>
      <w:r w:rsidRPr="007B60BF">
        <w:t>milh</w:t>
      </w:r>
      <w:r w:rsidR="00201977" w:rsidRPr="007B60BF">
        <w:t xml:space="preserve">ões) e o </w:t>
      </w:r>
      <w:r w:rsidR="007B3C8B" w:rsidRPr="007B60BF">
        <w:t>Centro Integrado de Tecnologia e Inova</w:t>
      </w:r>
      <w:r w:rsidR="007B3C8B" w:rsidRPr="007B60BF">
        <w:rPr>
          <w:rFonts w:hint="eastAsia"/>
        </w:rPr>
        <w:t>çã</w:t>
      </w:r>
      <w:r w:rsidR="007B3C8B" w:rsidRPr="007B60BF">
        <w:t>o (Citi)</w:t>
      </w:r>
      <w:r w:rsidR="00201977" w:rsidRPr="007B60BF">
        <w:t xml:space="preserve">, por meio de edital com o FINEP (R$ </w:t>
      </w:r>
      <w:r w:rsidRPr="007B60BF">
        <w:t>8,6 milhões).</w:t>
      </w:r>
    </w:p>
    <w:p w14:paraId="50772653" w14:textId="77777777" w:rsidR="00491360" w:rsidRPr="007B60BF" w:rsidRDefault="00491360" w:rsidP="001F08E4">
      <w:pPr>
        <w:shd w:val="clear" w:color="auto" w:fill="FFFFFF"/>
        <w:jc w:val="both"/>
      </w:pPr>
    </w:p>
    <w:p w14:paraId="3BBB18A2" w14:textId="3AA46660" w:rsidR="00CE1397" w:rsidRPr="007B60BF" w:rsidRDefault="00CE1397" w:rsidP="0053036D">
      <w:pPr>
        <w:tabs>
          <w:tab w:val="left" w:pos="851"/>
        </w:tabs>
        <w:jc w:val="both"/>
      </w:pPr>
    </w:p>
    <w:p w14:paraId="793BF044" w14:textId="33E0DC15" w:rsidR="005019ED" w:rsidRPr="007B60BF" w:rsidRDefault="005019ED" w:rsidP="00086B22">
      <w:pPr>
        <w:pStyle w:val="Ttulo1"/>
        <w:numPr>
          <w:ilvl w:val="0"/>
          <w:numId w:val="5"/>
        </w:numPr>
        <w:ind w:left="0" w:hanging="567"/>
        <w:jc w:val="left"/>
      </w:pPr>
      <w:bookmarkStart w:id="93" w:name="_Toc77959822"/>
      <w:bookmarkStart w:id="94" w:name="_Toc223007876"/>
      <w:r w:rsidRPr="007B60BF">
        <w:t>Eventos Subsequentes</w:t>
      </w:r>
      <w:bookmarkEnd w:id="93"/>
      <w:bookmarkEnd w:id="94"/>
    </w:p>
    <w:p w14:paraId="0B7D4F87" w14:textId="77777777" w:rsidR="005019ED" w:rsidRPr="007B60BF" w:rsidRDefault="005019ED" w:rsidP="005019ED">
      <w:pPr>
        <w:jc w:val="both"/>
      </w:pPr>
    </w:p>
    <w:p w14:paraId="7A1FD838" w14:textId="6E1445F2" w:rsidR="00490553" w:rsidRPr="007B60BF" w:rsidRDefault="00410802" w:rsidP="00D05E94">
      <w:pPr>
        <w:jc w:val="both"/>
      </w:pPr>
      <w:r w:rsidRPr="007B60BF">
        <w:t xml:space="preserve">De </w:t>
      </w:r>
      <w:r w:rsidR="004602BA" w:rsidRPr="007B60BF">
        <w:t xml:space="preserve">31 de dezembro de 2025 </w:t>
      </w:r>
      <w:r w:rsidR="005019ED" w:rsidRPr="007B60BF">
        <w:t xml:space="preserve">até </w:t>
      </w:r>
      <w:r w:rsidR="004602BA" w:rsidRPr="007B60BF">
        <w:t>3</w:t>
      </w:r>
      <w:r w:rsidR="00DB177E" w:rsidRPr="007B60BF">
        <w:t xml:space="preserve"> de</w:t>
      </w:r>
      <w:r w:rsidR="00EF3091" w:rsidRPr="007B60BF">
        <w:t xml:space="preserve"> </w:t>
      </w:r>
      <w:r w:rsidR="004602BA" w:rsidRPr="007B60BF">
        <w:t>março de 2026</w:t>
      </w:r>
      <w:r w:rsidR="005019ED" w:rsidRPr="007B60BF">
        <w:t xml:space="preserve">, data de </w:t>
      </w:r>
      <w:r w:rsidR="00717B2B" w:rsidRPr="007B60BF">
        <w:t>aprovação</w:t>
      </w:r>
      <w:r w:rsidR="005019ED" w:rsidRPr="007B60BF">
        <w:t xml:space="preserve"> destas demonstrações, não ocorreram quaisquer eventos que pudessem alterar de forma significativa a situação patrimonial, econômica e financeira nas demonstrações contábeis apresentadas.</w:t>
      </w:r>
    </w:p>
    <w:p w14:paraId="279C5FFA" w14:textId="48B394BB" w:rsidR="001D2D50" w:rsidRPr="007B60BF" w:rsidRDefault="001D2D50" w:rsidP="00D05E94">
      <w:pPr>
        <w:jc w:val="both"/>
      </w:pPr>
    </w:p>
    <w:p w14:paraId="2E001199" w14:textId="77777777" w:rsidR="001D2D50" w:rsidRPr="007B60BF" w:rsidRDefault="001D2D50" w:rsidP="001D2D50">
      <w:pPr>
        <w:jc w:val="both"/>
      </w:pPr>
    </w:p>
    <w:p w14:paraId="53AFD939" w14:textId="77777777" w:rsidR="001D2D50" w:rsidRPr="007B60BF" w:rsidRDefault="001D2D50" w:rsidP="001D2D50"/>
    <w:p w14:paraId="1C2D33DB" w14:textId="77777777" w:rsidR="001D2D50" w:rsidRPr="007B60BF" w:rsidRDefault="001D2D50" w:rsidP="001D2D50"/>
    <w:tbl>
      <w:tblPr>
        <w:tblW w:w="4638" w:type="pct"/>
        <w:tblLayout w:type="fixed"/>
        <w:tblLook w:val="01E0" w:firstRow="1" w:lastRow="1" w:firstColumn="1" w:lastColumn="1" w:noHBand="0" w:noVBand="0"/>
      </w:tblPr>
      <w:tblGrid>
        <w:gridCol w:w="8414"/>
      </w:tblGrid>
      <w:tr w:rsidR="001D2D50" w:rsidRPr="003F69C7" w14:paraId="65AEB09E" w14:textId="77777777" w:rsidTr="00E04D51">
        <w:trPr>
          <w:trHeight w:val="70"/>
        </w:trPr>
        <w:tc>
          <w:tcPr>
            <w:tcW w:w="5000" w:type="pct"/>
          </w:tcPr>
          <w:tbl>
            <w:tblPr>
              <w:tblW w:w="8894" w:type="dxa"/>
              <w:tblLayout w:type="fixed"/>
              <w:tblLook w:val="01E0" w:firstRow="1" w:lastRow="1" w:firstColumn="1" w:lastColumn="1" w:noHBand="0" w:noVBand="0"/>
            </w:tblPr>
            <w:tblGrid>
              <w:gridCol w:w="4536"/>
              <w:gridCol w:w="4358"/>
            </w:tblGrid>
            <w:tr w:rsidR="001D2D50" w:rsidRPr="007B60BF" w14:paraId="3BC0EBED" w14:textId="77777777" w:rsidTr="00E04D51">
              <w:tc>
                <w:tcPr>
                  <w:tcW w:w="4536" w:type="dxa"/>
                </w:tcPr>
                <w:p w14:paraId="0D2B0B5D" w14:textId="77777777" w:rsidR="001D2D50" w:rsidRPr="007B60BF" w:rsidRDefault="001D2D50" w:rsidP="00E04D51">
                  <w:pPr>
                    <w:jc w:val="center"/>
                  </w:pPr>
                  <w:r w:rsidRPr="007B60BF">
                    <w:t>Luciana Raupp Rios Wohlgemuth</w:t>
                  </w:r>
                </w:p>
              </w:tc>
              <w:tc>
                <w:tcPr>
                  <w:tcW w:w="4358" w:type="dxa"/>
                </w:tcPr>
                <w:p w14:paraId="475FA81B" w14:textId="77777777" w:rsidR="001D2D50" w:rsidRPr="007B60BF" w:rsidRDefault="001D2D50" w:rsidP="00E04D51">
                  <w:pPr>
                    <w:jc w:val="center"/>
                  </w:pPr>
                  <w:r w:rsidRPr="007B60BF">
                    <w:t>Juliana Zwetsch</w:t>
                  </w:r>
                </w:p>
              </w:tc>
            </w:tr>
            <w:tr w:rsidR="001D2D50" w:rsidRPr="003F69C7" w14:paraId="16925B55" w14:textId="77777777" w:rsidTr="007B60BF">
              <w:trPr>
                <w:trHeight w:val="87"/>
              </w:trPr>
              <w:tc>
                <w:tcPr>
                  <w:tcW w:w="4536" w:type="dxa"/>
                </w:tcPr>
                <w:p w14:paraId="7327ADF3" w14:textId="77777777" w:rsidR="001D2D50" w:rsidRPr="007B60BF" w:rsidRDefault="001D2D50" w:rsidP="00E04D51">
                  <w:pPr>
                    <w:jc w:val="center"/>
                  </w:pPr>
                  <w:r w:rsidRPr="007B60BF">
                    <w:t>Coordenadora Contábil - CRC/RS n° 69.663</w:t>
                  </w:r>
                </w:p>
              </w:tc>
              <w:tc>
                <w:tcPr>
                  <w:tcW w:w="4358" w:type="dxa"/>
                </w:tcPr>
                <w:p w14:paraId="54492EB9" w14:textId="77777777" w:rsidR="001D2D50" w:rsidRPr="003F69C7" w:rsidRDefault="001D2D50" w:rsidP="00E04D51">
                  <w:pPr>
                    <w:jc w:val="center"/>
                  </w:pPr>
                  <w:r w:rsidRPr="007B60BF">
                    <w:t>Contadora – CRC/RS nº 81.901</w:t>
                  </w:r>
                </w:p>
              </w:tc>
            </w:tr>
          </w:tbl>
          <w:p w14:paraId="07C6837B" w14:textId="77777777" w:rsidR="001D2D50" w:rsidRPr="003F69C7" w:rsidRDefault="001D2D50" w:rsidP="00E04D51">
            <w:pPr>
              <w:jc w:val="center"/>
            </w:pPr>
          </w:p>
        </w:tc>
      </w:tr>
    </w:tbl>
    <w:p w14:paraId="79BA7A4E" w14:textId="77777777" w:rsidR="001D2D50" w:rsidRPr="003F69C7" w:rsidRDefault="001D2D50" w:rsidP="001D2D50">
      <w:pPr>
        <w:jc w:val="both"/>
      </w:pPr>
    </w:p>
    <w:p w14:paraId="01F30B89" w14:textId="77777777" w:rsidR="001D2D50" w:rsidRPr="003F69C7" w:rsidRDefault="001D2D50" w:rsidP="001D2D50">
      <w:pPr>
        <w:jc w:val="both"/>
      </w:pPr>
    </w:p>
    <w:sectPr w:rsidR="001D2D50" w:rsidRPr="003F69C7" w:rsidSect="00941D4C">
      <w:headerReference w:type="first" r:id="rId16"/>
      <w:pgSz w:w="11906" w:h="16838" w:code="9"/>
      <w:pgMar w:top="1418" w:right="1134" w:bottom="851" w:left="1701"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D3E4" w16cex:dateUtc="2023-05-31T17:10:00Z"/>
  <w16cex:commentExtensible w16cex:durableId="282433C6" w16cex:dateUtc="2023-06-02T12:24:00Z"/>
  <w16cex:commentExtensible w16cex:durableId="28243502" w16cex:dateUtc="2023-06-02T12:29:00Z"/>
  <w16cex:commentExtensible w16cex:durableId="28243517" w16cex:dateUtc="2023-06-02T12:29:00Z"/>
  <w16cex:commentExtensible w16cex:durableId="282300EB" w16cex:dateUtc="2023-06-01T14:35:00Z"/>
  <w16cex:commentExtensible w16cex:durableId="2823078E" w16cex:dateUtc="2023-06-01T15:03:00Z"/>
  <w16cex:commentExtensible w16cex:durableId="2822DDA0" w16cex:dateUtc="2023-06-01T12:04:00Z"/>
  <w16cex:commentExtensible w16cex:durableId="2823129F" w16cex:dateUtc="2023-06-01T15:50:00Z"/>
  <w16cex:commentExtensible w16cex:durableId="2824353C" w16cex:dateUtc="2023-06-02T12:30:00Z"/>
  <w16cex:commentExtensible w16cex:durableId="28218DD6" w16cex:dateUtc="2023-05-31T12:11:00Z"/>
  <w16cex:commentExtensible w16cex:durableId="28218E8D" w16cex:dateUtc="2023-05-31T12:14:00Z"/>
  <w16cex:commentExtensible w16cex:durableId="28218EA4" w16cex:dateUtc="2023-05-31T12:15:00Z"/>
  <w16cex:commentExtensible w16cex:durableId="28233B74" w16cex:dateUtc="2023-06-01T18:44:00Z"/>
  <w16cex:commentExtensible w16cex:durableId="28218F0A" w16cex:dateUtc="2023-05-31T12:16:00Z"/>
  <w16cex:commentExtensible w16cex:durableId="282190A7" w16cex:dateUtc="2023-05-31T12:23:00Z"/>
  <w16cex:commentExtensible w16cex:durableId="2821907E" w16cex:dateUtc="2023-05-31T12:23:00Z"/>
  <w16cex:commentExtensible w16cex:durableId="28233B47" w16cex:dateUtc="2023-06-01T18:44:00Z"/>
  <w16cex:commentExtensible w16cex:durableId="282191AF" w16cex:dateUtc="2023-05-31T12:28:00Z"/>
  <w16cex:commentExtensible w16cex:durableId="28219293" w16cex:dateUtc="2023-05-31T12:32:00Z"/>
  <w16cex:commentExtensible w16cex:durableId="28232DE3" w16cex:dateUtc="2023-06-01T17:46:00Z"/>
  <w16cex:commentExtensible w16cex:durableId="282449D2" w16cex:dateUtc="2023-06-02T13:58:00Z"/>
  <w16cex:commentExtensible w16cex:durableId="28232E5A" w16cex:dateUtc="2023-06-01T17:48:00Z"/>
  <w16cex:commentExtensible w16cex:durableId="28244A42" w16cex:dateUtc="2023-06-02T14:00:00Z"/>
  <w16cex:commentExtensible w16cex:durableId="28219464" w16cex:dateUtc="2023-05-31T12:39:00Z"/>
  <w16cex:commentExtensible w16cex:durableId="28244B31" w16cex:dateUtc="2023-06-02T14:04:00Z"/>
  <w16cex:commentExtensible w16cex:durableId="28244B43" w16cex:dateUtc="2023-06-02T14:04:00Z"/>
  <w16cex:commentExtensible w16cex:durableId="282195E7" w16cex:dateUtc="2023-05-31T12:46:00Z"/>
  <w16cex:commentExtensible w16cex:durableId="28219673" w16cex:dateUtc="2023-05-31T12:48:00Z"/>
  <w16cex:commentExtensible w16cex:durableId="28219709" w16cex:dateUtc="2023-05-31T12:51:00Z"/>
  <w16cex:commentExtensible w16cex:durableId="2821975E" w16cex:dateUtc="2023-05-31T12:52:00Z"/>
  <w16cex:commentExtensible w16cex:durableId="2821976A" w16cex:dateUtc="2023-05-31T12:52:00Z"/>
  <w16cex:commentExtensible w16cex:durableId="28233AAB" w16cex:dateUtc="2023-06-01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E2647" w16cid:durableId="2821D3E4"/>
  <w16cid:commentId w16cid:paraId="1EFFBFAB" w16cid:durableId="282433C6"/>
  <w16cid:commentId w16cid:paraId="4D1CF809" w16cid:durableId="28243502"/>
  <w16cid:commentId w16cid:paraId="5C5741F8" w16cid:durableId="28243517"/>
  <w16cid:commentId w16cid:paraId="215B6B75" w16cid:durableId="282300EB"/>
  <w16cid:commentId w16cid:paraId="1C2AD968" w16cid:durableId="2823078E"/>
  <w16cid:commentId w16cid:paraId="2E9571A4" w16cid:durableId="2822DDA0"/>
  <w16cid:commentId w16cid:paraId="543C87A1" w16cid:durableId="2823129F"/>
  <w16cid:commentId w16cid:paraId="13670663" w16cid:durableId="2824353C"/>
  <w16cid:commentId w16cid:paraId="7B12C582" w16cid:durableId="28218DD6"/>
  <w16cid:commentId w16cid:paraId="1ED54706" w16cid:durableId="28218E8D"/>
  <w16cid:commentId w16cid:paraId="76CE41BB" w16cid:durableId="28218EA4"/>
  <w16cid:commentId w16cid:paraId="1DB5197D" w16cid:durableId="28233B74"/>
  <w16cid:commentId w16cid:paraId="308898B3" w16cid:durableId="28218F0A"/>
  <w16cid:commentId w16cid:paraId="1842911E" w16cid:durableId="282190A7"/>
  <w16cid:commentId w16cid:paraId="2B2A33A8" w16cid:durableId="2821907E"/>
  <w16cid:commentId w16cid:paraId="682AC53A" w16cid:durableId="28233B47"/>
  <w16cid:commentId w16cid:paraId="1E349466" w16cid:durableId="282191AF"/>
  <w16cid:commentId w16cid:paraId="4A9C04DD" w16cid:durableId="28219293"/>
  <w16cid:commentId w16cid:paraId="10FB3521" w16cid:durableId="28232DE3"/>
  <w16cid:commentId w16cid:paraId="2B0F5041" w16cid:durableId="282449D2"/>
  <w16cid:commentId w16cid:paraId="21664706" w16cid:durableId="28232E5A"/>
  <w16cid:commentId w16cid:paraId="74BE62B0" w16cid:durableId="28244A42"/>
  <w16cid:commentId w16cid:paraId="3E227059" w16cid:durableId="28219464"/>
  <w16cid:commentId w16cid:paraId="7ABB0802" w16cid:durableId="28244B31"/>
  <w16cid:commentId w16cid:paraId="0DAFD9EC" w16cid:durableId="28244B43"/>
  <w16cid:commentId w16cid:paraId="08ACF338" w16cid:durableId="282195E7"/>
  <w16cid:commentId w16cid:paraId="4B5DDD14" w16cid:durableId="28219673"/>
  <w16cid:commentId w16cid:paraId="5D45CAB4" w16cid:durableId="28219709"/>
  <w16cid:commentId w16cid:paraId="0C436300" w16cid:durableId="2821975E"/>
  <w16cid:commentId w16cid:paraId="3AABC443" w16cid:durableId="2821976A"/>
  <w16cid:commentId w16cid:paraId="0CEEFE10" w16cid:durableId="28233A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CE71" w14:textId="77777777" w:rsidR="00374747" w:rsidRDefault="00374747">
      <w:r>
        <w:separator/>
      </w:r>
    </w:p>
  </w:endnote>
  <w:endnote w:type="continuationSeparator" w:id="0">
    <w:p w14:paraId="728467DC" w14:textId="77777777" w:rsidR="00374747" w:rsidRDefault="0037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iraSansCondensed-Mediu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633375"/>
      <w:docPartObj>
        <w:docPartGallery w:val="Page Numbers (Bottom of Page)"/>
        <w:docPartUnique/>
      </w:docPartObj>
    </w:sdtPr>
    <w:sdtContent>
      <w:p w14:paraId="2810259E" w14:textId="1ABEDF8F" w:rsidR="00374747" w:rsidRDefault="00374747" w:rsidP="00941D4C">
        <w:pPr>
          <w:pStyle w:val="Rodap"/>
          <w:jc w:val="right"/>
        </w:pPr>
        <w:r>
          <w:fldChar w:fldCharType="begin"/>
        </w:r>
        <w:r>
          <w:instrText>PAGE   \* MERGEFORMAT</w:instrText>
        </w:r>
        <w:r>
          <w:fldChar w:fldCharType="separate"/>
        </w:r>
        <w:r w:rsidR="00BD083A">
          <w:rPr>
            <w:noProof/>
          </w:rPr>
          <w:t>19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F604" w14:textId="77777777" w:rsidR="00374747" w:rsidRDefault="00374747" w:rsidP="00E56393">
    <w:pPr>
      <w:pStyle w:val="Rodap"/>
      <w:ind w:left="-567"/>
      <w:jc w:val="right"/>
    </w:pPr>
    <w:r>
      <w:rPr>
        <w:noProof/>
      </w:rPr>
      <w:drawing>
        <wp:inline distT="0" distB="0" distL="0" distR="0" wp14:anchorId="696D6DCF" wp14:editId="021D6233">
          <wp:extent cx="6114415" cy="533400"/>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33400"/>
                  </a:xfrm>
                  <a:prstGeom prst="rect">
                    <a:avLst/>
                  </a:prstGeom>
                  <a:noFill/>
                </pic:spPr>
              </pic:pic>
            </a:graphicData>
          </a:graphic>
        </wp:inline>
      </w:drawing>
    </w:r>
  </w:p>
  <w:p w14:paraId="5C51C082" w14:textId="77777777" w:rsidR="00374747" w:rsidRDefault="003747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92A7" w14:textId="77777777" w:rsidR="00374747" w:rsidRDefault="00374747">
      <w:r>
        <w:separator/>
      </w:r>
    </w:p>
  </w:footnote>
  <w:footnote w:type="continuationSeparator" w:id="0">
    <w:p w14:paraId="79EFB169" w14:textId="77777777" w:rsidR="00374747" w:rsidRDefault="00374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44C1" w14:textId="77777777" w:rsidR="00374747" w:rsidRDefault="00374747" w:rsidP="009F4A48">
    <w:pPr>
      <w:pStyle w:val="Cabealho"/>
    </w:pPr>
    <w:r>
      <w:rPr>
        <w:noProof/>
      </w:rPr>
      <w:drawing>
        <wp:anchor distT="0" distB="0" distL="114300" distR="114300" simplePos="0" relativeHeight="251659264" behindDoc="1" locked="0" layoutInCell="1" allowOverlap="1" wp14:anchorId="59EE9840" wp14:editId="0C6828EE">
          <wp:simplePos x="0" y="0"/>
          <wp:positionH relativeFrom="column">
            <wp:posOffset>-342265</wp:posOffset>
          </wp:positionH>
          <wp:positionV relativeFrom="paragraph">
            <wp:posOffset>-163385</wp:posOffset>
          </wp:positionV>
          <wp:extent cx="6148705" cy="898525"/>
          <wp:effectExtent l="0" t="0" r="4445" b="0"/>
          <wp:wrapNone/>
          <wp:docPr id="1" name="Imagem 1"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B4A74" w14:textId="77777777" w:rsidR="00374747" w:rsidRDefault="00374747" w:rsidP="009F4A48">
    <w:pPr>
      <w:pStyle w:val="Cabealho"/>
    </w:pPr>
  </w:p>
  <w:p w14:paraId="4AF4004D" w14:textId="77777777" w:rsidR="00374747" w:rsidRDefault="00374747" w:rsidP="002A4D93">
    <w:pPr>
      <w:pStyle w:val="Ttulo2"/>
      <w:jc w:val="left"/>
      <w:rPr>
        <w:b w:val="0"/>
        <w:sz w:val="20"/>
      </w:rPr>
    </w:pPr>
  </w:p>
  <w:p w14:paraId="0DBC7195" w14:textId="77777777" w:rsidR="00374747" w:rsidRDefault="00374747" w:rsidP="002A4D93">
    <w:pPr>
      <w:pStyle w:val="Ttulo2"/>
      <w:jc w:val="left"/>
      <w:rPr>
        <w:b w:val="0"/>
        <w:sz w:val="20"/>
      </w:rPr>
    </w:pPr>
  </w:p>
  <w:p w14:paraId="115E247E" w14:textId="77777777" w:rsidR="00374747" w:rsidRDefault="00374747" w:rsidP="003374A7">
    <w:pPr>
      <w:pStyle w:val="Ttulo1"/>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044AA" w14:textId="77777777" w:rsidR="00374747" w:rsidRDefault="00374747" w:rsidP="00E44829">
    <w:pPr>
      <w:pStyle w:val="Cabealho"/>
    </w:pPr>
    <w:r>
      <w:rPr>
        <w:noProof/>
      </w:rPr>
      <w:drawing>
        <wp:anchor distT="0" distB="0" distL="114300" distR="114300" simplePos="0" relativeHeight="251657216" behindDoc="1" locked="0" layoutInCell="1" allowOverlap="1" wp14:anchorId="7478E745" wp14:editId="12F6F3BA">
          <wp:simplePos x="0" y="0"/>
          <wp:positionH relativeFrom="column">
            <wp:posOffset>-343535</wp:posOffset>
          </wp:positionH>
          <wp:positionV relativeFrom="paragraph">
            <wp:posOffset>-153109</wp:posOffset>
          </wp:positionV>
          <wp:extent cx="6148705" cy="898525"/>
          <wp:effectExtent l="0" t="0" r="4445" b="0"/>
          <wp:wrapNone/>
          <wp:docPr id="2" name="Imagem 2"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71C20" w14:textId="77777777" w:rsidR="00374747" w:rsidRDefault="00374747" w:rsidP="00E44829">
    <w:pPr>
      <w:pStyle w:val="Cabealho"/>
    </w:pPr>
  </w:p>
  <w:p w14:paraId="187EE6D2" w14:textId="77777777" w:rsidR="00374747" w:rsidRDefault="00374747" w:rsidP="00E44829">
    <w:pPr>
      <w:pStyle w:val="Cabealho"/>
    </w:pPr>
  </w:p>
  <w:p w14:paraId="5769CF0B" w14:textId="77777777" w:rsidR="00374747" w:rsidRDefault="00374747" w:rsidP="00E44829">
    <w:pPr>
      <w:pStyle w:val="Cabealho"/>
    </w:pPr>
  </w:p>
  <w:p w14:paraId="1138C126" w14:textId="77777777" w:rsidR="00374747" w:rsidRDefault="00374747" w:rsidP="000D436E">
    <w:pPr>
      <w:pStyle w:val="Cabealho"/>
    </w:pPr>
    <w:sdt>
      <w:sdtPr>
        <w:id w:val="276292429"/>
        <w:docPartObj>
          <w:docPartGallery w:val="Page Numbers (Margins)"/>
          <w:docPartUnique/>
        </w:docPartObj>
      </w:sdtPr>
      <w:sdtContent>
        <w:r>
          <w:rPr>
            <w:noProof/>
          </w:rPr>
          <mc:AlternateContent>
            <mc:Choice Requires="wps">
              <w:drawing>
                <wp:anchor distT="0" distB="0" distL="114300" distR="114300" simplePos="0" relativeHeight="251652096" behindDoc="0" locked="0" layoutInCell="0" allowOverlap="1" wp14:anchorId="77AC461E" wp14:editId="26F0E211">
                  <wp:simplePos x="0" y="0"/>
                  <wp:positionH relativeFrom="rightMargin">
                    <wp:align>center</wp:align>
                  </wp:positionH>
                  <wp:positionV relativeFrom="margin">
                    <wp:align>bottom</wp:align>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139DB" w14:textId="77777777" w:rsidR="00374747" w:rsidRDefault="00374747">
                              <w:pPr>
                                <w:pStyle w:val="Rodap"/>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7AC461E" id="Retângulo 3" o:spid="_x0000_s1026" style="position:absolute;margin-left:0;margin-top:0;width:40.2pt;height:171.9pt;z-index:2516520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025139DB" w14:textId="77777777" w:rsidR="00374747" w:rsidRDefault="00374747">
                        <w:pPr>
                          <w:pStyle w:val="Rodap"/>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8BA5" w14:textId="77777777" w:rsidR="00374747" w:rsidRDefault="00374747" w:rsidP="009F4A48">
    <w:pPr>
      <w:pStyle w:val="Cabealho"/>
    </w:pPr>
    <w:r>
      <w:rPr>
        <w:noProof/>
      </w:rPr>
      <w:drawing>
        <wp:anchor distT="0" distB="0" distL="114300" distR="114300" simplePos="0" relativeHeight="251664384" behindDoc="1" locked="0" layoutInCell="1" allowOverlap="1" wp14:anchorId="1DD08A89" wp14:editId="3F18E0FA">
          <wp:simplePos x="0" y="0"/>
          <wp:positionH relativeFrom="column">
            <wp:posOffset>-387870</wp:posOffset>
          </wp:positionH>
          <wp:positionV relativeFrom="paragraph">
            <wp:posOffset>-271689</wp:posOffset>
          </wp:positionV>
          <wp:extent cx="6148705" cy="898525"/>
          <wp:effectExtent l="0" t="0" r="4445" b="0"/>
          <wp:wrapNone/>
          <wp:docPr id="20" name="Imagem 20" descr="cabeç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870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03E19" w14:textId="0C16DDE9" w:rsidR="00374747" w:rsidRDefault="00374747" w:rsidP="004A62B9">
    <w:pPr>
      <w:pStyle w:val="Ttulo2"/>
      <w:jc w:val="left"/>
      <w:rPr>
        <w:b w:val="0"/>
        <w:sz w:val="20"/>
      </w:rPr>
    </w:pPr>
  </w:p>
  <w:p w14:paraId="644BF6B4" w14:textId="362C31B6" w:rsidR="00374747" w:rsidRDefault="00374747" w:rsidP="00941D4C"/>
  <w:p w14:paraId="587BEB62" w14:textId="168D2CC9" w:rsidR="00374747" w:rsidRDefault="00374747" w:rsidP="00B66EEB">
    <w:pPr>
      <w:tabs>
        <w:tab w:val="left" w:pos="8670"/>
      </w:tabs>
    </w:pPr>
    <w:r>
      <w:tab/>
    </w:r>
  </w:p>
  <w:p w14:paraId="175C1521" w14:textId="77777777" w:rsidR="00374747" w:rsidRPr="00941D4C" w:rsidRDefault="00374747" w:rsidP="00941D4C"/>
  <w:p w14:paraId="191B2FB5" w14:textId="77777777" w:rsidR="00374747" w:rsidRDefault="00374747" w:rsidP="00DE61D0">
    <w:pPr>
      <w:pStyle w:val="Ttulo1"/>
      <w:ind w:left="-567"/>
      <w:jc w:val="left"/>
    </w:pPr>
    <w:r>
      <w:t>Demonstrações Contábeis</w:t>
    </w:r>
  </w:p>
  <w:p w14:paraId="4301F883" w14:textId="38AA45A0" w:rsidR="00374747" w:rsidRPr="00F44460" w:rsidRDefault="00374747" w:rsidP="00DE61D0">
    <w:pPr>
      <w:pStyle w:val="Ttulo2"/>
      <w:tabs>
        <w:tab w:val="left" w:pos="7602"/>
      </w:tabs>
      <w:ind w:left="-567"/>
      <w:jc w:val="left"/>
      <w:rPr>
        <w:sz w:val="16"/>
        <w:szCs w:val="16"/>
      </w:rPr>
    </w:pPr>
    <w:r>
      <w:rPr>
        <w:sz w:val="20"/>
      </w:rPr>
      <w:t>Exercício findo em 31 de dezembro de 2025</w:t>
    </w:r>
    <w:r w:rsidRPr="00F44460">
      <w:rPr>
        <w:sz w:val="20"/>
      </w:rPr>
      <w:br/>
    </w:r>
    <w:r w:rsidRPr="00F44460">
      <w:rPr>
        <w:sz w:val="16"/>
        <w:szCs w:val="16"/>
      </w:rPr>
      <w:t>Em reais</w:t>
    </w:r>
    <w:r>
      <w:rPr>
        <w:sz w:val="16"/>
        <w:szCs w:val="16"/>
      </w:rPr>
      <w:t xml:space="preserve"> mil</w:t>
    </w:r>
    <w:r w:rsidRPr="00F44460">
      <w:rPr>
        <w:sz w:val="16"/>
        <w:szCs w:val="16"/>
      </w:rPr>
      <w:t>, exceto quando indicado de outra forma</w:t>
    </w:r>
  </w:p>
  <w:p w14:paraId="3DA7978D" w14:textId="77777777" w:rsidR="00374747" w:rsidRPr="009F4A48" w:rsidRDefault="00374747" w:rsidP="009F4A4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443A" w14:textId="77777777" w:rsidR="00374747" w:rsidRDefault="00374747" w:rsidP="00E44829">
    <w:pPr>
      <w:pStyle w:val="Cabealho"/>
    </w:pPr>
    <w:sdt>
      <w:sdtPr>
        <w:id w:val="-1606337774"/>
        <w:docPartObj>
          <w:docPartGallery w:val="Page Numbers (Margins)"/>
          <w:docPartUnique/>
        </w:docPartObj>
      </w:sdtPr>
      <w:sdtContent>
        <w:r>
          <w:rPr>
            <w:noProof/>
          </w:rPr>
          <mc:AlternateContent>
            <mc:Choice Requires="wps">
              <w:drawing>
                <wp:anchor distT="0" distB="0" distL="114300" distR="114300" simplePos="0" relativeHeight="251660288" behindDoc="0" locked="0" layoutInCell="0" allowOverlap="1" wp14:anchorId="3A8E9FCA" wp14:editId="6C046388">
                  <wp:simplePos x="0" y="0"/>
                  <wp:positionH relativeFrom="rightMargin">
                    <wp:align>center</wp:align>
                  </wp:positionH>
                  <wp:positionV relativeFrom="margin">
                    <wp:align>bottom</wp:align>
                  </wp:positionV>
                  <wp:extent cx="510540" cy="2183130"/>
                  <wp:effectExtent l="0" t="0" r="0" b="0"/>
                  <wp:wrapNone/>
                  <wp:docPr id="7"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30E7" w14:textId="77777777" w:rsidR="00374747" w:rsidRPr="009D32C1" w:rsidRDefault="00374747">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8E9FCA" id="_x0000_s1027"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AR6nJq1AgAApQ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3E5330E7" w14:textId="77777777" w:rsidR="00374747" w:rsidRPr="009D32C1" w:rsidRDefault="00374747">
                        <w:pPr>
                          <w:pStyle w:val="Rodap"/>
                          <w:rPr>
                            <w:rFonts w:eastAsiaTheme="majorEastAsia"/>
                            <w:sz w:val="16"/>
                            <w:szCs w:val="16"/>
                          </w:rPr>
                        </w:pPr>
                      </w:p>
                    </w:txbxContent>
                  </v:textbox>
                  <w10:wrap anchorx="margin" anchory="margin"/>
                </v:rect>
              </w:pict>
            </mc:Fallback>
          </mc:AlternateContent>
        </w:r>
      </w:sdtContent>
    </w:sdt>
    <w:r>
      <w:rPr>
        <w:noProof/>
      </w:rPr>
      <w:drawing>
        <wp:anchor distT="0" distB="0" distL="114300" distR="114300" simplePos="0" relativeHeight="251650048" behindDoc="1" locked="0" layoutInCell="1" allowOverlap="1" wp14:anchorId="47F0C848" wp14:editId="7F6B41FA">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1" name="Imagem 21"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6B047E6" w14:textId="77777777" w:rsidR="00374747" w:rsidRDefault="00374747" w:rsidP="00E44829">
    <w:pPr>
      <w:pStyle w:val="Cabealho"/>
    </w:pPr>
  </w:p>
  <w:p w14:paraId="43C332CC" w14:textId="77777777" w:rsidR="00374747" w:rsidRDefault="00374747" w:rsidP="00E44829">
    <w:pPr>
      <w:pStyle w:val="Cabealho"/>
    </w:pPr>
  </w:p>
  <w:p w14:paraId="328099B2" w14:textId="77777777" w:rsidR="00374747" w:rsidRDefault="00374747" w:rsidP="00E44829">
    <w:pPr>
      <w:pStyle w:val="Ttulo2"/>
      <w:jc w:val="left"/>
      <w:rPr>
        <w:b w:val="0"/>
        <w:sz w:val="20"/>
      </w:rPr>
    </w:pPr>
  </w:p>
  <w:p w14:paraId="0A95167D" w14:textId="77777777" w:rsidR="00374747" w:rsidRDefault="00374747" w:rsidP="00E44829">
    <w:pPr>
      <w:pStyle w:val="Ttulo2"/>
      <w:jc w:val="left"/>
      <w:rPr>
        <w:b w:val="0"/>
        <w:sz w:val="20"/>
      </w:rPr>
    </w:pPr>
  </w:p>
  <w:p w14:paraId="148C5E34" w14:textId="77777777" w:rsidR="00374747" w:rsidRPr="00CD7310" w:rsidRDefault="00374747" w:rsidP="00DC261B">
    <w:pPr>
      <w:pStyle w:val="Ttulo1"/>
      <w:jc w:val="left"/>
    </w:pPr>
    <w:r>
      <w:t>Demonstrações Financeiras</w:t>
    </w:r>
  </w:p>
  <w:p w14:paraId="6806AB7C" w14:textId="77777777" w:rsidR="00374747" w:rsidRDefault="00374747" w:rsidP="00B57CE3">
    <w:pPr>
      <w:pStyle w:val="Ttulo2"/>
      <w:jc w:val="left"/>
      <w:rPr>
        <w:sz w:val="16"/>
        <w:szCs w:val="16"/>
      </w:rPr>
    </w:pPr>
    <w:r>
      <w:rPr>
        <w:sz w:val="20"/>
      </w:rPr>
      <w:t xml:space="preserve">Período findo em 30 de junho </w:t>
    </w:r>
    <w:r w:rsidRPr="00F44460">
      <w:rPr>
        <w:sz w:val="20"/>
      </w:rPr>
      <w:t xml:space="preserve"> </w:t>
    </w:r>
    <w:r>
      <w:rPr>
        <w:sz w:val="20"/>
      </w:rPr>
      <w:t>de 2019</w:t>
    </w:r>
    <w:r w:rsidRPr="00F44460">
      <w:rPr>
        <w:sz w:val="20"/>
      </w:rPr>
      <w:br/>
    </w:r>
    <w:r w:rsidRPr="00F44460">
      <w:rPr>
        <w:sz w:val="16"/>
        <w:szCs w:val="16"/>
      </w:rPr>
      <w:t>Em reais</w:t>
    </w:r>
    <w:r>
      <w:rPr>
        <w:sz w:val="16"/>
        <w:szCs w:val="16"/>
      </w:rPr>
      <w:t xml:space="preserve"> mil</w:t>
    </w:r>
  </w:p>
  <w:p w14:paraId="62ED8F88" w14:textId="77777777" w:rsidR="00374747" w:rsidRPr="00A82EFE" w:rsidRDefault="00374747" w:rsidP="00A82EF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A4B3" w14:textId="77777777" w:rsidR="00374747" w:rsidRDefault="00374747" w:rsidP="00E44829">
    <w:pPr>
      <w:pStyle w:val="Cabealho"/>
    </w:pPr>
    <w:sdt>
      <w:sdtPr>
        <w:id w:val="1821617786"/>
        <w:docPartObj>
          <w:docPartGallery w:val="Page Numbers (Margins)"/>
          <w:docPartUnique/>
        </w:docPartObj>
      </w:sdtPr>
      <w:sdtContent>
        <w:r>
          <w:rPr>
            <w:noProof/>
          </w:rPr>
          <mc:AlternateContent>
            <mc:Choice Requires="wps">
              <w:drawing>
                <wp:anchor distT="0" distB="0" distL="114300" distR="114300" simplePos="0" relativeHeight="251662336" behindDoc="0" locked="0" layoutInCell="0" allowOverlap="1" wp14:anchorId="6E4B54D0" wp14:editId="50CF1179">
                  <wp:simplePos x="0" y="0"/>
                  <wp:positionH relativeFrom="rightMargin">
                    <wp:align>center</wp:align>
                  </wp:positionH>
                  <wp:positionV relativeFrom="margin">
                    <wp:align>bottom</wp:align>
                  </wp:positionV>
                  <wp:extent cx="510540" cy="2183130"/>
                  <wp:effectExtent l="0" t="0" r="0" b="0"/>
                  <wp:wrapNone/>
                  <wp:docPr id="10"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A9CA" w14:textId="77777777" w:rsidR="00374747" w:rsidRPr="009D32C1" w:rsidRDefault="00374747">
                              <w:pPr>
                                <w:pStyle w:val="Rodap"/>
                                <w:rPr>
                                  <w:rFonts w:eastAsiaTheme="majorEastAsia"/>
                                  <w:sz w:val="16"/>
                                  <w:szCs w:val="16"/>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E4B54D0" id="_x0000_s1028"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" o:allowincell="f" filled="f" stroked="f">
                  <v:textbox style="layout-flow:vertical;mso-layout-flow-alt:bottom-to-top;mso-fit-shape-to-text:t">
                    <w:txbxContent>
                      <w:p w14:paraId="2E82A9CA" w14:textId="77777777" w:rsidR="00374747" w:rsidRPr="009D32C1" w:rsidRDefault="00374747">
                        <w:pPr>
                          <w:pStyle w:val="Rodap"/>
                          <w:rPr>
                            <w:rFonts w:eastAsiaTheme="majorEastAsia"/>
                            <w:sz w:val="16"/>
                            <w:szCs w:val="16"/>
                          </w:rPr>
                        </w:pPr>
                      </w:p>
                    </w:txbxContent>
                  </v:textbox>
                  <w10:wrap anchorx="margin" anchory="margin"/>
                </v:rect>
              </w:pict>
            </mc:Fallback>
          </mc:AlternateContent>
        </w:r>
      </w:sdtContent>
    </w:sdt>
    <w:r>
      <w:rPr>
        <w:noProof/>
      </w:rPr>
      <w:drawing>
        <wp:anchor distT="0" distB="0" distL="114300" distR="114300" simplePos="0" relativeHeight="251654144" behindDoc="1" locked="0" layoutInCell="1" allowOverlap="1" wp14:anchorId="689E9C85" wp14:editId="32DE4053">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2" name="Imagem 22"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3A523D7F" w14:textId="77777777" w:rsidR="00374747" w:rsidRDefault="00374747" w:rsidP="00E44829">
    <w:pPr>
      <w:pStyle w:val="Cabealho"/>
    </w:pPr>
  </w:p>
  <w:p w14:paraId="000DFC25" w14:textId="77777777" w:rsidR="00374747" w:rsidRDefault="00374747" w:rsidP="00E44829">
    <w:pPr>
      <w:pStyle w:val="Cabealho"/>
    </w:pPr>
  </w:p>
  <w:p w14:paraId="338EC41A" w14:textId="77777777" w:rsidR="00374747" w:rsidRDefault="00374747" w:rsidP="00E44829">
    <w:pPr>
      <w:pStyle w:val="Ttulo2"/>
      <w:jc w:val="left"/>
      <w:rPr>
        <w:b w:val="0"/>
        <w:sz w:val="20"/>
      </w:rPr>
    </w:pPr>
  </w:p>
  <w:p w14:paraId="0705D6D1" w14:textId="77777777" w:rsidR="00374747" w:rsidRDefault="00374747" w:rsidP="00E44829">
    <w:pPr>
      <w:pStyle w:val="Ttulo2"/>
      <w:jc w:val="left"/>
      <w:rPr>
        <w:b w:val="0"/>
        <w:sz w:val="20"/>
      </w:rPr>
    </w:pPr>
  </w:p>
  <w:p w14:paraId="060EC7FA" w14:textId="77777777" w:rsidR="00374747" w:rsidRPr="00CD7310" w:rsidRDefault="00374747" w:rsidP="00DC261B">
    <w:pPr>
      <w:pStyle w:val="Ttulo1"/>
      <w:jc w:val="left"/>
    </w:pPr>
    <w:r>
      <w:t>Demonstrações Financeiras</w:t>
    </w:r>
  </w:p>
  <w:p w14:paraId="001A7035" w14:textId="77777777" w:rsidR="00374747" w:rsidRPr="00F44460" w:rsidRDefault="00374747"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A0FC" w14:textId="77777777" w:rsidR="00374747" w:rsidRDefault="00374747" w:rsidP="00E44829">
    <w:pPr>
      <w:pStyle w:val="Cabealho"/>
    </w:pPr>
    <w:r>
      <w:rPr>
        <w:noProof/>
      </w:rPr>
      <w:drawing>
        <wp:anchor distT="0" distB="0" distL="114300" distR="114300" simplePos="0" relativeHeight="251660800" behindDoc="1" locked="0" layoutInCell="1" allowOverlap="1" wp14:anchorId="78B5ADCA" wp14:editId="1356832D">
          <wp:simplePos x="0" y="0"/>
          <wp:positionH relativeFrom="column">
            <wp:posOffset>-605155</wp:posOffset>
          </wp:positionH>
          <wp:positionV relativeFrom="paragraph">
            <wp:posOffset>-345440</wp:posOffset>
          </wp:positionV>
          <wp:extent cx="6766560" cy="1097915"/>
          <wp:effectExtent l="0" t="0" r="0" b="6985"/>
          <wp:wrapThrough wrapText="bothSides">
            <wp:wrapPolygon edited="0">
              <wp:start x="0" y="0"/>
              <wp:lineTo x="0" y="21363"/>
              <wp:lineTo x="21527" y="21363"/>
              <wp:lineTo x="21527" y="0"/>
              <wp:lineTo x="0" y="0"/>
            </wp:wrapPolygon>
          </wp:wrapThrough>
          <wp:docPr id="23" name="Imagem 23" descr="folha timb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ha timbr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0" cy="1097915"/>
                  </a:xfrm>
                  <a:prstGeom prst="rect">
                    <a:avLst/>
                  </a:prstGeom>
                  <a:noFill/>
                  <a:ln>
                    <a:noFill/>
                  </a:ln>
                </pic:spPr>
              </pic:pic>
            </a:graphicData>
          </a:graphic>
        </wp:anchor>
      </w:drawing>
    </w:r>
  </w:p>
  <w:p w14:paraId="5FB3A6AA" w14:textId="77777777" w:rsidR="00374747" w:rsidRDefault="00374747" w:rsidP="00E44829">
    <w:pPr>
      <w:pStyle w:val="Cabealho"/>
    </w:pPr>
  </w:p>
  <w:p w14:paraId="0A0D9FE1" w14:textId="77777777" w:rsidR="00374747" w:rsidRDefault="00374747" w:rsidP="00E44829">
    <w:pPr>
      <w:pStyle w:val="Cabealho"/>
    </w:pPr>
  </w:p>
  <w:p w14:paraId="47BB1F3A" w14:textId="77777777" w:rsidR="00374747" w:rsidRDefault="00374747" w:rsidP="00E44829">
    <w:pPr>
      <w:pStyle w:val="Ttulo2"/>
      <w:jc w:val="left"/>
      <w:rPr>
        <w:b w:val="0"/>
        <w:sz w:val="20"/>
      </w:rPr>
    </w:pPr>
  </w:p>
  <w:p w14:paraId="70A9DF84" w14:textId="77777777" w:rsidR="00374747" w:rsidRDefault="00374747" w:rsidP="00E44829">
    <w:pPr>
      <w:pStyle w:val="Ttulo2"/>
      <w:jc w:val="left"/>
      <w:rPr>
        <w:b w:val="0"/>
        <w:sz w:val="20"/>
      </w:rPr>
    </w:pPr>
  </w:p>
  <w:p w14:paraId="3FF0B6ED" w14:textId="77777777" w:rsidR="00374747" w:rsidRDefault="00374747" w:rsidP="00CD7310">
    <w:pPr>
      <w:pStyle w:val="Ttulo1"/>
      <w:jc w:val="left"/>
    </w:pPr>
    <w:r>
      <w:t xml:space="preserve">Demonstrações Financeiras </w:t>
    </w:r>
  </w:p>
  <w:p w14:paraId="10A67233" w14:textId="77777777" w:rsidR="00374747" w:rsidRDefault="00374747" w:rsidP="00B57CE3">
    <w:pPr>
      <w:pStyle w:val="Ttulo2"/>
      <w:jc w:val="left"/>
      <w:rPr>
        <w:sz w:val="16"/>
        <w:szCs w:val="16"/>
      </w:rPr>
    </w:pPr>
    <w:r>
      <w:rPr>
        <w:sz w:val="20"/>
      </w:rPr>
      <w:t>Exercícios findos em 30 de junho</w:t>
    </w:r>
    <w:r w:rsidRPr="00F44460">
      <w:rPr>
        <w:sz w:val="20"/>
      </w:rPr>
      <w:t xml:space="preserve"> </w:t>
    </w:r>
    <w:r>
      <w:rPr>
        <w:sz w:val="20"/>
      </w:rPr>
      <w:t>de 2019 e 2018</w:t>
    </w:r>
    <w:r w:rsidRPr="00F44460">
      <w:rPr>
        <w:sz w:val="20"/>
      </w:rPr>
      <w:br/>
    </w:r>
    <w:r w:rsidRPr="00F44460">
      <w:rPr>
        <w:sz w:val="16"/>
        <w:szCs w:val="16"/>
      </w:rPr>
      <w:t>Em reais</w:t>
    </w:r>
    <w:r>
      <w:rPr>
        <w:sz w:val="16"/>
        <w:szCs w:val="16"/>
      </w:rPr>
      <w:t xml:space="preserve"> mil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917"/>
    <w:multiLevelType w:val="hybridMultilevel"/>
    <w:tmpl w:val="EDDEDE40"/>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C138BE"/>
    <w:multiLevelType w:val="hybridMultilevel"/>
    <w:tmpl w:val="1C0ECC5E"/>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15:restartNumberingAfterBreak="0">
    <w:nsid w:val="1BDC0252"/>
    <w:multiLevelType w:val="hybridMultilevel"/>
    <w:tmpl w:val="83DE42C2"/>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7F418F"/>
    <w:multiLevelType w:val="hybridMultilevel"/>
    <w:tmpl w:val="95B6F126"/>
    <w:lvl w:ilvl="0" w:tplc="250477F6">
      <w:start w:val="1"/>
      <w:numFmt w:val="lowerLetter"/>
      <w:lvlText w:val="(%1)"/>
      <w:lvlJc w:val="left"/>
      <w:pPr>
        <w:ind w:left="11" w:hanging="360"/>
      </w:pPr>
      <w:rPr>
        <w:rFonts w:hint="default"/>
      </w:rPr>
    </w:lvl>
    <w:lvl w:ilvl="1" w:tplc="23386EC4">
      <w:start w:val="1"/>
      <w:numFmt w:val="lowerLetter"/>
      <w:lvlText w:val="(%2)"/>
      <w:lvlJc w:val="right"/>
      <w:pPr>
        <w:ind w:left="731" w:hanging="360"/>
      </w:pPr>
      <w:rPr>
        <w:rFonts w:hint="default"/>
      </w:rPr>
    </w:lvl>
    <w:lvl w:ilvl="2" w:tplc="EC0AEC14">
      <w:start w:val="31"/>
      <w:numFmt w:val="decimal"/>
      <w:lvlText w:val="%3"/>
      <w:lvlJc w:val="left"/>
      <w:pPr>
        <w:ind w:left="1631" w:hanging="360"/>
      </w:pPr>
      <w:rPr>
        <w:rFonts w:hint="default"/>
      </w:rPr>
    </w:lvl>
    <w:lvl w:ilvl="3" w:tplc="B4547548">
      <w:start w:val="1"/>
      <w:numFmt w:val="lowerLetter"/>
      <w:lvlText w:val="%4)"/>
      <w:lvlJc w:val="left"/>
      <w:pPr>
        <w:ind w:left="2171" w:hanging="360"/>
      </w:pPr>
      <w:rPr>
        <w:rFonts w:hint="default"/>
      </w:rPr>
    </w:lvl>
    <w:lvl w:ilvl="4" w:tplc="FA7E6F5C">
      <w:start w:val="1"/>
      <w:numFmt w:val="decimal"/>
      <w:lvlText w:val="(%5)"/>
      <w:lvlJc w:val="left"/>
      <w:pPr>
        <w:ind w:left="2891" w:hanging="360"/>
      </w:pPr>
      <w:rPr>
        <w:rFonts w:hint="default"/>
        <w:vertAlign w:val="baseline"/>
      </w:r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4" w15:restartNumberingAfterBreak="0">
    <w:nsid w:val="2C6009C2"/>
    <w:multiLevelType w:val="hybridMultilevel"/>
    <w:tmpl w:val="2B48DE7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5" w15:restartNumberingAfterBreak="0">
    <w:nsid w:val="3A29693A"/>
    <w:multiLevelType w:val="hybridMultilevel"/>
    <w:tmpl w:val="6B02C9B4"/>
    <w:lvl w:ilvl="0" w:tplc="6B90EF5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B102300"/>
    <w:multiLevelType w:val="multilevel"/>
    <w:tmpl w:val="01F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6579D"/>
    <w:multiLevelType w:val="hybridMultilevel"/>
    <w:tmpl w:val="2378F888"/>
    <w:lvl w:ilvl="0" w:tplc="BBDA4AA6">
      <w:start w:val="1"/>
      <w:numFmt w:val="decimalZero"/>
      <w:lvlText w:val="%1"/>
      <w:lvlJc w:val="left"/>
      <w:pPr>
        <w:ind w:left="5242" w:hanging="705"/>
      </w:pPr>
      <w:rPr>
        <w:rFonts w:hint="default"/>
      </w:rPr>
    </w:lvl>
    <w:lvl w:ilvl="1" w:tplc="6F00C600">
      <w:start w:val="1"/>
      <w:numFmt w:val="lowerLetter"/>
      <w:lvlText w:val="(%2)"/>
      <w:lvlJc w:val="left"/>
      <w:pPr>
        <w:ind w:left="716" w:hanging="705"/>
      </w:pPr>
      <w:rPr>
        <w:rFonts w:hint="default"/>
      </w:r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8" w15:restartNumberingAfterBreak="0">
    <w:nsid w:val="4C063ED4"/>
    <w:multiLevelType w:val="hybridMultilevel"/>
    <w:tmpl w:val="C2C808F0"/>
    <w:lvl w:ilvl="0" w:tplc="4B509252">
      <w:start w:val="1"/>
      <w:numFmt w:val="decimalZero"/>
      <w:lvlText w:val="%1"/>
      <w:lvlJc w:val="left"/>
      <w:pPr>
        <w:ind w:left="153" w:hanging="360"/>
      </w:pPr>
      <w:rPr>
        <w:rFonts w:hint="default"/>
        <w:color w:val="auto"/>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9" w15:restartNumberingAfterBreak="0">
    <w:nsid w:val="4E636DD8"/>
    <w:multiLevelType w:val="hybridMultilevel"/>
    <w:tmpl w:val="A4D642FC"/>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0" w15:restartNumberingAfterBreak="0">
    <w:nsid w:val="5D92024B"/>
    <w:multiLevelType w:val="hybridMultilevel"/>
    <w:tmpl w:val="C1F80060"/>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11" w15:restartNumberingAfterBreak="0">
    <w:nsid w:val="6D1748B2"/>
    <w:multiLevelType w:val="hybridMultilevel"/>
    <w:tmpl w:val="52F038BC"/>
    <w:lvl w:ilvl="0" w:tplc="23386EC4">
      <w:start w:val="1"/>
      <w:numFmt w:val="lowerLetter"/>
      <w:lvlText w:val="(%1)"/>
      <w:lvlJc w:val="right"/>
      <w:pPr>
        <w:ind w:left="73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4F4062"/>
    <w:multiLevelType w:val="hybridMultilevel"/>
    <w:tmpl w:val="BBCAE3D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3" w15:restartNumberingAfterBreak="0">
    <w:nsid w:val="7C384BDD"/>
    <w:multiLevelType w:val="hybridMultilevel"/>
    <w:tmpl w:val="BC00BC82"/>
    <w:lvl w:ilvl="0" w:tplc="F028D1C2">
      <w:start w:val="1"/>
      <w:numFmt w:val="decimal"/>
      <w:pStyle w:val="Tabela"/>
      <w:suff w:val="nothing"/>
      <w:lvlText w:val="Tabela %1 – "/>
      <w:lvlJc w:val="left"/>
      <w:pPr>
        <w:ind w:left="1495"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4" w15:restartNumberingAfterBreak="0">
    <w:nsid w:val="7C7A3396"/>
    <w:multiLevelType w:val="hybridMultilevel"/>
    <w:tmpl w:val="7B363B94"/>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5" w15:restartNumberingAfterBreak="0">
    <w:nsid w:val="7F5F22F3"/>
    <w:multiLevelType w:val="multilevel"/>
    <w:tmpl w:val="1052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411BF"/>
    <w:multiLevelType w:val="hybridMultilevel"/>
    <w:tmpl w:val="77B24C66"/>
    <w:lvl w:ilvl="0" w:tplc="B29C9AA0">
      <w:start w:val="1"/>
      <w:numFmt w:val="lowerLetter"/>
      <w:lvlText w:val="(%1)"/>
      <w:lvlJc w:val="left"/>
      <w:pPr>
        <w:ind w:left="-4" w:hanging="705"/>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num w:numId="1">
    <w:abstractNumId w:val="3"/>
  </w:num>
  <w:num w:numId="2">
    <w:abstractNumId w:val="11"/>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6"/>
  </w:num>
  <w:num w:numId="10">
    <w:abstractNumId w:val="1"/>
  </w:num>
  <w:num w:numId="11">
    <w:abstractNumId w:val="9"/>
  </w:num>
  <w:num w:numId="12">
    <w:abstractNumId w:val="4"/>
  </w:num>
  <w:num w:numId="13">
    <w:abstractNumId w:val="14"/>
  </w:num>
  <w:num w:numId="14">
    <w:abstractNumId w:val="12"/>
  </w:num>
  <w:num w:numId="15">
    <w:abstractNumId w:val="0"/>
  </w:num>
  <w:num w:numId="16">
    <w:abstractNumId w:val="5"/>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hideSpellingErrors/>
  <w:hideGrammaticalErrors/>
  <w:activeWritingStyle w:appName="MSWord" w:lang="pt-BR" w:vendorID="64" w:dllVersion="6" w:nlCheck="1" w:checkStyle="0"/>
  <w:activeWritingStyle w:appName="MSWord" w:lang="en-GB" w:vendorID="64" w:dllVersion="6" w:nlCheck="1" w:checkStyle="1"/>
  <w:activeWritingStyle w:appName="MSWord" w:lang="pt-BR" w:vendorID="64" w:dllVersion="0" w:nlCheck="1" w:checkStyle="0"/>
  <w:activeWritingStyle w:appName="MSWord" w:lang="pt-BR"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38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A6"/>
    <w:rsid w:val="00000729"/>
    <w:rsid w:val="0000079B"/>
    <w:rsid w:val="0000094D"/>
    <w:rsid w:val="000009E2"/>
    <w:rsid w:val="0000101E"/>
    <w:rsid w:val="00001303"/>
    <w:rsid w:val="00001315"/>
    <w:rsid w:val="0000170B"/>
    <w:rsid w:val="00001823"/>
    <w:rsid w:val="00001CCF"/>
    <w:rsid w:val="0000200D"/>
    <w:rsid w:val="0000204B"/>
    <w:rsid w:val="00002108"/>
    <w:rsid w:val="000027A4"/>
    <w:rsid w:val="000027AB"/>
    <w:rsid w:val="0000299F"/>
    <w:rsid w:val="00002B88"/>
    <w:rsid w:val="00003281"/>
    <w:rsid w:val="00003C25"/>
    <w:rsid w:val="00003D60"/>
    <w:rsid w:val="00003E50"/>
    <w:rsid w:val="0000405D"/>
    <w:rsid w:val="00004524"/>
    <w:rsid w:val="00004AC2"/>
    <w:rsid w:val="00004B1C"/>
    <w:rsid w:val="00004B41"/>
    <w:rsid w:val="00004CAA"/>
    <w:rsid w:val="00004EFF"/>
    <w:rsid w:val="000051EC"/>
    <w:rsid w:val="000052B7"/>
    <w:rsid w:val="000053A0"/>
    <w:rsid w:val="000054BB"/>
    <w:rsid w:val="00005694"/>
    <w:rsid w:val="00005764"/>
    <w:rsid w:val="0000583A"/>
    <w:rsid w:val="00005A96"/>
    <w:rsid w:val="00005C7B"/>
    <w:rsid w:val="00005E3B"/>
    <w:rsid w:val="00006118"/>
    <w:rsid w:val="0000667A"/>
    <w:rsid w:val="00006861"/>
    <w:rsid w:val="00006951"/>
    <w:rsid w:val="00006A15"/>
    <w:rsid w:val="00006ED3"/>
    <w:rsid w:val="00006F42"/>
    <w:rsid w:val="00006FF9"/>
    <w:rsid w:val="000072A1"/>
    <w:rsid w:val="000075D0"/>
    <w:rsid w:val="000078F8"/>
    <w:rsid w:val="00007911"/>
    <w:rsid w:val="00007A0D"/>
    <w:rsid w:val="00007AC1"/>
    <w:rsid w:val="00007F18"/>
    <w:rsid w:val="00007FFC"/>
    <w:rsid w:val="00010122"/>
    <w:rsid w:val="00010ADE"/>
    <w:rsid w:val="00010B64"/>
    <w:rsid w:val="00010D16"/>
    <w:rsid w:val="00010E01"/>
    <w:rsid w:val="00011067"/>
    <w:rsid w:val="00011727"/>
    <w:rsid w:val="00011BF8"/>
    <w:rsid w:val="00011EB4"/>
    <w:rsid w:val="00011ED6"/>
    <w:rsid w:val="00011FC0"/>
    <w:rsid w:val="000120FD"/>
    <w:rsid w:val="0001214D"/>
    <w:rsid w:val="00012724"/>
    <w:rsid w:val="000128E0"/>
    <w:rsid w:val="00012B94"/>
    <w:rsid w:val="00012CA5"/>
    <w:rsid w:val="00012F99"/>
    <w:rsid w:val="00013280"/>
    <w:rsid w:val="00013598"/>
    <w:rsid w:val="00013613"/>
    <w:rsid w:val="0001374B"/>
    <w:rsid w:val="00013922"/>
    <w:rsid w:val="00013A68"/>
    <w:rsid w:val="00013ABE"/>
    <w:rsid w:val="00013C42"/>
    <w:rsid w:val="00013CF4"/>
    <w:rsid w:val="00014195"/>
    <w:rsid w:val="000143CE"/>
    <w:rsid w:val="0001441A"/>
    <w:rsid w:val="000145C7"/>
    <w:rsid w:val="00014611"/>
    <w:rsid w:val="00014865"/>
    <w:rsid w:val="00014924"/>
    <w:rsid w:val="00014A89"/>
    <w:rsid w:val="00014BA5"/>
    <w:rsid w:val="00014C09"/>
    <w:rsid w:val="00014FDF"/>
    <w:rsid w:val="00015252"/>
    <w:rsid w:val="00015C31"/>
    <w:rsid w:val="00015CBF"/>
    <w:rsid w:val="00015E50"/>
    <w:rsid w:val="000160C4"/>
    <w:rsid w:val="0001638A"/>
    <w:rsid w:val="000163CC"/>
    <w:rsid w:val="00016880"/>
    <w:rsid w:val="000168E2"/>
    <w:rsid w:val="00016CDA"/>
    <w:rsid w:val="0001701E"/>
    <w:rsid w:val="00017C45"/>
    <w:rsid w:val="00017D7F"/>
    <w:rsid w:val="00017DB8"/>
    <w:rsid w:val="00017E9C"/>
    <w:rsid w:val="00017F1D"/>
    <w:rsid w:val="00017FEA"/>
    <w:rsid w:val="0002032C"/>
    <w:rsid w:val="00020A7C"/>
    <w:rsid w:val="00020A8E"/>
    <w:rsid w:val="0002100F"/>
    <w:rsid w:val="000217A7"/>
    <w:rsid w:val="00021927"/>
    <w:rsid w:val="000219DB"/>
    <w:rsid w:val="00021B72"/>
    <w:rsid w:val="00021BC1"/>
    <w:rsid w:val="00021C5F"/>
    <w:rsid w:val="00021E44"/>
    <w:rsid w:val="00021E6C"/>
    <w:rsid w:val="00021F8F"/>
    <w:rsid w:val="00022061"/>
    <w:rsid w:val="0002216F"/>
    <w:rsid w:val="0002245A"/>
    <w:rsid w:val="00022723"/>
    <w:rsid w:val="00022734"/>
    <w:rsid w:val="0002296F"/>
    <w:rsid w:val="00022A84"/>
    <w:rsid w:val="00022BEC"/>
    <w:rsid w:val="00022ED6"/>
    <w:rsid w:val="00023411"/>
    <w:rsid w:val="000235E9"/>
    <w:rsid w:val="0002390E"/>
    <w:rsid w:val="00023C0A"/>
    <w:rsid w:val="00023E3D"/>
    <w:rsid w:val="00024398"/>
    <w:rsid w:val="00024957"/>
    <w:rsid w:val="00024CB0"/>
    <w:rsid w:val="00024DDC"/>
    <w:rsid w:val="0002509B"/>
    <w:rsid w:val="0002517A"/>
    <w:rsid w:val="0002532C"/>
    <w:rsid w:val="00025597"/>
    <w:rsid w:val="000257E7"/>
    <w:rsid w:val="0002633A"/>
    <w:rsid w:val="00026607"/>
    <w:rsid w:val="0002662E"/>
    <w:rsid w:val="0002681A"/>
    <w:rsid w:val="00026C13"/>
    <w:rsid w:val="000271D2"/>
    <w:rsid w:val="000275C8"/>
    <w:rsid w:val="0002790C"/>
    <w:rsid w:val="000279E2"/>
    <w:rsid w:val="000279F4"/>
    <w:rsid w:val="00027D90"/>
    <w:rsid w:val="00027EB8"/>
    <w:rsid w:val="0003003B"/>
    <w:rsid w:val="00030148"/>
    <w:rsid w:val="00030155"/>
    <w:rsid w:val="00030187"/>
    <w:rsid w:val="00030256"/>
    <w:rsid w:val="00030AF7"/>
    <w:rsid w:val="0003152A"/>
    <w:rsid w:val="0003152B"/>
    <w:rsid w:val="000315BA"/>
    <w:rsid w:val="00031851"/>
    <w:rsid w:val="0003187A"/>
    <w:rsid w:val="000319C1"/>
    <w:rsid w:val="00031A88"/>
    <w:rsid w:val="00031B08"/>
    <w:rsid w:val="00031D7A"/>
    <w:rsid w:val="00031E2D"/>
    <w:rsid w:val="00031E6D"/>
    <w:rsid w:val="00032366"/>
    <w:rsid w:val="0003274B"/>
    <w:rsid w:val="000327B9"/>
    <w:rsid w:val="0003296E"/>
    <w:rsid w:val="00032CCA"/>
    <w:rsid w:val="00032E05"/>
    <w:rsid w:val="00032E3B"/>
    <w:rsid w:val="00032EAA"/>
    <w:rsid w:val="000331E6"/>
    <w:rsid w:val="000332C5"/>
    <w:rsid w:val="00033450"/>
    <w:rsid w:val="00033490"/>
    <w:rsid w:val="000336D5"/>
    <w:rsid w:val="00033767"/>
    <w:rsid w:val="0003394A"/>
    <w:rsid w:val="0003413D"/>
    <w:rsid w:val="000341A6"/>
    <w:rsid w:val="0003444E"/>
    <w:rsid w:val="000346B8"/>
    <w:rsid w:val="00034C1D"/>
    <w:rsid w:val="00034EA6"/>
    <w:rsid w:val="000350D0"/>
    <w:rsid w:val="000352A1"/>
    <w:rsid w:val="00035359"/>
    <w:rsid w:val="000354D1"/>
    <w:rsid w:val="0003571A"/>
    <w:rsid w:val="0003581D"/>
    <w:rsid w:val="00035948"/>
    <w:rsid w:val="00035A74"/>
    <w:rsid w:val="00035A8D"/>
    <w:rsid w:val="00035BAC"/>
    <w:rsid w:val="0003618B"/>
    <w:rsid w:val="00036190"/>
    <w:rsid w:val="000361F7"/>
    <w:rsid w:val="00036672"/>
    <w:rsid w:val="00036B71"/>
    <w:rsid w:val="000370D1"/>
    <w:rsid w:val="000371E6"/>
    <w:rsid w:val="000374DC"/>
    <w:rsid w:val="000376AC"/>
    <w:rsid w:val="000377F5"/>
    <w:rsid w:val="000401C8"/>
    <w:rsid w:val="000403A7"/>
    <w:rsid w:val="000404B9"/>
    <w:rsid w:val="00040749"/>
    <w:rsid w:val="000408D5"/>
    <w:rsid w:val="00040A20"/>
    <w:rsid w:val="00040C1F"/>
    <w:rsid w:val="00041581"/>
    <w:rsid w:val="000418F8"/>
    <w:rsid w:val="0004212A"/>
    <w:rsid w:val="000425DA"/>
    <w:rsid w:val="00042788"/>
    <w:rsid w:val="00042AE7"/>
    <w:rsid w:val="00042B0F"/>
    <w:rsid w:val="00042CD7"/>
    <w:rsid w:val="000434FE"/>
    <w:rsid w:val="00043631"/>
    <w:rsid w:val="00043720"/>
    <w:rsid w:val="000438A3"/>
    <w:rsid w:val="00043965"/>
    <w:rsid w:val="00043C55"/>
    <w:rsid w:val="00044020"/>
    <w:rsid w:val="0004407D"/>
    <w:rsid w:val="000444D1"/>
    <w:rsid w:val="00044581"/>
    <w:rsid w:val="000445D0"/>
    <w:rsid w:val="00044607"/>
    <w:rsid w:val="00044756"/>
    <w:rsid w:val="000448C2"/>
    <w:rsid w:val="00044C31"/>
    <w:rsid w:val="00044E44"/>
    <w:rsid w:val="0004510C"/>
    <w:rsid w:val="0004540A"/>
    <w:rsid w:val="000458ED"/>
    <w:rsid w:val="00045AAE"/>
    <w:rsid w:val="00045FE0"/>
    <w:rsid w:val="00046140"/>
    <w:rsid w:val="000463DA"/>
    <w:rsid w:val="00046A03"/>
    <w:rsid w:val="00046A5D"/>
    <w:rsid w:val="00046B26"/>
    <w:rsid w:val="00046C84"/>
    <w:rsid w:val="00046E92"/>
    <w:rsid w:val="00046F74"/>
    <w:rsid w:val="00047651"/>
    <w:rsid w:val="0004788E"/>
    <w:rsid w:val="00047ACF"/>
    <w:rsid w:val="00047D38"/>
    <w:rsid w:val="00047F2D"/>
    <w:rsid w:val="0005000C"/>
    <w:rsid w:val="00050366"/>
    <w:rsid w:val="000504FC"/>
    <w:rsid w:val="0005056E"/>
    <w:rsid w:val="000507B0"/>
    <w:rsid w:val="0005089B"/>
    <w:rsid w:val="00050962"/>
    <w:rsid w:val="00050DDE"/>
    <w:rsid w:val="00050EB8"/>
    <w:rsid w:val="00051164"/>
    <w:rsid w:val="0005119E"/>
    <w:rsid w:val="000513B3"/>
    <w:rsid w:val="0005255E"/>
    <w:rsid w:val="000525D3"/>
    <w:rsid w:val="00052634"/>
    <w:rsid w:val="00052924"/>
    <w:rsid w:val="00052C06"/>
    <w:rsid w:val="00052CFE"/>
    <w:rsid w:val="00052E99"/>
    <w:rsid w:val="00053006"/>
    <w:rsid w:val="00053078"/>
    <w:rsid w:val="00053235"/>
    <w:rsid w:val="000538FE"/>
    <w:rsid w:val="000539EF"/>
    <w:rsid w:val="00053A9D"/>
    <w:rsid w:val="00053B4F"/>
    <w:rsid w:val="00053DE5"/>
    <w:rsid w:val="000544BC"/>
    <w:rsid w:val="0005461D"/>
    <w:rsid w:val="00054A37"/>
    <w:rsid w:val="00054B57"/>
    <w:rsid w:val="00054B7A"/>
    <w:rsid w:val="00054C7F"/>
    <w:rsid w:val="00054DFA"/>
    <w:rsid w:val="000550CD"/>
    <w:rsid w:val="000554C1"/>
    <w:rsid w:val="00056181"/>
    <w:rsid w:val="0005629C"/>
    <w:rsid w:val="00056513"/>
    <w:rsid w:val="000566AF"/>
    <w:rsid w:val="00056948"/>
    <w:rsid w:val="00056B52"/>
    <w:rsid w:val="00056EC4"/>
    <w:rsid w:val="00056F6E"/>
    <w:rsid w:val="00057539"/>
    <w:rsid w:val="00057551"/>
    <w:rsid w:val="000577C7"/>
    <w:rsid w:val="000578A5"/>
    <w:rsid w:val="000578DF"/>
    <w:rsid w:val="00057973"/>
    <w:rsid w:val="000579AD"/>
    <w:rsid w:val="00057D83"/>
    <w:rsid w:val="00060272"/>
    <w:rsid w:val="000603DF"/>
    <w:rsid w:val="00060461"/>
    <w:rsid w:val="000604BB"/>
    <w:rsid w:val="0006061F"/>
    <w:rsid w:val="00060E3F"/>
    <w:rsid w:val="00061293"/>
    <w:rsid w:val="00061850"/>
    <w:rsid w:val="00061867"/>
    <w:rsid w:val="0006193B"/>
    <w:rsid w:val="0006199C"/>
    <w:rsid w:val="00061AB4"/>
    <w:rsid w:val="00061DCF"/>
    <w:rsid w:val="00062097"/>
    <w:rsid w:val="00062534"/>
    <w:rsid w:val="00062757"/>
    <w:rsid w:val="0006288E"/>
    <w:rsid w:val="00062C5F"/>
    <w:rsid w:val="00062D02"/>
    <w:rsid w:val="00062EF3"/>
    <w:rsid w:val="0006315B"/>
    <w:rsid w:val="00063169"/>
    <w:rsid w:val="0006352E"/>
    <w:rsid w:val="0006363D"/>
    <w:rsid w:val="000636B8"/>
    <w:rsid w:val="000637CA"/>
    <w:rsid w:val="00063B15"/>
    <w:rsid w:val="00063BA5"/>
    <w:rsid w:val="00064303"/>
    <w:rsid w:val="000646D9"/>
    <w:rsid w:val="00064924"/>
    <w:rsid w:val="00064D35"/>
    <w:rsid w:val="00064FBC"/>
    <w:rsid w:val="0006513E"/>
    <w:rsid w:val="0006531A"/>
    <w:rsid w:val="00065666"/>
    <w:rsid w:val="000657AE"/>
    <w:rsid w:val="00065A49"/>
    <w:rsid w:val="00065BD4"/>
    <w:rsid w:val="00065BF1"/>
    <w:rsid w:val="00065EF6"/>
    <w:rsid w:val="000661C6"/>
    <w:rsid w:val="00066285"/>
    <w:rsid w:val="00066492"/>
    <w:rsid w:val="000668B9"/>
    <w:rsid w:val="000668D0"/>
    <w:rsid w:val="00066C08"/>
    <w:rsid w:val="00066F66"/>
    <w:rsid w:val="00067139"/>
    <w:rsid w:val="0006721A"/>
    <w:rsid w:val="00067441"/>
    <w:rsid w:val="00067454"/>
    <w:rsid w:val="0006779D"/>
    <w:rsid w:val="000679FA"/>
    <w:rsid w:val="00070163"/>
    <w:rsid w:val="000704DF"/>
    <w:rsid w:val="000704EF"/>
    <w:rsid w:val="0007050A"/>
    <w:rsid w:val="00070586"/>
    <w:rsid w:val="0007079F"/>
    <w:rsid w:val="00071211"/>
    <w:rsid w:val="0007123A"/>
    <w:rsid w:val="000713C7"/>
    <w:rsid w:val="0007166B"/>
    <w:rsid w:val="0007176E"/>
    <w:rsid w:val="00071795"/>
    <w:rsid w:val="00071A1D"/>
    <w:rsid w:val="00071B0F"/>
    <w:rsid w:val="00071BF5"/>
    <w:rsid w:val="000720FE"/>
    <w:rsid w:val="00072193"/>
    <w:rsid w:val="000721AB"/>
    <w:rsid w:val="00072343"/>
    <w:rsid w:val="000726BD"/>
    <w:rsid w:val="000727ED"/>
    <w:rsid w:val="0007363B"/>
    <w:rsid w:val="00073745"/>
    <w:rsid w:val="00073AD6"/>
    <w:rsid w:val="00074040"/>
    <w:rsid w:val="0007408C"/>
    <w:rsid w:val="0007412F"/>
    <w:rsid w:val="00074139"/>
    <w:rsid w:val="000746A0"/>
    <w:rsid w:val="00074AFB"/>
    <w:rsid w:val="00074C16"/>
    <w:rsid w:val="0007537F"/>
    <w:rsid w:val="00075754"/>
    <w:rsid w:val="00075C79"/>
    <w:rsid w:val="00075CC3"/>
    <w:rsid w:val="00076374"/>
    <w:rsid w:val="000769AF"/>
    <w:rsid w:val="00076A98"/>
    <w:rsid w:val="00076C3A"/>
    <w:rsid w:val="00076F02"/>
    <w:rsid w:val="0007721F"/>
    <w:rsid w:val="0007747C"/>
    <w:rsid w:val="000776CD"/>
    <w:rsid w:val="000779B3"/>
    <w:rsid w:val="00077B80"/>
    <w:rsid w:val="00077C3B"/>
    <w:rsid w:val="00077E3A"/>
    <w:rsid w:val="00077EED"/>
    <w:rsid w:val="00077FCA"/>
    <w:rsid w:val="00080260"/>
    <w:rsid w:val="00080494"/>
    <w:rsid w:val="000808C0"/>
    <w:rsid w:val="000809A5"/>
    <w:rsid w:val="00080A8B"/>
    <w:rsid w:val="000816A7"/>
    <w:rsid w:val="00081818"/>
    <w:rsid w:val="00081C72"/>
    <w:rsid w:val="00081DE1"/>
    <w:rsid w:val="00082312"/>
    <w:rsid w:val="00082527"/>
    <w:rsid w:val="000825E0"/>
    <w:rsid w:val="000825FE"/>
    <w:rsid w:val="00082680"/>
    <w:rsid w:val="00082687"/>
    <w:rsid w:val="000828C8"/>
    <w:rsid w:val="000829AE"/>
    <w:rsid w:val="00082A42"/>
    <w:rsid w:val="00082B3C"/>
    <w:rsid w:val="00082E3E"/>
    <w:rsid w:val="00082F3A"/>
    <w:rsid w:val="00083012"/>
    <w:rsid w:val="000830DC"/>
    <w:rsid w:val="000831CB"/>
    <w:rsid w:val="00083227"/>
    <w:rsid w:val="000832C7"/>
    <w:rsid w:val="00083615"/>
    <w:rsid w:val="0008363F"/>
    <w:rsid w:val="000836A4"/>
    <w:rsid w:val="00083F48"/>
    <w:rsid w:val="00083F5C"/>
    <w:rsid w:val="000841C1"/>
    <w:rsid w:val="00084325"/>
    <w:rsid w:val="00084328"/>
    <w:rsid w:val="00084676"/>
    <w:rsid w:val="00084731"/>
    <w:rsid w:val="00084755"/>
    <w:rsid w:val="00084779"/>
    <w:rsid w:val="000847E3"/>
    <w:rsid w:val="00084873"/>
    <w:rsid w:val="00085082"/>
    <w:rsid w:val="0008520A"/>
    <w:rsid w:val="00085C97"/>
    <w:rsid w:val="00085D04"/>
    <w:rsid w:val="000861CB"/>
    <w:rsid w:val="00086233"/>
    <w:rsid w:val="00086236"/>
    <w:rsid w:val="00086477"/>
    <w:rsid w:val="0008679C"/>
    <w:rsid w:val="00086B0E"/>
    <w:rsid w:val="00086B22"/>
    <w:rsid w:val="00086B92"/>
    <w:rsid w:val="00086C5A"/>
    <w:rsid w:val="00086F61"/>
    <w:rsid w:val="0008726E"/>
    <w:rsid w:val="000872EF"/>
    <w:rsid w:val="00087307"/>
    <w:rsid w:val="00087361"/>
    <w:rsid w:val="00087612"/>
    <w:rsid w:val="000878BD"/>
    <w:rsid w:val="0008799F"/>
    <w:rsid w:val="00087A99"/>
    <w:rsid w:val="00087FA1"/>
    <w:rsid w:val="0009005B"/>
    <w:rsid w:val="000902F4"/>
    <w:rsid w:val="000904B1"/>
    <w:rsid w:val="00090543"/>
    <w:rsid w:val="00090545"/>
    <w:rsid w:val="00090784"/>
    <w:rsid w:val="000909F1"/>
    <w:rsid w:val="00090C52"/>
    <w:rsid w:val="00090D2C"/>
    <w:rsid w:val="000910A9"/>
    <w:rsid w:val="000911B2"/>
    <w:rsid w:val="000912FF"/>
    <w:rsid w:val="00091420"/>
    <w:rsid w:val="00091500"/>
    <w:rsid w:val="000919CC"/>
    <w:rsid w:val="00091A57"/>
    <w:rsid w:val="00091E5B"/>
    <w:rsid w:val="00091EC0"/>
    <w:rsid w:val="00091FEC"/>
    <w:rsid w:val="000922B2"/>
    <w:rsid w:val="00092962"/>
    <w:rsid w:val="00092A69"/>
    <w:rsid w:val="00093032"/>
    <w:rsid w:val="00093182"/>
    <w:rsid w:val="00093411"/>
    <w:rsid w:val="000939FA"/>
    <w:rsid w:val="00093A03"/>
    <w:rsid w:val="00093AFF"/>
    <w:rsid w:val="000941CE"/>
    <w:rsid w:val="000942A4"/>
    <w:rsid w:val="000945C6"/>
    <w:rsid w:val="000945F4"/>
    <w:rsid w:val="0009461F"/>
    <w:rsid w:val="0009466C"/>
    <w:rsid w:val="00094969"/>
    <w:rsid w:val="0009497F"/>
    <w:rsid w:val="00094BA0"/>
    <w:rsid w:val="00094BEC"/>
    <w:rsid w:val="00095107"/>
    <w:rsid w:val="000953C8"/>
    <w:rsid w:val="00095632"/>
    <w:rsid w:val="00095839"/>
    <w:rsid w:val="00095A53"/>
    <w:rsid w:val="00095B68"/>
    <w:rsid w:val="00095C30"/>
    <w:rsid w:val="00095D1D"/>
    <w:rsid w:val="00095EC7"/>
    <w:rsid w:val="00096182"/>
    <w:rsid w:val="00096260"/>
    <w:rsid w:val="00096BED"/>
    <w:rsid w:val="00096CF3"/>
    <w:rsid w:val="00096D8D"/>
    <w:rsid w:val="00096F5F"/>
    <w:rsid w:val="00096FF5"/>
    <w:rsid w:val="00097000"/>
    <w:rsid w:val="00097013"/>
    <w:rsid w:val="00097191"/>
    <w:rsid w:val="00097BD0"/>
    <w:rsid w:val="00097E7B"/>
    <w:rsid w:val="000A02E2"/>
    <w:rsid w:val="000A0340"/>
    <w:rsid w:val="000A087C"/>
    <w:rsid w:val="000A0B13"/>
    <w:rsid w:val="000A0DE2"/>
    <w:rsid w:val="000A1007"/>
    <w:rsid w:val="000A1025"/>
    <w:rsid w:val="000A11CA"/>
    <w:rsid w:val="000A1304"/>
    <w:rsid w:val="000A14DC"/>
    <w:rsid w:val="000A17C8"/>
    <w:rsid w:val="000A1D68"/>
    <w:rsid w:val="000A1E4D"/>
    <w:rsid w:val="000A2382"/>
    <w:rsid w:val="000A2717"/>
    <w:rsid w:val="000A2AF6"/>
    <w:rsid w:val="000A2F2B"/>
    <w:rsid w:val="000A33BE"/>
    <w:rsid w:val="000A3449"/>
    <w:rsid w:val="000A3603"/>
    <w:rsid w:val="000A364F"/>
    <w:rsid w:val="000A3801"/>
    <w:rsid w:val="000A3931"/>
    <w:rsid w:val="000A3A50"/>
    <w:rsid w:val="000A40F4"/>
    <w:rsid w:val="000A41C4"/>
    <w:rsid w:val="000A4216"/>
    <w:rsid w:val="000A42E9"/>
    <w:rsid w:val="000A43F3"/>
    <w:rsid w:val="000A4610"/>
    <w:rsid w:val="000A4D33"/>
    <w:rsid w:val="000A556A"/>
    <w:rsid w:val="000A5663"/>
    <w:rsid w:val="000A57AA"/>
    <w:rsid w:val="000A585F"/>
    <w:rsid w:val="000A586D"/>
    <w:rsid w:val="000A5870"/>
    <w:rsid w:val="000A5ADD"/>
    <w:rsid w:val="000A5D47"/>
    <w:rsid w:val="000A5E5A"/>
    <w:rsid w:val="000A5F91"/>
    <w:rsid w:val="000A6128"/>
    <w:rsid w:val="000A61EE"/>
    <w:rsid w:val="000A6202"/>
    <w:rsid w:val="000A63DE"/>
    <w:rsid w:val="000A6414"/>
    <w:rsid w:val="000A654B"/>
    <w:rsid w:val="000A67CF"/>
    <w:rsid w:val="000A6834"/>
    <w:rsid w:val="000A6A29"/>
    <w:rsid w:val="000A6A2B"/>
    <w:rsid w:val="000A6ADD"/>
    <w:rsid w:val="000A74E1"/>
    <w:rsid w:val="000A7A58"/>
    <w:rsid w:val="000B0150"/>
    <w:rsid w:val="000B0411"/>
    <w:rsid w:val="000B049A"/>
    <w:rsid w:val="000B0763"/>
    <w:rsid w:val="000B0868"/>
    <w:rsid w:val="000B0A5C"/>
    <w:rsid w:val="000B0A69"/>
    <w:rsid w:val="000B0B22"/>
    <w:rsid w:val="000B0B5F"/>
    <w:rsid w:val="000B0B91"/>
    <w:rsid w:val="000B0CB3"/>
    <w:rsid w:val="000B0CC0"/>
    <w:rsid w:val="000B0CD6"/>
    <w:rsid w:val="000B0E26"/>
    <w:rsid w:val="000B12AF"/>
    <w:rsid w:val="000B171B"/>
    <w:rsid w:val="000B17EA"/>
    <w:rsid w:val="000B1B09"/>
    <w:rsid w:val="000B1DFC"/>
    <w:rsid w:val="000B28BF"/>
    <w:rsid w:val="000B2CE5"/>
    <w:rsid w:val="000B2DDE"/>
    <w:rsid w:val="000B309F"/>
    <w:rsid w:val="000B319A"/>
    <w:rsid w:val="000B32F4"/>
    <w:rsid w:val="000B3385"/>
    <w:rsid w:val="000B3ACB"/>
    <w:rsid w:val="000B3EF3"/>
    <w:rsid w:val="000B40B0"/>
    <w:rsid w:val="000B4110"/>
    <w:rsid w:val="000B42F6"/>
    <w:rsid w:val="000B45BB"/>
    <w:rsid w:val="000B4C40"/>
    <w:rsid w:val="000B5016"/>
    <w:rsid w:val="000B5404"/>
    <w:rsid w:val="000B54FD"/>
    <w:rsid w:val="000B5614"/>
    <w:rsid w:val="000B59BC"/>
    <w:rsid w:val="000B5BC4"/>
    <w:rsid w:val="000B5BF1"/>
    <w:rsid w:val="000B5BF9"/>
    <w:rsid w:val="000B6428"/>
    <w:rsid w:val="000B66B6"/>
    <w:rsid w:val="000B6815"/>
    <w:rsid w:val="000B6AD2"/>
    <w:rsid w:val="000B6B43"/>
    <w:rsid w:val="000B7021"/>
    <w:rsid w:val="000B7203"/>
    <w:rsid w:val="000B7283"/>
    <w:rsid w:val="000B740A"/>
    <w:rsid w:val="000B743D"/>
    <w:rsid w:val="000B7B4C"/>
    <w:rsid w:val="000B7BF2"/>
    <w:rsid w:val="000B7D22"/>
    <w:rsid w:val="000B7E16"/>
    <w:rsid w:val="000B7E5E"/>
    <w:rsid w:val="000C0229"/>
    <w:rsid w:val="000C03E7"/>
    <w:rsid w:val="000C05F0"/>
    <w:rsid w:val="000C074E"/>
    <w:rsid w:val="000C0BDC"/>
    <w:rsid w:val="000C0C2C"/>
    <w:rsid w:val="000C0C9D"/>
    <w:rsid w:val="000C0E35"/>
    <w:rsid w:val="000C0E7A"/>
    <w:rsid w:val="000C10CC"/>
    <w:rsid w:val="000C115D"/>
    <w:rsid w:val="000C19B7"/>
    <w:rsid w:val="000C1BD8"/>
    <w:rsid w:val="000C1C15"/>
    <w:rsid w:val="000C1DB7"/>
    <w:rsid w:val="000C1FAB"/>
    <w:rsid w:val="000C1FFE"/>
    <w:rsid w:val="000C2140"/>
    <w:rsid w:val="000C242A"/>
    <w:rsid w:val="000C25E3"/>
    <w:rsid w:val="000C2867"/>
    <w:rsid w:val="000C2AD9"/>
    <w:rsid w:val="000C2BBA"/>
    <w:rsid w:val="000C2E88"/>
    <w:rsid w:val="000C345E"/>
    <w:rsid w:val="000C3473"/>
    <w:rsid w:val="000C3B34"/>
    <w:rsid w:val="000C3C95"/>
    <w:rsid w:val="000C3DC5"/>
    <w:rsid w:val="000C3FB3"/>
    <w:rsid w:val="000C4462"/>
    <w:rsid w:val="000C4665"/>
    <w:rsid w:val="000C4767"/>
    <w:rsid w:val="000C47B2"/>
    <w:rsid w:val="000C4AB8"/>
    <w:rsid w:val="000C4B81"/>
    <w:rsid w:val="000C4BF8"/>
    <w:rsid w:val="000C4EC5"/>
    <w:rsid w:val="000C594B"/>
    <w:rsid w:val="000C594E"/>
    <w:rsid w:val="000C5ABB"/>
    <w:rsid w:val="000C5C17"/>
    <w:rsid w:val="000C5CE1"/>
    <w:rsid w:val="000C614B"/>
    <w:rsid w:val="000C6156"/>
    <w:rsid w:val="000C620F"/>
    <w:rsid w:val="000C663C"/>
    <w:rsid w:val="000C668A"/>
    <w:rsid w:val="000C66B1"/>
    <w:rsid w:val="000C68B4"/>
    <w:rsid w:val="000C68F6"/>
    <w:rsid w:val="000C6A6B"/>
    <w:rsid w:val="000C6C0F"/>
    <w:rsid w:val="000C6D19"/>
    <w:rsid w:val="000C73DB"/>
    <w:rsid w:val="000C73F7"/>
    <w:rsid w:val="000C7587"/>
    <w:rsid w:val="000C7963"/>
    <w:rsid w:val="000C7A7C"/>
    <w:rsid w:val="000C7B4D"/>
    <w:rsid w:val="000C7B92"/>
    <w:rsid w:val="000C7DF5"/>
    <w:rsid w:val="000C7EFA"/>
    <w:rsid w:val="000D0161"/>
    <w:rsid w:val="000D0348"/>
    <w:rsid w:val="000D03AA"/>
    <w:rsid w:val="000D06BA"/>
    <w:rsid w:val="000D07EC"/>
    <w:rsid w:val="000D0A39"/>
    <w:rsid w:val="000D0BD4"/>
    <w:rsid w:val="000D0C19"/>
    <w:rsid w:val="000D0D2D"/>
    <w:rsid w:val="000D0DB6"/>
    <w:rsid w:val="000D1009"/>
    <w:rsid w:val="000D1065"/>
    <w:rsid w:val="000D12B8"/>
    <w:rsid w:val="000D1333"/>
    <w:rsid w:val="000D13A3"/>
    <w:rsid w:val="000D171A"/>
    <w:rsid w:val="000D1892"/>
    <w:rsid w:val="000D1947"/>
    <w:rsid w:val="000D1953"/>
    <w:rsid w:val="000D1B75"/>
    <w:rsid w:val="000D2169"/>
    <w:rsid w:val="000D21A0"/>
    <w:rsid w:val="000D21B9"/>
    <w:rsid w:val="000D237A"/>
    <w:rsid w:val="000D2668"/>
    <w:rsid w:val="000D2796"/>
    <w:rsid w:val="000D2980"/>
    <w:rsid w:val="000D2A36"/>
    <w:rsid w:val="000D2D79"/>
    <w:rsid w:val="000D2E8C"/>
    <w:rsid w:val="000D32E4"/>
    <w:rsid w:val="000D34DD"/>
    <w:rsid w:val="000D3571"/>
    <w:rsid w:val="000D371E"/>
    <w:rsid w:val="000D3E9E"/>
    <w:rsid w:val="000D416A"/>
    <w:rsid w:val="000D436E"/>
    <w:rsid w:val="000D505E"/>
    <w:rsid w:val="000D51BF"/>
    <w:rsid w:val="000D54A8"/>
    <w:rsid w:val="000D568C"/>
    <w:rsid w:val="000D5A64"/>
    <w:rsid w:val="000D5A91"/>
    <w:rsid w:val="000D5B53"/>
    <w:rsid w:val="000D5F84"/>
    <w:rsid w:val="000D5FD6"/>
    <w:rsid w:val="000D614B"/>
    <w:rsid w:val="000D61B9"/>
    <w:rsid w:val="000D61C8"/>
    <w:rsid w:val="000D63FA"/>
    <w:rsid w:val="000D661B"/>
    <w:rsid w:val="000D662E"/>
    <w:rsid w:val="000D68F8"/>
    <w:rsid w:val="000D696C"/>
    <w:rsid w:val="000D6A4D"/>
    <w:rsid w:val="000D6A96"/>
    <w:rsid w:val="000D6ACA"/>
    <w:rsid w:val="000D6B3A"/>
    <w:rsid w:val="000D6E0C"/>
    <w:rsid w:val="000D6E65"/>
    <w:rsid w:val="000D6EDE"/>
    <w:rsid w:val="000D6F74"/>
    <w:rsid w:val="000D71E1"/>
    <w:rsid w:val="000D7258"/>
    <w:rsid w:val="000D75BD"/>
    <w:rsid w:val="000D7786"/>
    <w:rsid w:val="000D7D1F"/>
    <w:rsid w:val="000E004E"/>
    <w:rsid w:val="000E059D"/>
    <w:rsid w:val="000E05A3"/>
    <w:rsid w:val="000E067C"/>
    <w:rsid w:val="000E069D"/>
    <w:rsid w:val="000E08AA"/>
    <w:rsid w:val="000E0F7E"/>
    <w:rsid w:val="000E1039"/>
    <w:rsid w:val="000E10ED"/>
    <w:rsid w:val="000E128C"/>
    <w:rsid w:val="000E151B"/>
    <w:rsid w:val="000E16A3"/>
    <w:rsid w:val="000E1911"/>
    <w:rsid w:val="000E1C0A"/>
    <w:rsid w:val="000E1D73"/>
    <w:rsid w:val="000E2550"/>
    <w:rsid w:val="000E2635"/>
    <w:rsid w:val="000E2743"/>
    <w:rsid w:val="000E291A"/>
    <w:rsid w:val="000E2ADA"/>
    <w:rsid w:val="000E3107"/>
    <w:rsid w:val="000E310E"/>
    <w:rsid w:val="000E35C0"/>
    <w:rsid w:val="000E379D"/>
    <w:rsid w:val="000E3912"/>
    <w:rsid w:val="000E3A37"/>
    <w:rsid w:val="000E3A6E"/>
    <w:rsid w:val="000E40C9"/>
    <w:rsid w:val="000E4564"/>
    <w:rsid w:val="000E4C29"/>
    <w:rsid w:val="000E4DCE"/>
    <w:rsid w:val="000E4E25"/>
    <w:rsid w:val="000E5071"/>
    <w:rsid w:val="000E5697"/>
    <w:rsid w:val="000E5C66"/>
    <w:rsid w:val="000E63D5"/>
    <w:rsid w:val="000E64BF"/>
    <w:rsid w:val="000E66AD"/>
    <w:rsid w:val="000E6980"/>
    <w:rsid w:val="000E6D9E"/>
    <w:rsid w:val="000E6EBD"/>
    <w:rsid w:val="000E72DB"/>
    <w:rsid w:val="000E7A0F"/>
    <w:rsid w:val="000E7E4B"/>
    <w:rsid w:val="000F0103"/>
    <w:rsid w:val="000F017D"/>
    <w:rsid w:val="000F022A"/>
    <w:rsid w:val="000F023E"/>
    <w:rsid w:val="000F027B"/>
    <w:rsid w:val="000F0712"/>
    <w:rsid w:val="000F0749"/>
    <w:rsid w:val="000F08CB"/>
    <w:rsid w:val="000F0E23"/>
    <w:rsid w:val="000F1300"/>
    <w:rsid w:val="000F1589"/>
    <w:rsid w:val="000F176F"/>
    <w:rsid w:val="000F1A9A"/>
    <w:rsid w:val="000F20FB"/>
    <w:rsid w:val="000F2106"/>
    <w:rsid w:val="000F2351"/>
    <w:rsid w:val="000F24A1"/>
    <w:rsid w:val="000F2629"/>
    <w:rsid w:val="000F2E70"/>
    <w:rsid w:val="000F2FF5"/>
    <w:rsid w:val="000F30DA"/>
    <w:rsid w:val="000F3263"/>
    <w:rsid w:val="000F3442"/>
    <w:rsid w:val="000F35FF"/>
    <w:rsid w:val="000F3ABE"/>
    <w:rsid w:val="000F3C99"/>
    <w:rsid w:val="000F4366"/>
    <w:rsid w:val="000F446C"/>
    <w:rsid w:val="000F46F6"/>
    <w:rsid w:val="000F48E2"/>
    <w:rsid w:val="000F4C2A"/>
    <w:rsid w:val="000F4CC1"/>
    <w:rsid w:val="000F4E66"/>
    <w:rsid w:val="000F538D"/>
    <w:rsid w:val="000F5414"/>
    <w:rsid w:val="000F542B"/>
    <w:rsid w:val="000F54A5"/>
    <w:rsid w:val="000F555F"/>
    <w:rsid w:val="000F565A"/>
    <w:rsid w:val="000F56F0"/>
    <w:rsid w:val="000F63D7"/>
    <w:rsid w:val="000F646A"/>
    <w:rsid w:val="000F65BB"/>
    <w:rsid w:val="000F6A4B"/>
    <w:rsid w:val="000F6AC7"/>
    <w:rsid w:val="000F6B4D"/>
    <w:rsid w:val="000F7279"/>
    <w:rsid w:val="000F73AA"/>
    <w:rsid w:val="000F7413"/>
    <w:rsid w:val="000F7502"/>
    <w:rsid w:val="000F7767"/>
    <w:rsid w:val="000F77D8"/>
    <w:rsid w:val="000F7A06"/>
    <w:rsid w:val="000F7C98"/>
    <w:rsid w:val="000F7E1B"/>
    <w:rsid w:val="000F7E34"/>
    <w:rsid w:val="001004BE"/>
    <w:rsid w:val="0010051A"/>
    <w:rsid w:val="00100536"/>
    <w:rsid w:val="00100620"/>
    <w:rsid w:val="0010076B"/>
    <w:rsid w:val="00100941"/>
    <w:rsid w:val="0010094B"/>
    <w:rsid w:val="00100B32"/>
    <w:rsid w:val="001012C6"/>
    <w:rsid w:val="00101483"/>
    <w:rsid w:val="001017D7"/>
    <w:rsid w:val="001017FF"/>
    <w:rsid w:val="00101816"/>
    <w:rsid w:val="00101A3A"/>
    <w:rsid w:val="00101D38"/>
    <w:rsid w:val="00102028"/>
    <w:rsid w:val="001020A4"/>
    <w:rsid w:val="001023CD"/>
    <w:rsid w:val="001023E2"/>
    <w:rsid w:val="001026AC"/>
    <w:rsid w:val="00102AA1"/>
    <w:rsid w:val="00102AD1"/>
    <w:rsid w:val="00102B99"/>
    <w:rsid w:val="00102C83"/>
    <w:rsid w:val="00102E99"/>
    <w:rsid w:val="00103835"/>
    <w:rsid w:val="00103A34"/>
    <w:rsid w:val="00103A3A"/>
    <w:rsid w:val="00103DFB"/>
    <w:rsid w:val="00103E7B"/>
    <w:rsid w:val="00103F2A"/>
    <w:rsid w:val="00103F88"/>
    <w:rsid w:val="00104059"/>
    <w:rsid w:val="00104064"/>
    <w:rsid w:val="00104128"/>
    <w:rsid w:val="00104241"/>
    <w:rsid w:val="0010437C"/>
    <w:rsid w:val="0010451D"/>
    <w:rsid w:val="001045BD"/>
    <w:rsid w:val="001047A3"/>
    <w:rsid w:val="00104EE1"/>
    <w:rsid w:val="0010502D"/>
    <w:rsid w:val="00105D1B"/>
    <w:rsid w:val="00105D85"/>
    <w:rsid w:val="00105F81"/>
    <w:rsid w:val="001063F2"/>
    <w:rsid w:val="0010641F"/>
    <w:rsid w:val="0010643A"/>
    <w:rsid w:val="001074A4"/>
    <w:rsid w:val="001079A8"/>
    <w:rsid w:val="00107E5A"/>
    <w:rsid w:val="001101A2"/>
    <w:rsid w:val="00110230"/>
    <w:rsid w:val="00110643"/>
    <w:rsid w:val="00110653"/>
    <w:rsid w:val="00110962"/>
    <w:rsid w:val="00110C3E"/>
    <w:rsid w:val="001110B2"/>
    <w:rsid w:val="0011126B"/>
    <w:rsid w:val="0011175F"/>
    <w:rsid w:val="00111AA0"/>
    <w:rsid w:val="00111AD6"/>
    <w:rsid w:val="00111C02"/>
    <w:rsid w:val="00111C45"/>
    <w:rsid w:val="00111DE4"/>
    <w:rsid w:val="00112194"/>
    <w:rsid w:val="00112301"/>
    <w:rsid w:val="001127B5"/>
    <w:rsid w:val="001128A4"/>
    <w:rsid w:val="001130AC"/>
    <w:rsid w:val="0011323A"/>
    <w:rsid w:val="00113306"/>
    <w:rsid w:val="001135AD"/>
    <w:rsid w:val="001135EB"/>
    <w:rsid w:val="001137C8"/>
    <w:rsid w:val="00113870"/>
    <w:rsid w:val="00113CCA"/>
    <w:rsid w:val="00113CEA"/>
    <w:rsid w:val="00113EAB"/>
    <w:rsid w:val="00113EEC"/>
    <w:rsid w:val="00113F84"/>
    <w:rsid w:val="00114397"/>
    <w:rsid w:val="001143A8"/>
    <w:rsid w:val="00114407"/>
    <w:rsid w:val="00114896"/>
    <w:rsid w:val="00115066"/>
    <w:rsid w:val="001150B8"/>
    <w:rsid w:val="0011539D"/>
    <w:rsid w:val="00115739"/>
    <w:rsid w:val="00115850"/>
    <w:rsid w:val="00115BDC"/>
    <w:rsid w:val="00116496"/>
    <w:rsid w:val="001166A7"/>
    <w:rsid w:val="00116BD5"/>
    <w:rsid w:val="00116EBB"/>
    <w:rsid w:val="00116EDF"/>
    <w:rsid w:val="00116F41"/>
    <w:rsid w:val="0011702F"/>
    <w:rsid w:val="00117044"/>
    <w:rsid w:val="00117327"/>
    <w:rsid w:val="001173F6"/>
    <w:rsid w:val="0011756D"/>
    <w:rsid w:val="001178CC"/>
    <w:rsid w:val="0011794C"/>
    <w:rsid w:val="00117EF3"/>
    <w:rsid w:val="00120158"/>
    <w:rsid w:val="0012085B"/>
    <w:rsid w:val="00120D69"/>
    <w:rsid w:val="00120F38"/>
    <w:rsid w:val="001210DC"/>
    <w:rsid w:val="00121225"/>
    <w:rsid w:val="0012132A"/>
    <w:rsid w:val="001213BE"/>
    <w:rsid w:val="00121578"/>
    <w:rsid w:val="00121BF3"/>
    <w:rsid w:val="00122083"/>
    <w:rsid w:val="00122208"/>
    <w:rsid w:val="0012256E"/>
    <w:rsid w:val="00122596"/>
    <w:rsid w:val="0012276D"/>
    <w:rsid w:val="001229EA"/>
    <w:rsid w:val="00122C6E"/>
    <w:rsid w:val="00122E24"/>
    <w:rsid w:val="00123095"/>
    <w:rsid w:val="00123428"/>
    <w:rsid w:val="00123627"/>
    <w:rsid w:val="00123DCC"/>
    <w:rsid w:val="00123EA2"/>
    <w:rsid w:val="00124128"/>
    <w:rsid w:val="00124184"/>
    <w:rsid w:val="001241BB"/>
    <w:rsid w:val="00124240"/>
    <w:rsid w:val="00124275"/>
    <w:rsid w:val="00124494"/>
    <w:rsid w:val="0012458F"/>
    <w:rsid w:val="00124654"/>
    <w:rsid w:val="00124725"/>
    <w:rsid w:val="0012487D"/>
    <w:rsid w:val="00124B72"/>
    <w:rsid w:val="00124DF6"/>
    <w:rsid w:val="00124E27"/>
    <w:rsid w:val="00125094"/>
    <w:rsid w:val="001250E4"/>
    <w:rsid w:val="0012561F"/>
    <w:rsid w:val="001257AB"/>
    <w:rsid w:val="00125962"/>
    <w:rsid w:val="00125974"/>
    <w:rsid w:val="00125D81"/>
    <w:rsid w:val="00126084"/>
    <w:rsid w:val="001264AB"/>
    <w:rsid w:val="0012670E"/>
    <w:rsid w:val="00126880"/>
    <w:rsid w:val="00126CA8"/>
    <w:rsid w:val="00126CE8"/>
    <w:rsid w:val="00126DC0"/>
    <w:rsid w:val="00126DD5"/>
    <w:rsid w:val="00126EC4"/>
    <w:rsid w:val="00126EDC"/>
    <w:rsid w:val="0012715C"/>
    <w:rsid w:val="00127294"/>
    <w:rsid w:val="00127526"/>
    <w:rsid w:val="0012767D"/>
    <w:rsid w:val="001276E5"/>
    <w:rsid w:val="001277D5"/>
    <w:rsid w:val="001279BE"/>
    <w:rsid w:val="00127ACE"/>
    <w:rsid w:val="00127C90"/>
    <w:rsid w:val="00127F6D"/>
    <w:rsid w:val="001300AE"/>
    <w:rsid w:val="00130248"/>
    <w:rsid w:val="00130308"/>
    <w:rsid w:val="001304D6"/>
    <w:rsid w:val="001308F4"/>
    <w:rsid w:val="00130AC6"/>
    <w:rsid w:val="00130AFC"/>
    <w:rsid w:val="00130B05"/>
    <w:rsid w:val="00130C7A"/>
    <w:rsid w:val="00130F4A"/>
    <w:rsid w:val="00130F4F"/>
    <w:rsid w:val="001311E6"/>
    <w:rsid w:val="00131778"/>
    <w:rsid w:val="00131833"/>
    <w:rsid w:val="00131890"/>
    <w:rsid w:val="00131AA6"/>
    <w:rsid w:val="00131AAB"/>
    <w:rsid w:val="00132694"/>
    <w:rsid w:val="001326C4"/>
    <w:rsid w:val="001327C0"/>
    <w:rsid w:val="00132BE0"/>
    <w:rsid w:val="00132CD0"/>
    <w:rsid w:val="00132CDE"/>
    <w:rsid w:val="00132CFC"/>
    <w:rsid w:val="00132F6D"/>
    <w:rsid w:val="00132FDA"/>
    <w:rsid w:val="001330D1"/>
    <w:rsid w:val="0013333B"/>
    <w:rsid w:val="0013341B"/>
    <w:rsid w:val="001339E5"/>
    <w:rsid w:val="00133D90"/>
    <w:rsid w:val="00134519"/>
    <w:rsid w:val="001345AA"/>
    <w:rsid w:val="0013464A"/>
    <w:rsid w:val="00134701"/>
    <w:rsid w:val="00134B2D"/>
    <w:rsid w:val="00134FEF"/>
    <w:rsid w:val="0013531E"/>
    <w:rsid w:val="0013536D"/>
    <w:rsid w:val="00135756"/>
    <w:rsid w:val="00135999"/>
    <w:rsid w:val="00135E1C"/>
    <w:rsid w:val="00136A88"/>
    <w:rsid w:val="00137070"/>
    <w:rsid w:val="00137510"/>
    <w:rsid w:val="001375DC"/>
    <w:rsid w:val="00137681"/>
    <w:rsid w:val="001376BB"/>
    <w:rsid w:val="00137C58"/>
    <w:rsid w:val="0014010D"/>
    <w:rsid w:val="0014020F"/>
    <w:rsid w:val="00140312"/>
    <w:rsid w:val="001408E9"/>
    <w:rsid w:val="00140D6C"/>
    <w:rsid w:val="001411BE"/>
    <w:rsid w:val="00141281"/>
    <w:rsid w:val="001413C1"/>
    <w:rsid w:val="001414D2"/>
    <w:rsid w:val="001417F6"/>
    <w:rsid w:val="00141ADA"/>
    <w:rsid w:val="00141E18"/>
    <w:rsid w:val="00141F10"/>
    <w:rsid w:val="00141F76"/>
    <w:rsid w:val="00142049"/>
    <w:rsid w:val="001423AB"/>
    <w:rsid w:val="001424C2"/>
    <w:rsid w:val="0014252B"/>
    <w:rsid w:val="0014286B"/>
    <w:rsid w:val="0014292D"/>
    <w:rsid w:val="00142AD6"/>
    <w:rsid w:val="0014327E"/>
    <w:rsid w:val="001433AC"/>
    <w:rsid w:val="001436BA"/>
    <w:rsid w:val="001438F6"/>
    <w:rsid w:val="00143918"/>
    <w:rsid w:val="00143BCE"/>
    <w:rsid w:val="00143CB3"/>
    <w:rsid w:val="00143CD3"/>
    <w:rsid w:val="001441D5"/>
    <w:rsid w:val="00144352"/>
    <w:rsid w:val="00144878"/>
    <w:rsid w:val="00144BC6"/>
    <w:rsid w:val="00144D6E"/>
    <w:rsid w:val="00144FC2"/>
    <w:rsid w:val="00145265"/>
    <w:rsid w:val="00145345"/>
    <w:rsid w:val="00145380"/>
    <w:rsid w:val="001454B3"/>
    <w:rsid w:val="0014562E"/>
    <w:rsid w:val="00145B0D"/>
    <w:rsid w:val="00145F0D"/>
    <w:rsid w:val="0014605F"/>
    <w:rsid w:val="00146077"/>
    <w:rsid w:val="00146177"/>
    <w:rsid w:val="00146211"/>
    <w:rsid w:val="00146242"/>
    <w:rsid w:val="00146447"/>
    <w:rsid w:val="00146456"/>
    <w:rsid w:val="0014655F"/>
    <w:rsid w:val="001465DD"/>
    <w:rsid w:val="001466EC"/>
    <w:rsid w:val="001467C4"/>
    <w:rsid w:val="00146BA8"/>
    <w:rsid w:val="001475BD"/>
    <w:rsid w:val="001476EA"/>
    <w:rsid w:val="00147956"/>
    <w:rsid w:val="00147CC4"/>
    <w:rsid w:val="00150175"/>
    <w:rsid w:val="0015019A"/>
    <w:rsid w:val="001503B0"/>
    <w:rsid w:val="001508F7"/>
    <w:rsid w:val="00150C0B"/>
    <w:rsid w:val="00150C1F"/>
    <w:rsid w:val="00150C27"/>
    <w:rsid w:val="00150DFA"/>
    <w:rsid w:val="00150E3B"/>
    <w:rsid w:val="00150EDC"/>
    <w:rsid w:val="00151002"/>
    <w:rsid w:val="001510FA"/>
    <w:rsid w:val="00151248"/>
    <w:rsid w:val="001515CF"/>
    <w:rsid w:val="0015165F"/>
    <w:rsid w:val="001517F0"/>
    <w:rsid w:val="001518B9"/>
    <w:rsid w:val="001518F5"/>
    <w:rsid w:val="00151947"/>
    <w:rsid w:val="00151A5B"/>
    <w:rsid w:val="00151CE0"/>
    <w:rsid w:val="00151F70"/>
    <w:rsid w:val="00152171"/>
    <w:rsid w:val="001523A6"/>
    <w:rsid w:val="001527B4"/>
    <w:rsid w:val="0015287E"/>
    <w:rsid w:val="001528FF"/>
    <w:rsid w:val="001529E4"/>
    <w:rsid w:val="00152A96"/>
    <w:rsid w:val="00152DEC"/>
    <w:rsid w:val="0015319F"/>
    <w:rsid w:val="001531CC"/>
    <w:rsid w:val="00153700"/>
    <w:rsid w:val="001541B2"/>
    <w:rsid w:val="001544A5"/>
    <w:rsid w:val="001545B9"/>
    <w:rsid w:val="00154B86"/>
    <w:rsid w:val="00154D7F"/>
    <w:rsid w:val="00154DB4"/>
    <w:rsid w:val="00154F96"/>
    <w:rsid w:val="00155040"/>
    <w:rsid w:val="001553C9"/>
    <w:rsid w:val="00155598"/>
    <w:rsid w:val="001558B5"/>
    <w:rsid w:val="00155BB7"/>
    <w:rsid w:val="00155F4E"/>
    <w:rsid w:val="00155F94"/>
    <w:rsid w:val="00156052"/>
    <w:rsid w:val="001562BF"/>
    <w:rsid w:val="00156906"/>
    <w:rsid w:val="00156B50"/>
    <w:rsid w:val="00156CED"/>
    <w:rsid w:val="00156D56"/>
    <w:rsid w:val="00156FFC"/>
    <w:rsid w:val="001571AE"/>
    <w:rsid w:val="00157A11"/>
    <w:rsid w:val="00157B3B"/>
    <w:rsid w:val="00157BF7"/>
    <w:rsid w:val="00157C72"/>
    <w:rsid w:val="0016004F"/>
    <w:rsid w:val="0016091F"/>
    <w:rsid w:val="00160CEA"/>
    <w:rsid w:val="00160E77"/>
    <w:rsid w:val="00160E9D"/>
    <w:rsid w:val="00160F6E"/>
    <w:rsid w:val="001610B2"/>
    <w:rsid w:val="00161354"/>
    <w:rsid w:val="00161BBF"/>
    <w:rsid w:val="00161E41"/>
    <w:rsid w:val="001620EE"/>
    <w:rsid w:val="00162133"/>
    <w:rsid w:val="001621F3"/>
    <w:rsid w:val="0016246A"/>
    <w:rsid w:val="001624C0"/>
    <w:rsid w:val="001626AF"/>
    <w:rsid w:val="001627FD"/>
    <w:rsid w:val="00162AC9"/>
    <w:rsid w:val="00162BC0"/>
    <w:rsid w:val="00162C2A"/>
    <w:rsid w:val="001630D5"/>
    <w:rsid w:val="00163296"/>
    <w:rsid w:val="00163354"/>
    <w:rsid w:val="001633B2"/>
    <w:rsid w:val="001639CD"/>
    <w:rsid w:val="00163C52"/>
    <w:rsid w:val="00163D43"/>
    <w:rsid w:val="00163FAE"/>
    <w:rsid w:val="001641FE"/>
    <w:rsid w:val="001642F9"/>
    <w:rsid w:val="0016450E"/>
    <w:rsid w:val="00164529"/>
    <w:rsid w:val="00164823"/>
    <w:rsid w:val="001648B9"/>
    <w:rsid w:val="00164A11"/>
    <w:rsid w:val="00164E8B"/>
    <w:rsid w:val="00164F0D"/>
    <w:rsid w:val="00164F1F"/>
    <w:rsid w:val="00165AA1"/>
    <w:rsid w:val="00165D68"/>
    <w:rsid w:val="00165E19"/>
    <w:rsid w:val="0016618E"/>
    <w:rsid w:val="0016627C"/>
    <w:rsid w:val="00166433"/>
    <w:rsid w:val="00166440"/>
    <w:rsid w:val="001666B8"/>
    <w:rsid w:val="0016670A"/>
    <w:rsid w:val="0016683E"/>
    <w:rsid w:val="0016687B"/>
    <w:rsid w:val="00166C5C"/>
    <w:rsid w:val="00166CBD"/>
    <w:rsid w:val="00166D60"/>
    <w:rsid w:val="00166D6E"/>
    <w:rsid w:val="00166DA5"/>
    <w:rsid w:val="00166E7D"/>
    <w:rsid w:val="00166FAD"/>
    <w:rsid w:val="00167089"/>
    <w:rsid w:val="001670D0"/>
    <w:rsid w:val="00167154"/>
    <w:rsid w:val="001678B4"/>
    <w:rsid w:val="001678E4"/>
    <w:rsid w:val="00167B72"/>
    <w:rsid w:val="00167D19"/>
    <w:rsid w:val="00167F9C"/>
    <w:rsid w:val="00167FA1"/>
    <w:rsid w:val="001700BD"/>
    <w:rsid w:val="001701F2"/>
    <w:rsid w:val="00170416"/>
    <w:rsid w:val="00170485"/>
    <w:rsid w:val="0017048E"/>
    <w:rsid w:val="0017058D"/>
    <w:rsid w:val="001708BF"/>
    <w:rsid w:val="00170BFC"/>
    <w:rsid w:val="00170CB4"/>
    <w:rsid w:val="00170DD8"/>
    <w:rsid w:val="00170E03"/>
    <w:rsid w:val="00170E22"/>
    <w:rsid w:val="00170E79"/>
    <w:rsid w:val="00170EA0"/>
    <w:rsid w:val="00170F80"/>
    <w:rsid w:val="00171156"/>
    <w:rsid w:val="00171472"/>
    <w:rsid w:val="00171547"/>
    <w:rsid w:val="00171752"/>
    <w:rsid w:val="001717B2"/>
    <w:rsid w:val="0017196C"/>
    <w:rsid w:val="00171DB4"/>
    <w:rsid w:val="00171F9C"/>
    <w:rsid w:val="00172578"/>
    <w:rsid w:val="00172D13"/>
    <w:rsid w:val="0017331B"/>
    <w:rsid w:val="0017372C"/>
    <w:rsid w:val="0017398B"/>
    <w:rsid w:val="001739E5"/>
    <w:rsid w:val="00173B50"/>
    <w:rsid w:val="00173D8E"/>
    <w:rsid w:val="001748E6"/>
    <w:rsid w:val="00174B02"/>
    <w:rsid w:val="00174B8E"/>
    <w:rsid w:val="00174BBF"/>
    <w:rsid w:val="00174EE4"/>
    <w:rsid w:val="001752F1"/>
    <w:rsid w:val="001753DC"/>
    <w:rsid w:val="00175431"/>
    <w:rsid w:val="0017553A"/>
    <w:rsid w:val="00175713"/>
    <w:rsid w:val="00175742"/>
    <w:rsid w:val="0017575C"/>
    <w:rsid w:val="00175796"/>
    <w:rsid w:val="001757B6"/>
    <w:rsid w:val="00175A30"/>
    <w:rsid w:val="00175A5E"/>
    <w:rsid w:val="00175D5D"/>
    <w:rsid w:val="00176083"/>
    <w:rsid w:val="001762F0"/>
    <w:rsid w:val="001763E2"/>
    <w:rsid w:val="001765C8"/>
    <w:rsid w:val="00176887"/>
    <w:rsid w:val="00176B18"/>
    <w:rsid w:val="00176C34"/>
    <w:rsid w:val="00176C71"/>
    <w:rsid w:val="00176D10"/>
    <w:rsid w:val="00176DF1"/>
    <w:rsid w:val="001770E2"/>
    <w:rsid w:val="001772E2"/>
    <w:rsid w:val="0017738F"/>
    <w:rsid w:val="001773E9"/>
    <w:rsid w:val="00177646"/>
    <w:rsid w:val="0017782F"/>
    <w:rsid w:val="0017788C"/>
    <w:rsid w:val="00177A68"/>
    <w:rsid w:val="00177B1E"/>
    <w:rsid w:val="00177B43"/>
    <w:rsid w:val="00177E06"/>
    <w:rsid w:val="00177E27"/>
    <w:rsid w:val="0018037E"/>
    <w:rsid w:val="0018096F"/>
    <w:rsid w:val="001809C1"/>
    <w:rsid w:val="00180A4F"/>
    <w:rsid w:val="00180A7B"/>
    <w:rsid w:val="00180D86"/>
    <w:rsid w:val="00180DC3"/>
    <w:rsid w:val="00180DE8"/>
    <w:rsid w:val="00180E54"/>
    <w:rsid w:val="001812AD"/>
    <w:rsid w:val="00181455"/>
    <w:rsid w:val="00181787"/>
    <w:rsid w:val="0018194B"/>
    <w:rsid w:val="00181AF2"/>
    <w:rsid w:val="00181E11"/>
    <w:rsid w:val="00182341"/>
    <w:rsid w:val="00182812"/>
    <w:rsid w:val="00182A99"/>
    <w:rsid w:val="00182AAF"/>
    <w:rsid w:val="00182BAA"/>
    <w:rsid w:val="0018339C"/>
    <w:rsid w:val="001839E1"/>
    <w:rsid w:val="00183CA7"/>
    <w:rsid w:val="00183E24"/>
    <w:rsid w:val="00184019"/>
    <w:rsid w:val="00184058"/>
    <w:rsid w:val="001840DE"/>
    <w:rsid w:val="001846E1"/>
    <w:rsid w:val="0018476F"/>
    <w:rsid w:val="0018482C"/>
    <w:rsid w:val="0018492C"/>
    <w:rsid w:val="00184B9E"/>
    <w:rsid w:val="00184C6A"/>
    <w:rsid w:val="00184DA2"/>
    <w:rsid w:val="00184E41"/>
    <w:rsid w:val="00184EA3"/>
    <w:rsid w:val="00184ED3"/>
    <w:rsid w:val="00184F1B"/>
    <w:rsid w:val="00184FA9"/>
    <w:rsid w:val="00184FF3"/>
    <w:rsid w:val="00185581"/>
    <w:rsid w:val="00185CAD"/>
    <w:rsid w:val="001860F0"/>
    <w:rsid w:val="001862C8"/>
    <w:rsid w:val="001862E4"/>
    <w:rsid w:val="0018651E"/>
    <w:rsid w:val="00186845"/>
    <w:rsid w:val="00186978"/>
    <w:rsid w:val="00186F05"/>
    <w:rsid w:val="00186F4B"/>
    <w:rsid w:val="00186FC5"/>
    <w:rsid w:val="001870D3"/>
    <w:rsid w:val="00187108"/>
    <w:rsid w:val="00187241"/>
    <w:rsid w:val="00187357"/>
    <w:rsid w:val="00190231"/>
    <w:rsid w:val="001903CB"/>
    <w:rsid w:val="00190646"/>
    <w:rsid w:val="001906FE"/>
    <w:rsid w:val="00190CEA"/>
    <w:rsid w:val="00190DE4"/>
    <w:rsid w:val="00190E48"/>
    <w:rsid w:val="00190F3B"/>
    <w:rsid w:val="00191456"/>
    <w:rsid w:val="00191671"/>
    <w:rsid w:val="00191793"/>
    <w:rsid w:val="00191E8F"/>
    <w:rsid w:val="00191EBE"/>
    <w:rsid w:val="001925FD"/>
    <w:rsid w:val="0019262E"/>
    <w:rsid w:val="00192833"/>
    <w:rsid w:val="00192985"/>
    <w:rsid w:val="00192A21"/>
    <w:rsid w:val="00192C93"/>
    <w:rsid w:val="00192FFD"/>
    <w:rsid w:val="00193031"/>
    <w:rsid w:val="00193566"/>
    <w:rsid w:val="00193603"/>
    <w:rsid w:val="0019397B"/>
    <w:rsid w:val="00194005"/>
    <w:rsid w:val="0019416D"/>
    <w:rsid w:val="0019427F"/>
    <w:rsid w:val="00194528"/>
    <w:rsid w:val="00194C33"/>
    <w:rsid w:val="0019513E"/>
    <w:rsid w:val="0019562B"/>
    <w:rsid w:val="00195667"/>
    <w:rsid w:val="0019590C"/>
    <w:rsid w:val="001959AD"/>
    <w:rsid w:val="00195B0F"/>
    <w:rsid w:val="0019601C"/>
    <w:rsid w:val="001960E2"/>
    <w:rsid w:val="001964B4"/>
    <w:rsid w:val="00196B73"/>
    <w:rsid w:val="00196CB0"/>
    <w:rsid w:val="00196D01"/>
    <w:rsid w:val="00196D90"/>
    <w:rsid w:val="00196D9E"/>
    <w:rsid w:val="00196DDF"/>
    <w:rsid w:val="00196FAD"/>
    <w:rsid w:val="00196FC4"/>
    <w:rsid w:val="00197035"/>
    <w:rsid w:val="00197411"/>
    <w:rsid w:val="00197839"/>
    <w:rsid w:val="00197A60"/>
    <w:rsid w:val="00197FDE"/>
    <w:rsid w:val="001A064B"/>
    <w:rsid w:val="001A06C2"/>
    <w:rsid w:val="001A06D7"/>
    <w:rsid w:val="001A071D"/>
    <w:rsid w:val="001A074B"/>
    <w:rsid w:val="001A0783"/>
    <w:rsid w:val="001A08EB"/>
    <w:rsid w:val="001A0962"/>
    <w:rsid w:val="001A0B13"/>
    <w:rsid w:val="001A0C84"/>
    <w:rsid w:val="001A10F6"/>
    <w:rsid w:val="001A1355"/>
    <w:rsid w:val="001A13E1"/>
    <w:rsid w:val="001A1415"/>
    <w:rsid w:val="001A17B9"/>
    <w:rsid w:val="001A1DC1"/>
    <w:rsid w:val="001A22E4"/>
    <w:rsid w:val="001A248C"/>
    <w:rsid w:val="001A25C5"/>
    <w:rsid w:val="001A2A78"/>
    <w:rsid w:val="001A2BF7"/>
    <w:rsid w:val="001A2EB8"/>
    <w:rsid w:val="001A2F5E"/>
    <w:rsid w:val="001A352C"/>
    <w:rsid w:val="001A395F"/>
    <w:rsid w:val="001A3CC3"/>
    <w:rsid w:val="001A3D1B"/>
    <w:rsid w:val="001A4308"/>
    <w:rsid w:val="001A4520"/>
    <w:rsid w:val="001A4773"/>
    <w:rsid w:val="001A4850"/>
    <w:rsid w:val="001A4C32"/>
    <w:rsid w:val="001A4C6E"/>
    <w:rsid w:val="001A5A65"/>
    <w:rsid w:val="001A5BA7"/>
    <w:rsid w:val="001A606C"/>
    <w:rsid w:val="001A615F"/>
    <w:rsid w:val="001A61FA"/>
    <w:rsid w:val="001A6212"/>
    <w:rsid w:val="001A67B5"/>
    <w:rsid w:val="001A6825"/>
    <w:rsid w:val="001A68CF"/>
    <w:rsid w:val="001A6944"/>
    <w:rsid w:val="001A6968"/>
    <w:rsid w:val="001A6C54"/>
    <w:rsid w:val="001A6CF9"/>
    <w:rsid w:val="001A703C"/>
    <w:rsid w:val="001A7303"/>
    <w:rsid w:val="001A73B0"/>
    <w:rsid w:val="001A755B"/>
    <w:rsid w:val="001A77F0"/>
    <w:rsid w:val="001A7825"/>
    <w:rsid w:val="001A78E6"/>
    <w:rsid w:val="001B007D"/>
    <w:rsid w:val="001B00A2"/>
    <w:rsid w:val="001B012A"/>
    <w:rsid w:val="001B05C6"/>
    <w:rsid w:val="001B0EF5"/>
    <w:rsid w:val="001B1014"/>
    <w:rsid w:val="001B1787"/>
    <w:rsid w:val="001B1985"/>
    <w:rsid w:val="001B1A8B"/>
    <w:rsid w:val="001B1AB6"/>
    <w:rsid w:val="001B1BEE"/>
    <w:rsid w:val="001B1DBF"/>
    <w:rsid w:val="001B204E"/>
    <w:rsid w:val="001B213C"/>
    <w:rsid w:val="001B2147"/>
    <w:rsid w:val="001B21AA"/>
    <w:rsid w:val="001B220E"/>
    <w:rsid w:val="001B2249"/>
    <w:rsid w:val="001B22C7"/>
    <w:rsid w:val="001B23A3"/>
    <w:rsid w:val="001B2A63"/>
    <w:rsid w:val="001B2E04"/>
    <w:rsid w:val="001B311B"/>
    <w:rsid w:val="001B3199"/>
    <w:rsid w:val="001B35C4"/>
    <w:rsid w:val="001B35DD"/>
    <w:rsid w:val="001B360F"/>
    <w:rsid w:val="001B376D"/>
    <w:rsid w:val="001B3905"/>
    <w:rsid w:val="001B3EDD"/>
    <w:rsid w:val="001B43F7"/>
    <w:rsid w:val="001B4956"/>
    <w:rsid w:val="001B4DA5"/>
    <w:rsid w:val="001B4E77"/>
    <w:rsid w:val="001B511D"/>
    <w:rsid w:val="001B59F9"/>
    <w:rsid w:val="001B5B0C"/>
    <w:rsid w:val="001B5C82"/>
    <w:rsid w:val="001B5CA8"/>
    <w:rsid w:val="001B6000"/>
    <w:rsid w:val="001B62F6"/>
    <w:rsid w:val="001B6300"/>
    <w:rsid w:val="001B638F"/>
    <w:rsid w:val="001B64AB"/>
    <w:rsid w:val="001B659F"/>
    <w:rsid w:val="001B6779"/>
    <w:rsid w:val="001B67BC"/>
    <w:rsid w:val="001B688F"/>
    <w:rsid w:val="001B6A34"/>
    <w:rsid w:val="001B6B40"/>
    <w:rsid w:val="001B6F84"/>
    <w:rsid w:val="001B7081"/>
    <w:rsid w:val="001B73C0"/>
    <w:rsid w:val="001B7947"/>
    <w:rsid w:val="001B7AF7"/>
    <w:rsid w:val="001B7C4E"/>
    <w:rsid w:val="001B7C53"/>
    <w:rsid w:val="001C0102"/>
    <w:rsid w:val="001C069A"/>
    <w:rsid w:val="001C07C7"/>
    <w:rsid w:val="001C0CC1"/>
    <w:rsid w:val="001C10A2"/>
    <w:rsid w:val="001C10D0"/>
    <w:rsid w:val="001C1151"/>
    <w:rsid w:val="001C145D"/>
    <w:rsid w:val="001C1C4D"/>
    <w:rsid w:val="001C1CB2"/>
    <w:rsid w:val="001C1F6F"/>
    <w:rsid w:val="001C20D3"/>
    <w:rsid w:val="001C27EF"/>
    <w:rsid w:val="001C2903"/>
    <w:rsid w:val="001C291F"/>
    <w:rsid w:val="001C2D6C"/>
    <w:rsid w:val="001C2F38"/>
    <w:rsid w:val="001C3093"/>
    <w:rsid w:val="001C31D1"/>
    <w:rsid w:val="001C3713"/>
    <w:rsid w:val="001C37C7"/>
    <w:rsid w:val="001C3946"/>
    <w:rsid w:val="001C3D8A"/>
    <w:rsid w:val="001C405D"/>
    <w:rsid w:val="001C4421"/>
    <w:rsid w:val="001C4478"/>
    <w:rsid w:val="001C4A27"/>
    <w:rsid w:val="001C4C7B"/>
    <w:rsid w:val="001C4C8F"/>
    <w:rsid w:val="001C4F67"/>
    <w:rsid w:val="001C500E"/>
    <w:rsid w:val="001C51F6"/>
    <w:rsid w:val="001C5456"/>
    <w:rsid w:val="001C5703"/>
    <w:rsid w:val="001C5779"/>
    <w:rsid w:val="001C5BFC"/>
    <w:rsid w:val="001C62C6"/>
    <w:rsid w:val="001C6571"/>
    <w:rsid w:val="001C65BB"/>
    <w:rsid w:val="001C6F04"/>
    <w:rsid w:val="001C6F0D"/>
    <w:rsid w:val="001C6F81"/>
    <w:rsid w:val="001C755B"/>
    <w:rsid w:val="001C77AE"/>
    <w:rsid w:val="001C77E1"/>
    <w:rsid w:val="001C785E"/>
    <w:rsid w:val="001C7895"/>
    <w:rsid w:val="001C78C8"/>
    <w:rsid w:val="001C7983"/>
    <w:rsid w:val="001C7BB6"/>
    <w:rsid w:val="001C7EB9"/>
    <w:rsid w:val="001D0357"/>
    <w:rsid w:val="001D0439"/>
    <w:rsid w:val="001D06AB"/>
    <w:rsid w:val="001D074B"/>
    <w:rsid w:val="001D08BD"/>
    <w:rsid w:val="001D0908"/>
    <w:rsid w:val="001D0A3B"/>
    <w:rsid w:val="001D0B0A"/>
    <w:rsid w:val="001D0B49"/>
    <w:rsid w:val="001D1113"/>
    <w:rsid w:val="001D156C"/>
    <w:rsid w:val="001D1793"/>
    <w:rsid w:val="001D1E33"/>
    <w:rsid w:val="001D1ECD"/>
    <w:rsid w:val="001D23F8"/>
    <w:rsid w:val="001D25EC"/>
    <w:rsid w:val="001D2CC2"/>
    <w:rsid w:val="001D2D50"/>
    <w:rsid w:val="001D2F26"/>
    <w:rsid w:val="001D32F0"/>
    <w:rsid w:val="001D3479"/>
    <w:rsid w:val="001D3718"/>
    <w:rsid w:val="001D385B"/>
    <w:rsid w:val="001D3D0C"/>
    <w:rsid w:val="001D400A"/>
    <w:rsid w:val="001D4202"/>
    <w:rsid w:val="001D4314"/>
    <w:rsid w:val="001D4318"/>
    <w:rsid w:val="001D4666"/>
    <w:rsid w:val="001D4EFF"/>
    <w:rsid w:val="001D4F46"/>
    <w:rsid w:val="001D5069"/>
    <w:rsid w:val="001D5382"/>
    <w:rsid w:val="001D562F"/>
    <w:rsid w:val="001D569C"/>
    <w:rsid w:val="001D5890"/>
    <w:rsid w:val="001D5994"/>
    <w:rsid w:val="001D59C7"/>
    <w:rsid w:val="001D5FA2"/>
    <w:rsid w:val="001D6014"/>
    <w:rsid w:val="001D608C"/>
    <w:rsid w:val="001D6554"/>
    <w:rsid w:val="001D6980"/>
    <w:rsid w:val="001D6B7F"/>
    <w:rsid w:val="001D6F40"/>
    <w:rsid w:val="001D715C"/>
    <w:rsid w:val="001D72EF"/>
    <w:rsid w:val="001D734A"/>
    <w:rsid w:val="001D7435"/>
    <w:rsid w:val="001D75D0"/>
    <w:rsid w:val="001D76E7"/>
    <w:rsid w:val="001D77B3"/>
    <w:rsid w:val="001D78DD"/>
    <w:rsid w:val="001D7A8D"/>
    <w:rsid w:val="001E003C"/>
    <w:rsid w:val="001E01B8"/>
    <w:rsid w:val="001E03EC"/>
    <w:rsid w:val="001E0954"/>
    <w:rsid w:val="001E0C2C"/>
    <w:rsid w:val="001E0C4F"/>
    <w:rsid w:val="001E0CCE"/>
    <w:rsid w:val="001E0DCB"/>
    <w:rsid w:val="001E1069"/>
    <w:rsid w:val="001E12A8"/>
    <w:rsid w:val="001E1C29"/>
    <w:rsid w:val="001E1D04"/>
    <w:rsid w:val="001E1E00"/>
    <w:rsid w:val="001E1E1C"/>
    <w:rsid w:val="001E222E"/>
    <w:rsid w:val="001E2760"/>
    <w:rsid w:val="001E2900"/>
    <w:rsid w:val="001E29A2"/>
    <w:rsid w:val="001E2B34"/>
    <w:rsid w:val="001E2B73"/>
    <w:rsid w:val="001E2B88"/>
    <w:rsid w:val="001E2CD0"/>
    <w:rsid w:val="001E2D56"/>
    <w:rsid w:val="001E30A7"/>
    <w:rsid w:val="001E3133"/>
    <w:rsid w:val="001E3421"/>
    <w:rsid w:val="001E34F1"/>
    <w:rsid w:val="001E356F"/>
    <w:rsid w:val="001E36FB"/>
    <w:rsid w:val="001E3966"/>
    <w:rsid w:val="001E3A5C"/>
    <w:rsid w:val="001E40FA"/>
    <w:rsid w:val="001E451E"/>
    <w:rsid w:val="001E49B1"/>
    <w:rsid w:val="001E49F4"/>
    <w:rsid w:val="001E4C82"/>
    <w:rsid w:val="001E4EDF"/>
    <w:rsid w:val="001E5063"/>
    <w:rsid w:val="001E534E"/>
    <w:rsid w:val="001E56E7"/>
    <w:rsid w:val="001E580B"/>
    <w:rsid w:val="001E5915"/>
    <w:rsid w:val="001E5D1C"/>
    <w:rsid w:val="001E6254"/>
    <w:rsid w:val="001E65F0"/>
    <w:rsid w:val="001E68C4"/>
    <w:rsid w:val="001E6EB3"/>
    <w:rsid w:val="001E6F26"/>
    <w:rsid w:val="001E74A8"/>
    <w:rsid w:val="001E76C6"/>
    <w:rsid w:val="001E7B50"/>
    <w:rsid w:val="001E7E9E"/>
    <w:rsid w:val="001F0066"/>
    <w:rsid w:val="001F0182"/>
    <w:rsid w:val="001F01F8"/>
    <w:rsid w:val="001F0219"/>
    <w:rsid w:val="001F06D2"/>
    <w:rsid w:val="001F078F"/>
    <w:rsid w:val="001F08A2"/>
    <w:rsid w:val="001F08DB"/>
    <w:rsid w:val="001F08E4"/>
    <w:rsid w:val="001F09E8"/>
    <w:rsid w:val="001F1028"/>
    <w:rsid w:val="001F1084"/>
    <w:rsid w:val="001F1146"/>
    <w:rsid w:val="001F18F8"/>
    <w:rsid w:val="001F1E08"/>
    <w:rsid w:val="001F1E26"/>
    <w:rsid w:val="001F1E7A"/>
    <w:rsid w:val="001F1F52"/>
    <w:rsid w:val="001F2030"/>
    <w:rsid w:val="001F24A6"/>
    <w:rsid w:val="001F2623"/>
    <w:rsid w:val="001F2637"/>
    <w:rsid w:val="001F27B9"/>
    <w:rsid w:val="001F28AD"/>
    <w:rsid w:val="001F28E8"/>
    <w:rsid w:val="001F28EB"/>
    <w:rsid w:val="001F29CA"/>
    <w:rsid w:val="001F2B9E"/>
    <w:rsid w:val="001F2C40"/>
    <w:rsid w:val="001F2C87"/>
    <w:rsid w:val="001F2C96"/>
    <w:rsid w:val="001F2CFE"/>
    <w:rsid w:val="001F34BB"/>
    <w:rsid w:val="001F3542"/>
    <w:rsid w:val="001F3A9F"/>
    <w:rsid w:val="001F3C7E"/>
    <w:rsid w:val="001F3DD9"/>
    <w:rsid w:val="001F3F2D"/>
    <w:rsid w:val="001F43DC"/>
    <w:rsid w:val="001F4559"/>
    <w:rsid w:val="001F4992"/>
    <w:rsid w:val="001F499B"/>
    <w:rsid w:val="001F499E"/>
    <w:rsid w:val="001F49ED"/>
    <w:rsid w:val="001F4E10"/>
    <w:rsid w:val="001F5166"/>
    <w:rsid w:val="001F519A"/>
    <w:rsid w:val="001F5472"/>
    <w:rsid w:val="001F5825"/>
    <w:rsid w:val="001F5847"/>
    <w:rsid w:val="001F5A7A"/>
    <w:rsid w:val="001F5C03"/>
    <w:rsid w:val="001F6184"/>
    <w:rsid w:val="001F61EE"/>
    <w:rsid w:val="001F6240"/>
    <w:rsid w:val="001F63DB"/>
    <w:rsid w:val="001F6469"/>
    <w:rsid w:val="001F6972"/>
    <w:rsid w:val="001F6984"/>
    <w:rsid w:val="001F6A8B"/>
    <w:rsid w:val="001F6FD7"/>
    <w:rsid w:val="001F6FE2"/>
    <w:rsid w:val="001F7388"/>
    <w:rsid w:val="001F7450"/>
    <w:rsid w:val="001F74A2"/>
    <w:rsid w:val="001F78C9"/>
    <w:rsid w:val="001F7B79"/>
    <w:rsid w:val="001F7BA5"/>
    <w:rsid w:val="001F7BD3"/>
    <w:rsid w:val="001F7C3B"/>
    <w:rsid w:val="001F7D2D"/>
    <w:rsid w:val="0020021C"/>
    <w:rsid w:val="00200290"/>
    <w:rsid w:val="00200406"/>
    <w:rsid w:val="00200516"/>
    <w:rsid w:val="00200A0F"/>
    <w:rsid w:val="00200A7F"/>
    <w:rsid w:val="00200FCE"/>
    <w:rsid w:val="00201070"/>
    <w:rsid w:val="002010E3"/>
    <w:rsid w:val="002011E8"/>
    <w:rsid w:val="0020133F"/>
    <w:rsid w:val="00201977"/>
    <w:rsid w:val="00201A08"/>
    <w:rsid w:val="00201B82"/>
    <w:rsid w:val="00201F8A"/>
    <w:rsid w:val="002020EC"/>
    <w:rsid w:val="0020218F"/>
    <w:rsid w:val="00202BEF"/>
    <w:rsid w:val="00202CFB"/>
    <w:rsid w:val="00203271"/>
    <w:rsid w:val="002032A7"/>
    <w:rsid w:val="002032C6"/>
    <w:rsid w:val="0020388C"/>
    <w:rsid w:val="00203B6A"/>
    <w:rsid w:val="00203C29"/>
    <w:rsid w:val="00203CAD"/>
    <w:rsid w:val="00203FBC"/>
    <w:rsid w:val="002044CC"/>
    <w:rsid w:val="0020454D"/>
    <w:rsid w:val="00204619"/>
    <w:rsid w:val="00204A30"/>
    <w:rsid w:val="00204BF1"/>
    <w:rsid w:val="00204C3E"/>
    <w:rsid w:val="00204D8A"/>
    <w:rsid w:val="002052BA"/>
    <w:rsid w:val="00205301"/>
    <w:rsid w:val="002056FC"/>
    <w:rsid w:val="0020576F"/>
    <w:rsid w:val="00205816"/>
    <w:rsid w:val="00205A75"/>
    <w:rsid w:val="00205C9B"/>
    <w:rsid w:val="00205D41"/>
    <w:rsid w:val="00205EE8"/>
    <w:rsid w:val="00206125"/>
    <w:rsid w:val="00206264"/>
    <w:rsid w:val="002064BF"/>
    <w:rsid w:val="0020664F"/>
    <w:rsid w:val="00206792"/>
    <w:rsid w:val="00206795"/>
    <w:rsid w:val="002067B5"/>
    <w:rsid w:val="00206B2B"/>
    <w:rsid w:val="00206C71"/>
    <w:rsid w:val="00206E65"/>
    <w:rsid w:val="00207065"/>
    <w:rsid w:val="00207136"/>
    <w:rsid w:val="0020724A"/>
    <w:rsid w:val="0020729F"/>
    <w:rsid w:val="002072E4"/>
    <w:rsid w:val="002075ED"/>
    <w:rsid w:val="0020776D"/>
    <w:rsid w:val="002077D0"/>
    <w:rsid w:val="00207B74"/>
    <w:rsid w:val="00207C5E"/>
    <w:rsid w:val="00207ECD"/>
    <w:rsid w:val="00210644"/>
    <w:rsid w:val="002106C9"/>
    <w:rsid w:val="00210715"/>
    <w:rsid w:val="00210B48"/>
    <w:rsid w:val="00210BF9"/>
    <w:rsid w:val="00210CE3"/>
    <w:rsid w:val="00210E62"/>
    <w:rsid w:val="0021103F"/>
    <w:rsid w:val="00211545"/>
    <w:rsid w:val="00211550"/>
    <w:rsid w:val="00211D4E"/>
    <w:rsid w:val="00211E02"/>
    <w:rsid w:val="00211EA2"/>
    <w:rsid w:val="00211FFE"/>
    <w:rsid w:val="0021230D"/>
    <w:rsid w:val="002127CF"/>
    <w:rsid w:val="00212A7D"/>
    <w:rsid w:val="00212BC8"/>
    <w:rsid w:val="00212C4C"/>
    <w:rsid w:val="00212C50"/>
    <w:rsid w:val="00212CC0"/>
    <w:rsid w:val="00212E0D"/>
    <w:rsid w:val="00212E15"/>
    <w:rsid w:val="002134E6"/>
    <w:rsid w:val="0021391F"/>
    <w:rsid w:val="00213A23"/>
    <w:rsid w:val="00213EBE"/>
    <w:rsid w:val="00214005"/>
    <w:rsid w:val="002141DA"/>
    <w:rsid w:val="0021431E"/>
    <w:rsid w:val="002145BC"/>
    <w:rsid w:val="0021495B"/>
    <w:rsid w:val="00214A0B"/>
    <w:rsid w:val="00214C0F"/>
    <w:rsid w:val="00214CCA"/>
    <w:rsid w:val="00214EAD"/>
    <w:rsid w:val="002154E3"/>
    <w:rsid w:val="002156DE"/>
    <w:rsid w:val="00215C2A"/>
    <w:rsid w:val="00215D23"/>
    <w:rsid w:val="00215D60"/>
    <w:rsid w:val="00216152"/>
    <w:rsid w:val="002166FF"/>
    <w:rsid w:val="002167AB"/>
    <w:rsid w:val="00217008"/>
    <w:rsid w:val="0021705F"/>
    <w:rsid w:val="00217099"/>
    <w:rsid w:val="002170A5"/>
    <w:rsid w:val="0021718A"/>
    <w:rsid w:val="002171ED"/>
    <w:rsid w:val="0021724A"/>
    <w:rsid w:val="00217283"/>
    <w:rsid w:val="002177F5"/>
    <w:rsid w:val="00217901"/>
    <w:rsid w:val="002179F6"/>
    <w:rsid w:val="00217C54"/>
    <w:rsid w:val="00217C5B"/>
    <w:rsid w:val="00217D61"/>
    <w:rsid w:val="00217D86"/>
    <w:rsid w:val="00217FB1"/>
    <w:rsid w:val="0022022F"/>
    <w:rsid w:val="00220279"/>
    <w:rsid w:val="00220707"/>
    <w:rsid w:val="00220937"/>
    <w:rsid w:val="0022151B"/>
    <w:rsid w:val="00221716"/>
    <w:rsid w:val="002217D2"/>
    <w:rsid w:val="00221818"/>
    <w:rsid w:val="00221864"/>
    <w:rsid w:val="00221F7E"/>
    <w:rsid w:val="00221FC7"/>
    <w:rsid w:val="002225B5"/>
    <w:rsid w:val="00222749"/>
    <w:rsid w:val="0022286E"/>
    <w:rsid w:val="00222B2B"/>
    <w:rsid w:val="00222B43"/>
    <w:rsid w:val="00222C1B"/>
    <w:rsid w:val="00222E15"/>
    <w:rsid w:val="00222E8A"/>
    <w:rsid w:val="00223087"/>
    <w:rsid w:val="002232D7"/>
    <w:rsid w:val="00223444"/>
    <w:rsid w:val="00223C95"/>
    <w:rsid w:val="00224031"/>
    <w:rsid w:val="0022403A"/>
    <w:rsid w:val="00224353"/>
    <w:rsid w:val="00224A85"/>
    <w:rsid w:val="00224D06"/>
    <w:rsid w:val="00224DCC"/>
    <w:rsid w:val="00224EE7"/>
    <w:rsid w:val="00225324"/>
    <w:rsid w:val="0022538F"/>
    <w:rsid w:val="0022569A"/>
    <w:rsid w:val="00225816"/>
    <w:rsid w:val="002258A9"/>
    <w:rsid w:val="00225B1A"/>
    <w:rsid w:val="00225CEC"/>
    <w:rsid w:val="00225E03"/>
    <w:rsid w:val="00225F8D"/>
    <w:rsid w:val="0022620D"/>
    <w:rsid w:val="00226288"/>
    <w:rsid w:val="002262C0"/>
    <w:rsid w:val="0022657A"/>
    <w:rsid w:val="002269ED"/>
    <w:rsid w:val="00226AC7"/>
    <w:rsid w:val="00226AE6"/>
    <w:rsid w:val="00226CBC"/>
    <w:rsid w:val="00226DE3"/>
    <w:rsid w:val="00227096"/>
    <w:rsid w:val="00227697"/>
    <w:rsid w:val="00227814"/>
    <w:rsid w:val="00227959"/>
    <w:rsid w:val="0022797A"/>
    <w:rsid w:val="00227D73"/>
    <w:rsid w:val="00227EA7"/>
    <w:rsid w:val="00227F0D"/>
    <w:rsid w:val="002304DF"/>
    <w:rsid w:val="002306CA"/>
    <w:rsid w:val="00230909"/>
    <w:rsid w:val="0023094C"/>
    <w:rsid w:val="00230C89"/>
    <w:rsid w:val="00230E90"/>
    <w:rsid w:val="00230EA8"/>
    <w:rsid w:val="00230F22"/>
    <w:rsid w:val="002315C7"/>
    <w:rsid w:val="002316D6"/>
    <w:rsid w:val="002316FF"/>
    <w:rsid w:val="002319B2"/>
    <w:rsid w:val="00231A34"/>
    <w:rsid w:val="00231A53"/>
    <w:rsid w:val="00231BFC"/>
    <w:rsid w:val="00231DBA"/>
    <w:rsid w:val="00231E73"/>
    <w:rsid w:val="00232457"/>
    <w:rsid w:val="0023262B"/>
    <w:rsid w:val="002326B7"/>
    <w:rsid w:val="00232718"/>
    <w:rsid w:val="00232EA0"/>
    <w:rsid w:val="00232F20"/>
    <w:rsid w:val="00232FCA"/>
    <w:rsid w:val="00233156"/>
    <w:rsid w:val="002331B9"/>
    <w:rsid w:val="002331F0"/>
    <w:rsid w:val="00233BAF"/>
    <w:rsid w:val="00233CEA"/>
    <w:rsid w:val="00233EA9"/>
    <w:rsid w:val="00233F15"/>
    <w:rsid w:val="00234037"/>
    <w:rsid w:val="00234463"/>
    <w:rsid w:val="0023492B"/>
    <w:rsid w:val="00234A87"/>
    <w:rsid w:val="00234B51"/>
    <w:rsid w:val="00234FFB"/>
    <w:rsid w:val="002351D5"/>
    <w:rsid w:val="00235233"/>
    <w:rsid w:val="00235304"/>
    <w:rsid w:val="00235382"/>
    <w:rsid w:val="00235DB1"/>
    <w:rsid w:val="00235E47"/>
    <w:rsid w:val="0023647C"/>
    <w:rsid w:val="002364ED"/>
    <w:rsid w:val="00236864"/>
    <w:rsid w:val="00236AC8"/>
    <w:rsid w:val="00236BF3"/>
    <w:rsid w:val="00236E48"/>
    <w:rsid w:val="00236EC8"/>
    <w:rsid w:val="0023704D"/>
    <w:rsid w:val="0023709A"/>
    <w:rsid w:val="00237341"/>
    <w:rsid w:val="002401A2"/>
    <w:rsid w:val="002402F9"/>
    <w:rsid w:val="0024038D"/>
    <w:rsid w:val="00240479"/>
    <w:rsid w:val="002404A1"/>
    <w:rsid w:val="00240548"/>
    <w:rsid w:val="00240563"/>
    <w:rsid w:val="00240844"/>
    <w:rsid w:val="002408E3"/>
    <w:rsid w:val="00240AA3"/>
    <w:rsid w:val="00240B04"/>
    <w:rsid w:val="00240C29"/>
    <w:rsid w:val="00240FBE"/>
    <w:rsid w:val="00241193"/>
    <w:rsid w:val="00241636"/>
    <w:rsid w:val="00241671"/>
    <w:rsid w:val="00241987"/>
    <w:rsid w:val="00241F72"/>
    <w:rsid w:val="00242097"/>
    <w:rsid w:val="002421EF"/>
    <w:rsid w:val="00242216"/>
    <w:rsid w:val="00242252"/>
    <w:rsid w:val="00242337"/>
    <w:rsid w:val="002423E9"/>
    <w:rsid w:val="00242840"/>
    <w:rsid w:val="00242B2B"/>
    <w:rsid w:val="00242C41"/>
    <w:rsid w:val="00242EB3"/>
    <w:rsid w:val="00243198"/>
    <w:rsid w:val="002432E3"/>
    <w:rsid w:val="00243390"/>
    <w:rsid w:val="0024354A"/>
    <w:rsid w:val="00243A35"/>
    <w:rsid w:val="00243A8D"/>
    <w:rsid w:val="002443F6"/>
    <w:rsid w:val="0024480D"/>
    <w:rsid w:val="00244A6D"/>
    <w:rsid w:val="00244AA5"/>
    <w:rsid w:val="00244B8F"/>
    <w:rsid w:val="00244DE1"/>
    <w:rsid w:val="002455B3"/>
    <w:rsid w:val="00245719"/>
    <w:rsid w:val="0024579A"/>
    <w:rsid w:val="002457F7"/>
    <w:rsid w:val="00245B26"/>
    <w:rsid w:val="00245B63"/>
    <w:rsid w:val="00245B66"/>
    <w:rsid w:val="00245EB4"/>
    <w:rsid w:val="002464A9"/>
    <w:rsid w:val="00246913"/>
    <w:rsid w:val="00246D92"/>
    <w:rsid w:val="00246E65"/>
    <w:rsid w:val="00247020"/>
    <w:rsid w:val="0024773F"/>
    <w:rsid w:val="002478F3"/>
    <w:rsid w:val="00247C71"/>
    <w:rsid w:val="00247E65"/>
    <w:rsid w:val="00247E7F"/>
    <w:rsid w:val="0025007A"/>
    <w:rsid w:val="002501AF"/>
    <w:rsid w:val="0025036B"/>
    <w:rsid w:val="00250850"/>
    <w:rsid w:val="002509DA"/>
    <w:rsid w:val="00250A2D"/>
    <w:rsid w:val="00250CA4"/>
    <w:rsid w:val="00250EE3"/>
    <w:rsid w:val="00250FD6"/>
    <w:rsid w:val="00251093"/>
    <w:rsid w:val="00251551"/>
    <w:rsid w:val="0025169A"/>
    <w:rsid w:val="002523BC"/>
    <w:rsid w:val="00252A24"/>
    <w:rsid w:val="00252A4C"/>
    <w:rsid w:val="002530CD"/>
    <w:rsid w:val="002532FF"/>
    <w:rsid w:val="0025331A"/>
    <w:rsid w:val="00253504"/>
    <w:rsid w:val="00253667"/>
    <w:rsid w:val="0025376E"/>
    <w:rsid w:val="002537D5"/>
    <w:rsid w:val="00253919"/>
    <w:rsid w:val="00253A6C"/>
    <w:rsid w:val="00253D4A"/>
    <w:rsid w:val="00253DFB"/>
    <w:rsid w:val="002540FA"/>
    <w:rsid w:val="00254354"/>
    <w:rsid w:val="002545EC"/>
    <w:rsid w:val="00254783"/>
    <w:rsid w:val="0025479D"/>
    <w:rsid w:val="002547B2"/>
    <w:rsid w:val="00254AA5"/>
    <w:rsid w:val="00254BA7"/>
    <w:rsid w:val="00254FD3"/>
    <w:rsid w:val="0025503F"/>
    <w:rsid w:val="0025504D"/>
    <w:rsid w:val="00255103"/>
    <w:rsid w:val="002551A2"/>
    <w:rsid w:val="00255325"/>
    <w:rsid w:val="0025536C"/>
    <w:rsid w:val="00255405"/>
    <w:rsid w:val="002555FF"/>
    <w:rsid w:val="00255C35"/>
    <w:rsid w:val="00256158"/>
    <w:rsid w:val="0025624A"/>
    <w:rsid w:val="0025630E"/>
    <w:rsid w:val="0025677A"/>
    <w:rsid w:val="0025694B"/>
    <w:rsid w:val="0025698B"/>
    <w:rsid w:val="002569B7"/>
    <w:rsid w:val="00256A0F"/>
    <w:rsid w:val="00256B53"/>
    <w:rsid w:val="00256C2E"/>
    <w:rsid w:val="00256C6E"/>
    <w:rsid w:val="00257494"/>
    <w:rsid w:val="002575CC"/>
    <w:rsid w:val="00257663"/>
    <w:rsid w:val="00257951"/>
    <w:rsid w:val="00257A84"/>
    <w:rsid w:val="00257B7F"/>
    <w:rsid w:val="00257F25"/>
    <w:rsid w:val="0026072C"/>
    <w:rsid w:val="00260958"/>
    <w:rsid w:val="00260997"/>
    <w:rsid w:val="002609F3"/>
    <w:rsid w:val="00260A29"/>
    <w:rsid w:val="00260B18"/>
    <w:rsid w:val="00260B77"/>
    <w:rsid w:val="00260D6E"/>
    <w:rsid w:val="00260DD1"/>
    <w:rsid w:val="00260E10"/>
    <w:rsid w:val="0026103B"/>
    <w:rsid w:val="00261113"/>
    <w:rsid w:val="002611D2"/>
    <w:rsid w:val="00261342"/>
    <w:rsid w:val="0026161E"/>
    <w:rsid w:val="00261668"/>
    <w:rsid w:val="002616B7"/>
    <w:rsid w:val="0026185B"/>
    <w:rsid w:val="00261933"/>
    <w:rsid w:val="00261BB7"/>
    <w:rsid w:val="00261CAC"/>
    <w:rsid w:val="00261F78"/>
    <w:rsid w:val="0026225C"/>
    <w:rsid w:val="00262790"/>
    <w:rsid w:val="002627D3"/>
    <w:rsid w:val="002628D1"/>
    <w:rsid w:val="002629C8"/>
    <w:rsid w:val="00262B6C"/>
    <w:rsid w:val="00262B95"/>
    <w:rsid w:val="00262DCE"/>
    <w:rsid w:val="00263731"/>
    <w:rsid w:val="002637B9"/>
    <w:rsid w:val="00263813"/>
    <w:rsid w:val="00263BB1"/>
    <w:rsid w:val="00263D17"/>
    <w:rsid w:val="00264100"/>
    <w:rsid w:val="0026450A"/>
    <w:rsid w:val="0026453D"/>
    <w:rsid w:val="00264C03"/>
    <w:rsid w:val="00264E5C"/>
    <w:rsid w:val="00264F1B"/>
    <w:rsid w:val="00264F28"/>
    <w:rsid w:val="00265263"/>
    <w:rsid w:val="00265385"/>
    <w:rsid w:val="002653D7"/>
    <w:rsid w:val="00265A59"/>
    <w:rsid w:val="00265DB5"/>
    <w:rsid w:val="00265DF0"/>
    <w:rsid w:val="00265EAC"/>
    <w:rsid w:val="00265EF6"/>
    <w:rsid w:val="002663D0"/>
    <w:rsid w:val="002666CE"/>
    <w:rsid w:val="002667BB"/>
    <w:rsid w:val="00266C99"/>
    <w:rsid w:val="00266ED9"/>
    <w:rsid w:val="00267177"/>
    <w:rsid w:val="00267438"/>
    <w:rsid w:val="00267A3A"/>
    <w:rsid w:val="00267B5D"/>
    <w:rsid w:val="00267BBE"/>
    <w:rsid w:val="00267DB6"/>
    <w:rsid w:val="002700E6"/>
    <w:rsid w:val="002702F3"/>
    <w:rsid w:val="00270407"/>
    <w:rsid w:val="002706FF"/>
    <w:rsid w:val="00270810"/>
    <w:rsid w:val="002708E9"/>
    <w:rsid w:val="00270A63"/>
    <w:rsid w:val="00270C92"/>
    <w:rsid w:val="00270E17"/>
    <w:rsid w:val="00270F26"/>
    <w:rsid w:val="00270FA7"/>
    <w:rsid w:val="002712EE"/>
    <w:rsid w:val="0027149B"/>
    <w:rsid w:val="00271521"/>
    <w:rsid w:val="002715CA"/>
    <w:rsid w:val="002718AF"/>
    <w:rsid w:val="002719C6"/>
    <w:rsid w:val="00271BB6"/>
    <w:rsid w:val="00271CD5"/>
    <w:rsid w:val="00271E84"/>
    <w:rsid w:val="00271FE5"/>
    <w:rsid w:val="00272375"/>
    <w:rsid w:val="00272419"/>
    <w:rsid w:val="0027257F"/>
    <w:rsid w:val="002728B6"/>
    <w:rsid w:val="00272C00"/>
    <w:rsid w:val="00272C91"/>
    <w:rsid w:val="00272D3B"/>
    <w:rsid w:val="00272DDD"/>
    <w:rsid w:val="00272ECB"/>
    <w:rsid w:val="00273050"/>
    <w:rsid w:val="0027337E"/>
    <w:rsid w:val="00273382"/>
    <w:rsid w:val="002736CF"/>
    <w:rsid w:val="00273966"/>
    <w:rsid w:val="00273B06"/>
    <w:rsid w:val="00274238"/>
    <w:rsid w:val="00274732"/>
    <w:rsid w:val="00274805"/>
    <w:rsid w:val="00274888"/>
    <w:rsid w:val="00274A37"/>
    <w:rsid w:val="00274AC3"/>
    <w:rsid w:val="00274DB7"/>
    <w:rsid w:val="00274F1E"/>
    <w:rsid w:val="00274FD1"/>
    <w:rsid w:val="002753E4"/>
    <w:rsid w:val="002754F7"/>
    <w:rsid w:val="0027559D"/>
    <w:rsid w:val="00275CE2"/>
    <w:rsid w:val="00275E0F"/>
    <w:rsid w:val="00276351"/>
    <w:rsid w:val="0027651C"/>
    <w:rsid w:val="002769EC"/>
    <w:rsid w:val="00276B2E"/>
    <w:rsid w:val="00276B64"/>
    <w:rsid w:val="00276C73"/>
    <w:rsid w:val="00276C7D"/>
    <w:rsid w:val="00276E6F"/>
    <w:rsid w:val="00276FF6"/>
    <w:rsid w:val="00277191"/>
    <w:rsid w:val="002773A4"/>
    <w:rsid w:val="00277ADF"/>
    <w:rsid w:val="00277BD8"/>
    <w:rsid w:val="00277F7D"/>
    <w:rsid w:val="00280170"/>
    <w:rsid w:val="002801FF"/>
    <w:rsid w:val="002803B8"/>
    <w:rsid w:val="00280402"/>
    <w:rsid w:val="002804DE"/>
    <w:rsid w:val="0028060B"/>
    <w:rsid w:val="00280CE5"/>
    <w:rsid w:val="00280D49"/>
    <w:rsid w:val="00280DE6"/>
    <w:rsid w:val="00281254"/>
    <w:rsid w:val="00281644"/>
    <w:rsid w:val="00281730"/>
    <w:rsid w:val="00281A4A"/>
    <w:rsid w:val="00281AA9"/>
    <w:rsid w:val="00281E97"/>
    <w:rsid w:val="0028230E"/>
    <w:rsid w:val="0028244C"/>
    <w:rsid w:val="00282566"/>
    <w:rsid w:val="002826FB"/>
    <w:rsid w:val="0028276A"/>
    <w:rsid w:val="00282794"/>
    <w:rsid w:val="00282C78"/>
    <w:rsid w:val="00282E69"/>
    <w:rsid w:val="002830BF"/>
    <w:rsid w:val="00283112"/>
    <w:rsid w:val="002835AB"/>
    <w:rsid w:val="002838AC"/>
    <w:rsid w:val="00283A13"/>
    <w:rsid w:val="00283A5F"/>
    <w:rsid w:val="00283E49"/>
    <w:rsid w:val="00283F31"/>
    <w:rsid w:val="00283F95"/>
    <w:rsid w:val="00284369"/>
    <w:rsid w:val="002843F1"/>
    <w:rsid w:val="0028442A"/>
    <w:rsid w:val="0028490B"/>
    <w:rsid w:val="0028493E"/>
    <w:rsid w:val="00284A5D"/>
    <w:rsid w:val="0028501E"/>
    <w:rsid w:val="00285162"/>
    <w:rsid w:val="0028532E"/>
    <w:rsid w:val="00285480"/>
    <w:rsid w:val="00285529"/>
    <w:rsid w:val="00285627"/>
    <w:rsid w:val="0028566C"/>
    <w:rsid w:val="00285852"/>
    <w:rsid w:val="002858D8"/>
    <w:rsid w:val="00285A84"/>
    <w:rsid w:val="00285AF0"/>
    <w:rsid w:val="00285B82"/>
    <w:rsid w:val="00285C0C"/>
    <w:rsid w:val="00285E00"/>
    <w:rsid w:val="00286179"/>
    <w:rsid w:val="00286309"/>
    <w:rsid w:val="00286365"/>
    <w:rsid w:val="002865E2"/>
    <w:rsid w:val="00286928"/>
    <w:rsid w:val="00286986"/>
    <w:rsid w:val="002869EA"/>
    <w:rsid w:val="00287034"/>
    <w:rsid w:val="002870F4"/>
    <w:rsid w:val="0028750B"/>
    <w:rsid w:val="002876F4"/>
    <w:rsid w:val="0028772B"/>
    <w:rsid w:val="002877BF"/>
    <w:rsid w:val="002877E6"/>
    <w:rsid w:val="002879B5"/>
    <w:rsid w:val="00287B0B"/>
    <w:rsid w:val="00287FA7"/>
    <w:rsid w:val="00290017"/>
    <w:rsid w:val="002900D5"/>
    <w:rsid w:val="002906B6"/>
    <w:rsid w:val="00290778"/>
    <w:rsid w:val="002907FE"/>
    <w:rsid w:val="00290C2E"/>
    <w:rsid w:val="00290FDB"/>
    <w:rsid w:val="00290FE3"/>
    <w:rsid w:val="00291065"/>
    <w:rsid w:val="00291247"/>
    <w:rsid w:val="00291350"/>
    <w:rsid w:val="002913EB"/>
    <w:rsid w:val="0029141A"/>
    <w:rsid w:val="00292067"/>
    <w:rsid w:val="00292278"/>
    <w:rsid w:val="00292326"/>
    <w:rsid w:val="00292351"/>
    <w:rsid w:val="00292760"/>
    <w:rsid w:val="00292761"/>
    <w:rsid w:val="00292905"/>
    <w:rsid w:val="0029295A"/>
    <w:rsid w:val="00292AAA"/>
    <w:rsid w:val="00292C20"/>
    <w:rsid w:val="00292D19"/>
    <w:rsid w:val="00292D56"/>
    <w:rsid w:val="00292E2A"/>
    <w:rsid w:val="00293137"/>
    <w:rsid w:val="00293462"/>
    <w:rsid w:val="002937B1"/>
    <w:rsid w:val="002937FB"/>
    <w:rsid w:val="002939BB"/>
    <w:rsid w:val="00293D54"/>
    <w:rsid w:val="00293DF4"/>
    <w:rsid w:val="002943F4"/>
    <w:rsid w:val="002945F9"/>
    <w:rsid w:val="002946BF"/>
    <w:rsid w:val="00294780"/>
    <w:rsid w:val="002947CE"/>
    <w:rsid w:val="002947D4"/>
    <w:rsid w:val="00294A1E"/>
    <w:rsid w:val="00294CC4"/>
    <w:rsid w:val="00295109"/>
    <w:rsid w:val="0029540B"/>
    <w:rsid w:val="0029548A"/>
    <w:rsid w:val="0029583E"/>
    <w:rsid w:val="00295962"/>
    <w:rsid w:val="00295D8E"/>
    <w:rsid w:val="00295FB0"/>
    <w:rsid w:val="00296241"/>
    <w:rsid w:val="002969F0"/>
    <w:rsid w:val="00296A3D"/>
    <w:rsid w:val="00297CEA"/>
    <w:rsid w:val="00297F34"/>
    <w:rsid w:val="002A0035"/>
    <w:rsid w:val="002A04B3"/>
    <w:rsid w:val="002A068B"/>
    <w:rsid w:val="002A07A5"/>
    <w:rsid w:val="002A0903"/>
    <w:rsid w:val="002A0960"/>
    <w:rsid w:val="002A0A08"/>
    <w:rsid w:val="002A0BA2"/>
    <w:rsid w:val="002A0C39"/>
    <w:rsid w:val="002A1313"/>
    <w:rsid w:val="002A14B9"/>
    <w:rsid w:val="002A1A16"/>
    <w:rsid w:val="002A1ADD"/>
    <w:rsid w:val="002A1BD1"/>
    <w:rsid w:val="002A1E15"/>
    <w:rsid w:val="002A1ED9"/>
    <w:rsid w:val="002A1FD0"/>
    <w:rsid w:val="002A1FD2"/>
    <w:rsid w:val="002A2013"/>
    <w:rsid w:val="002A20B2"/>
    <w:rsid w:val="002A20F2"/>
    <w:rsid w:val="002A23EF"/>
    <w:rsid w:val="002A27D7"/>
    <w:rsid w:val="002A2A03"/>
    <w:rsid w:val="002A2B0A"/>
    <w:rsid w:val="002A2DA7"/>
    <w:rsid w:val="002A3ACB"/>
    <w:rsid w:val="002A3D59"/>
    <w:rsid w:val="002A4053"/>
    <w:rsid w:val="002A4331"/>
    <w:rsid w:val="002A4438"/>
    <w:rsid w:val="002A4488"/>
    <w:rsid w:val="002A474F"/>
    <w:rsid w:val="002A4809"/>
    <w:rsid w:val="002A4886"/>
    <w:rsid w:val="002A48C7"/>
    <w:rsid w:val="002A48E4"/>
    <w:rsid w:val="002A4B8A"/>
    <w:rsid w:val="002A4D6E"/>
    <w:rsid w:val="002A4D93"/>
    <w:rsid w:val="002A4F0F"/>
    <w:rsid w:val="002A505F"/>
    <w:rsid w:val="002A5159"/>
    <w:rsid w:val="002A51E3"/>
    <w:rsid w:val="002A527E"/>
    <w:rsid w:val="002A530F"/>
    <w:rsid w:val="002A5455"/>
    <w:rsid w:val="002A54AE"/>
    <w:rsid w:val="002A5504"/>
    <w:rsid w:val="002A5989"/>
    <w:rsid w:val="002A6048"/>
    <w:rsid w:val="002A6487"/>
    <w:rsid w:val="002A650F"/>
    <w:rsid w:val="002A65DF"/>
    <w:rsid w:val="002A66EF"/>
    <w:rsid w:val="002A6831"/>
    <w:rsid w:val="002A6A3D"/>
    <w:rsid w:val="002A6A8D"/>
    <w:rsid w:val="002A6AD0"/>
    <w:rsid w:val="002A6B4D"/>
    <w:rsid w:val="002A6D99"/>
    <w:rsid w:val="002A713D"/>
    <w:rsid w:val="002A7241"/>
    <w:rsid w:val="002A7540"/>
    <w:rsid w:val="002A7691"/>
    <w:rsid w:val="002B06F6"/>
    <w:rsid w:val="002B08B8"/>
    <w:rsid w:val="002B0A26"/>
    <w:rsid w:val="002B0CD4"/>
    <w:rsid w:val="002B0DB0"/>
    <w:rsid w:val="002B0EF6"/>
    <w:rsid w:val="002B10CD"/>
    <w:rsid w:val="002B1319"/>
    <w:rsid w:val="002B1328"/>
    <w:rsid w:val="002B14DC"/>
    <w:rsid w:val="002B14DE"/>
    <w:rsid w:val="002B15FC"/>
    <w:rsid w:val="002B1D05"/>
    <w:rsid w:val="002B1D66"/>
    <w:rsid w:val="002B1F87"/>
    <w:rsid w:val="002B2043"/>
    <w:rsid w:val="002B2240"/>
    <w:rsid w:val="002B24BF"/>
    <w:rsid w:val="002B24DE"/>
    <w:rsid w:val="002B25D2"/>
    <w:rsid w:val="002B26ED"/>
    <w:rsid w:val="002B29DC"/>
    <w:rsid w:val="002B30C9"/>
    <w:rsid w:val="002B31D2"/>
    <w:rsid w:val="002B332F"/>
    <w:rsid w:val="002B33E4"/>
    <w:rsid w:val="002B35EA"/>
    <w:rsid w:val="002B382D"/>
    <w:rsid w:val="002B4067"/>
    <w:rsid w:val="002B4413"/>
    <w:rsid w:val="002B4460"/>
    <w:rsid w:val="002B4760"/>
    <w:rsid w:val="002B4929"/>
    <w:rsid w:val="002B52EF"/>
    <w:rsid w:val="002B5727"/>
    <w:rsid w:val="002B64E8"/>
    <w:rsid w:val="002B6848"/>
    <w:rsid w:val="002B6A1D"/>
    <w:rsid w:val="002B6A40"/>
    <w:rsid w:val="002B6FE0"/>
    <w:rsid w:val="002B73D3"/>
    <w:rsid w:val="002B75B1"/>
    <w:rsid w:val="002B75F9"/>
    <w:rsid w:val="002B7701"/>
    <w:rsid w:val="002B7763"/>
    <w:rsid w:val="002B77B4"/>
    <w:rsid w:val="002B788E"/>
    <w:rsid w:val="002B7AA1"/>
    <w:rsid w:val="002C0362"/>
    <w:rsid w:val="002C0407"/>
    <w:rsid w:val="002C07C8"/>
    <w:rsid w:val="002C092D"/>
    <w:rsid w:val="002C09ED"/>
    <w:rsid w:val="002C0DFF"/>
    <w:rsid w:val="002C0E31"/>
    <w:rsid w:val="002C0FD0"/>
    <w:rsid w:val="002C10BC"/>
    <w:rsid w:val="002C1278"/>
    <w:rsid w:val="002C13BC"/>
    <w:rsid w:val="002C156E"/>
    <w:rsid w:val="002C1740"/>
    <w:rsid w:val="002C1F14"/>
    <w:rsid w:val="002C2107"/>
    <w:rsid w:val="002C21A3"/>
    <w:rsid w:val="002C226D"/>
    <w:rsid w:val="002C2BBB"/>
    <w:rsid w:val="002C2F9A"/>
    <w:rsid w:val="002C2FC2"/>
    <w:rsid w:val="002C2FF2"/>
    <w:rsid w:val="002C3095"/>
    <w:rsid w:val="002C30B5"/>
    <w:rsid w:val="002C340B"/>
    <w:rsid w:val="002C3569"/>
    <w:rsid w:val="002C36BD"/>
    <w:rsid w:val="002C3982"/>
    <w:rsid w:val="002C3A8C"/>
    <w:rsid w:val="002C3B88"/>
    <w:rsid w:val="002C3C15"/>
    <w:rsid w:val="002C3C46"/>
    <w:rsid w:val="002C3DE5"/>
    <w:rsid w:val="002C3E77"/>
    <w:rsid w:val="002C3FAF"/>
    <w:rsid w:val="002C40A0"/>
    <w:rsid w:val="002C463E"/>
    <w:rsid w:val="002C47E6"/>
    <w:rsid w:val="002C4915"/>
    <w:rsid w:val="002C4978"/>
    <w:rsid w:val="002C4B4A"/>
    <w:rsid w:val="002C4BA1"/>
    <w:rsid w:val="002C4E11"/>
    <w:rsid w:val="002C4E3C"/>
    <w:rsid w:val="002C4EBB"/>
    <w:rsid w:val="002C4F7E"/>
    <w:rsid w:val="002C50A7"/>
    <w:rsid w:val="002C525E"/>
    <w:rsid w:val="002C526F"/>
    <w:rsid w:val="002C5324"/>
    <w:rsid w:val="002C53BF"/>
    <w:rsid w:val="002C5683"/>
    <w:rsid w:val="002C57A5"/>
    <w:rsid w:val="002C5894"/>
    <w:rsid w:val="002C58C0"/>
    <w:rsid w:val="002C5D9B"/>
    <w:rsid w:val="002C5E6F"/>
    <w:rsid w:val="002C62E4"/>
    <w:rsid w:val="002C64CE"/>
    <w:rsid w:val="002C6C41"/>
    <w:rsid w:val="002C6D93"/>
    <w:rsid w:val="002C703B"/>
    <w:rsid w:val="002C7261"/>
    <w:rsid w:val="002C7282"/>
    <w:rsid w:val="002C7396"/>
    <w:rsid w:val="002C74C8"/>
    <w:rsid w:val="002C74E3"/>
    <w:rsid w:val="002C7530"/>
    <w:rsid w:val="002C7C23"/>
    <w:rsid w:val="002C7D7C"/>
    <w:rsid w:val="002C7D87"/>
    <w:rsid w:val="002C7EFF"/>
    <w:rsid w:val="002C7F78"/>
    <w:rsid w:val="002D00E3"/>
    <w:rsid w:val="002D03E5"/>
    <w:rsid w:val="002D0AE7"/>
    <w:rsid w:val="002D0CA1"/>
    <w:rsid w:val="002D0F86"/>
    <w:rsid w:val="002D124A"/>
    <w:rsid w:val="002D1532"/>
    <w:rsid w:val="002D1674"/>
    <w:rsid w:val="002D1A58"/>
    <w:rsid w:val="002D1D42"/>
    <w:rsid w:val="002D212C"/>
    <w:rsid w:val="002D2513"/>
    <w:rsid w:val="002D254E"/>
    <w:rsid w:val="002D26E3"/>
    <w:rsid w:val="002D292F"/>
    <w:rsid w:val="002D2F15"/>
    <w:rsid w:val="002D3010"/>
    <w:rsid w:val="002D3429"/>
    <w:rsid w:val="002D355F"/>
    <w:rsid w:val="002D35D3"/>
    <w:rsid w:val="002D360E"/>
    <w:rsid w:val="002D3725"/>
    <w:rsid w:val="002D38FC"/>
    <w:rsid w:val="002D3A2B"/>
    <w:rsid w:val="002D3C2C"/>
    <w:rsid w:val="002D3F8C"/>
    <w:rsid w:val="002D418B"/>
    <w:rsid w:val="002D418E"/>
    <w:rsid w:val="002D41A7"/>
    <w:rsid w:val="002D483F"/>
    <w:rsid w:val="002D4C94"/>
    <w:rsid w:val="002D4D12"/>
    <w:rsid w:val="002D4D6B"/>
    <w:rsid w:val="002D4F54"/>
    <w:rsid w:val="002D535B"/>
    <w:rsid w:val="002D56B7"/>
    <w:rsid w:val="002D5A78"/>
    <w:rsid w:val="002D5CBA"/>
    <w:rsid w:val="002D5E31"/>
    <w:rsid w:val="002D694D"/>
    <w:rsid w:val="002D6A4C"/>
    <w:rsid w:val="002D6D5E"/>
    <w:rsid w:val="002D6DF4"/>
    <w:rsid w:val="002D7199"/>
    <w:rsid w:val="002D7419"/>
    <w:rsid w:val="002D78B9"/>
    <w:rsid w:val="002D7C6A"/>
    <w:rsid w:val="002D7D21"/>
    <w:rsid w:val="002E050C"/>
    <w:rsid w:val="002E06D8"/>
    <w:rsid w:val="002E09E0"/>
    <w:rsid w:val="002E09ED"/>
    <w:rsid w:val="002E0E32"/>
    <w:rsid w:val="002E1258"/>
    <w:rsid w:val="002E1511"/>
    <w:rsid w:val="002E1675"/>
    <w:rsid w:val="002E1715"/>
    <w:rsid w:val="002E17EB"/>
    <w:rsid w:val="002E1939"/>
    <w:rsid w:val="002E1B1B"/>
    <w:rsid w:val="002E1BDF"/>
    <w:rsid w:val="002E1C25"/>
    <w:rsid w:val="002E1F78"/>
    <w:rsid w:val="002E1FB6"/>
    <w:rsid w:val="002E2531"/>
    <w:rsid w:val="002E271A"/>
    <w:rsid w:val="002E297E"/>
    <w:rsid w:val="002E29D1"/>
    <w:rsid w:val="002E29F5"/>
    <w:rsid w:val="002E2A54"/>
    <w:rsid w:val="002E2D0D"/>
    <w:rsid w:val="002E30E6"/>
    <w:rsid w:val="002E313A"/>
    <w:rsid w:val="002E317D"/>
    <w:rsid w:val="002E327D"/>
    <w:rsid w:val="002E32BF"/>
    <w:rsid w:val="002E36CD"/>
    <w:rsid w:val="002E3811"/>
    <w:rsid w:val="002E39A8"/>
    <w:rsid w:val="002E3CDE"/>
    <w:rsid w:val="002E3DD9"/>
    <w:rsid w:val="002E4012"/>
    <w:rsid w:val="002E4028"/>
    <w:rsid w:val="002E443C"/>
    <w:rsid w:val="002E444E"/>
    <w:rsid w:val="002E4570"/>
    <w:rsid w:val="002E49AE"/>
    <w:rsid w:val="002E4A3E"/>
    <w:rsid w:val="002E5061"/>
    <w:rsid w:val="002E53C3"/>
    <w:rsid w:val="002E5530"/>
    <w:rsid w:val="002E5CE7"/>
    <w:rsid w:val="002E5E3A"/>
    <w:rsid w:val="002E6028"/>
    <w:rsid w:val="002E60B7"/>
    <w:rsid w:val="002E6168"/>
    <w:rsid w:val="002E61DD"/>
    <w:rsid w:val="002E6429"/>
    <w:rsid w:val="002E6441"/>
    <w:rsid w:val="002E6447"/>
    <w:rsid w:val="002E64BD"/>
    <w:rsid w:val="002E6585"/>
    <w:rsid w:val="002E6D3E"/>
    <w:rsid w:val="002E6E48"/>
    <w:rsid w:val="002E7348"/>
    <w:rsid w:val="002E740F"/>
    <w:rsid w:val="002E7534"/>
    <w:rsid w:val="002E754A"/>
    <w:rsid w:val="002E77FA"/>
    <w:rsid w:val="002E7811"/>
    <w:rsid w:val="002F0751"/>
    <w:rsid w:val="002F0A44"/>
    <w:rsid w:val="002F0BB7"/>
    <w:rsid w:val="002F111A"/>
    <w:rsid w:val="002F13E8"/>
    <w:rsid w:val="002F1477"/>
    <w:rsid w:val="002F14EE"/>
    <w:rsid w:val="002F1679"/>
    <w:rsid w:val="002F17A8"/>
    <w:rsid w:val="002F17BF"/>
    <w:rsid w:val="002F1E2F"/>
    <w:rsid w:val="002F2462"/>
    <w:rsid w:val="002F2A76"/>
    <w:rsid w:val="002F2A91"/>
    <w:rsid w:val="002F3061"/>
    <w:rsid w:val="002F309A"/>
    <w:rsid w:val="002F3301"/>
    <w:rsid w:val="002F351C"/>
    <w:rsid w:val="002F371B"/>
    <w:rsid w:val="002F3935"/>
    <w:rsid w:val="002F3AF1"/>
    <w:rsid w:val="002F3CAF"/>
    <w:rsid w:val="002F4017"/>
    <w:rsid w:val="002F4410"/>
    <w:rsid w:val="002F4471"/>
    <w:rsid w:val="002F449F"/>
    <w:rsid w:val="002F4796"/>
    <w:rsid w:val="002F4A3A"/>
    <w:rsid w:val="002F4C6D"/>
    <w:rsid w:val="002F4FFA"/>
    <w:rsid w:val="002F59BF"/>
    <w:rsid w:val="002F5CF4"/>
    <w:rsid w:val="002F5EE9"/>
    <w:rsid w:val="002F606A"/>
    <w:rsid w:val="002F6241"/>
    <w:rsid w:val="002F6596"/>
    <w:rsid w:val="002F674C"/>
    <w:rsid w:val="002F6A6C"/>
    <w:rsid w:val="002F6DF8"/>
    <w:rsid w:val="002F70A9"/>
    <w:rsid w:val="002F70C6"/>
    <w:rsid w:val="002F7208"/>
    <w:rsid w:val="002F759E"/>
    <w:rsid w:val="002F79D7"/>
    <w:rsid w:val="003002EB"/>
    <w:rsid w:val="00300354"/>
    <w:rsid w:val="003003DA"/>
    <w:rsid w:val="00300779"/>
    <w:rsid w:val="003008DD"/>
    <w:rsid w:val="0030094D"/>
    <w:rsid w:val="003009C5"/>
    <w:rsid w:val="00300D5C"/>
    <w:rsid w:val="00300E8B"/>
    <w:rsid w:val="00300FC2"/>
    <w:rsid w:val="00300FE5"/>
    <w:rsid w:val="00301454"/>
    <w:rsid w:val="00301602"/>
    <w:rsid w:val="0030171D"/>
    <w:rsid w:val="00301AA7"/>
    <w:rsid w:val="00301D2B"/>
    <w:rsid w:val="00301E41"/>
    <w:rsid w:val="00301F03"/>
    <w:rsid w:val="00302A10"/>
    <w:rsid w:val="00302AE7"/>
    <w:rsid w:val="00302D91"/>
    <w:rsid w:val="00302E4A"/>
    <w:rsid w:val="00302ED1"/>
    <w:rsid w:val="0030304F"/>
    <w:rsid w:val="00303086"/>
    <w:rsid w:val="003030A6"/>
    <w:rsid w:val="003030BC"/>
    <w:rsid w:val="003030C5"/>
    <w:rsid w:val="00303445"/>
    <w:rsid w:val="00303AB0"/>
    <w:rsid w:val="00303D43"/>
    <w:rsid w:val="00303FC3"/>
    <w:rsid w:val="003041E5"/>
    <w:rsid w:val="003044E1"/>
    <w:rsid w:val="003046F4"/>
    <w:rsid w:val="00304760"/>
    <w:rsid w:val="00304774"/>
    <w:rsid w:val="00304796"/>
    <w:rsid w:val="003047D6"/>
    <w:rsid w:val="00304936"/>
    <w:rsid w:val="00304957"/>
    <w:rsid w:val="00304E83"/>
    <w:rsid w:val="00304F05"/>
    <w:rsid w:val="00305466"/>
    <w:rsid w:val="00305521"/>
    <w:rsid w:val="00305660"/>
    <w:rsid w:val="00305CB8"/>
    <w:rsid w:val="0030629F"/>
    <w:rsid w:val="0030671A"/>
    <w:rsid w:val="00306787"/>
    <w:rsid w:val="00306798"/>
    <w:rsid w:val="003068E3"/>
    <w:rsid w:val="003069F3"/>
    <w:rsid w:val="00306D2D"/>
    <w:rsid w:val="00306FD3"/>
    <w:rsid w:val="00306FEE"/>
    <w:rsid w:val="00307192"/>
    <w:rsid w:val="00307508"/>
    <w:rsid w:val="00307688"/>
    <w:rsid w:val="0030774F"/>
    <w:rsid w:val="003077D4"/>
    <w:rsid w:val="003079A9"/>
    <w:rsid w:val="00307A74"/>
    <w:rsid w:val="00307C2E"/>
    <w:rsid w:val="003100C7"/>
    <w:rsid w:val="003104B2"/>
    <w:rsid w:val="003104B3"/>
    <w:rsid w:val="00310540"/>
    <w:rsid w:val="00310563"/>
    <w:rsid w:val="0031059B"/>
    <w:rsid w:val="00310823"/>
    <w:rsid w:val="003109E4"/>
    <w:rsid w:val="0031106D"/>
    <w:rsid w:val="0031134A"/>
    <w:rsid w:val="00311434"/>
    <w:rsid w:val="003115B6"/>
    <w:rsid w:val="00311891"/>
    <w:rsid w:val="003118CE"/>
    <w:rsid w:val="00311BA1"/>
    <w:rsid w:val="00311C38"/>
    <w:rsid w:val="00311EC1"/>
    <w:rsid w:val="003120E6"/>
    <w:rsid w:val="00312252"/>
    <w:rsid w:val="0031225D"/>
    <w:rsid w:val="00312636"/>
    <w:rsid w:val="003127AA"/>
    <w:rsid w:val="00312A8A"/>
    <w:rsid w:val="00312A91"/>
    <w:rsid w:val="00312EC9"/>
    <w:rsid w:val="00313380"/>
    <w:rsid w:val="0031357E"/>
    <w:rsid w:val="0031359B"/>
    <w:rsid w:val="00313626"/>
    <w:rsid w:val="00313730"/>
    <w:rsid w:val="003137FA"/>
    <w:rsid w:val="00313866"/>
    <w:rsid w:val="00314026"/>
    <w:rsid w:val="00314390"/>
    <w:rsid w:val="0031453C"/>
    <w:rsid w:val="0031468C"/>
    <w:rsid w:val="00314762"/>
    <w:rsid w:val="003149A3"/>
    <w:rsid w:val="00314AAC"/>
    <w:rsid w:val="00314C05"/>
    <w:rsid w:val="00314CE7"/>
    <w:rsid w:val="00314F7B"/>
    <w:rsid w:val="00314FB5"/>
    <w:rsid w:val="003155B0"/>
    <w:rsid w:val="00315609"/>
    <w:rsid w:val="003157EA"/>
    <w:rsid w:val="00315A6A"/>
    <w:rsid w:val="00315BDA"/>
    <w:rsid w:val="00315D11"/>
    <w:rsid w:val="00315DE3"/>
    <w:rsid w:val="00315F83"/>
    <w:rsid w:val="0031607A"/>
    <w:rsid w:val="0031630C"/>
    <w:rsid w:val="003166EA"/>
    <w:rsid w:val="00316861"/>
    <w:rsid w:val="00316C7B"/>
    <w:rsid w:val="00316CB6"/>
    <w:rsid w:val="00316CBE"/>
    <w:rsid w:val="00316E78"/>
    <w:rsid w:val="00316F6E"/>
    <w:rsid w:val="003171E4"/>
    <w:rsid w:val="0031721A"/>
    <w:rsid w:val="00317344"/>
    <w:rsid w:val="0031755B"/>
    <w:rsid w:val="00317602"/>
    <w:rsid w:val="003177BD"/>
    <w:rsid w:val="003179BA"/>
    <w:rsid w:val="00317A7F"/>
    <w:rsid w:val="00317C48"/>
    <w:rsid w:val="00317C7A"/>
    <w:rsid w:val="00317D53"/>
    <w:rsid w:val="003200E2"/>
    <w:rsid w:val="00320189"/>
    <w:rsid w:val="003201AB"/>
    <w:rsid w:val="00320354"/>
    <w:rsid w:val="0032046D"/>
    <w:rsid w:val="003206DD"/>
    <w:rsid w:val="00320779"/>
    <w:rsid w:val="0032094D"/>
    <w:rsid w:val="00320988"/>
    <w:rsid w:val="003209D7"/>
    <w:rsid w:val="00320F9C"/>
    <w:rsid w:val="00321414"/>
    <w:rsid w:val="00321C14"/>
    <w:rsid w:val="00321EE0"/>
    <w:rsid w:val="00322077"/>
    <w:rsid w:val="00322149"/>
    <w:rsid w:val="003225FF"/>
    <w:rsid w:val="00322648"/>
    <w:rsid w:val="003226A3"/>
    <w:rsid w:val="00322766"/>
    <w:rsid w:val="00322C1D"/>
    <w:rsid w:val="00322E21"/>
    <w:rsid w:val="0032304C"/>
    <w:rsid w:val="00323340"/>
    <w:rsid w:val="003233F9"/>
    <w:rsid w:val="00323666"/>
    <w:rsid w:val="0032379D"/>
    <w:rsid w:val="00323E2A"/>
    <w:rsid w:val="003240C0"/>
    <w:rsid w:val="00324477"/>
    <w:rsid w:val="0032453F"/>
    <w:rsid w:val="00324680"/>
    <w:rsid w:val="00324B1A"/>
    <w:rsid w:val="00324BFE"/>
    <w:rsid w:val="00324E3B"/>
    <w:rsid w:val="00324F1B"/>
    <w:rsid w:val="00325137"/>
    <w:rsid w:val="0032575B"/>
    <w:rsid w:val="00325946"/>
    <w:rsid w:val="00325AE0"/>
    <w:rsid w:val="0032608C"/>
    <w:rsid w:val="00326300"/>
    <w:rsid w:val="00326522"/>
    <w:rsid w:val="00326603"/>
    <w:rsid w:val="0032674C"/>
    <w:rsid w:val="00326762"/>
    <w:rsid w:val="0032695E"/>
    <w:rsid w:val="00326B33"/>
    <w:rsid w:val="00326CDF"/>
    <w:rsid w:val="00326CFB"/>
    <w:rsid w:val="00327094"/>
    <w:rsid w:val="0032726B"/>
    <w:rsid w:val="003272FC"/>
    <w:rsid w:val="0032731D"/>
    <w:rsid w:val="003275A8"/>
    <w:rsid w:val="003276A2"/>
    <w:rsid w:val="00327761"/>
    <w:rsid w:val="003300DD"/>
    <w:rsid w:val="0033048F"/>
    <w:rsid w:val="00330536"/>
    <w:rsid w:val="00330BCB"/>
    <w:rsid w:val="00330DF2"/>
    <w:rsid w:val="00330F60"/>
    <w:rsid w:val="003311A7"/>
    <w:rsid w:val="003311D7"/>
    <w:rsid w:val="00331211"/>
    <w:rsid w:val="003312D7"/>
    <w:rsid w:val="00331649"/>
    <w:rsid w:val="00331699"/>
    <w:rsid w:val="00331E5A"/>
    <w:rsid w:val="00332149"/>
    <w:rsid w:val="003322E7"/>
    <w:rsid w:val="0033237B"/>
    <w:rsid w:val="0033239B"/>
    <w:rsid w:val="003326EC"/>
    <w:rsid w:val="00332753"/>
    <w:rsid w:val="0033297A"/>
    <w:rsid w:val="00332A6B"/>
    <w:rsid w:val="00332B30"/>
    <w:rsid w:val="003334BB"/>
    <w:rsid w:val="00333778"/>
    <w:rsid w:val="003337D3"/>
    <w:rsid w:val="003337D5"/>
    <w:rsid w:val="003339C3"/>
    <w:rsid w:val="00334079"/>
    <w:rsid w:val="0033478E"/>
    <w:rsid w:val="0033478F"/>
    <w:rsid w:val="003349E3"/>
    <w:rsid w:val="00334DCE"/>
    <w:rsid w:val="00335110"/>
    <w:rsid w:val="003356E9"/>
    <w:rsid w:val="00335A82"/>
    <w:rsid w:val="00335B9C"/>
    <w:rsid w:val="00335EC6"/>
    <w:rsid w:val="00335F2A"/>
    <w:rsid w:val="0033605C"/>
    <w:rsid w:val="003360CC"/>
    <w:rsid w:val="00336292"/>
    <w:rsid w:val="003364B5"/>
    <w:rsid w:val="00336503"/>
    <w:rsid w:val="00336582"/>
    <w:rsid w:val="0033679D"/>
    <w:rsid w:val="00336814"/>
    <w:rsid w:val="00336937"/>
    <w:rsid w:val="00336ACC"/>
    <w:rsid w:val="00336C28"/>
    <w:rsid w:val="00336F6D"/>
    <w:rsid w:val="0033709A"/>
    <w:rsid w:val="0033725F"/>
    <w:rsid w:val="003374A7"/>
    <w:rsid w:val="00337656"/>
    <w:rsid w:val="00337A85"/>
    <w:rsid w:val="00337CA1"/>
    <w:rsid w:val="00337D32"/>
    <w:rsid w:val="00340482"/>
    <w:rsid w:val="003405DF"/>
    <w:rsid w:val="003406F9"/>
    <w:rsid w:val="00340989"/>
    <w:rsid w:val="00340B2E"/>
    <w:rsid w:val="00340F7E"/>
    <w:rsid w:val="00341322"/>
    <w:rsid w:val="003413BE"/>
    <w:rsid w:val="00341746"/>
    <w:rsid w:val="0034182A"/>
    <w:rsid w:val="00341A6A"/>
    <w:rsid w:val="00341E95"/>
    <w:rsid w:val="00341EB2"/>
    <w:rsid w:val="00341F3D"/>
    <w:rsid w:val="00342029"/>
    <w:rsid w:val="003421BD"/>
    <w:rsid w:val="0034225B"/>
    <w:rsid w:val="00342419"/>
    <w:rsid w:val="00342421"/>
    <w:rsid w:val="00342788"/>
    <w:rsid w:val="00342BC3"/>
    <w:rsid w:val="00342BC4"/>
    <w:rsid w:val="0034321F"/>
    <w:rsid w:val="003432DF"/>
    <w:rsid w:val="00343395"/>
    <w:rsid w:val="003433A0"/>
    <w:rsid w:val="003435C7"/>
    <w:rsid w:val="00343AA7"/>
    <w:rsid w:val="00343B10"/>
    <w:rsid w:val="00343E39"/>
    <w:rsid w:val="00343EC5"/>
    <w:rsid w:val="00343F1E"/>
    <w:rsid w:val="0034429C"/>
    <w:rsid w:val="00344831"/>
    <w:rsid w:val="00344BEE"/>
    <w:rsid w:val="00344CC3"/>
    <w:rsid w:val="00344CEE"/>
    <w:rsid w:val="00344EB9"/>
    <w:rsid w:val="00345080"/>
    <w:rsid w:val="003454D8"/>
    <w:rsid w:val="00345B27"/>
    <w:rsid w:val="00345F80"/>
    <w:rsid w:val="003466AA"/>
    <w:rsid w:val="0034677F"/>
    <w:rsid w:val="003467FE"/>
    <w:rsid w:val="00346800"/>
    <w:rsid w:val="003468FF"/>
    <w:rsid w:val="00346927"/>
    <w:rsid w:val="0034705D"/>
    <w:rsid w:val="00347231"/>
    <w:rsid w:val="00347419"/>
    <w:rsid w:val="00347686"/>
    <w:rsid w:val="00347818"/>
    <w:rsid w:val="00347A61"/>
    <w:rsid w:val="00347A97"/>
    <w:rsid w:val="00347FBA"/>
    <w:rsid w:val="00350117"/>
    <w:rsid w:val="003501CF"/>
    <w:rsid w:val="003504C9"/>
    <w:rsid w:val="00350888"/>
    <w:rsid w:val="00350E80"/>
    <w:rsid w:val="00351165"/>
    <w:rsid w:val="0035121E"/>
    <w:rsid w:val="0035124B"/>
    <w:rsid w:val="00351593"/>
    <w:rsid w:val="00351671"/>
    <w:rsid w:val="0035175F"/>
    <w:rsid w:val="003517BA"/>
    <w:rsid w:val="0035197B"/>
    <w:rsid w:val="003519AF"/>
    <w:rsid w:val="00351A4B"/>
    <w:rsid w:val="00351B8C"/>
    <w:rsid w:val="00351BF7"/>
    <w:rsid w:val="00351C6C"/>
    <w:rsid w:val="00352246"/>
    <w:rsid w:val="00352300"/>
    <w:rsid w:val="0035241C"/>
    <w:rsid w:val="00352539"/>
    <w:rsid w:val="003526E2"/>
    <w:rsid w:val="003526E8"/>
    <w:rsid w:val="003527B2"/>
    <w:rsid w:val="0035289A"/>
    <w:rsid w:val="00352AD4"/>
    <w:rsid w:val="00352C2E"/>
    <w:rsid w:val="00352E44"/>
    <w:rsid w:val="003535D1"/>
    <w:rsid w:val="00353795"/>
    <w:rsid w:val="00353892"/>
    <w:rsid w:val="00353904"/>
    <w:rsid w:val="00353EA2"/>
    <w:rsid w:val="00354015"/>
    <w:rsid w:val="003543A3"/>
    <w:rsid w:val="00354557"/>
    <w:rsid w:val="00354890"/>
    <w:rsid w:val="00354A4E"/>
    <w:rsid w:val="00354A7D"/>
    <w:rsid w:val="00354BE0"/>
    <w:rsid w:val="00354DD7"/>
    <w:rsid w:val="0035503D"/>
    <w:rsid w:val="00355079"/>
    <w:rsid w:val="00355234"/>
    <w:rsid w:val="003552F3"/>
    <w:rsid w:val="00355445"/>
    <w:rsid w:val="00355517"/>
    <w:rsid w:val="003559B7"/>
    <w:rsid w:val="00355B36"/>
    <w:rsid w:val="00355D5C"/>
    <w:rsid w:val="00355FB4"/>
    <w:rsid w:val="00356303"/>
    <w:rsid w:val="00356507"/>
    <w:rsid w:val="0035666F"/>
    <w:rsid w:val="00356C10"/>
    <w:rsid w:val="00356D65"/>
    <w:rsid w:val="00356E96"/>
    <w:rsid w:val="00357072"/>
    <w:rsid w:val="003570BC"/>
    <w:rsid w:val="003571FD"/>
    <w:rsid w:val="00357236"/>
    <w:rsid w:val="003573C6"/>
    <w:rsid w:val="00357AC7"/>
    <w:rsid w:val="00357CC1"/>
    <w:rsid w:val="00357E2A"/>
    <w:rsid w:val="00357E35"/>
    <w:rsid w:val="003600A4"/>
    <w:rsid w:val="003601F2"/>
    <w:rsid w:val="003604EB"/>
    <w:rsid w:val="00360678"/>
    <w:rsid w:val="003607F1"/>
    <w:rsid w:val="00360C7F"/>
    <w:rsid w:val="00360EFC"/>
    <w:rsid w:val="00360FD4"/>
    <w:rsid w:val="003610D5"/>
    <w:rsid w:val="003612EF"/>
    <w:rsid w:val="00361463"/>
    <w:rsid w:val="00361585"/>
    <w:rsid w:val="003617F5"/>
    <w:rsid w:val="00361BAA"/>
    <w:rsid w:val="00361DDD"/>
    <w:rsid w:val="00362142"/>
    <w:rsid w:val="00362169"/>
    <w:rsid w:val="00362227"/>
    <w:rsid w:val="003623FB"/>
    <w:rsid w:val="0036252C"/>
    <w:rsid w:val="00362568"/>
    <w:rsid w:val="0036266C"/>
    <w:rsid w:val="003626DF"/>
    <w:rsid w:val="0036273A"/>
    <w:rsid w:val="00362B34"/>
    <w:rsid w:val="00362BE4"/>
    <w:rsid w:val="00362D5F"/>
    <w:rsid w:val="00362E7E"/>
    <w:rsid w:val="00362F61"/>
    <w:rsid w:val="00362F94"/>
    <w:rsid w:val="00362FB7"/>
    <w:rsid w:val="0036300F"/>
    <w:rsid w:val="00363295"/>
    <w:rsid w:val="003636A6"/>
    <w:rsid w:val="00363927"/>
    <w:rsid w:val="00363AC9"/>
    <w:rsid w:val="00363AE0"/>
    <w:rsid w:val="00363B3C"/>
    <w:rsid w:val="00363B69"/>
    <w:rsid w:val="00363ED7"/>
    <w:rsid w:val="00364031"/>
    <w:rsid w:val="0036409F"/>
    <w:rsid w:val="0036415E"/>
    <w:rsid w:val="00364232"/>
    <w:rsid w:val="00364451"/>
    <w:rsid w:val="00364A34"/>
    <w:rsid w:val="00364AAD"/>
    <w:rsid w:val="00364D26"/>
    <w:rsid w:val="00364F8C"/>
    <w:rsid w:val="00364F92"/>
    <w:rsid w:val="00364F94"/>
    <w:rsid w:val="00364F9B"/>
    <w:rsid w:val="00364FFB"/>
    <w:rsid w:val="00365009"/>
    <w:rsid w:val="0036525E"/>
    <w:rsid w:val="003652A3"/>
    <w:rsid w:val="0036556F"/>
    <w:rsid w:val="0036569A"/>
    <w:rsid w:val="003662C8"/>
    <w:rsid w:val="003662F7"/>
    <w:rsid w:val="00366587"/>
    <w:rsid w:val="00366723"/>
    <w:rsid w:val="00366915"/>
    <w:rsid w:val="00366DF8"/>
    <w:rsid w:val="00366E02"/>
    <w:rsid w:val="00366F08"/>
    <w:rsid w:val="00367215"/>
    <w:rsid w:val="00367872"/>
    <w:rsid w:val="00367C64"/>
    <w:rsid w:val="00367D4D"/>
    <w:rsid w:val="00367F6F"/>
    <w:rsid w:val="00370331"/>
    <w:rsid w:val="0037042C"/>
    <w:rsid w:val="00370605"/>
    <w:rsid w:val="0037076A"/>
    <w:rsid w:val="00370C10"/>
    <w:rsid w:val="00370E79"/>
    <w:rsid w:val="0037110D"/>
    <w:rsid w:val="00371298"/>
    <w:rsid w:val="00371357"/>
    <w:rsid w:val="00371A44"/>
    <w:rsid w:val="00371BC4"/>
    <w:rsid w:val="00371BC8"/>
    <w:rsid w:val="00372224"/>
    <w:rsid w:val="00372529"/>
    <w:rsid w:val="00372D77"/>
    <w:rsid w:val="00372FD1"/>
    <w:rsid w:val="003730E9"/>
    <w:rsid w:val="003734D5"/>
    <w:rsid w:val="003735D6"/>
    <w:rsid w:val="003735DD"/>
    <w:rsid w:val="00373C8B"/>
    <w:rsid w:val="00373C9A"/>
    <w:rsid w:val="00373F01"/>
    <w:rsid w:val="003742E2"/>
    <w:rsid w:val="0037433A"/>
    <w:rsid w:val="00374516"/>
    <w:rsid w:val="003745D2"/>
    <w:rsid w:val="00374747"/>
    <w:rsid w:val="00374A6D"/>
    <w:rsid w:val="00374E27"/>
    <w:rsid w:val="0037505E"/>
    <w:rsid w:val="0037510B"/>
    <w:rsid w:val="003752BD"/>
    <w:rsid w:val="0037588D"/>
    <w:rsid w:val="0037589E"/>
    <w:rsid w:val="00375E04"/>
    <w:rsid w:val="00375F3B"/>
    <w:rsid w:val="00376475"/>
    <w:rsid w:val="00376596"/>
    <w:rsid w:val="00376772"/>
    <w:rsid w:val="00376D29"/>
    <w:rsid w:val="00376D54"/>
    <w:rsid w:val="00376FDA"/>
    <w:rsid w:val="00377235"/>
    <w:rsid w:val="003772C1"/>
    <w:rsid w:val="003772D9"/>
    <w:rsid w:val="003773CE"/>
    <w:rsid w:val="0037743B"/>
    <w:rsid w:val="0037775C"/>
    <w:rsid w:val="003778F3"/>
    <w:rsid w:val="00377BF7"/>
    <w:rsid w:val="00377C1C"/>
    <w:rsid w:val="00380239"/>
    <w:rsid w:val="0038066C"/>
    <w:rsid w:val="003807D4"/>
    <w:rsid w:val="00380901"/>
    <w:rsid w:val="00380A73"/>
    <w:rsid w:val="00380EB6"/>
    <w:rsid w:val="00381006"/>
    <w:rsid w:val="0038104D"/>
    <w:rsid w:val="00381289"/>
    <w:rsid w:val="003815DC"/>
    <w:rsid w:val="003816BB"/>
    <w:rsid w:val="00381870"/>
    <w:rsid w:val="00381A3B"/>
    <w:rsid w:val="00381C14"/>
    <w:rsid w:val="00381CF1"/>
    <w:rsid w:val="00381FA4"/>
    <w:rsid w:val="0038230E"/>
    <w:rsid w:val="00382403"/>
    <w:rsid w:val="003827DC"/>
    <w:rsid w:val="00382AB8"/>
    <w:rsid w:val="00382C67"/>
    <w:rsid w:val="00382F30"/>
    <w:rsid w:val="00382FFB"/>
    <w:rsid w:val="00383049"/>
    <w:rsid w:val="00383389"/>
    <w:rsid w:val="0038340F"/>
    <w:rsid w:val="0038392F"/>
    <w:rsid w:val="003839BA"/>
    <w:rsid w:val="00383B5A"/>
    <w:rsid w:val="00383B6E"/>
    <w:rsid w:val="00383E19"/>
    <w:rsid w:val="00384237"/>
    <w:rsid w:val="0038460A"/>
    <w:rsid w:val="00384761"/>
    <w:rsid w:val="00384799"/>
    <w:rsid w:val="00384864"/>
    <w:rsid w:val="00384D87"/>
    <w:rsid w:val="00385011"/>
    <w:rsid w:val="0038503E"/>
    <w:rsid w:val="00385506"/>
    <w:rsid w:val="00385786"/>
    <w:rsid w:val="0038581E"/>
    <w:rsid w:val="0038583C"/>
    <w:rsid w:val="00385B28"/>
    <w:rsid w:val="00385D40"/>
    <w:rsid w:val="00385E8E"/>
    <w:rsid w:val="00385F14"/>
    <w:rsid w:val="00386063"/>
    <w:rsid w:val="00386111"/>
    <w:rsid w:val="003861DC"/>
    <w:rsid w:val="00386295"/>
    <w:rsid w:val="003862B9"/>
    <w:rsid w:val="003863ED"/>
    <w:rsid w:val="00386765"/>
    <w:rsid w:val="003867DA"/>
    <w:rsid w:val="00386B83"/>
    <w:rsid w:val="00386C50"/>
    <w:rsid w:val="00386D8E"/>
    <w:rsid w:val="00387086"/>
    <w:rsid w:val="00387107"/>
    <w:rsid w:val="00387472"/>
    <w:rsid w:val="00387730"/>
    <w:rsid w:val="0038796D"/>
    <w:rsid w:val="00387A3F"/>
    <w:rsid w:val="00387BC8"/>
    <w:rsid w:val="00387D37"/>
    <w:rsid w:val="0039019C"/>
    <w:rsid w:val="0039035D"/>
    <w:rsid w:val="003906FD"/>
    <w:rsid w:val="00390CD3"/>
    <w:rsid w:val="00390EA5"/>
    <w:rsid w:val="003910F2"/>
    <w:rsid w:val="003911D0"/>
    <w:rsid w:val="003912FB"/>
    <w:rsid w:val="00391465"/>
    <w:rsid w:val="003918A3"/>
    <w:rsid w:val="003918AA"/>
    <w:rsid w:val="00391DD6"/>
    <w:rsid w:val="00391F6A"/>
    <w:rsid w:val="0039206F"/>
    <w:rsid w:val="003920C4"/>
    <w:rsid w:val="00392120"/>
    <w:rsid w:val="00392334"/>
    <w:rsid w:val="00392699"/>
    <w:rsid w:val="00392A0A"/>
    <w:rsid w:val="00392ACF"/>
    <w:rsid w:val="00392B30"/>
    <w:rsid w:val="00392C89"/>
    <w:rsid w:val="00392E3B"/>
    <w:rsid w:val="0039314A"/>
    <w:rsid w:val="003933A6"/>
    <w:rsid w:val="0039395E"/>
    <w:rsid w:val="00393CC4"/>
    <w:rsid w:val="00393DD3"/>
    <w:rsid w:val="003941C9"/>
    <w:rsid w:val="0039432A"/>
    <w:rsid w:val="00394A09"/>
    <w:rsid w:val="00394A29"/>
    <w:rsid w:val="00394ACE"/>
    <w:rsid w:val="00394C67"/>
    <w:rsid w:val="00394EEC"/>
    <w:rsid w:val="00394F5E"/>
    <w:rsid w:val="003950B8"/>
    <w:rsid w:val="00395237"/>
    <w:rsid w:val="003955DF"/>
    <w:rsid w:val="00395AA4"/>
    <w:rsid w:val="00395AED"/>
    <w:rsid w:val="00395F3C"/>
    <w:rsid w:val="00396106"/>
    <w:rsid w:val="00396349"/>
    <w:rsid w:val="00396382"/>
    <w:rsid w:val="003963BF"/>
    <w:rsid w:val="0039641E"/>
    <w:rsid w:val="00396461"/>
    <w:rsid w:val="003968D1"/>
    <w:rsid w:val="00396D39"/>
    <w:rsid w:val="00396F1F"/>
    <w:rsid w:val="0039722C"/>
    <w:rsid w:val="003972DF"/>
    <w:rsid w:val="00397345"/>
    <w:rsid w:val="003975CD"/>
    <w:rsid w:val="0039777C"/>
    <w:rsid w:val="00397E3C"/>
    <w:rsid w:val="003A056D"/>
    <w:rsid w:val="003A0631"/>
    <w:rsid w:val="003A06F5"/>
    <w:rsid w:val="003A087E"/>
    <w:rsid w:val="003A08B0"/>
    <w:rsid w:val="003A0C07"/>
    <w:rsid w:val="003A0D21"/>
    <w:rsid w:val="003A0D33"/>
    <w:rsid w:val="003A0DF8"/>
    <w:rsid w:val="003A15BD"/>
    <w:rsid w:val="003A188B"/>
    <w:rsid w:val="003A1A06"/>
    <w:rsid w:val="003A1EAD"/>
    <w:rsid w:val="003A23E6"/>
    <w:rsid w:val="003A242B"/>
    <w:rsid w:val="003A246E"/>
    <w:rsid w:val="003A25F7"/>
    <w:rsid w:val="003A26D9"/>
    <w:rsid w:val="003A27D0"/>
    <w:rsid w:val="003A2942"/>
    <w:rsid w:val="003A2A1E"/>
    <w:rsid w:val="003A2BE1"/>
    <w:rsid w:val="003A2BE2"/>
    <w:rsid w:val="003A2D08"/>
    <w:rsid w:val="003A2F7B"/>
    <w:rsid w:val="003A31A4"/>
    <w:rsid w:val="003A34AD"/>
    <w:rsid w:val="003A375A"/>
    <w:rsid w:val="003A3881"/>
    <w:rsid w:val="003A3A8F"/>
    <w:rsid w:val="003A3AAD"/>
    <w:rsid w:val="003A3E57"/>
    <w:rsid w:val="003A41EC"/>
    <w:rsid w:val="003A4547"/>
    <w:rsid w:val="003A47AF"/>
    <w:rsid w:val="003A4877"/>
    <w:rsid w:val="003A4A3E"/>
    <w:rsid w:val="003A4BB7"/>
    <w:rsid w:val="003A4DBE"/>
    <w:rsid w:val="003A4F6A"/>
    <w:rsid w:val="003A51BC"/>
    <w:rsid w:val="003A52D9"/>
    <w:rsid w:val="003A5541"/>
    <w:rsid w:val="003A558C"/>
    <w:rsid w:val="003A5A25"/>
    <w:rsid w:val="003A5A4F"/>
    <w:rsid w:val="003A5CEF"/>
    <w:rsid w:val="003A649C"/>
    <w:rsid w:val="003A6844"/>
    <w:rsid w:val="003A698A"/>
    <w:rsid w:val="003A6F0C"/>
    <w:rsid w:val="003A7111"/>
    <w:rsid w:val="003A723A"/>
    <w:rsid w:val="003A7338"/>
    <w:rsid w:val="003A73AA"/>
    <w:rsid w:val="003A7807"/>
    <w:rsid w:val="003A78AC"/>
    <w:rsid w:val="003A78B2"/>
    <w:rsid w:val="003A7B27"/>
    <w:rsid w:val="003A7B43"/>
    <w:rsid w:val="003A7B98"/>
    <w:rsid w:val="003A7CE2"/>
    <w:rsid w:val="003A7E59"/>
    <w:rsid w:val="003B0399"/>
    <w:rsid w:val="003B0650"/>
    <w:rsid w:val="003B0841"/>
    <w:rsid w:val="003B0D2E"/>
    <w:rsid w:val="003B1386"/>
    <w:rsid w:val="003B139D"/>
    <w:rsid w:val="003B1712"/>
    <w:rsid w:val="003B173A"/>
    <w:rsid w:val="003B18D7"/>
    <w:rsid w:val="003B18F7"/>
    <w:rsid w:val="003B19CB"/>
    <w:rsid w:val="003B1C60"/>
    <w:rsid w:val="003B1EFC"/>
    <w:rsid w:val="003B2279"/>
    <w:rsid w:val="003B28BD"/>
    <w:rsid w:val="003B298D"/>
    <w:rsid w:val="003B3211"/>
    <w:rsid w:val="003B337F"/>
    <w:rsid w:val="003B345C"/>
    <w:rsid w:val="003B3464"/>
    <w:rsid w:val="003B35A9"/>
    <w:rsid w:val="003B375D"/>
    <w:rsid w:val="003B37A1"/>
    <w:rsid w:val="003B39E3"/>
    <w:rsid w:val="003B3E6B"/>
    <w:rsid w:val="003B447B"/>
    <w:rsid w:val="003B4660"/>
    <w:rsid w:val="003B4900"/>
    <w:rsid w:val="003B4DE3"/>
    <w:rsid w:val="003B4FE4"/>
    <w:rsid w:val="003B528E"/>
    <w:rsid w:val="003B5590"/>
    <w:rsid w:val="003B5B15"/>
    <w:rsid w:val="003B5C1D"/>
    <w:rsid w:val="003B5CAA"/>
    <w:rsid w:val="003B5D1B"/>
    <w:rsid w:val="003B5EE2"/>
    <w:rsid w:val="003B5F93"/>
    <w:rsid w:val="003B6481"/>
    <w:rsid w:val="003B65F0"/>
    <w:rsid w:val="003B6E4E"/>
    <w:rsid w:val="003B7467"/>
    <w:rsid w:val="003B74D7"/>
    <w:rsid w:val="003B7931"/>
    <w:rsid w:val="003B7C56"/>
    <w:rsid w:val="003B7F69"/>
    <w:rsid w:val="003C04E3"/>
    <w:rsid w:val="003C0841"/>
    <w:rsid w:val="003C092C"/>
    <w:rsid w:val="003C09D2"/>
    <w:rsid w:val="003C0C1B"/>
    <w:rsid w:val="003C0CB1"/>
    <w:rsid w:val="003C1016"/>
    <w:rsid w:val="003C132B"/>
    <w:rsid w:val="003C1607"/>
    <w:rsid w:val="003C1610"/>
    <w:rsid w:val="003C1D87"/>
    <w:rsid w:val="003C1EF6"/>
    <w:rsid w:val="003C1F50"/>
    <w:rsid w:val="003C230C"/>
    <w:rsid w:val="003C2452"/>
    <w:rsid w:val="003C2492"/>
    <w:rsid w:val="003C2626"/>
    <w:rsid w:val="003C266B"/>
    <w:rsid w:val="003C2738"/>
    <w:rsid w:val="003C2954"/>
    <w:rsid w:val="003C2B65"/>
    <w:rsid w:val="003C3372"/>
    <w:rsid w:val="003C354E"/>
    <w:rsid w:val="003C3621"/>
    <w:rsid w:val="003C3967"/>
    <w:rsid w:val="003C41CE"/>
    <w:rsid w:val="003C420B"/>
    <w:rsid w:val="003C426A"/>
    <w:rsid w:val="003C44AD"/>
    <w:rsid w:val="003C4815"/>
    <w:rsid w:val="003C4923"/>
    <w:rsid w:val="003C4BC1"/>
    <w:rsid w:val="003C4CC9"/>
    <w:rsid w:val="003C4F62"/>
    <w:rsid w:val="003C501D"/>
    <w:rsid w:val="003C51A4"/>
    <w:rsid w:val="003C53DB"/>
    <w:rsid w:val="003C56ED"/>
    <w:rsid w:val="003C597E"/>
    <w:rsid w:val="003C59F0"/>
    <w:rsid w:val="003C5A18"/>
    <w:rsid w:val="003C5F16"/>
    <w:rsid w:val="003C6208"/>
    <w:rsid w:val="003C6251"/>
    <w:rsid w:val="003C6340"/>
    <w:rsid w:val="003C661C"/>
    <w:rsid w:val="003C66DE"/>
    <w:rsid w:val="003C6B20"/>
    <w:rsid w:val="003C6BCF"/>
    <w:rsid w:val="003C6D2A"/>
    <w:rsid w:val="003C6E4F"/>
    <w:rsid w:val="003C70B3"/>
    <w:rsid w:val="003C70F3"/>
    <w:rsid w:val="003C7235"/>
    <w:rsid w:val="003C7B56"/>
    <w:rsid w:val="003D04B5"/>
    <w:rsid w:val="003D0849"/>
    <w:rsid w:val="003D08BC"/>
    <w:rsid w:val="003D0A91"/>
    <w:rsid w:val="003D0B91"/>
    <w:rsid w:val="003D0C31"/>
    <w:rsid w:val="003D0C44"/>
    <w:rsid w:val="003D13CD"/>
    <w:rsid w:val="003D14DF"/>
    <w:rsid w:val="003D15C8"/>
    <w:rsid w:val="003D1638"/>
    <w:rsid w:val="003D19B4"/>
    <w:rsid w:val="003D1A20"/>
    <w:rsid w:val="003D1F50"/>
    <w:rsid w:val="003D1FA4"/>
    <w:rsid w:val="003D21BC"/>
    <w:rsid w:val="003D278E"/>
    <w:rsid w:val="003D2A0E"/>
    <w:rsid w:val="003D2C7F"/>
    <w:rsid w:val="003D2E35"/>
    <w:rsid w:val="003D2EA6"/>
    <w:rsid w:val="003D31AF"/>
    <w:rsid w:val="003D3352"/>
    <w:rsid w:val="003D33FF"/>
    <w:rsid w:val="003D37A6"/>
    <w:rsid w:val="003D4091"/>
    <w:rsid w:val="003D462D"/>
    <w:rsid w:val="003D488B"/>
    <w:rsid w:val="003D4C06"/>
    <w:rsid w:val="003D4CCA"/>
    <w:rsid w:val="003D4CD5"/>
    <w:rsid w:val="003D5111"/>
    <w:rsid w:val="003D55B8"/>
    <w:rsid w:val="003D5775"/>
    <w:rsid w:val="003D5878"/>
    <w:rsid w:val="003D590E"/>
    <w:rsid w:val="003D5AF1"/>
    <w:rsid w:val="003D5B0E"/>
    <w:rsid w:val="003D5CD1"/>
    <w:rsid w:val="003D5E0E"/>
    <w:rsid w:val="003D5F28"/>
    <w:rsid w:val="003D60E0"/>
    <w:rsid w:val="003D617A"/>
    <w:rsid w:val="003D6187"/>
    <w:rsid w:val="003D6229"/>
    <w:rsid w:val="003D65A0"/>
    <w:rsid w:val="003D66C1"/>
    <w:rsid w:val="003D682E"/>
    <w:rsid w:val="003D687C"/>
    <w:rsid w:val="003D6A6D"/>
    <w:rsid w:val="003D6C9E"/>
    <w:rsid w:val="003D6E32"/>
    <w:rsid w:val="003D70B1"/>
    <w:rsid w:val="003D7104"/>
    <w:rsid w:val="003D7149"/>
    <w:rsid w:val="003D7188"/>
    <w:rsid w:val="003D7682"/>
    <w:rsid w:val="003D7988"/>
    <w:rsid w:val="003D7A30"/>
    <w:rsid w:val="003D7CAE"/>
    <w:rsid w:val="003D7D0F"/>
    <w:rsid w:val="003D7D31"/>
    <w:rsid w:val="003D7FC3"/>
    <w:rsid w:val="003E0290"/>
    <w:rsid w:val="003E0402"/>
    <w:rsid w:val="003E0441"/>
    <w:rsid w:val="003E06A0"/>
    <w:rsid w:val="003E0886"/>
    <w:rsid w:val="003E0B6B"/>
    <w:rsid w:val="003E0E84"/>
    <w:rsid w:val="003E123B"/>
    <w:rsid w:val="003E1790"/>
    <w:rsid w:val="003E17D2"/>
    <w:rsid w:val="003E180D"/>
    <w:rsid w:val="003E1BD4"/>
    <w:rsid w:val="003E1EAE"/>
    <w:rsid w:val="003E1EBB"/>
    <w:rsid w:val="003E20B6"/>
    <w:rsid w:val="003E24BF"/>
    <w:rsid w:val="003E254C"/>
    <w:rsid w:val="003E2782"/>
    <w:rsid w:val="003E3716"/>
    <w:rsid w:val="003E381A"/>
    <w:rsid w:val="003E3C67"/>
    <w:rsid w:val="003E3F86"/>
    <w:rsid w:val="003E4194"/>
    <w:rsid w:val="003E429A"/>
    <w:rsid w:val="003E431D"/>
    <w:rsid w:val="003E4528"/>
    <w:rsid w:val="003E4649"/>
    <w:rsid w:val="003E4753"/>
    <w:rsid w:val="003E4760"/>
    <w:rsid w:val="003E4987"/>
    <w:rsid w:val="003E4F4D"/>
    <w:rsid w:val="003E5188"/>
    <w:rsid w:val="003E54B7"/>
    <w:rsid w:val="003E58B6"/>
    <w:rsid w:val="003E58CD"/>
    <w:rsid w:val="003E5A11"/>
    <w:rsid w:val="003E5C8E"/>
    <w:rsid w:val="003E5CE0"/>
    <w:rsid w:val="003E62F7"/>
    <w:rsid w:val="003E6D4E"/>
    <w:rsid w:val="003E73E9"/>
    <w:rsid w:val="003E76B2"/>
    <w:rsid w:val="003E7918"/>
    <w:rsid w:val="003E7A34"/>
    <w:rsid w:val="003E7AB8"/>
    <w:rsid w:val="003E7BF9"/>
    <w:rsid w:val="003E7C18"/>
    <w:rsid w:val="003F02F0"/>
    <w:rsid w:val="003F03B9"/>
    <w:rsid w:val="003F04E5"/>
    <w:rsid w:val="003F069E"/>
    <w:rsid w:val="003F09ED"/>
    <w:rsid w:val="003F0ADF"/>
    <w:rsid w:val="003F102B"/>
    <w:rsid w:val="003F1218"/>
    <w:rsid w:val="003F126A"/>
    <w:rsid w:val="003F1EA3"/>
    <w:rsid w:val="003F2261"/>
    <w:rsid w:val="003F239C"/>
    <w:rsid w:val="003F25A3"/>
    <w:rsid w:val="003F27A6"/>
    <w:rsid w:val="003F288C"/>
    <w:rsid w:val="003F2941"/>
    <w:rsid w:val="003F2C94"/>
    <w:rsid w:val="003F2D6C"/>
    <w:rsid w:val="003F326A"/>
    <w:rsid w:val="003F337C"/>
    <w:rsid w:val="003F35EC"/>
    <w:rsid w:val="003F3908"/>
    <w:rsid w:val="003F3E59"/>
    <w:rsid w:val="003F4132"/>
    <w:rsid w:val="003F4BCA"/>
    <w:rsid w:val="003F50CD"/>
    <w:rsid w:val="003F514C"/>
    <w:rsid w:val="003F55FA"/>
    <w:rsid w:val="003F5A42"/>
    <w:rsid w:val="003F5A96"/>
    <w:rsid w:val="003F5B90"/>
    <w:rsid w:val="003F5C47"/>
    <w:rsid w:val="003F5D19"/>
    <w:rsid w:val="003F611B"/>
    <w:rsid w:val="003F61ED"/>
    <w:rsid w:val="003F665E"/>
    <w:rsid w:val="003F68D1"/>
    <w:rsid w:val="003F6925"/>
    <w:rsid w:val="003F6C61"/>
    <w:rsid w:val="003F6D0A"/>
    <w:rsid w:val="003F6D4C"/>
    <w:rsid w:val="003F77D6"/>
    <w:rsid w:val="003F77FB"/>
    <w:rsid w:val="003F7A24"/>
    <w:rsid w:val="003F7E70"/>
    <w:rsid w:val="003F7EF0"/>
    <w:rsid w:val="00400183"/>
    <w:rsid w:val="00400C3F"/>
    <w:rsid w:val="00400EF5"/>
    <w:rsid w:val="00400F96"/>
    <w:rsid w:val="00401097"/>
    <w:rsid w:val="004010FB"/>
    <w:rsid w:val="004011F5"/>
    <w:rsid w:val="00401407"/>
    <w:rsid w:val="004016A0"/>
    <w:rsid w:val="00401A22"/>
    <w:rsid w:val="00401B60"/>
    <w:rsid w:val="00401D8D"/>
    <w:rsid w:val="00401F20"/>
    <w:rsid w:val="0040221C"/>
    <w:rsid w:val="00402A02"/>
    <w:rsid w:val="00402CD9"/>
    <w:rsid w:val="00402E11"/>
    <w:rsid w:val="004032B8"/>
    <w:rsid w:val="00403606"/>
    <w:rsid w:val="00403B49"/>
    <w:rsid w:val="00403C53"/>
    <w:rsid w:val="00403FCD"/>
    <w:rsid w:val="004041DA"/>
    <w:rsid w:val="0040428B"/>
    <w:rsid w:val="00404359"/>
    <w:rsid w:val="004043B9"/>
    <w:rsid w:val="004045A2"/>
    <w:rsid w:val="0040469B"/>
    <w:rsid w:val="004046DB"/>
    <w:rsid w:val="00404AC4"/>
    <w:rsid w:val="00405232"/>
    <w:rsid w:val="00405274"/>
    <w:rsid w:val="00405367"/>
    <w:rsid w:val="004055B7"/>
    <w:rsid w:val="004058D8"/>
    <w:rsid w:val="00405BA2"/>
    <w:rsid w:val="00405C39"/>
    <w:rsid w:val="00405C7A"/>
    <w:rsid w:val="00405CA6"/>
    <w:rsid w:val="00405DC5"/>
    <w:rsid w:val="00405E24"/>
    <w:rsid w:val="00406461"/>
    <w:rsid w:val="00406549"/>
    <w:rsid w:val="00406743"/>
    <w:rsid w:val="0040683F"/>
    <w:rsid w:val="00406E35"/>
    <w:rsid w:val="00407390"/>
    <w:rsid w:val="004075F0"/>
    <w:rsid w:val="00407641"/>
    <w:rsid w:val="0040786C"/>
    <w:rsid w:val="00407988"/>
    <w:rsid w:val="00407B3D"/>
    <w:rsid w:val="00407B5D"/>
    <w:rsid w:val="00407CF7"/>
    <w:rsid w:val="00407FC6"/>
    <w:rsid w:val="00407FFA"/>
    <w:rsid w:val="00410167"/>
    <w:rsid w:val="0041016B"/>
    <w:rsid w:val="0041056C"/>
    <w:rsid w:val="00410802"/>
    <w:rsid w:val="00410850"/>
    <w:rsid w:val="00410E62"/>
    <w:rsid w:val="004115F6"/>
    <w:rsid w:val="00411818"/>
    <w:rsid w:val="00411902"/>
    <w:rsid w:val="00411A07"/>
    <w:rsid w:val="00411AFE"/>
    <w:rsid w:val="00411B2E"/>
    <w:rsid w:val="0041202B"/>
    <w:rsid w:val="0041207C"/>
    <w:rsid w:val="004121D2"/>
    <w:rsid w:val="0041222A"/>
    <w:rsid w:val="0041242E"/>
    <w:rsid w:val="004125AA"/>
    <w:rsid w:val="004128EB"/>
    <w:rsid w:val="00412AB3"/>
    <w:rsid w:val="00412F9B"/>
    <w:rsid w:val="004131ED"/>
    <w:rsid w:val="0041338D"/>
    <w:rsid w:val="00414029"/>
    <w:rsid w:val="0041456E"/>
    <w:rsid w:val="00414AD4"/>
    <w:rsid w:val="00414AD5"/>
    <w:rsid w:val="00414B3C"/>
    <w:rsid w:val="0041510E"/>
    <w:rsid w:val="00415123"/>
    <w:rsid w:val="00415358"/>
    <w:rsid w:val="00415452"/>
    <w:rsid w:val="004159D5"/>
    <w:rsid w:val="00415A2F"/>
    <w:rsid w:val="00415C3C"/>
    <w:rsid w:val="00415CAF"/>
    <w:rsid w:val="00415CC5"/>
    <w:rsid w:val="00415D41"/>
    <w:rsid w:val="00415D8E"/>
    <w:rsid w:val="0041607A"/>
    <w:rsid w:val="00416254"/>
    <w:rsid w:val="004162A9"/>
    <w:rsid w:val="004162D0"/>
    <w:rsid w:val="004165FB"/>
    <w:rsid w:val="00416952"/>
    <w:rsid w:val="00416B8B"/>
    <w:rsid w:val="00416C52"/>
    <w:rsid w:val="00416C57"/>
    <w:rsid w:val="00416C93"/>
    <w:rsid w:val="00416D67"/>
    <w:rsid w:val="00416ECF"/>
    <w:rsid w:val="00416FC3"/>
    <w:rsid w:val="00417059"/>
    <w:rsid w:val="00417089"/>
    <w:rsid w:val="0041748A"/>
    <w:rsid w:val="004174CA"/>
    <w:rsid w:val="00417A40"/>
    <w:rsid w:val="00417A59"/>
    <w:rsid w:val="00417C5F"/>
    <w:rsid w:val="00417CD0"/>
    <w:rsid w:val="00417DF5"/>
    <w:rsid w:val="00420088"/>
    <w:rsid w:val="004203BE"/>
    <w:rsid w:val="004206F5"/>
    <w:rsid w:val="0042111D"/>
    <w:rsid w:val="00421A68"/>
    <w:rsid w:val="00421B15"/>
    <w:rsid w:val="0042235D"/>
    <w:rsid w:val="004229B3"/>
    <w:rsid w:val="00422A98"/>
    <w:rsid w:val="00422CCE"/>
    <w:rsid w:val="00422D3D"/>
    <w:rsid w:val="00422F45"/>
    <w:rsid w:val="00423115"/>
    <w:rsid w:val="004233C7"/>
    <w:rsid w:val="004235E6"/>
    <w:rsid w:val="004235F8"/>
    <w:rsid w:val="00423A7C"/>
    <w:rsid w:val="004243A7"/>
    <w:rsid w:val="0042459B"/>
    <w:rsid w:val="0042479C"/>
    <w:rsid w:val="00424818"/>
    <w:rsid w:val="0042500E"/>
    <w:rsid w:val="00425888"/>
    <w:rsid w:val="004261B6"/>
    <w:rsid w:val="0042645B"/>
    <w:rsid w:val="004265DB"/>
    <w:rsid w:val="00426A6A"/>
    <w:rsid w:val="00426B6B"/>
    <w:rsid w:val="00426EA1"/>
    <w:rsid w:val="00426F93"/>
    <w:rsid w:val="004270C5"/>
    <w:rsid w:val="0042713E"/>
    <w:rsid w:val="00427175"/>
    <w:rsid w:val="0042792D"/>
    <w:rsid w:val="004279D4"/>
    <w:rsid w:val="00427CCD"/>
    <w:rsid w:val="00427E66"/>
    <w:rsid w:val="004301C7"/>
    <w:rsid w:val="00430580"/>
    <w:rsid w:val="004306E4"/>
    <w:rsid w:val="0043087C"/>
    <w:rsid w:val="00430A92"/>
    <w:rsid w:val="00430D1C"/>
    <w:rsid w:val="00431280"/>
    <w:rsid w:val="004314BC"/>
    <w:rsid w:val="004314E0"/>
    <w:rsid w:val="0043165D"/>
    <w:rsid w:val="004316E3"/>
    <w:rsid w:val="00431713"/>
    <w:rsid w:val="00431AD0"/>
    <w:rsid w:val="00431EBF"/>
    <w:rsid w:val="00432090"/>
    <w:rsid w:val="004320E2"/>
    <w:rsid w:val="00432317"/>
    <w:rsid w:val="00432869"/>
    <w:rsid w:val="004329D2"/>
    <w:rsid w:val="00432C12"/>
    <w:rsid w:val="00432C80"/>
    <w:rsid w:val="00432E2F"/>
    <w:rsid w:val="00432E89"/>
    <w:rsid w:val="00432EBA"/>
    <w:rsid w:val="00432FDC"/>
    <w:rsid w:val="00433307"/>
    <w:rsid w:val="00433388"/>
    <w:rsid w:val="00433468"/>
    <w:rsid w:val="00433496"/>
    <w:rsid w:val="00433538"/>
    <w:rsid w:val="004336EE"/>
    <w:rsid w:val="00433938"/>
    <w:rsid w:val="00433BD4"/>
    <w:rsid w:val="00433D42"/>
    <w:rsid w:val="00433F8D"/>
    <w:rsid w:val="0043434C"/>
    <w:rsid w:val="0043436E"/>
    <w:rsid w:val="004345A4"/>
    <w:rsid w:val="0043462C"/>
    <w:rsid w:val="004348F6"/>
    <w:rsid w:val="00434A89"/>
    <w:rsid w:val="00434BD7"/>
    <w:rsid w:val="00434DEE"/>
    <w:rsid w:val="00435195"/>
    <w:rsid w:val="00435727"/>
    <w:rsid w:val="00435B68"/>
    <w:rsid w:val="00435E83"/>
    <w:rsid w:val="0043614B"/>
    <w:rsid w:val="00436213"/>
    <w:rsid w:val="0043623E"/>
    <w:rsid w:val="004362AC"/>
    <w:rsid w:val="004364E3"/>
    <w:rsid w:val="00436836"/>
    <w:rsid w:val="00436AA2"/>
    <w:rsid w:val="00436ACB"/>
    <w:rsid w:val="00436DD1"/>
    <w:rsid w:val="004376FE"/>
    <w:rsid w:val="00437B90"/>
    <w:rsid w:val="00437EDE"/>
    <w:rsid w:val="004401FC"/>
    <w:rsid w:val="004402A4"/>
    <w:rsid w:val="004402B7"/>
    <w:rsid w:val="004402FC"/>
    <w:rsid w:val="0044030C"/>
    <w:rsid w:val="0044035C"/>
    <w:rsid w:val="00440452"/>
    <w:rsid w:val="004404AE"/>
    <w:rsid w:val="00440628"/>
    <w:rsid w:val="004406B8"/>
    <w:rsid w:val="00440735"/>
    <w:rsid w:val="004407ED"/>
    <w:rsid w:val="004408C8"/>
    <w:rsid w:val="004409B2"/>
    <w:rsid w:val="00440C26"/>
    <w:rsid w:val="0044110A"/>
    <w:rsid w:val="00441157"/>
    <w:rsid w:val="0044126C"/>
    <w:rsid w:val="0044149F"/>
    <w:rsid w:val="00441987"/>
    <w:rsid w:val="00441ACA"/>
    <w:rsid w:val="00441EFF"/>
    <w:rsid w:val="00441F69"/>
    <w:rsid w:val="00441FF1"/>
    <w:rsid w:val="0044213E"/>
    <w:rsid w:val="0044297C"/>
    <w:rsid w:val="00442B2E"/>
    <w:rsid w:val="00442E2D"/>
    <w:rsid w:val="00443223"/>
    <w:rsid w:val="0044330C"/>
    <w:rsid w:val="00443410"/>
    <w:rsid w:val="00443534"/>
    <w:rsid w:val="00443647"/>
    <w:rsid w:val="0044384F"/>
    <w:rsid w:val="00443A0E"/>
    <w:rsid w:val="00443B0B"/>
    <w:rsid w:val="00443DDF"/>
    <w:rsid w:val="00443E4A"/>
    <w:rsid w:val="00443EF9"/>
    <w:rsid w:val="00444040"/>
    <w:rsid w:val="00444256"/>
    <w:rsid w:val="004443FD"/>
    <w:rsid w:val="004444F0"/>
    <w:rsid w:val="0044463C"/>
    <w:rsid w:val="004448F6"/>
    <w:rsid w:val="00444B3B"/>
    <w:rsid w:val="00444BD0"/>
    <w:rsid w:val="00444E64"/>
    <w:rsid w:val="00444EE9"/>
    <w:rsid w:val="00445036"/>
    <w:rsid w:val="0044505C"/>
    <w:rsid w:val="004450FA"/>
    <w:rsid w:val="004452E7"/>
    <w:rsid w:val="00445314"/>
    <w:rsid w:val="004453D0"/>
    <w:rsid w:val="00445670"/>
    <w:rsid w:val="004457E1"/>
    <w:rsid w:val="004458CC"/>
    <w:rsid w:val="004459C7"/>
    <w:rsid w:val="00445B08"/>
    <w:rsid w:val="00445BAD"/>
    <w:rsid w:val="00445BF0"/>
    <w:rsid w:val="00445C7B"/>
    <w:rsid w:val="00445D8D"/>
    <w:rsid w:val="004462B2"/>
    <w:rsid w:val="00446412"/>
    <w:rsid w:val="0044658F"/>
    <w:rsid w:val="0044692E"/>
    <w:rsid w:val="00446CA2"/>
    <w:rsid w:val="004471E9"/>
    <w:rsid w:val="004472E9"/>
    <w:rsid w:val="004472F4"/>
    <w:rsid w:val="00447490"/>
    <w:rsid w:val="004478EF"/>
    <w:rsid w:val="004478F8"/>
    <w:rsid w:val="00447CDA"/>
    <w:rsid w:val="00447EC4"/>
    <w:rsid w:val="00447F72"/>
    <w:rsid w:val="004507AC"/>
    <w:rsid w:val="004509C5"/>
    <w:rsid w:val="00450EB2"/>
    <w:rsid w:val="00450F41"/>
    <w:rsid w:val="00450FDC"/>
    <w:rsid w:val="00451350"/>
    <w:rsid w:val="004513CB"/>
    <w:rsid w:val="00451433"/>
    <w:rsid w:val="00451462"/>
    <w:rsid w:val="004516E9"/>
    <w:rsid w:val="00451839"/>
    <w:rsid w:val="004518CB"/>
    <w:rsid w:val="00451AB1"/>
    <w:rsid w:val="00451D95"/>
    <w:rsid w:val="00451F94"/>
    <w:rsid w:val="00452147"/>
    <w:rsid w:val="004522C9"/>
    <w:rsid w:val="0045272E"/>
    <w:rsid w:val="004529C6"/>
    <w:rsid w:val="00452D07"/>
    <w:rsid w:val="00452E05"/>
    <w:rsid w:val="00452E75"/>
    <w:rsid w:val="00453049"/>
    <w:rsid w:val="004535F5"/>
    <w:rsid w:val="0045398B"/>
    <w:rsid w:val="00453D06"/>
    <w:rsid w:val="0045428B"/>
    <w:rsid w:val="00454371"/>
    <w:rsid w:val="004545B0"/>
    <w:rsid w:val="004546AE"/>
    <w:rsid w:val="00454B8A"/>
    <w:rsid w:val="00454BA3"/>
    <w:rsid w:val="00454BD8"/>
    <w:rsid w:val="00454CDB"/>
    <w:rsid w:val="00454CF3"/>
    <w:rsid w:val="0045513F"/>
    <w:rsid w:val="004553A3"/>
    <w:rsid w:val="004554D1"/>
    <w:rsid w:val="0045551D"/>
    <w:rsid w:val="0045553B"/>
    <w:rsid w:val="004555B3"/>
    <w:rsid w:val="0045560F"/>
    <w:rsid w:val="0045584A"/>
    <w:rsid w:val="00455873"/>
    <w:rsid w:val="00455E06"/>
    <w:rsid w:val="00455F3E"/>
    <w:rsid w:val="0045617B"/>
    <w:rsid w:val="0045631F"/>
    <w:rsid w:val="00456474"/>
    <w:rsid w:val="004566D4"/>
    <w:rsid w:val="004569C5"/>
    <w:rsid w:val="00456AFE"/>
    <w:rsid w:val="00456C57"/>
    <w:rsid w:val="00456CCF"/>
    <w:rsid w:val="0045726D"/>
    <w:rsid w:val="00457291"/>
    <w:rsid w:val="004577E9"/>
    <w:rsid w:val="00460012"/>
    <w:rsid w:val="0046010C"/>
    <w:rsid w:val="0046028B"/>
    <w:rsid w:val="004602BA"/>
    <w:rsid w:val="00460725"/>
    <w:rsid w:val="00460764"/>
    <w:rsid w:val="004607E2"/>
    <w:rsid w:val="00460C50"/>
    <w:rsid w:val="00460CCC"/>
    <w:rsid w:val="00460F78"/>
    <w:rsid w:val="00460FF8"/>
    <w:rsid w:val="00461286"/>
    <w:rsid w:val="00461768"/>
    <w:rsid w:val="00461A1F"/>
    <w:rsid w:val="00461EB1"/>
    <w:rsid w:val="00461F3E"/>
    <w:rsid w:val="00462448"/>
    <w:rsid w:val="004624CE"/>
    <w:rsid w:val="00462680"/>
    <w:rsid w:val="00462B98"/>
    <w:rsid w:val="00462D85"/>
    <w:rsid w:val="00462E7D"/>
    <w:rsid w:val="0046320B"/>
    <w:rsid w:val="00463331"/>
    <w:rsid w:val="004633CD"/>
    <w:rsid w:val="00463EFF"/>
    <w:rsid w:val="00463FF9"/>
    <w:rsid w:val="00464097"/>
    <w:rsid w:val="00464239"/>
    <w:rsid w:val="0046462B"/>
    <w:rsid w:val="00464865"/>
    <w:rsid w:val="00464D1A"/>
    <w:rsid w:val="00464F42"/>
    <w:rsid w:val="004655DF"/>
    <w:rsid w:val="00465D88"/>
    <w:rsid w:val="00465E6C"/>
    <w:rsid w:val="00465E82"/>
    <w:rsid w:val="00465FCE"/>
    <w:rsid w:val="00466020"/>
    <w:rsid w:val="004662B3"/>
    <w:rsid w:val="0046642C"/>
    <w:rsid w:val="0046656B"/>
    <w:rsid w:val="004665DE"/>
    <w:rsid w:val="00466726"/>
    <w:rsid w:val="00466B79"/>
    <w:rsid w:val="004671F6"/>
    <w:rsid w:val="004676CD"/>
    <w:rsid w:val="0046785F"/>
    <w:rsid w:val="004678C6"/>
    <w:rsid w:val="00467992"/>
    <w:rsid w:val="00467A2B"/>
    <w:rsid w:val="00470139"/>
    <w:rsid w:val="004701C0"/>
    <w:rsid w:val="00470618"/>
    <w:rsid w:val="0047082C"/>
    <w:rsid w:val="00470CEB"/>
    <w:rsid w:val="00470D34"/>
    <w:rsid w:val="00470E5C"/>
    <w:rsid w:val="0047104F"/>
    <w:rsid w:val="0047131B"/>
    <w:rsid w:val="00471435"/>
    <w:rsid w:val="004715EA"/>
    <w:rsid w:val="0047183A"/>
    <w:rsid w:val="00471B9D"/>
    <w:rsid w:val="004725C8"/>
    <w:rsid w:val="0047293A"/>
    <w:rsid w:val="004729F4"/>
    <w:rsid w:val="00472ACF"/>
    <w:rsid w:val="00472BAD"/>
    <w:rsid w:val="00472E3D"/>
    <w:rsid w:val="00472FA9"/>
    <w:rsid w:val="004731BB"/>
    <w:rsid w:val="004735B2"/>
    <w:rsid w:val="004736FF"/>
    <w:rsid w:val="00473714"/>
    <w:rsid w:val="004739F2"/>
    <w:rsid w:val="004740B2"/>
    <w:rsid w:val="00474158"/>
    <w:rsid w:val="00474309"/>
    <w:rsid w:val="00474325"/>
    <w:rsid w:val="004744E7"/>
    <w:rsid w:val="0047475E"/>
    <w:rsid w:val="004747EE"/>
    <w:rsid w:val="00474BD1"/>
    <w:rsid w:val="00474C1C"/>
    <w:rsid w:val="00474DA0"/>
    <w:rsid w:val="00474DA1"/>
    <w:rsid w:val="00474F90"/>
    <w:rsid w:val="00475236"/>
    <w:rsid w:val="0047539B"/>
    <w:rsid w:val="00475440"/>
    <w:rsid w:val="004758E9"/>
    <w:rsid w:val="00475C6F"/>
    <w:rsid w:val="0047623E"/>
    <w:rsid w:val="00476370"/>
    <w:rsid w:val="0047648D"/>
    <w:rsid w:val="00476B43"/>
    <w:rsid w:val="00476F1F"/>
    <w:rsid w:val="00477028"/>
    <w:rsid w:val="004772D4"/>
    <w:rsid w:val="0047751E"/>
    <w:rsid w:val="00477C2C"/>
    <w:rsid w:val="0048021C"/>
    <w:rsid w:val="004807CA"/>
    <w:rsid w:val="00480A95"/>
    <w:rsid w:val="00480D85"/>
    <w:rsid w:val="00480E1F"/>
    <w:rsid w:val="004810CE"/>
    <w:rsid w:val="0048119E"/>
    <w:rsid w:val="00481375"/>
    <w:rsid w:val="004813FD"/>
    <w:rsid w:val="00481498"/>
    <w:rsid w:val="00481F6D"/>
    <w:rsid w:val="0048218C"/>
    <w:rsid w:val="004821CF"/>
    <w:rsid w:val="004822A1"/>
    <w:rsid w:val="004823B3"/>
    <w:rsid w:val="004828C0"/>
    <w:rsid w:val="00482A3E"/>
    <w:rsid w:val="00482B93"/>
    <w:rsid w:val="00482DA1"/>
    <w:rsid w:val="00482F3E"/>
    <w:rsid w:val="00483022"/>
    <w:rsid w:val="004830BF"/>
    <w:rsid w:val="004830CF"/>
    <w:rsid w:val="00483207"/>
    <w:rsid w:val="0048369D"/>
    <w:rsid w:val="004837D5"/>
    <w:rsid w:val="00483871"/>
    <w:rsid w:val="004840C2"/>
    <w:rsid w:val="0048416E"/>
    <w:rsid w:val="00484249"/>
    <w:rsid w:val="0048427D"/>
    <w:rsid w:val="004843A4"/>
    <w:rsid w:val="004843CA"/>
    <w:rsid w:val="00484485"/>
    <w:rsid w:val="004846D2"/>
    <w:rsid w:val="00484813"/>
    <w:rsid w:val="00484A42"/>
    <w:rsid w:val="00484B25"/>
    <w:rsid w:val="00484D89"/>
    <w:rsid w:val="004852AE"/>
    <w:rsid w:val="004852DC"/>
    <w:rsid w:val="004854D2"/>
    <w:rsid w:val="00485985"/>
    <w:rsid w:val="00485ADC"/>
    <w:rsid w:val="00485BD8"/>
    <w:rsid w:val="004860CF"/>
    <w:rsid w:val="0048643A"/>
    <w:rsid w:val="004865B9"/>
    <w:rsid w:val="0048678A"/>
    <w:rsid w:val="0048699C"/>
    <w:rsid w:val="00486A17"/>
    <w:rsid w:val="00486BDC"/>
    <w:rsid w:val="00486DD6"/>
    <w:rsid w:val="004872AB"/>
    <w:rsid w:val="004873EA"/>
    <w:rsid w:val="00487807"/>
    <w:rsid w:val="0048782A"/>
    <w:rsid w:val="00487925"/>
    <w:rsid w:val="00487B69"/>
    <w:rsid w:val="00487CD8"/>
    <w:rsid w:val="00487D4F"/>
    <w:rsid w:val="00487FC0"/>
    <w:rsid w:val="00490134"/>
    <w:rsid w:val="00490144"/>
    <w:rsid w:val="00490181"/>
    <w:rsid w:val="00490553"/>
    <w:rsid w:val="00490767"/>
    <w:rsid w:val="00490A35"/>
    <w:rsid w:val="00490C4D"/>
    <w:rsid w:val="00490FEC"/>
    <w:rsid w:val="0049110F"/>
    <w:rsid w:val="00491360"/>
    <w:rsid w:val="004915DB"/>
    <w:rsid w:val="0049160F"/>
    <w:rsid w:val="00491ADD"/>
    <w:rsid w:val="00491B62"/>
    <w:rsid w:val="00491C6E"/>
    <w:rsid w:val="00491D0E"/>
    <w:rsid w:val="00491D86"/>
    <w:rsid w:val="00491D8D"/>
    <w:rsid w:val="004923EB"/>
    <w:rsid w:val="004924D8"/>
    <w:rsid w:val="004925F0"/>
    <w:rsid w:val="00492AA4"/>
    <w:rsid w:val="00492D66"/>
    <w:rsid w:val="00492E97"/>
    <w:rsid w:val="00493525"/>
    <w:rsid w:val="004935DB"/>
    <w:rsid w:val="00493830"/>
    <w:rsid w:val="00493C09"/>
    <w:rsid w:val="00493C21"/>
    <w:rsid w:val="00493CD4"/>
    <w:rsid w:val="00493ED0"/>
    <w:rsid w:val="004940D4"/>
    <w:rsid w:val="004947B3"/>
    <w:rsid w:val="004947E1"/>
    <w:rsid w:val="00494A9A"/>
    <w:rsid w:val="00494ABA"/>
    <w:rsid w:val="00494D50"/>
    <w:rsid w:val="00494E77"/>
    <w:rsid w:val="004950C6"/>
    <w:rsid w:val="00495275"/>
    <w:rsid w:val="00495B40"/>
    <w:rsid w:val="00495E89"/>
    <w:rsid w:val="00496139"/>
    <w:rsid w:val="00496174"/>
    <w:rsid w:val="0049657E"/>
    <w:rsid w:val="004968FA"/>
    <w:rsid w:val="0049721C"/>
    <w:rsid w:val="0049725A"/>
    <w:rsid w:val="00497878"/>
    <w:rsid w:val="00497B00"/>
    <w:rsid w:val="00497C49"/>
    <w:rsid w:val="00497EE9"/>
    <w:rsid w:val="004A0212"/>
    <w:rsid w:val="004A0964"/>
    <w:rsid w:val="004A09F7"/>
    <w:rsid w:val="004A0CED"/>
    <w:rsid w:val="004A0D57"/>
    <w:rsid w:val="004A0D61"/>
    <w:rsid w:val="004A0DE1"/>
    <w:rsid w:val="004A0E7F"/>
    <w:rsid w:val="004A0F68"/>
    <w:rsid w:val="004A115F"/>
    <w:rsid w:val="004A11F3"/>
    <w:rsid w:val="004A1283"/>
    <w:rsid w:val="004A153D"/>
    <w:rsid w:val="004A15D1"/>
    <w:rsid w:val="004A1708"/>
    <w:rsid w:val="004A18C8"/>
    <w:rsid w:val="004A1923"/>
    <w:rsid w:val="004A1C04"/>
    <w:rsid w:val="004A206C"/>
    <w:rsid w:val="004A219F"/>
    <w:rsid w:val="004A2225"/>
    <w:rsid w:val="004A243C"/>
    <w:rsid w:val="004A247E"/>
    <w:rsid w:val="004A29EE"/>
    <w:rsid w:val="004A2CA9"/>
    <w:rsid w:val="004A2E39"/>
    <w:rsid w:val="004A3037"/>
    <w:rsid w:val="004A31F8"/>
    <w:rsid w:val="004A328E"/>
    <w:rsid w:val="004A353D"/>
    <w:rsid w:val="004A365C"/>
    <w:rsid w:val="004A3831"/>
    <w:rsid w:val="004A3B41"/>
    <w:rsid w:val="004A3C35"/>
    <w:rsid w:val="004A3D20"/>
    <w:rsid w:val="004A3EA2"/>
    <w:rsid w:val="004A409E"/>
    <w:rsid w:val="004A416E"/>
    <w:rsid w:val="004A41DD"/>
    <w:rsid w:val="004A4243"/>
    <w:rsid w:val="004A442C"/>
    <w:rsid w:val="004A47D7"/>
    <w:rsid w:val="004A48FF"/>
    <w:rsid w:val="004A498F"/>
    <w:rsid w:val="004A4DBA"/>
    <w:rsid w:val="004A4E0A"/>
    <w:rsid w:val="004A526E"/>
    <w:rsid w:val="004A528E"/>
    <w:rsid w:val="004A5335"/>
    <w:rsid w:val="004A5410"/>
    <w:rsid w:val="004A55B4"/>
    <w:rsid w:val="004A5678"/>
    <w:rsid w:val="004A56D9"/>
    <w:rsid w:val="004A5981"/>
    <w:rsid w:val="004A59B2"/>
    <w:rsid w:val="004A5F88"/>
    <w:rsid w:val="004A62B9"/>
    <w:rsid w:val="004A6430"/>
    <w:rsid w:val="004A6756"/>
    <w:rsid w:val="004A6774"/>
    <w:rsid w:val="004A6C2C"/>
    <w:rsid w:val="004A6E8D"/>
    <w:rsid w:val="004A742B"/>
    <w:rsid w:val="004A74A8"/>
    <w:rsid w:val="004A753F"/>
    <w:rsid w:val="004A7871"/>
    <w:rsid w:val="004A7A6B"/>
    <w:rsid w:val="004A7DF5"/>
    <w:rsid w:val="004A7EEC"/>
    <w:rsid w:val="004B0037"/>
    <w:rsid w:val="004B047E"/>
    <w:rsid w:val="004B08EE"/>
    <w:rsid w:val="004B0926"/>
    <w:rsid w:val="004B0A1A"/>
    <w:rsid w:val="004B0C24"/>
    <w:rsid w:val="004B1122"/>
    <w:rsid w:val="004B129B"/>
    <w:rsid w:val="004B1825"/>
    <w:rsid w:val="004B1B36"/>
    <w:rsid w:val="004B1D04"/>
    <w:rsid w:val="004B1DA3"/>
    <w:rsid w:val="004B210A"/>
    <w:rsid w:val="004B2274"/>
    <w:rsid w:val="004B23A0"/>
    <w:rsid w:val="004B256A"/>
    <w:rsid w:val="004B26FA"/>
    <w:rsid w:val="004B29C4"/>
    <w:rsid w:val="004B2CB7"/>
    <w:rsid w:val="004B2E2F"/>
    <w:rsid w:val="004B2E4F"/>
    <w:rsid w:val="004B335B"/>
    <w:rsid w:val="004B34D4"/>
    <w:rsid w:val="004B36EC"/>
    <w:rsid w:val="004B3745"/>
    <w:rsid w:val="004B3944"/>
    <w:rsid w:val="004B3B6F"/>
    <w:rsid w:val="004B3DAB"/>
    <w:rsid w:val="004B4103"/>
    <w:rsid w:val="004B44B3"/>
    <w:rsid w:val="004B44F0"/>
    <w:rsid w:val="004B4549"/>
    <w:rsid w:val="004B46EA"/>
    <w:rsid w:val="004B4DE4"/>
    <w:rsid w:val="004B4ECC"/>
    <w:rsid w:val="004B4ECF"/>
    <w:rsid w:val="004B5253"/>
    <w:rsid w:val="004B52BD"/>
    <w:rsid w:val="004B53E1"/>
    <w:rsid w:val="004B5947"/>
    <w:rsid w:val="004B5A89"/>
    <w:rsid w:val="004B5AE6"/>
    <w:rsid w:val="004B5B45"/>
    <w:rsid w:val="004B5C69"/>
    <w:rsid w:val="004B5C80"/>
    <w:rsid w:val="004B5DC7"/>
    <w:rsid w:val="004B5F95"/>
    <w:rsid w:val="004B615E"/>
    <w:rsid w:val="004B63A8"/>
    <w:rsid w:val="004B6591"/>
    <w:rsid w:val="004B6A5F"/>
    <w:rsid w:val="004B6B2A"/>
    <w:rsid w:val="004B6BE7"/>
    <w:rsid w:val="004B7094"/>
    <w:rsid w:val="004B786B"/>
    <w:rsid w:val="004B7CA0"/>
    <w:rsid w:val="004C016A"/>
    <w:rsid w:val="004C05DB"/>
    <w:rsid w:val="004C068F"/>
    <w:rsid w:val="004C06E6"/>
    <w:rsid w:val="004C07ED"/>
    <w:rsid w:val="004C0915"/>
    <w:rsid w:val="004C0BE9"/>
    <w:rsid w:val="004C0D4F"/>
    <w:rsid w:val="004C0DD2"/>
    <w:rsid w:val="004C0F3F"/>
    <w:rsid w:val="004C1053"/>
    <w:rsid w:val="004C15C6"/>
    <w:rsid w:val="004C19B5"/>
    <w:rsid w:val="004C1C9E"/>
    <w:rsid w:val="004C24DA"/>
    <w:rsid w:val="004C273C"/>
    <w:rsid w:val="004C27FF"/>
    <w:rsid w:val="004C2AB0"/>
    <w:rsid w:val="004C2BDD"/>
    <w:rsid w:val="004C2D62"/>
    <w:rsid w:val="004C2DB3"/>
    <w:rsid w:val="004C2FB6"/>
    <w:rsid w:val="004C3174"/>
    <w:rsid w:val="004C3345"/>
    <w:rsid w:val="004C3633"/>
    <w:rsid w:val="004C3703"/>
    <w:rsid w:val="004C38DD"/>
    <w:rsid w:val="004C3AE3"/>
    <w:rsid w:val="004C3B68"/>
    <w:rsid w:val="004C414F"/>
    <w:rsid w:val="004C4371"/>
    <w:rsid w:val="004C4445"/>
    <w:rsid w:val="004C46D7"/>
    <w:rsid w:val="004C471C"/>
    <w:rsid w:val="004C4D13"/>
    <w:rsid w:val="004C4E3B"/>
    <w:rsid w:val="004C4FF1"/>
    <w:rsid w:val="004C5127"/>
    <w:rsid w:val="004C572B"/>
    <w:rsid w:val="004C5861"/>
    <w:rsid w:val="004C586A"/>
    <w:rsid w:val="004C5994"/>
    <w:rsid w:val="004C5AB9"/>
    <w:rsid w:val="004C5E20"/>
    <w:rsid w:val="004C615E"/>
    <w:rsid w:val="004C63D0"/>
    <w:rsid w:val="004C6566"/>
    <w:rsid w:val="004C6B0C"/>
    <w:rsid w:val="004C6D90"/>
    <w:rsid w:val="004C6E5C"/>
    <w:rsid w:val="004C6FA6"/>
    <w:rsid w:val="004C705F"/>
    <w:rsid w:val="004C7317"/>
    <w:rsid w:val="004C778A"/>
    <w:rsid w:val="004C78A3"/>
    <w:rsid w:val="004C7968"/>
    <w:rsid w:val="004C79EE"/>
    <w:rsid w:val="004C7D2C"/>
    <w:rsid w:val="004C7DC5"/>
    <w:rsid w:val="004D00B3"/>
    <w:rsid w:val="004D027F"/>
    <w:rsid w:val="004D0326"/>
    <w:rsid w:val="004D060F"/>
    <w:rsid w:val="004D09C8"/>
    <w:rsid w:val="004D0D8D"/>
    <w:rsid w:val="004D0DFC"/>
    <w:rsid w:val="004D0F4B"/>
    <w:rsid w:val="004D0FBA"/>
    <w:rsid w:val="004D1043"/>
    <w:rsid w:val="004D111C"/>
    <w:rsid w:val="004D1200"/>
    <w:rsid w:val="004D1354"/>
    <w:rsid w:val="004D1387"/>
    <w:rsid w:val="004D17C8"/>
    <w:rsid w:val="004D1B18"/>
    <w:rsid w:val="004D1EE1"/>
    <w:rsid w:val="004D20E1"/>
    <w:rsid w:val="004D264B"/>
    <w:rsid w:val="004D2F5A"/>
    <w:rsid w:val="004D30EC"/>
    <w:rsid w:val="004D3557"/>
    <w:rsid w:val="004D37D9"/>
    <w:rsid w:val="004D39DB"/>
    <w:rsid w:val="004D3A1F"/>
    <w:rsid w:val="004D3B14"/>
    <w:rsid w:val="004D40E9"/>
    <w:rsid w:val="004D4668"/>
    <w:rsid w:val="004D46E6"/>
    <w:rsid w:val="004D4F04"/>
    <w:rsid w:val="004D5157"/>
    <w:rsid w:val="004D5639"/>
    <w:rsid w:val="004D56CD"/>
    <w:rsid w:val="004D5A96"/>
    <w:rsid w:val="004D5DA7"/>
    <w:rsid w:val="004D5DBC"/>
    <w:rsid w:val="004D6073"/>
    <w:rsid w:val="004D6087"/>
    <w:rsid w:val="004D640B"/>
    <w:rsid w:val="004D646F"/>
    <w:rsid w:val="004D673B"/>
    <w:rsid w:val="004D6936"/>
    <w:rsid w:val="004D6B27"/>
    <w:rsid w:val="004D762B"/>
    <w:rsid w:val="004D77CA"/>
    <w:rsid w:val="004D7876"/>
    <w:rsid w:val="004D78EB"/>
    <w:rsid w:val="004D7D2D"/>
    <w:rsid w:val="004D7F2F"/>
    <w:rsid w:val="004E037B"/>
    <w:rsid w:val="004E07B4"/>
    <w:rsid w:val="004E0FE2"/>
    <w:rsid w:val="004E14E3"/>
    <w:rsid w:val="004E160C"/>
    <w:rsid w:val="004E1858"/>
    <w:rsid w:val="004E18E1"/>
    <w:rsid w:val="004E1BCE"/>
    <w:rsid w:val="004E1CDD"/>
    <w:rsid w:val="004E1FD0"/>
    <w:rsid w:val="004E2142"/>
    <w:rsid w:val="004E27E0"/>
    <w:rsid w:val="004E2927"/>
    <w:rsid w:val="004E29A9"/>
    <w:rsid w:val="004E2BA7"/>
    <w:rsid w:val="004E2F8C"/>
    <w:rsid w:val="004E3098"/>
    <w:rsid w:val="004E3145"/>
    <w:rsid w:val="004E32C9"/>
    <w:rsid w:val="004E33F0"/>
    <w:rsid w:val="004E3565"/>
    <w:rsid w:val="004E35A4"/>
    <w:rsid w:val="004E3AB1"/>
    <w:rsid w:val="004E413F"/>
    <w:rsid w:val="004E46B0"/>
    <w:rsid w:val="004E4839"/>
    <w:rsid w:val="004E4842"/>
    <w:rsid w:val="004E4BC6"/>
    <w:rsid w:val="004E4CEB"/>
    <w:rsid w:val="004E4E1D"/>
    <w:rsid w:val="004E5660"/>
    <w:rsid w:val="004E5E5C"/>
    <w:rsid w:val="004E5F74"/>
    <w:rsid w:val="004E622D"/>
    <w:rsid w:val="004E665D"/>
    <w:rsid w:val="004E6967"/>
    <w:rsid w:val="004E69D2"/>
    <w:rsid w:val="004E6A63"/>
    <w:rsid w:val="004E6CCF"/>
    <w:rsid w:val="004E7291"/>
    <w:rsid w:val="004E7436"/>
    <w:rsid w:val="004E76D1"/>
    <w:rsid w:val="004E7934"/>
    <w:rsid w:val="004E79EF"/>
    <w:rsid w:val="004E7A27"/>
    <w:rsid w:val="004E7EAD"/>
    <w:rsid w:val="004F024F"/>
    <w:rsid w:val="004F0367"/>
    <w:rsid w:val="004F0660"/>
    <w:rsid w:val="004F0A71"/>
    <w:rsid w:val="004F0C3C"/>
    <w:rsid w:val="004F0C74"/>
    <w:rsid w:val="004F0E11"/>
    <w:rsid w:val="004F0E54"/>
    <w:rsid w:val="004F1043"/>
    <w:rsid w:val="004F14FA"/>
    <w:rsid w:val="004F187B"/>
    <w:rsid w:val="004F18A8"/>
    <w:rsid w:val="004F1B7B"/>
    <w:rsid w:val="004F1C7C"/>
    <w:rsid w:val="004F1C7D"/>
    <w:rsid w:val="004F1D2D"/>
    <w:rsid w:val="004F1DC4"/>
    <w:rsid w:val="004F2197"/>
    <w:rsid w:val="004F22D3"/>
    <w:rsid w:val="004F23C7"/>
    <w:rsid w:val="004F23D3"/>
    <w:rsid w:val="004F281A"/>
    <w:rsid w:val="004F2841"/>
    <w:rsid w:val="004F2CAD"/>
    <w:rsid w:val="004F3137"/>
    <w:rsid w:val="004F3546"/>
    <w:rsid w:val="004F355B"/>
    <w:rsid w:val="004F3831"/>
    <w:rsid w:val="004F3A2F"/>
    <w:rsid w:val="004F3C84"/>
    <w:rsid w:val="004F3CEC"/>
    <w:rsid w:val="004F3EF8"/>
    <w:rsid w:val="004F43AC"/>
    <w:rsid w:val="004F472E"/>
    <w:rsid w:val="004F4736"/>
    <w:rsid w:val="004F473A"/>
    <w:rsid w:val="004F47DC"/>
    <w:rsid w:val="004F492C"/>
    <w:rsid w:val="004F50B5"/>
    <w:rsid w:val="004F5213"/>
    <w:rsid w:val="004F5423"/>
    <w:rsid w:val="004F5453"/>
    <w:rsid w:val="004F5C3F"/>
    <w:rsid w:val="004F5DC8"/>
    <w:rsid w:val="004F622E"/>
    <w:rsid w:val="004F6237"/>
    <w:rsid w:val="004F6C31"/>
    <w:rsid w:val="004F706B"/>
    <w:rsid w:val="004F7504"/>
    <w:rsid w:val="0050034D"/>
    <w:rsid w:val="0050043E"/>
    <w:rsid w:val="005005D7"/>
    <w:rsid w:val="005006A5"/>
    <w:rsid w:val="00500AA1"/>
    <w:rsid w:val="00500CA6"/>
    <w:rsid w:val="00500EEB"/>
    <w:rsid w:val="00501082"/>
    <w:rsid w:val="00501345"/>
    <w:rsid w:val="00501368"/>
    <w:rsid w:val="005014A8"/>
    <w:rsid w:val="005017C5"/>
    <w:rsid w:val="005018D7"/>
    <w:rsid w:val="005019ED"/>
    <w:rsid w:val="00501A1B"/>
    <w:rsid w:val="00501A69"/>
    <w:rsid w:val="00501BD6"/>
    <w:rsid w:val="00501C83"/>
    <w:rsid w:val="00501FB5"/>
    <w:rsid w:val="00502106"/>
    <w:rsid w:val="00502142"/>
    <w:rsid w:val="00502220"/>
    <w:rsid w:val="00502385"/>
    <w:rsid w:val="0050276E"/>
    <w:rsid w:val="00502A96"/>
    <w:rsid w:val="00502B50"/>
    <w:rsid w:val="00502F96"/>
    <w:rsid w:val="00503225"/>
    <w:rsid w:val="0050343D"/>
    <w:rsid w:val="00503FF9"/>
    <w:rsid w:val="005046E9"/>
    <w:rsid w:val="005048D7"/>
    <w:rsid w:val="00504A3E"/>
    <w:rsid w:val="00504E02"/>
    <w:rsid w:val="00504E50"/>
    <w:rsid w:val="005051CC"/>
    <w:rsid w:val="005052C8"/>
    <w:rsid w:val="00505535"/>
    <w:rsid w:val="00505A0B"/>
    <w:rsid w:val="00505C26"/>
    <w:rsid w:val="00505EA5"/>
    <w:rsid w:val="00505FE6"/>
    <w:rsid w:val="00507C63"/>
    <w:rsid w:val="00507C6E"/>
    <w:rsid w:val="00510321"/>
    <w:rsid w:val="00510ADF"/>
    <w:rsid w:val="00510C50"/>
    <w:rsid w:val="00510CA4"/>
    <w:rsid w:val="00510CCE"/>
    <w:rsid w:val="00510EA2"/>
    <w:rsid w:val="0051153A"/>
    <w:rsid w:val="0051184C"/>
    <w:rsid w:val="00511D19"/>
    <w:rsid w:val="00511EB2"/>
    <w:rsid w:val="00512864"/>
    <w:rsid w:val="00512BC4"/>
    <w:rsid w:val="00512F5E"/>
    <w:rsid w:val="00512FE5"/>
    <w:rsid w:val="0051306C"/>
    <w:rsid w:val="005131D0"/>
    <w:rsid w:val="00513395"/>
    <w:rsid w:val="00513569"/>
    <w:rsid w:val="005137BA"/>
    <w:rsid w:val="005138AD"/>
    <w:rsid w:val="00513A06"/>
    <w:rsid w:val="00513A0D"/>
    <w:rsid w:val="00513D75"/>
    <w:rsid w:val="00513DDE"/>
    <w:rsid w:val="00514143"/>
    <w:rsid w:val="00514427"/>
    <w:rsid w:val="005145EC"/>
    <w:rsid w:val="005145F7"/>
    <w:rsid w:val="00514B60"/>
    <w:rsid w:val="005150C0"/>
    <w:rsid w:val="00515237"/>
    <w:rsid w:val="0051541C"/>
    <w:rsid w:val="0051544D"/>
    <w:rsid w:val="00515452"/>
    <w:rsid w:val="005155B8"/>
    <w:rsid w:val="00515D91"/>
    <w:rsid w:val="00515DCB"/>
    <w:rsid w:val="00515EF4"/>
    <w:rsid w:val="005162CA"/>
    <w:rsid w:val="005163C6"/>
    <w:rsid w:val="00516578"/>
    <w:rsid w:val="00516598"/>
    <w:rsid w:val="00516608"/>
    <w:rsid w:val="00516AE0"/>
    <w:rsid w:val="00516B4D"/>
    <w:rsid w:val="0051708A"/>
    <w:rsid w:val="00517249"/>
    <w:rsid w:val="0051787D"/>
    <w:rsid w:val="00517AD6"/>
    <w:rsid w:val="00517B4E"/>
    <w:rsid w:val="00517BE4"/>
    <w:rsid w:val="00517DB0"/>
    <w:rsid w:val="00520135"/>
    <w:rsid w:val="005202B0"/>
    <w:rsid w:val="0052037C"/>
    <w:rsid w:val="0052046F"/>
    <w:rsid w:val="005208BD"/>
    <w:rsid w:val="00520B08"/>
    <w:rsid w:val="00520B40"/>
    <w:rsid w:val="00520B44"/>
    <w:rsid w:val="00520BE9"/>
    <w:rsid w:val="005217A5"/>
    <w:rsid w:val="00521853"/>
    <w:rsid w:val="005218B0"/>
    <w:rsid w:val="005218BA"/>
    <w:rsid w:val="00521A94"/>
    <w:rsid w:val="00521E40"/>
    <w:rsid w:val="00522476"/>
    <w:rsid w:val="005225A7"/>
    <w:rsid w:val="0052271A"/>
    <w:rsid w:val="005227FD"/>
    <w:rsid w:val="00522CA4"/>
    <w:rsid w:val="00523250"/>
    <w:rsid w:val="0052337A"/>
    <w:rsid w:val="005233E6"/>
    <w:rsid w:val="00523535"/>
    <w:rsid w:val="00523966"/>
    <w:rsid w:val="00523A96"/>
    <w:rsid w:val="00523AB3"/>
    <w:rsid w:val="00523E0F"/>
    <w:rsid w:val="00523EDE"/>
    <w:rsid w:val="005242C8"/>
    <w:rsid w:val="00524396"/>
    <w:rsid w:val="00524419"/>
    <w:rsid w:val="00524679"/>
    <w:rsid w:val="00524899"/>
    <w:rsid w:val="0052489F"/>
    <w:rsid w:val="00524DD6"/>
    <w:rsid w:val="00524E3E"/>
    <w:rsid w:val="0052503F"/>
    <w:rsid w:val="00525372"/>
    <w:rsid w:val="005254C5"/>
    <w:rsid w:val="0052553A"/>
    <w:rsid w:val="005256E7"/>
    <w:rsid w:val="00525BD7"/>
    <w:rsid w:val="00526003"/>
    <w:rsid w:val="005260D6"/>
    <w:rsid w:val="00526471"/>
    <w:rsid w:val="005269D2"/>
    <w:rsid w:val="005269F7"/>
    <w:rsid w:val="00526AD5"/>
    <w:rsid w:val="00526DB0"/>
    <w:rsid w:val="00526DF3"/>
    <w:rsid w:val="00526E5C"/>
    <w:rsid w:val="005270DB"/>
    <w:rsid w:val="00527536"/>
    <w:rsid w:val="00527917"/>
    <w:rsid w:val="00527CFF"/>
    <w:rsid w:val="00527D27"/>
    <w:rsid w:val="00527D8C"/>
    <w:rsid w:val="00527E39"/>
    <w:rsid w:val="00527F0B"/>
    <w:rsid w:val="00527F6F"/>
    <w:rsid w:val="0053023C"/>
    <w:rsid w:val="0053036D"/>
    <w:rsid w:val="00530568"/>
    <w:rsid w:val="00530E10"/>
    <w:rsid w:val="00530EBD"/>
    <w:rsid w:val="00530EE3"/>
    <w:rsid w:val="005312C0"/>
    <w:rsid w:val="0053174E"/>
    <w:rsid w:val="00531773"/>
    <w:rsid w:val="00531858"/>
    <w:rsid w:val="00531D6B"/>
    <w:rsid w:val="0053209A"/>
    <w:rsid w:val="005325DB"/>
    <w:rsid w:val="00532684"/>
    <w:rsid w:val="00532ABF"/>
    <w:rsid w:val="00532C3A"/>
    <w:rsid w:val="005331A1"/>
    <w:rsid w:val="00533368"/>
    <w:rsid w:val="00533432"/>
    <w:rsid w:val="005334FA"/>
    <w:rsid w:val="005334FD"/>
    <w:rsid w:val="00533916"/>
    <w:rsid w:val="005339B3"/>
    <w:rsid w:val="005339B4"/>
    <w:rsid w:val="00533CB1"/>
    <w:rsid w:val="00533D8C"/>
    <w:rsid w:val="00533E87"/>
    <w:rsid w:val="00533FE1"/>
    <w:rsid w:val="00534046"/>
    <w:rsid w:val="00534053"/>
    <w:rsid w:val="005341B0"/>
    <w:rsid w:val="00534620"/>
    <w:rsid w:val="0053472F"/>
    <w:rsid w:val="00534B7A"/>
    <w:rsid w:val="00534C0A"/>
    <w:rsid w:val="00534D82"/>
    <w:rsid w:val="00534E35"/>
    <w:rsid w:val="00534F49"/>
    <w:rsid w:val="00534F78"/>
    <w:rsid w:val="005350A7"/>
    <w:rsid w:val="0053510B"/>
    <w:rsid w:val="00535244"/>
    <w:rsid w:val="00535321"/>
    <w:rsid w:val="005353B4"/>
    <w:rsid w:val="005354C9"/>
    <w:rsid w:val="0053551E"/>
    <w:rsid w:val="005356BA"/>
    <w:rsid w:val="0053597D"/>
    <w:rsid w:val="005359D1"/>
    <w:rsid w:val="00535D36"/>
    <w:rsid w:val="00536047"/>
    <w:rsid w:val="005369C5"/>
    <w:rsid w:val="005373F0"/>
    <w:rsid w:val="00537792"/>
    <w:rsid w:val="00537812"/>
    <w:rsid w:val="0053788A"/>
    <w:rsid w:val="00537987"/>
    <w:rsid w:val="005379D2"/>
    <w:rsid w:val="00537C41"/>
    <w:rsid w:val="00540135"/>
    <w:rsid w:val="00540169"/>
    <w:rsid w:val="0054063D"/>
    <w:rsid w:val="00541030"/>
    <w:rsid w:val="00541444"/>
    <w:rsid w:val="005414A5"/>
    <w:rsid w:val="0054170E"/>
    <w:rsid w:val="005417DD"/>
    <w:rsid w:val="005418BB"/>
    <w:rsid w:val="005418EA"/>
    <w:rsid w:val="00541925"/>
    <w:rsid w:val="00541AED"/>
    <w:rsid w:val="00541D8F"/>
    <w:rsid w:val="00541DBA"/>
    <w:rsid w:val="00541FD5"/>
    <w:rsid w:val="0054209C"/>
    <w:rsid w:val="0054210A"/>
    <w:rsid w:val="00542141"/>
    <w:rsid w:val="0054254B"/>
    <w:rsid w:val="00542570"/>
    <w:rsid w:val="00542A99"/>
    <w:rsid w:val="00542E87"/>
    <w:rsid w:val="00543069"/>
    <w:rsid w:val="005431C4"/>
    <w:rsid w:val="005433B3"/>
    <w:rsid w:val="00543797"/>
    <w:rsid w:val="00543C2D"/>
    <w:rsid w:val="00543C39"/>
    <w:rsid w:val="00543CC7"/>
    <w:rsid w:val="00543CF5"/>
    <w:rsid w:val="00543F54"/>
    <w:rsid w:val="00544067"/>
    <w:rsid w:val="00544219"/>
    <w:rsid w:val="0054431A"/>
    <w:rsid w:val="005445F4"/>
    <w:rsid w:val="005447BE"/>
    <w:rsid w:val="0054519E"/>
    <w:rsid w:val="005451BC"/>
    <w:rsid w:val="005451C5"/>
    <w:rsid w:val="0054528C"/>
    <w:rsid w:val="005455B3"/>
    <w:rsid w:val="00545E2F"/>
    <w:rsid w:val="00546446"/>
    <w:rsid w:val="00546507"/>
    <w:rsid w:val="005466DD"/>
    <w:rsid w:val="00546ADF"/>
    <w:rsid w:val="00546C6A"/>
    <w:rsid w:val="00546CA3"/>
    <w:rsid w:val="00546D9B"/>
    <w:rsid w:val="00546EF5"/>
    <w:rsid w:val="00547180"/>
    <w:rsid w:val="005472BE"/>
    <w:rsid w:val="005478CB"/>
    <w:rsid w:val="00547968"/>
    <w:rsid w:val="00547AAB"/>
    <w:rsid w:val="00547E85"/>
    <w:rsid w:val="00547F21"/>
    <w:rsid w:val="005500C5"/>
    <w:rsid w:val="0055013C"/>
    <w:rsid w:val="0055016F"/>
    <w:rsid w:val="00550259"/>
    <w:rsid w:val="00550337"/>
    <w:rsid w:val="005503D1"/>
    <w:rsid w:val="00550401"/>
    <w:rsid w:val="005509DC"/>
    <w:rsid w:val="00550F2F"/>
    <w:rsid w:val="0055131C"/>
    <w:rsid w:val="00551415"/>
    <w:rsid w:val="005516AA"/>
    <w:rsid w:val="005518A4"/>
    <w:rsid w:val="005518AF"/>
    <w:rsid w:val="005518E9"/>
    <w:rsid w:val="00551AE3"/>
    <w:rsid w:val="00551C20"/>
    <w:rsid w:val="00551D08"/>
    <w:rsid w:val="00552186"/>
    <w:rsid w:val="005522F0"/>
    <w:rsid w:val="00552BB5"/>
    <w:rsid w:val="00552C29"/>
    <w:rsid w:val="00552C44"/>
    <w:rsid w:val="00552E08"/>
    <w:rsid w:val="00552EDD"/>
    <w:rsid w:val="00553018"/>
    <w:rsid w:val="005531A9"/>
    <w:rsid w:val="00553211"/>
    <w:rsid w:val="005532ED"/>
    <w:rsid w:val="0055340E"/>
    <w:rsid w:val="005535F8"/>
    <w:rsid w:val="00553839"/>
    <w:rsid w:val="00553846"/>
    <w:rsid w:val="005542FF"/>
    <w:rsid w:val="0055445F"/>
    <w:rsid w:val="00554BD8"/>
    <w:rsid w:val="00554C0F"/>
    <w:rsid w:val="00554C25"/>
    <w:rsid w:val="00555151"/>
    <w:rsid w:val="005551E2"/>
    <w:rsid w:val="00555214"/>
    <w:rsid w:val="00555336"/>
    <w:rsid w:val="005557B8"/>
    <w:rsid w:val="00555942"/>
    <w:rsid w:val="00555B80"/>
    <w:rsid w:val="00555BF0"/>
    <w:rsid w:val="00555C99"/>
    <w:rsid w:val="00555D9C"/>
    <w:rsid w:val="00555E0B"/>
    <w:rsid w:val="00555EB6"/>
    <w:rsid w:val="005562C3"/>
    <w:rsid w:val="005567F7"/>
    <w:rsid w:val="00556BD8"/>
    <w:rsid w:val="00556D23"/>
    <w:rsid w:val="00556E71"/>
    <w:rsid w:val="00556F16"/>
    <w:rsid w:val="00556F87"/>
    <w:rsid w:val="00556FAD"/>
    <w:rsid w:val="005570AB"/>
    <w:rsid w:val="00557318"/>
    <w:rsid w:val="00557552"/>
    <w:rsid w:val="0055760E"/>
    <w:rsid w:val="00557A3F"/>
    <w:rsid w:val="00557B5D"/>
    <w:rsid w:val="00557EAE"/>
    <w:rsid w:val="00557F21"/>
    <w:rsid w:val="0056045B"/>
    <w:rsid w:val="005607ED"/>
    <w:rsid w:val="0056083A"/>
    <w:rsid w:val="00560ADA"/>
    <w:rsid w:val="00560E08"/>
    <w:rsid w:val="00561226"/>
    <w:rsid w:val="00561261"/>
    <w:rsid w:val="005612C7"/>
    <w:rsid w:val="005614E4"/>
    <w:rsid w:val="00561782"/>
    <w:rsid w:val="00561866"/>
    <w:rsid w:val="005619B7"/>
    <w:rsid w:val="00561B35"/>
    <w:rsid w:val="00562166"/>
    <w:rsid w:val="005622FA"/>
    <w:rsid w:val="0056236A"/>
    <w:rsid w:val="00562523"/>
    <w:rsid w:val="005626E4"/>
    <w:rsid w:val="005628B3"/>
    <w:rsid w:val="005628F1"/>
    <w:rsid w:val="0056297D"/>
    <w:rsid w:val="00562A56"/>
    <w:rsid w:val="00562A85"/>
    <w:rsid w:val="00562AE5"/>
    <w:rsid w:val="00562BCE"/>
    <w:rsid w:val="00562D0F"/>
    <w:rsid w:val="00563616"/>
    <w:rsid w:val="0056398D"/>
    <w:rsid w:val="00563BB1"/>
    <w:rsid w:val="00563DDD"/>
    <w:rsid w:val="00563DE3"/>
    <w:rsid w:val="00563EA2"/>
    <w:rsid w:val="00563EC9"/>
    <w:rsid w:val="005641A2"/>
    <w:rsid w:val="00564200"/>
    <w:rsid w:val="0056468C"/>
    <w:rsid w:val="005646D3"/>
    <w:rsid w:val="005649B5"/>
    <w:rsid w:val="00564A47"/>
    <w:rsid w:val="00564B6D"/>
    <w:rsid w:val="00564C66"/>
    <w:rsid w:val="00564E78"/>
    <w:rsid w:val="00564E80"/>
    <w:rsid w:val="005651A6"/>
    <w:rsid w:val="005657CD"/>
    <w:rsid w:val="00565BD0"/>
    <w:rsid w:val="00565C79"/>
    <w:rsid w:val="00565D4F"/>
    <w:rsid w:val="00566111"/>
    <w:rsid w:val="0056615C"/>
    <w:rsid w:val="005663ED"/>
    <w:rsid w:val="0056673B"/>
    <w:rsid w:val="00566902"/>
    <w:rsid w:val="00566957"/>
    <w:rsid w:val="00566DC2"/>
    <w:rsid w:val="00566DD1"/>
    <w:rsid w:val="0056701C"/>
    <w:rsid w:val="005673C8"/>
    <w:rsid w:val="005675CA"/>
    <w:rsid w:val="00567648"/>
    <w:rsid w:val="00567946"/>
    <w:rsid w:val="005679CA"/>
    <w:rsid w:val="00567C6B"/>
    <w:rsid w:val="00567CEA"/>
    <w:rsid w:val="00567CFD"/>
    <w:rsid w:val="00567DAE"/>
    <w:rsid w:val="00567DCD"/>
    <w:rsid w:val="00567FA2"/>
    <w:rsid w:val="005700D7"/>
    <w:rsid w:val="005702B8"/>
    <w:rsid w:val="0057033F"/>
    <w:rsid w:val="005703CA"/>
    <w:rsid w:val="005704B5"/>
    <w:rsid w:val="00570862"/>
    <w:rsid w:val="00570F2B"/>
    <w:rsid w:val="00570FC4"/>
    <w:rsid w:val="0057108A"/>
    <w:rsid w:val="00571268"/>
    <w:rsid w:val="0057182A"/>
    <w:rsid w:val="00571BF9"/>
    <w:rsid w:val="00571FF9"/>
    <w:rsid w:val="005722BF"/>
    <w:rsid w:val="00572769"/>
    <w:rsid w:val="005729B2"/>
    <w:rsid w:val="00572C9E"/>
    <w:rsid w:val="005730B7"/>
    <w:rsid w:val="00573107"/>
    <w:rsid w:val="00573238"/>
    <w:rsid w:val="00573785"/>
    <w:rsid w:val="00573916"/>
    <w:rsid w:val="00573E18"/>
    <w:rsid w:val="00573FB2"/>
    <w:rsid w:val="00574080"/>
    <w:rsid w:val="0057453E"/>
    <w:rsid w:val="005746F2"/>
    <w:rsid w:val="005747A7"/>
    <w:rsid w:val="00574AA8"/>
    <w:rsid w:val="00574CF7"/>
    <w:rsid w:val="00574DCA"/>
    <w:rsid w:val="00574F3A"/>
    <w:rsid w:val="00575303"/>
    <w:rsid w:val="005759DB"/>
    <w:rsid w:val="00575CEA"/>
    <w:rsid w:val="00576014"/>
    <w:rsid w:val="005763DF"/>
    <w:rsid w:val="005765C9"/>
    <w:rsid w:val="005765CC"/>
    <w:rsid w:val="005766E2"/>
    <w:rsid w:val="0057673A"/>
    <w:rsid w:val="00576A9A"/>
    <w:rsid w:val="00576BA7"/>
    <w:rsid w:val="00576E4C"/>
    <w:rsid w:val="00577392"/>
    <w:rsid w:val="0057752E"/>
    <w:rsid w:val="005776FA"/>
    <w:rsid w:val="0057774A"/>
    <w:rsid w:val="00580250"/>
    <w:rsid w:val="00580448"/>
    <w:rsid w:val="005804C6"/>
    <w:rsid w:val="00580556"/>
    <w:rsid w:val="005806F1"/>
    <w:rsid w:val="005809D9"/>
    <w:rsid w:val="00580BDA"/>
    <w:rsid w:val="00580C95"/>
    <w:rsid w:val="00580E85"/>
    <w:rsid w:val="0058164C"/>
    <w:rsid w:val="0058176C"/>
    <w:rsid w:val="0058178A"/>
    <w:rsid w:val="0058210B"/>
    <w:rsid w:val="00582422"/>
    <w:rsid w:val="0058268C"/>
    <w:rsid w:val="00582746"/>
    <w:rsid w:val="0058283D"/>
    <w:rsid w:val="005828B2"/>
    <w:rsid w:val="005828BA"/>
    <w:rsid w:val="00582996"/>
    <w:rsid w:val="00582B7C"/>
    <w:rsid w:val="00582CD4"/>
    <w:rsid w:val="00583021"/>
    <w:rsid w:val="00583A9F"/>
    <w:rsid w:val="00583E1D"/>
    <w:rsid w:val="00583E2D"/>
    <w:rsid w:val="00583E3F"/>
    <w:rsid w:val="00584038"/>
    <w:rsid w:val="005842AC"/>
    <w:rsid w:val="0058459A"/>
    <w:rsid w:val="00584642"/>
    <w:rsid w:val="005846EE"/>
    <w:rsid w:val="005847DC"/>
    <w:rsid w:val="00584816"/>
    <w:rsid w:val="005848B5"/>
    <w:rsid w:val="005849D3"/>
    <w:rsid w:val="00584AA3"/>
    <w:rsid w:val="0058514F"/>
    <w:rsid w:val="00585348"/>
    <w:rsid w:val="0058577B"/>
    <w:rsid w:val="00585983"/>
    <w:rsid w:val="00585DAD"/>
    <w:rsid w:val="00585EF2"/>
    <w:rsid w:val="00585F8B"/>
    <w:rsid w:val="00586046"/>
    <w:rsid w:val="005861F5"/>
    <w:rsid w:val="0058635D"/>
    <w:rsid w:val="0058658D"/>
    <w:rsid w:val="005866B3"/>
    <w:rsid w:val="00586B8C"/>
    <w:rsid w:val="00586C4A"/>
    <w:rsid w:val="00586F46"/>
    <w:rsid w:val="00586F6C"/>
    <w:rsid w:val="00586F8F"/>
    <w:rsid w:val="00587063"/>
    <w:rsid w:val="00587289"/>
    <w:rsid w:val="00587471"/>
    <w:rsid w:val="00587A41"/>
    <w:rsid w:val="00587A46"/>
    <w:rsid w:val="00587AB1"/>
    <w:rsid w:val="00587C5A"/>
    <w:rsid w:val="00587C73"/>
    <w:rsid w:val="00587D93"/>
    <w:rsid w:val="00590047"/>
    <w:rsid w:val="005903B3"/>
    <w:rsid w:val="0059040D"/>
    <w:rsid w:val="005905D3"/>
    <w:rsid w:val="0059073F"/>
    <w:rsid w:val="00590912"/>
    <w:rsid w:val="00590B55"/>
    <w:rsid w:val="00590E6C"/>
    <w:rsid w:val="00590E73"/>
    <w:rsid w:val="00590EEE"/>
    <w:rsid w:val="00590F3F"/>
    <w:rsid w:val="00590FEC"/>
    <w:rsid w:val="0059147F"/>
    <w:rsid w:val="00591836"/>
    <w:rsid w:val="005918F6"/>
    <w:rsid w:val="00591BA8"/>
    <w:rsid w:val="00591C83"/>
    <w:rsid w:val="00591D81"/>
    <w:rsid w:val="00591DA4"/>
    <w:rsid w:val="00591F74"/>
    <w:rsid w:val="00591F8B"/>
    <w:rsid w:val="00592077"/>
    <w:rsid w:val="00592344"/>
    <w:rsid w:val="005929BE"/>
    <w:rsid w:val="00592AA2"/>
    <w:rsid w:val="00592B7A"/>
    <w:rsid w:val="00592C36"/>
    <w:rsid w:val="00592C5E"/>
    <w:rsid w:val="00592CF5"/>
    <w:rsid w:val="005933F4"/>
    <w:rsid w:val="0059365A"/>
    <w:rsid w:val="005937A3"/>
    <w:rsid w:val="00594197"/>
    <w:rsid w:val="00594454"/>
    <w:rsid w:val="0059498C"/>
    <w:rsid w:val="005949A4"/>
    <w:rsid w:val="00594AFE"/>
    <w:rsid w:val="0059505B"/>
    <w:rsid w:val="005953F0"/>
    <w:rsid w:val="005954E0"/>
    <w:rsid w:val="00595A08"/>
    <w:rsid w:val="00595EA5"/>
    <w:rsid w:val="00596105"/>
    <w:rsid w:val="005963AE"/>
    <w:rsid w:val="00596912"/>
    <w:rsid w:val="00596ADC"/>
    <w:rsid w:val="00597200"/>
    <w:rsid w:val="0059724B"/>
    <w:rsid w:val="005972F7"/>
    <w:rsid w:val="00597670"/>
    <w:rsid w:val="005977E4"/>
    <w:rsid w:val="00597C42"/>
    <w:rsid w:val="00597F9D"/>
    <w:rsid w:val="005A018C"/>
    <w:rsid w:val="005A0880"/>
    <w:rsid w:val="005A0AD7"/>
    <w:rsid w:val="005A0BF1"/>
    <w:rsid w:val="005A0E34"/>
    <w:rsid w:val="005A0F86"/>
    <w:rsid w:val="005A16AA"/>
    <w:rsid w:val="005A1860"/>
    <w:rsid w:val="005A19B4"/>
    <w:rsid w:val="005A1CE2"/>
    <w:rsid w:val="005A1E5A"/>
    <w:rsid w:val="005A2318"/>
    <w:rsid w:val="005A2792"/>
    <w:rsid w:val="005A27BF"/>
    <w:rsid w:val="005A2DBB"/>
    <w:rsid w:val="005A2E85"/>
    <w:rsid w:val="005A2F0E"/>
    <w:rsid w:val="005A316D"/>
    <w:rsid w:val="005A354E"/>
    <w:rsid w:val="005A3644"/>
    <w:rsid w:val="005A3844"/>
    <w:rsid w:val="005A3845"/>
    <w:rsid w:val="005A3B12"/>
    <w:rsid w:val="005A3C60"/>
    <w:rsid w:val="005A4224"/>
    <w:rsid w:val="005A4400"/>
    <w:rsid w:val="005A4544"/>
    <w:rsid w:val="005A4566"/>
    <w:rsid w:val="005A477F"/>
    <w:rsid w:val="005A4787"/>
    <w:rsid w:val="005A4B7E"/>
    <w:rsid w:val="005A4D63"/>
    <w:rsid w:val="005A4DBB"/>
    <w:rsid w:val="005A4E69"/>
    <w:rsid w:val="005A5311"/>
    <w:rsid w:val="005A563E"/>
    <w:rsid w:val="005A5780"/>
    <w:rsid w:val="005A5A51"/>
    <w:rsid w:val="005A5CBB"/>
    <w:rsid w:val="005A5DD3"/>
    <w:rsid w:val="005A604E"/>
    <w:rsid w:val="005A627F"/>
    <w:rsid w:val="005A646C"/>
    <w:rsid w:val="005A64EA"/>
    <w:rsid w:val="005A668C"/>
    <w:rsid w:val="005A673F"/>
    <w:rsid w:val="005A6920"/>
    <w:rsid w:val="005A6A45"/>
    <w:rsid w:val="005A6D92"/>
    <w:rsid w:val="005A6F8B"/>
    <w:rsid w:val="005A7052"/>
    <w:rsid w:val="005A710F"/>
    <w:rsid w:val="005A737A"/>
    <w:rsid w:val="005A74B5"/>
    <w:rsid w:val="005A751A"/>
    <w:rsid w:val="005A759A"/>
    <w:rsid w:val="005A78D6"/>
    <w:rsid w:val="005A79BF"/>
    <w:rsid w:val="005A7ACC"/>
    <w:rsid w:val="005A7C55"/>
    <w:rsid w:val="005A7EEF"/>
    <w:rsid w:val="005B02D1"/>
    <w:rsid w:val="005B030A"/>
    <w:rsid w:val="005B03C7"/>
    <w:rsid w:val="005B0555"/>
    <w:rsid w:val="005B05B2"/>
    <w:rsid w:val="005B076B"/>
    <w:rsid w:val="005B07D3"/>
    <w:rsid w:val="005B0FAD"/>
    <w:rsid w:val="005B0FC8"/>
    <w:rsid w:val="005B10DA"/>
    <w:rsid w:val="005B123D"/>
    <w:rsid w:val="005B1517"/>
    <w:rsid w:val="005B175C"/>
    <w:rsid w:val="005B1967"/>
    <w:rsid w:val="005B1E86"/>
    <w:rsid w:val="005B1F83"/>
    <w:rsid w:val="005B21FE"/>
    <w:rsid w:val="005B2358"/>
    <w:rsid w:val="005B23CD"/>
    <w:rsid w:val="005B256E"/>
    <w:rsid w:val="005B25F8"/>
    <w:rsid w:val="005B26CA"/>
    <w:rsid w:val="005B284F"/>
    <w:rsid w:val="005B2C5D"/>
    <w:rsid w:val="005B2CD9"/>
    <w:rsid w:val="005B2CE7"/>
    <w:rsid w:val="005B2F42"/>
    <w:rsid w:val="005B307C"/>
    <w:rsid w:val="005B309E"/>
    <w:rsid w:val="005B30EA"/>
    <w:rsid w:val="005B32A9"/>
    <w:rsid w:val="005B344A"/>
    <w:rsid w:val="005B37A2"/>
    <w:rsid w:val="005B37D3"/>
    <w:rsid w:val="005B3962"/>
    <w:rsid w:val="005B3FD2"/>
    <w:rsid w:val="005B41B8"/>
    <w:rsid w:val="005B4483"/>
    <w:rsid w:val="005B44D5"/>
    <w:rsid w:val="005B452E"/>
    <w:rsid w:val="005B47CC"/>
    <w:rsid w:val="005B4B01"/>
    <w:rsid w:val="005B4B06"/>
    <w:rsid w:val="005B4C82"/>
    <w:rsid w:val="005B4D0C"/>
    <w:rsid w:val="005B4F71"/>
    <w:rsid w:val="005B50C8"/>
    <w:rsid w:val="005B51ED"/>
    <w:rsid w:val="005B5407"/>
    <w:rsid w:val="005B5443"/>
    <w:rsid w:val="005B56C4"/>
    <w:rsid w:val="005B5A17"/>
    <w:rsid w:val="005B5D6E"/>
    <w:rsid w:val="005B5E00"/>
    <w:rsid w:val="005B60FF"/>
    <w:rsid w:val="005B6200"/>
    <w:rsid w:val="005B643D"/>
    <w:rsid w:val="005B64F1"/>
    <w:rsid w:val="005B6717"/>
    <w:rsid w:val="005B6929"/>
    <w:rsid w:val="005B6A00"/>
    <w:rsid w:val="005B6A94"/>
    <w:rsid w:val="005B6B87"/>
    <w:rsid w:val="005B6C71"/>
    <w:rsid w:val="005B6CE9"/>
    <w:rsid w:val="005B6EAF"/>
    <w:rsid w:val="005B72A9"/>
    <w:rsid w:val="005B7432"/>
    <w:rsid w:val="005B756A"/>
    <w:rsid w:val="005B761C"/>
    <w:rsid w:val="005B7636"/>
    <w:rsid w:val="005B7670"/>
    <w:rsid w:val="005B781E"/>
    <w:rsid w:val="005B79BE"/>
    <w:rsid w:val="005B7DB6"/>
    <w:rsid w:val="005B7E4E"/>
    <w:rsid w:val="005B7EC7"/>
    <w:rsid w:val="005B7FAC"/>
    <w:rsid w:val="005C0310"/>
    <w:rsid w:val="005C098F"/>
    <w:rsid w:val="005C0D4E"/>
    <w:rsid w:val="005C0E87"/>
    <w:rsid w:val="005C0F28"/>
    <w:rsid w:val="005C0F65"/>
    <w:rsid w:val="005C13B9"/>
    <w:rsid w:val="005C142F"/>
    <w:rsid w:val="005C1523"/>
    <w:rsid w:val="005C17C7"/>
    <w:rsid w:val="005C1A06"/>
    <w:rsid w:val="005C1B73"/>
    <w:rsid w:val="005C2148"/>
    <w:rsid w:val="005C2179"/>
    <w:rsid w:val="005C21BD"/>
    <w:rsid w:val="005C225F"/>
    <w:rsid w:val="005C2464"/>
    <w:rsid w:val="005C2AAB"/>
    <w:rsid w:val="005C2D34"/>
    <w:rsid w:val="005C2DFD"/>
    <w:rsid w:val="005C2FB5"/>
    <w:rsid w:val="005C3081"/>
    <w:rsid w:val="005C30A3"/>
    <w:rsid w:val="005C3280"/>
    <w:rsid w:val="005C361B"/>
    <w:rsid w:val="005C3802"/>
    <w:rsid w:val="005C3894"/>
    <w:rsid w:val="005C3A29"/>
    <w:rsid w:val="005C3CC0"/>
    <w:rsid w:val="005C3CCF"/>
    <w:rsid w:val="005C3F1D"/>
    <w:rsid w:val="005C3F40"/>
    <w:rsid w:val="005C413E"/>
    <w:rsid w:val="005C46DB"/>
    <w:rsid w:val="005C47E2"/>
    <w:rsid w:val="005C4945"/>
    <w:rsid w:val="005C4C74"/>
    <w:rsid w:val="005C4CCE"/>
    <w:rsid w:val="005C4DB2"/>
    <w:rsid w:val="005C4F81"/>
    <w:rsid w:val="005C5527"/>
    <w:rsid w:val="005C5879"/>
    <w:rsid w:val="005C5DAF"/>
    <w:rsid w:val="005C6181"/>
    <w:rsid w:val="005C625F"/>
    <w:rsid w:val="005C6326"/>
    <w:rsid w:val="005C636D"/>
    <w:rsid w:val="005C6667"/>
    <w:rsid w:val="005C66AC"/>
    <w:rsid w:val="005C66BB"/>
    <w:rsid w:val="005C66D1"/>
    <w:rsid w:val="005C6A3E"/>
    <w:rsid w:val="005C6EA3"/>
    <w:rsid w:val="005C6F50"/>
    <w:rsid w:val="005C7057"/>
    <w:rsid w:val="005C728D"/>
    <w:rsid w:val="005C72F3"/>
    <w:rsid w:val="005C73B0"/>
    <w:rsid w:val="005C7434"/>
    <w:rsid w:val="005C7653"/>
    <w:rsid w:val="005C7BD5"/>
    <w:rsid w:val="005C7F0B"/>
    <w:rsid w:val="005D0016"/>
    <w:rsid w:val="005D02D1"/>
    <w:rsid w:val="005D02F4"/>
    <w:rsid w:val="005D0351"/>
    <w:rsid w:val="005D04B5"/>
    <w:rsid w:val="005D06CD"/>
    <w:rsid w:val="005D0810"/>
    <w:rsid w:val="005D1014"/>
    <w:rsid w:val="005D144F"/>
    <w:rsid w:val="005D15EC"/>
    <w:rsid w:val="005D1607"/>
    <w:rsid w:val="005D187B"/>
    <w:rsid w:val="005D1E5D"/>
    <w:rsid w:val="005D1FE3"/>
    <w:rsid w:val="005D22D7"/>
    <w:rsid w:val="005D2606"/>
    <w:rsid w:val="005D2725"/>
    <w:rsid w:val="005D2782"/>
    <w:rsid w:val="005D29A2"/>
    <w:rsid w:val="005D2B7D"/>
    <w:rsid w:val="005D2C53"/>
    <w:rsid w:val="005D2C8B"/>
    <w:rsid w:val="005D31FC"/>
    <w:rsid w:val="005D33DE"/>
    <w:rsid w:val="005D3523"/>
    <w:rsid w:val="005D3721"/>
    <w:rsid w:val="005D3941"/>
    <w:rsid w:val="005D3961"/>
    <w:rsid w:val="005D3A6A"/>
    <w:rsid w:val="005D3C26"/>
    <w:rsid w:val="005D3D4C"/>
    <w:rsid w:val="005D3DE0"/>
    <w:rsid w:val="005D4578"/>
    <w:rsid w:val="005D45E4"/>
    <w:rsid w:val="005D45F7"/>
    <w:rsid w:val="005D46E0"/>
    <w:rsid w:val="005D4D20"/>
    <w:rsid w:val="005D4E76"/>
    <w:rsid w:val="005D5056"/>
    <w:rsid w:val="005D51E5"/>
    <w:rsid w:val="005D5409"/>
    <w:rsid w:val="005D5A04"/>
    <w:rsid w:val="005D5C29"/>
    <w:rsid w:val="005D5C2B"/>
    <w:rsid w:val="005D6022"/>
    <w:rsid w:val="005D610D"/>
    <w:rsid w:val="005D66CA"/>
    <w:rsid w:val="005D68DD"/>
    <w:rsid w:val="005D68F7"/>
    <w:rsid w:val="005D6BDA"/>
    <w:rsid w:val="005D6F9F"/>
    <w:rsid w:val="005D72A9"/>
    <w:rsid w:val="005D7485"/>
    <w:rsid w:val="005D7669"/>
    <w:rsid w:val="005D76F0"/>
    <w:rsid w:val="005D792E"/>
    <w:rsid w:val="005D7A5A"/>
    <w:rsid w:val="005E01E9"/>
    <w:rsid w:val="005E038A"/>
    <w:rsid w:val="005E0459"/>
    <w:rsid w:val="005E046C"/>
    <w:rsid w:val="005E059F"/>
    <w:rsid w:val="005E05A7"/>
    <w:rsid w:val="005E0637"/>
    <w:rsid w:val="005E0A37"/>
    <w:rsid w:val="005E0A8F"/>
    <w:rsid w:val="005E0A9C"/>
    <w:rsid w:val="005E0D92"/>
    <w:rsid w:val="005E1325"/>
    <w:rsid w:val="005E1387"/>
    <w:rsid w:val="005E13B9"/>
    <w:rsid w:val="005E199C"/>
    <w:rsid w:val="005E1B16"/>
    <w:rsid w:val="005E1C0E"/>
    <w:rsid w:val="005E1D21"/>
    <w:rsid w:val="005E1D6A"/>
    <w:rsid w:val="005E1E00"/>
    <w:rsid w:val="005E1E74"/>
    <w:rsid w:val="005E1F9B"/>
    <w:rsid w:val="005E20C5"/>
    <w:rsid w:val="005E2192"/>
    <w:rsid w:val="005E224E"/>
    <w:rsid w:val="005E2343"/>
    <w:rsid w:val="005E2A1E"/>
    <w:rsid w:val="005E2BFF"/>
    <w:rsid w:val="005E2C3E"/>
    <w:rsid w:val="005E2EF2"/>
    <w:rsid w:val="005E2EF6"/>
    <w:rsid w:val="005E331A"/>
    <w:rsid w:val="005E35D4"/>
    <w:rsid w:val="005E36AE"/>
    <w:rsid w:val="005E37B2"/>
    <w:rsid w:val="005E38A8"/>
    <w:rsid w:val="005E3A84"/>
    <w:rsid w:val="005E3B63"/>
    <w:rsid w:val="005E3CBA"/>
    <w:rsid w:val="005E3CC2"/>
    <w:rsid w:val="005E3F8F"/>
    <w:rsid w:val="005E3FDF"/>
    <w:rsid w:val="005E42C3"/>
    <w:rsid w:val="005E4596"/>
    <w:rsid w:val="005E46F3"/>
    <w:rsid w:val="005E49FF"/>
    <w:rsid w:val="005E4FAC"/>
    <w:rsid w:val="005E5012"/>
    <w:rsid w:val="005E5071"/>
    <w:rsid w:val="005E50B7"/>
    <w:rsid w:val="005E518C"/>
    <w:rsid w:val="005E578E"/>
    <w:rsid w:val="005E5900"/>
    <w:rsid w:val="005E5AA4"/>
    <w:rsid w:val="005E5B6D"/>
    <w:rsid w:val="005E5B87"/>
    <w:rsid w:val="005E5C4F"/>
    <w:rsid w:val="005E5C82"/>
    <w:rsid w:val="005E5D63"/>
    <w:rsid w:val="005E658E"/>
    <w:rsid w:val="005E68E0"/>
    <w:rsid w:val="005E6D56"/>
    <w:rsid w:val="005E7414"/>
    <w:rsid w:val="005E745A"/>
    <w:rsid w:val="005E74E7"/>
    <w:rsid w:val="005E768C"/>
    <w:rsid w:val="005E76EB"/>
    <w:rsid w:val="005E780E"/>
    <w:rsid w:val="005E78FE"/>
    <w:rsid w:val="005E7A3B"/>
    <w:rsid w:val="005E7B50"/>
    <w:rsid w:val="005E7C7B"/>
    <w:rsid w:val="005F07C2"/>
    <w:rsid w:val="005F0A8E"/>
    <w:rsid w:val="005F0C19"/>
    <w:rsid w:val="005F0D6C"/>
    <w:rsid w:val="005F1095"/>
    <w:rsid w:val="005F1115"/>
    <w:rsid w:val="005F12BE"/>
    <w:rsid w:val="005F14D5"/>
    <w:rsid w:val="005F1959"/>
    <w:rsid w:val="005F198E"/>
    <w:rsid w:val="005F19D0"/>
    <w:rsid w:val="005F1DE3"/>
    <w:rsid w:val="005F1E25"/>
    <w:rsid w:val="005F1F5D"/>
    <w:rsid w:val="005F1FA5"/>
    <w:rsid w:val="005F209D"/>
    <w:rsid w:val="005F2117"/>
    <w:rsid w:val="005F214E"/>
    <w:rsid w:val="005F2234"/>
    <w:rsid w:val="005F225F"/>
    <w:rsid w:val="005F2318"/>
    <w:rsid w:val="005F237C"/>
    <w:rsid w:val="005F268E"/>
    <w:rsid w:val="005F2BA6"/>
    <w:rsid w:val="005F2F10"/>
    <w:rsid w:val="005F2FCA"/>
    <w:rsid w:val="005F3071"/>
    <w:rsid w:val="005F307B"/>
    <w:rsid w:val="005F3087"/>
    <w:rsid w:val="005F30E4"/>
    <w:rsid w:val="005F310F"/>
    <w:rsid w:val="005F31C3"/>
    <w:rsid w:val="005F3966"/>
    <w:rsid w:val="005F3A03"/>
    <w:rsid w:val="005F3A27"/>
    <w:rsid w:val="005F3A8E"/>
    <w:rsid w:val="005F3D7F"/>
    <w:rsid w:val="005F3E5D"/>
    <w:rsid w:val="005F40A1"/>
    <w:rsid w:val="005F434E"/>
    <w:rsid w:val="005F4436"/>
    <w:rsid w:val="005F454F"/>
    <w:rsid w:val="005F4B42"/>
    <w:rsid w:val="005F4D58"/>
    <w:rsid w:val="005F4F1E"/>
    <w:rsid w:val="005F50E3"/>
    <w:rsid w:val="005F51DD"/>
    <w:rsid w:val="005F5208"/>
    <w:rsid w:val="005F5417"/>
    <w:rsid w:val="005F543C"/>
    <w:rsid w:val="005F5869"/>
    <w:rsid w:val="005F597E"/>
    <w:rsid w:val="005F5EF2"/>
    <w:rsid w:val="005F60EA"/>
    <w:rsid w:val="005F6465"/>
    <w:rsid w:val="005F657E"/>
    <w:rsid w:val="005F670C"/>
    <w:rsid w:val="005F6883"/>
    <w:rsid w:val="005F6C0D"/>
    <w:rsid w:val="005F6CD5"/>
    <w:rsid w:val="005F6FEC"/>
    <w:rsid w:val="005F70FF"/>
    <w:rsid w:val="005F732F"/>
    <w:rsid w:val="005F75D9"/>
    <w:rsid w:val="005F7A3E"/>
    <w:rsid w:val="005F7A4C"/>
    <w:rsid w:val="005F7B98"/>
    <w:rsid w:val="005F7D2D"/>
    <w:rsid w:val="00600179"/>
    <w:rsid w:val="00600273"/>
    <w:rsid w:val="0060042F"/>
    <w:rsid w:val="00601014"/>
    <w:rsid w:val="0060128F"/>
    <w:rsid w:val="00601415"/>
    <w:rsid w:val="0060150D"/>
    <w:rsid w:val="00601581"/>
    <w:rsid w:val="00601702"/>
    <w:rsid w:val="00601792"/>
    <w:rsid w:val="00601A5E"/>
    <w:rsid w:val="00601CE7"/>
    <w:rsid w:val="00601CED"/>
    <w:rsid w:val="00602034"/>
    <w:rsid w:val="00602123"/>
    <w:rsid w:val="00602360"/>
    <w:rsid w:val="0060239C"/>
    <w:rsid w:val="0060253F"/>
    <w:rsid w:val="006025D5"/>
    <w:rsid w:val="0060283B"/>
    <w:rsid w:val="006028E5"/>
    <w:rsid w:val="00602DF4"/>
    <w:rsid w:val="00602EE1"/>
    <w:rsid w:val="006031E6"/>
    <w:rsid w:val="00603537"/>
    <w:rsid w:val="0060390F"/>
    <w:rsid w:val="00603911"/>
    <w:rsid w:val="00603B41"/>
    <w:rsid w:val="00603BCB"/>
    <w:rsid w:val="00603C77"/>
    <w:rsid w:val="00604172"/>
    <w:rsid w:val="0060461B"/>
    <w:rsid w:val="006049AD"/>
    <w:rsid w:val="00604B6B"/>
    <w:rsid w:val="00604C10"/>
    <w:rsid w:val="00604D73"/>
    <w:rsid w:val="006050BF"/>
    <w:rsid w:val="00605133"/>
    <w:rsid w:val="0060519C"/>
    <w:rsid w:val="006051C8"/>
    <w:rsid w:val="006051D0"/>
    <w:rsid w:val="006052A0"/>
    <w:rsid w:val="00605825"/>
    <w:rsid w:val="006058E4"/>
    <w:rsid w:val="0060597C"/>
    <w:rsid w:val="00605BBA"/>
    <w:rsid w:val="00605C93"/>
    <w:rsid w:val="00605CFF"/>
    <w:rsid w:val="00605ED9"/>
    <w:rsid w:val="006060D3"/>
    <w:rsid w:val="00606163"/>
    <w:rsid w:val="0060631B"/>
    <w:rsid w:val="0060641B"/>
    <w:rsid w:val="006064AC"/>
    <w:rsid w:val="00606533"/>
    <w:rsid w:val="006069CB"/>
    <w:rsid w:val="006069E9"/>
    <w:rsid w:val="00606AAD"/>
    <w:rsid w:val="00606CDA"/>
    <w:rsid w:val="00606EB1"/>
    <w:rsid w:val="00606EFF"/>
    <w:rsid w:val="0060715E"/>
    <w:rsid w:val="006071F8"/>
    <w:rsid w:val="00607676"/>
    <w:rsid w:val="0060799F"/>
    <w:rsid w:val="006079A8"/>
    <w:rsid w:val="00607B71"/>
    <w:rsid w:val="00607C4E"/>
    <w:rsid w:val="00607D25"/>
    <w:rsid w:val="00607DB2"/>
    <w:rsid w:val="00610001"/>
    <w:rsid w:val="00610183"/>
    <w:rsid w:val="006102BD"/>
    <w:rsid w:val="0061039C"/>
    <w:rsid w:val="00610AA6"/>
    <w:rsid w:val="00610AEC"/>
    <w:rsid w:val="00610D45"/>
    <w:rsid w:val="00610F3C"/>
    <w:rsid w:val="00610FA1"/>
    <w:rsid w:val="006110E4"/>
    <w:rsid w:val="006112B3"/>
    <w:rsid w:val="00611362"/>
    <w:rsid w:val="00611388"/>
    <w:rsid w:val="0061252B"/>
    <w:rsid w:val="00612719"/>
    <w:rsid w:val="00612763"/>
    <w:rsid w:val="00612902"/>
    <w:rsid w:val="00612A70"/>
    <w:rsid w:val="0061317B"/>
    <w:rsid w:val="006136C8"/>
    <w:rsid w:val="00613761"/>
    <w:rsid w:val="006138DC"/>
    <w:rsid w:val="00613906"/>
    <w:rsid w:val="0061394A"/>
    <w:rsid w:val="00613B35"/>
    <w:rsid w:val="00613BEF"/>
    <w:rsid w:val="00613C8D"/>
    <w:rsid w:val="00613D30"/>
    <w:rsid w:val="006142DC"/>
    <w:rsid w:val="0061497C"/>
    <w:rsid w:val="00614B17"/>
    <w:rsid w:val="00614B31"/>
    <w:rsid w:val="00615230"/>
    <w:rsid w:val="0061552B"/>
    <w:rsid w:val="00615573"/>
    <w:rsid w:val="006157C5"/>
    <w:rsid w:val="00615831"/>
    <w:rsid w:val="00615998"/>
    <w:rsid w:val="006159CC"/>
    <w:rsid w:val="00615CBE"/>
    <w:rsid w:val="00615D84"/>
    <w:rsid w:val="00615FAB"/>
    <w:rsid w:val="00615FF2"/>
    <w:rsid w:val="00616077"/>
    <w:rsid w:val="00616089"/>
    <w:rsid w:val="006163BF"/>
    <w:rsid w:val="006163FC"/>
    <w:rsid w:val="006169DD"/>
    <w:rsid w:val="00616D09"/>
    <w:rsid w:val="00616D36"/>
    <w:rsid w:val="00617070"/>
    <w:rsid w:val="006175D6"/>
    <w:rsid w:val="00617738"/>
    <w:rsid w:val="00617B93"/>
    <w:rsid w:val="00617B9D"/>
    <w:rsid w:val="006200DD"/>
    <w:rsid w:val="00620543"/>
    <w:rsid w:val="00620654"/>
    <w:rsid w:val="00620AC0"/>
    <w:rsid w:val="00620DF7"/>
    <w:rsid w:val="00620F1A"/>
    <w:rsid w:val="00620FCC"/>
    <w:rsid w:val="00621221"/>
    <w:rsid w:val="0062123A"/>
    <w:rsid w:val="006214D0"/>
    <w:rsid w:val="00621733"/>
    <w:rsid w:val="00621750"/>
    <w:rsid w:val="0062181B"/>
    <w:rsid w:val="00621ADA"/>
    <w:rsid w:val="00621D00"/>
    <w:rsid w:val="0062240E"/>
    <w:rsid w:val="006225DF"/>
    <w:rsid w:val="006228B4"/>
    <w:rsid w:val="00622B7A"/>
    <w:rsid w:val="00622D1E"/>
    <w:rsid w:val="00622E84"/>
    <w:rsid w:val="006231A2"/>
    <w:rsid w:val="006232E2"/>
    <w:rsid w:val="006233C0"/>
    <w:rsid w:val="0062375E"/>
    <w:rsid w:val="006239C4"/>
    <w:rsid w:val="0062402D"/>
    <w:rsid w:val="00624205"/>
    <w:rsid w:val="00624315"/>
    <w:rsid w:val="006245EF"/>
    <w:rsid w:val="0062466F"/>
    <w:rsid w:val="00624698"/>
    <w:rsid w:val="006248BB"/>
    <w:rsid w:val="00624C94"/>
    <w:rsid w:val="00624D88"/>
    <w:rsid w:val="00624EBD"/>
    <w:rsid w:val="00624F3F"/>
    <w:rsid w:val="00624F68"/>
    <w:rsid w:val="00625004"/>
    <w:rsid w:val="006251CD"/>
    <w:rsid w:val="0062527F"/>
    <w:rsid w:val="006254A9"/>
    <w:rsid w:val="006254BF"/>
    <w:rsid w:val="00625573"/>
    <w:rsid w:val="00625608"/>
    <w:rsid w:val="006258A3"/>
    <w:rsid w:val="006259BE"/>
    <w:rsid w:val="00625ADE"/>
    <w:rsid w:val="00625B67"/>
    <w:rsid w:val="006263BA"/>
    <w:rsid w:val="00626584"/>
    <w:rsid w:val="006266CD"/>
    <w:rsid w:val="00626764"/>
    <w:rsid w:val="00626798"/>
    <w:rsid w:val="00626C59"/>
    <w:rsid w:val="00626D08"/>
    <w:rsid w:val="00626EC5"/>
    <w:rsid w:val="00627021"/>
    <w:rsid w:val="00627132"/>
    <w:rsid w:val="00627720"/>
    <w:rsid w:val="00627800"/>
    <w:rsid w:val="00627838"/>
    <w:rsid w:val="006279CB"/>
    <w:rsid w:val="00627BCB"/>
    <w:rsid w:val="00627C52"/>
    <w:rsid w:val="00627D0C"/>
    <w:rsid w:val="00627D44"/>
    <w:rsid w:val="00627D64"/>
    <w:rsid w:val="00627DD5"/>
    <w:rsid w:val="006307E7"/>
    <w:rsid w:val="00630A1E"/>
    <w:rsid w:val="00630B3F"/>
    <w:rsid w:val="00630DFC"/>
    <w:rsid w:val="00631243"/>
    <w:rsid w:val="0063139D"/>
    <w:rsid w:val="006314D2"/>
    <w:rsid w:val="006315B1"/>
    <w:rsid w:val="00631609"/>
    <w:rsid w:val="006316C0"/>
    <w:rsid w:val="0063170E"/>
    <w:rsid w:val="00631B7C"/>
    <w:rsid w:val="00631BB2"/>
    <w:rsid w:val="00631E69"/>
    <w:rsid w:val="00631EB4"/>
    <w:rsid w:val="006322F9"/>
    <w:rsid w:val="006327F3"/>
    <w:rsid w:val="0063284C"/>
    <w:rsid w:val="006328CD"/>
    <w:rsid w:val="00632C52"/>
    <w:rsid w:val="0063311F"/>
    <w:rsid w:val="00633157"/>
    <w:rsid w:val="00633311"/>
    <w:rsid w:val="006336AF"/>
    <w:rsid w:val="006336E3"/>
    <w:rsid w:val="00633727"/>
    <w:rsid w:val="006338C6"/>
    <w:rsid w:val="00633C7E"/>
    <w:rsid w:val="00633CA8"/>
    <w:rsid w:val="00633DD5"/>
    <w:rsid w:val="00633F5F"/>
    <w:rsid w:val="00634192"/>
    <w:rsid w:val="006343BA"/>
    <w:rsid w:val="0063454D"/>
    <w:rsid w:val="00634662"/>
    <w:rsid w:val="006346DA"/>
    <w:rsid w:val="0063484E"/>
    <w:rsid w:val="006348F2"/>
    <w:rsid w:val="00634C9C"/>
    <w:rsid w:val="00634CB2"/>
    <w:rsid w:val="006359BC"/>
    <w:rsid w:val="00635AD2"/>
    <w:rsid w:val="00635B65"/>
    <w:rsid w:val="00635D72"/>
    <w:rsid w:val="00635DF6"/>
    <w:rsid w:val="0063648E"/>
    <w:rsid w:val="0063677B"/>
    <w:rsid w:val="006367B3"/>
    <w:rsid w:val="0063695B"/>
    <w:rsid w:val="00636AD3"/>
    <w:rsid w:val="00636B3D"/>
    <w:rsid w:val="00636BF4"/>
    <w:rsid w:val="00636C1D"/>
    <w:rsid w:val="006373D5"/>
    <w:rsid w:val="006378AE"/>
    <w:rsid w:val="00637C41"/>
    <w:rsid w:val="00637DE7"/>
    <w:rsid w:val="00637E39"/>
    <w:rsid w:val="0064026E"/>
    <w:rsid w:val="0064046F"/>
    <w:rsid w:val="00640B9D"/>
    <w:rsid w:val="006415C6"/>
    <w:rsid w:val="00641898"/>
    <w:rsid w:val="00641CB9"/>
    <w:rsid w:val="00641EA1"/>
    <w:rsid w:val="00641EBD"/>
    <w:rsid w:val="00641F8B"/>
    <w:rsid w:val="0064214D"/>
    <w:rsid w:val="00642459"/>
    <w:rsid w:val="00642961"/>
    <w:rsid w:val="006429CE"/>
    <w:rsid w:val="006429D2"/>
    <w:rsid w:val="00642A90"/>
    <w:rsid w:val="00642BD3"/>
    <w:rsid w:val="00642DDB"/>
    <w:rsid w:val="00642F2C"/>
    <w:rsid w:val="00642FA9"/>
    <w:rsid w:val="00642FFC"/>
    <w:rsid w:val="00643128"/>
    <w:rsid w:val="006431CD"/>
    <w:rsid w:val="006431F2"/>
    <w:rsid w:val="00643C0D"/>
    <w:rsid w:val="00643D86"/>
    <w:rsid w:val="00643F0E"/>
    <w:rsid w:val="006442AB"/>
    <w:rsid w:val="006442F5"/>
    <w:rsid w:val="006445F3"/>
    <w:rsid w:val="00644A45"/>
    <w:rsid w:val="00644AAA"/>
    <w:rsid w:val="00644F8A"/>
    <w:rsid w:val="00645071"/>
    <w:rsid w:val="0064518F"/>
    <w:rsid w:val="006452BE"/>
    <w:rsid w:val="00645374"/>
    <w:rsid w:val="00645381"/>
    <w:rsid w:val="006458F4"/>
    <w:rsid w:val="00646225"/>
    <w:rsid w:val="006463BC"/>
    <w:rsid w:val="00646836"/>
    <w:rsid w:val="00646E15"/>
    <w:rsid w:val="00646ECE"/>
    <w:rsid w:val="00647AEE"/>
    <w:rsid w:val="00647DCC"/>
    <w:rsid w:val="006500A1"/>
    <w:rsid w:val="00650174"/>
    <w:rsid w:val="0065017A"/>
    <w:rsid w:val="00650520"/>
    <w:rsid w:val="006507F0"/>
    <w:rsid w:val="00650CD9"/>
    <w:rsid w:val="00650E04"/>
    <w:rsid w:val="006512B4"/>
    <w:rsid w:val="006519D9"/>
    <w:rsid w:val="00651C27"/>
    <w:rsid w:val="00652021"/>
    <w:rsid w:val="00652219"/>
    <w:rsid w:val="00652388"/>
    <w:rsid w:val="00652729"/>
    <w:rsid w:val="006529A8"/>
    <w:rsid w:val="00652A21"/>
    <w:rsid w:val="00652C79"/>
    <w:rsid w:val="00652D4A"/>
    <w:rsid w:val="00652D63"/>
    <w:rsid w:val="00652F72"/>
    <w:rsid w:val="00652FCD"/>
    <w:rsid w:val="0065304E"/>
    <w:rsid w:val="006531FD"/>
    <w:rsid w:val="006532B3"/>
    <w:rsid w:val="006534B1"/>
    <w:rsid w:val="00653568"/>
    <w:rsid w:val="00653770"/>
    <w:rsid w:val="00653E82"/>
    <w:rsid w:val="00654135"/>
    <w:rsid w:val="00654301"/>
    <w:rsid w:val="00654337"/>
    <w:rsid w:val="0065433F"/>
    <w:rsid w:val="00654538"/>
    <w:rsid w:val="006545A6"/>
    <w:rsid w:val="00654822"/>
    <w:rsid w:val="00654EEB"/>
    <w:rsid w:val="0065550F"/>
    <w:rsid w:val="00655848"/>
    <w:rsid w:val="006558E0"/>
    <w:rsid w:val="00655A5E"/>
    <w:rsid w:val="00655B1A"/>
    <w:rsid w:val="00655C5A"/>
    <w:rsid w:val="00655CC4"/>
    <w:rsid w:val="00655DF9"/>
    <w:rsid w:val="00655E31"/>
    <w:rsid w:val="0065623B"/>
    <w:rsid w:val="00656286"/>
    <w:rsid w:val="00656944"/>
    <w:rsid w:val="0065699E"/>
    <w:rsid w:val="006569FA"/>
    <w:rsid w:val="00656D28"/>
    <w:rsid w:val="00656DF5"/>
    <w:rsid w:val="00657042"/>
    <w:rsid w:val="0065766C"/>
    <w:rsid w:val="006577DE"/>
    <w:rsid w:val="00657AC6"/>
    <w:rsid w:val="00657B72"/>
    <w:rsid w:val="00657DD0"/>
    <w:rsid w:val="00657E32"/>
    <w:rsid w:val="00657F4D"/>
    <w:rsid w:val="0066011D"/>
    <w:rsid w:val="006601EA"/>
    <w:rsid w:val="0066020E"/>
    <w:rsid w:val="00660290"/>
    <w:rsid w:val="00660362"/>
    <w:rsid w:val="006608E1"/>
    <w:rsid w:val="00660957"/>
    <w:rsid w:val="00660BB9"/>
    <w:rsid w:val="00660C13"/>
    <w:rsid w:val="00660C71"/>
    <w:rsid w:val="00660DE5"/>
    <w:rsid w:val="00660E50"/>
    <w:rsid w:val="00660F2C"/>
    <w:rsid w:val="00660F8B"/>
    <w:rsid w:val="00660F9E"/>
    <w:rsid w:val="00660FE5"/>
    <w:rsid w:val="00661489"/>
    <w:rsid w:val="00661496"/>
    <w:rsid w:val="006614BC"/>
    <w:rsid w:val="0066151E"/>
    <w:rsid w:val="0066161E"/>
    <w:rsid w:val="00661B17"/>
    <w:rsid w:val="00661BFF"/>
    <w:rsid w:val="00661C6F"/>
    <w:rsid w:val="0066206E"/>
    <w:rsid w:val="0066228E"/>
    <w:rsid w:val="00662A7B"/>
    <w:rsid w:val="00662AD2"/>
    <w:rsid w:val="00662E3F"/>
    <w:rsid w:val="00662F0A"/>
    <w:rsid w:val="00663255"/>
    <w:rsid w:val="006633E4"/>
    <w:rsid w:val="0066365A"/>
    <w:rsid w:val="0066367B"/>
    <w:rsid w:val="0066381B"/>
    <w:rsid w:val="0066384C"/>
    <w:rsid w:val="006638DA"/>
    <w:rsid w:val="00663AD0"/>
    <w:rsid w:val="00663D4F"/>
    <w:rsid w:val="00664099"/>
    <w:rsid w:val="006641A1"/>
    <w:rsid w:val="006646F8"/>
    <w:rsid w:val="006647CE"/>
    <w:rsid w:val="00664869"/>
    <w:rsid w:val="006648C8"/>
    <w:rsid w:val="006648E3"/>
    <w:rsid w:val="006649EF"/>
    <w:rsid w:val="00664AB2"/>
    <w:rsid w:val="00664B27"/>
    <w:rsid w:val="00664EBA"/>
    <w:rsid w:val="0066520A"/>
    <w:rsid w:val="0066535B"/>
    <w:rsid w:val="0066548D"/>
    <w:rsid w:val="00665701"/>
    <w:rsid w:val="00665C6D"/>
    <w:rsid w:val="00665DDC"/>
    <w:rsid w:val="00665FEB"/>
    <w:rsid w:val="0066609F"/>
    <w:rsid w:val="006667D2"/>
    <w:rsid w:val="00666C8E"/>
    <w:rsid w:val="00666E6C"/>
    <w:rsid w:val="00666ED7"/>
    <w:rsid w:val="00666F42"/>
    <w:rsid w:val="00666FAB"/>
    <w:rsid w:val="0066704E"/>
    <w:rsid w:val="00667170"/>
    <w:rsid w:val="006674ED"/>
    <w:rsid w:val="00667604"/>
    <w:rsid w:val="006676D6"/>
    <w:rsid w:val="00667730"/>
    <w:rsid w:val="006679DC"/>
    <w:rsid w:val="00667EFC"/>
    <w:rsid w:val="006705EA"/>
    <w:rsid w:val="0067068E"/>
    <w:rsid w:val="00670712"/>
    <w:rsid w:val="00670787"/>
    <w:rsid w:val="006707E8"/>
    <w:rsid w:val="0067082E"/>
    <w:rsid w:val="00670850"/>
    <w:rsid w:val="00670917"/>
    <w:rsid w:val="00670ADC"/>
    <w:rsid w:val="00670B9C"/>
    <w:rsid w:val="00670C7D"/>
    <w:rsid w:val="00671417"/>
    <w:rsid w:val="00671891"/>
    <w:rsid w:val="00671D46"/>
    <w:rsid w:val="00671F4E"/>
    <w:rsid w:val="00671F59"/>
    <w:rsid w:val="00671FE0"/>
    <w:rsid w:val="00672281"/>
    <w:rsid w:val="006722F0"/>
    <w:rsid w:val="00672333"/>
    <w:rsid w:val="006724F1"/>
    <w:rsid w:val="00672906"/>
    <w:rsid w:val="00672C7F"/>
    <w:rsid w:val="00672D1C"/>
    <w:rsid w:val="0067320F"/>
    <w:rsid w:val="00673379"/>
    <w:rsid w:val="00673388"/>
    <w:rsid w:val="00673502"/>
    <w:rsid w:val="00673D18"/>
    <w:rsid w:val="00673D2D"/>
    <w:rsid w:val="0067446E"/>
    <w:rsid w:val="00674783"/>
    <w:rsid w:val="00674ADD"/>
    <w:rsid w:val="00674B3B"/>
    <w:rsid w:val="00674D48"/>
    <w:rsid w:val="00674E0A"/>
    <w:rsid w:val="00674E6B"/>
    <w:rsid w:val="006758AD"/>
    <w:rsid w:val="006758BD"/>
    <w:rsid w:val="00675963"/>
    <w:rsid w:val="00675A10"/>
    <w:rsid w:val="00675E51"/>
    <w:rsid w:val="00675F15"/>
    <w:rsid w:val="0067636F"/>
    <w:rsid w:val="00676956"/>
    <w:rsid w:val="00676BD2"/>
    <w:rsid w:val="00676C2B"/>
    <w:rsid w:val="00677571"/>
    <w:rsid w:val="00677A16"/>
    <w:rsid w:val="00677CCE"/>
    <w:rsid w:val="00680103"/>
    <w:rsid w:val="00680267"/>
    <w:rsid w:val="0068035F"/>
    <w:rsid w:val="00680466"/>
    <w:rsid w:val="00680474"/>
    <w:rsid w:val="00680742"/>
    <w:rsid w:val="006808C8"/>
    <w:rsid w:val="00680A93"/>
    <w:rsid w:val="00680CD5"/>
    <w:rsid w:val="00680E9B"/>
    <w:rsid w:val="006810AF"/>
    <w:rsid w:val="0068111B"/>
    <w:rsid w:val="0068130F"/>
    <w:rsid w:val="00681425"/>
    <w:rsid w:val="00681500"/>
    <w:rsid w:val="006817A6"/>
    <w:rsid w:val="00681D04"/>
    <w:rsid w:val="00681D0B"/>
    <w:rsid w:val="00681FA3"/>
    <w:rsid w:val="006820BD"/>
    <w:rsid w:val="00682100"/>
    <w:rsid w:val="006824B3"/>
    <w:rsid w:val="00682653"/>
    <w:rsid w:val="0068269F"/>
    <w:rsid w:val="00682906"/>
    <w:rsid w:val="00682940"/>
    <w:rsid w:val="00682950"/>
    <w:rsid w:val="006829C7"/>
    <w:rsid w:val="00682CFD"/>
    <w:rsid w:val="00682F4C"/>
    <w:rsid w:val="006832A9"/>
    <w:rsid w:val="00683398"/>
    <w:rsid w:val="0068357F"/>
    <w:rsid w:val="00683593"/>
    <w:rsid w:val="00683708"/>
    <w:rsid w:val="00683721"/>
    <w:rsid w:val="006838BF"/>
    <w:rsid w:val="00683961"/>
    <w:rsid w:val="00683BF1"/>
    <w:rsid w:val="00683E0E"/>
    <w:rsid w:val="0068404D"/>
    <w:rsid w:val="006843DF"/>
    <w:rsid w:val="0068440C"/>
    <w:rsid w:val="006845C1"/>
    <w:rsid w:val="00684684"/>
    <w:rsid w:val="006846E1"/>
    <w:rsid w:val="00684767"/>
    <w:rsid w:val="0068485C"/>
    <w:rsid w:val="006848E6"/>
    <w:rsid w:val="00684DDC"/>
    <w:rsid w:val="00684FF9"/>
    <w:rsid w:val="00685352"/>
    <w:rsid w:val="00685431"/>
    <w:rsid w:val="0068552B"/>
    <w:rsid w:val="006855FF"/>
    <w:rsid w:val="0068581D"/>
    <w:rsid w:val="00685968"/>
    <w:rsid w:val="00685DFF"/>
    <w:rsid w:val="00686221"/>
    <w:rsid w:val="00686466"/>
    <w:rsid w:val="00686629"/>
    <w:rsid w:val="00686766"/>
    <w:rsid w:val="006867BB"/>
    <w:rsid w:val="0068680D"/>
    <w:rsid w:val="00686853"/>
    <w:rsid w:val="00686A3B"/>
    <w:rsid w:val="00686B57"/>
    <w:rsid w:val="00686C57"/>
    <w:rsid w:val="00686DC9"/>
    <w:rsid w:val="006873AE"/>
    <w:rsid w:val="006874C1"/>
    <w:rsid w:val="00687589"/>
    <w:rsid w:val="00687590"/>
    <w:rsid w:val="00687730"/>
    <w:rsid w:val="0068780A"/>
    <w:rsid w:val="00687B24"/>
    <w:rsid w:val="00687BF8"/>
    <w:rsid w:val="00687D9C"/>
    <w:rsid w:val="00687E42"/>
    <w:rsid w:val="0069031F"/>
    <w:rsid w:val="00690D76"/>
    <w:rsid w:val="00690D9C"/>
    <w:rsid w:val="00690EBD"/>
    <w:rsid w:val="00691803"/>
    <w:rsid w:val="006918C4"/>
    <w:rsid w:val="00691AA7"/>
    <w:rsid w:val="00691B37"/>
    <w:rsid w:val="00691B5D"/>
    <w:rsid w:val="00691F5D"/>
    <w:rsid w:val="00692075"/>
    <w:rsid w:val="006921AD"/>
    <w:rsid w:val="0069233B"/>
    <w:rsid w:val="0069246B"/>
    <w:rsid w:val="00692C3A"/>
    <w:rsid w:val="00692C67"/>
    <w:rsid w:val="00692CF7"/>
    <w:rsid w:val="00692E59"/>
    <w:rsid w:val="00692E66"/>
    <w:rsid w:val="00692E94"/>
    <w:rsid w:val="00692FC2"/>
    <w:rsid w:val="006932A4"/>
    <w:rsid w:val="006934EB"/>
    <w:rsid w:val="00693812"/>
    <w:rsid w:val="0069381D"/>
    <w:rsid w:val="0069385C"/>
    <w:rsid w:val="00693DC2"/>
    <w:rsid w:val="00693F12"/>
    <w:rsid w:val="00693FA9"/>
    <w:rsid w:val="006940D6"/>
    <w:rsid w:val="00694135"/>
    <w:rsid w:val="006942F0"/>
    <w:rsid w:val="00694B7A"/>
    <w:rsid w:val="00694D78"/>
    <w:rsid w:val="006950EF"/>
    <w:rsid w:val="0069515D"/>
    <w:rsid w:val="006952C3"/>
    <w:rsid w:val="0069550D"/>
    <w:rsid w:val="00695550"/>
    <w:rsid w:val="00695629"/>
    <w:rsid w:val="00695A4D"/>
    <w:rsid w:val="00695A83"/>
    <w:rsid w:val="00695B81"/>
    <w:rsid w:val="006960B9"/>
    <w:rsid w:val="00696119"/>
    <w:rsid w:val="00696138"/>
    <w:rsid w:val="006969E1"/>
    <w:rsid w:val="006969ED"/>
    <w:rsid w:val="00697287"/>
    <w:rsid w:val="0069793B"/>
    <w:rsid w:val="006979E5"/>
    <w:rsid w:val="00697B3C"/>
    <w:rsid w:val="00697DA8"/>
    <w:rsid w:val="00697DF4"/>
    <w:rsid w:val="00697EB2"/>
    <w:rsid w:val="00697ECB"/>
    <w:rsid w:val="006A01A7"/>
    <w:rsid w:val="006A06C5"/>
    <w:rsid w:val="006A0A04"/>
    <w:rsid w:val="006A0FAA"/>
    <w:rsid w:val="006A1506"/>
    <w:rsid w:val="006A156B"/>
    <w:rsid w:val="006A1737"/>
    <w:rsid w:val="006A1814"/>
    <w:rsid w:val="006A18F1"/>
    <w:rsid w:val="006A1A6C"/>
    <w:rsid w:val="006A1A81"/>
    <w:rsid w:val="006A1B69"/>
    <w:rsid w:val="006A1D2A"/>
    <w:rsid w:val="006A1FB0"/>
    <w:rsid w:val="006A2163"/>
    <w:rsid w:val="006A2207"/>
    <w:rsid w:val="006A220F"/>
    <w:rsid w:val="006A2543"/>
    <w:rsid w:val="006A2609"/>
    <w:rsid w:val="006A276B"/>
    <w:rsid w:val="006A352E"/>
    <w:rsid w:val="006A3635"/>
    <w:rsid w:val="006A406B"/>
    <w:rsid w:val="006A41E5"/>
    <w:rsid w:val="006A4ABB"/>
    <w:rsid w:val="006A4B67"/>
    <w:rsid w:val="006A4BE8"/>
    <w:rsid w:val="006A4D4B"/>
    <w:rsid w:val="006A4F9F"/>
    <w:rsid w:val="006A50B0"/>
    <w:rsid w:val="006A565B"/>
    <w:rsid w:val="006A56C8"/>
    <w:rsid w:val="006A5798"/>
    <w:rsid w:val="006A5C72"/>
    <w:rsid w:val="006A5E15"/>
    <w:rsid w:val="006A6256"/>
    <w:rsid w:val="006A6437"/>
    <w:rsid w:val="006A6805"/>
    <w:rsid w:val="006A68BA"/>
    <w:rsid w:val="006A69AC"/>
    <w:rsid w:val="006A6ABF"/>
    <w:rsid w:val="006A6D5A"/>
    <w:rsid w:val="006A6F80"/>
    <w:rsid w:val="006A7074"/>
    <w:rsid w:val="006A709B"/>
    <w:rsid w:val="006A7397"/>
    <w:rsid w:val="006A7740"/>
    <w:rsid w:val="006A783C"/>
    <w:rsid w:val="006A7CF2"/>
    <w:rsid w:val="006A7F63"/>
    <w:rsid w:val="006B05A3"/>
    <w:rsid w:val="006B0F33"/>
    <w:rsid w:val="006B10C1"/>
    <w:rsid w:val="006B15AE"/>
    <w:rsid w:val="006B17B7"/>
    <w:rsid w:val="006B1823"/>
    <w:rsid w:val="006B1C47"/>
    <w:rsid w:val="006B224A"/>
    <w:rsid w:val="006B231E"/>
    <w:rsid w:val="006B23EF"/>
    <w:rsid w:val="006B24A4"/>
    <w:rsid w:val="006B253F"/>
    <w:rsid w:val="006B2B0D"/>
    <w:rsid w:val="006B2BF1"/>
    <w:rsid w:val="006B2D67"/>
    <w:rsid w:val="006B30F7"/>
    <w:rsid w:val="006B3137"/>
    <w:rsid w:val="006B35C8"/>
    <w:rsid w:val="006B3C15"/>
    <w:rsid w:val="006B3E07"/>
    <w:rsid w:val="006B3FAE"/>
    <w:rsid w:val="006B40E6"/>
    <w:rsid w:val="006B416F"/>
    <w:rsid w:val="006B46BB"/>
    <w:rsid w:val="006B4E7E"/>
    <w:rsid w:val="006B4EE6"/>
    <w:rsid w:val="006B4F58"/>
    <w:rsid w:val="006B54A9"/>
    <w:rsid w:val="006B577C"/>
    <w:rsid w:val="006B6122"/>
    <w:rsid w:val="006B61F0"/>
    <w:rsid w:val="006B63BD"/>
    <w:rsid w:val="006B671C"/>
    <w:rsid w:val="006B6AED"/>
    <w:rsid w:val="006B6B7C"/>
    <w:rsid w:val="006B760C"/>
    <w:rsid w:val="006B7686"/>
    <w:rsid w:val="006B79E2"/>
    <w:rsid w:val="006B7A03"/>
    <w:rsid w:val="006B7EB2"/>
    <w:rsid w:val="006B7EFD"/>
    <w:rsid w:val="006C01EB"/>
    <w:rsid w:val="006C0229"/>
    <w:rsid w:val="006C05FF"/>
    <w:rsid w:val="006C07FA"/>
    <w:rsid w:val="006C0807"/>
    <w:rsid w:val="006C0B8D"/>
    <w:rsid w:val="006C0BD3"/>
    <w:rsid w:val="006C0E45"/>
    <w:rsid w:val="006C12F2"/>
    <w:rsid w:val="006C1395"/>
    <w:rsid w:val="006C13D0"/>
    <w:rsid w:val="006C14C8"/>
    <w:rsid w:val="006C18C6"/>
    <w:rsid w:val="006C198A"/>
    <w:rsid w:val="006C2028"/>
    <w:rsid w:val="006C2317"/>
    <w:rsid w:val="006C2365"/>
    <w:rsid w:val="006C23A8"/>
    <w:rsid w:val="006C284E"/>
    <w:rsid w:val="006C29BC"/>
    <w:rsid w:val="006C360A"/>
    <w:rsid w:val="006C386C"/>
    <w:rsid w:val="006C38C5"/>
    <w:rsid w:val="006C3DE2"/>
    <w:rsid w:val="006C4131"/>
    <w:rsid w:val="006C41DF"/>
    <w:rsid w:val="006C50E5"/>
    <w:rsid w:val="006C53B1"/>
    <w:rsid w:val="006C5505"/>
    <w:rsid w:val="006C5637"/>
    <w:rsid w:val="006C567E"/>
    <w:rsid w:val="006C5C59"/>
    <w:rsid w:val="006C5C7A"/>
    <w:rsid w:val="006C5F12"/>
    <w:rsid w:val="006C5FEB"/>
    <w:rsid w:val="006C603A"/>
    <w:rsid w:val="006C60F7"/>
    <w:rsid w:val="006C62D8"/>
    <w:rsid w:val="006C6742"/>
    <w:rsid w:val="006C6985"/>
    <w:rsid w:val="006C6BF3"/>
    <w:rsid w:val="006C6D69"/>
    <w:rsid w:val="006C6F94"/>
    <w:rsid w:val="006C703E"/>
    <w:rsid w:val="006C7373"/>
    <w:rsid w:val="006C77C9"/>
    <w:rsid w:val="006C7A4C"/>
    <w:rsid w:val="006C7CCD"/>
    <w:rsid w:val="006C7DCC"/>
    <w:rsid w:val="006C7E67"/>
    <w:rsid w:val="006C7EEE"/>
    <w:rsid w:val="006D0069"/>
    <w:rsid w:val="006D0093"/>
    <w:rsid w:val="006D04BB"/>
    <w:rsid w:val="006D092B"/>
    <w:rsid w:val="006D0964"/>
    <w:rsid w:val="006D099A"/>
    <w:rsid w:val="006D0A47"/>
    <w:rsid w:val="006D0B48"/>
    <w:rsid w:val="006D0C1A"/>
    <w:rsid w:val="006D105E"/>
    <w:rsid w:val="006D1265"/>
    <w:rsid w:val="006D139D"/>
    <w:rsid w:val="006D157F"/>
    <w:rsid w:val="006D1B26"/>
    <w:rsid w:val="006D1EC7"/>
    <w:rsid w:val="006D20C8"/>
    <w:rsid w:val="006D2291"/>
    <w:rsid w:val="006D2650"/>
    <w:rsid w:val="006D2934"/>
    <w:rsid w:val="006D2E76"/>
    <w:rsid w:val="006D38CD"/>
    <w:rsid w:val="006D38E9"/>
    <w:rsid w:val="006D396C"/>
    <w:rsid w:val="006D4D75"/>
    <w:rsid w:val="006D4F9A"/>
    <w:rsid w:val="006D4FE7"/>
    <w:rsid w:val="006D536A"/>
    <w:rsid w:val="006D5667"/>
    <w:rsid w:val="006D5A2C"/>
    <w:rsid w:val="006D5F0C"/>
    <w:rsid w:val="006D5F1D"/>
    <w:rsid w:val="006D5FF7"/>
    <w:rsid w:val="006D6245"/>
    <w:rsid w:val="006D6380"/>
    <w:rsid w:val="006D6697"/>
    <w:rsid w:val="006D66A2"/>
    <w:rsid w:val="006D7089"/>
    <w:rsid w:val="006D71AC"/>
    <w:rsid w:val="006D750B"/>
    <w:rsid w:val="006D786C"/>
    <w:rsid w:val="006D7B06"/>
    <w:rsid w:val="006D7E36"/>
    <w:rsid w:val="006D7E95"/>
    <w:rsid w:val="006E034C"/>
    <w:rsid w:val="006E06C2"/>
    <w:rsid w:val="006E08EB"/>
    <w:rsid w:val="006E098E"/>
    <w:rsid w:val="006E0D99"/>
    <w:rsid w:val="006E1246"/>
    <w:rsid w:val="006E132B"/>
    <w:rsid w:val="006E1657"/>
    <w:rsid w:val="006E1680"/>
    <w:rsid w:val="006E171B"/>
    <w:rsid w:val="006E19AD"/>
    <w:rsid w:val="006E2045"/>
    <w:rsid w:val="006E2435"/>
    <w:rsid w:val="006E2576"/>
    <w:rsid w:val="006E26DB"/>
    <w:rsid w:val="006E286A"/>
    <w:rsid w:val="006E2BC1"/>
    <w:rsid w:val="006E2BE8"/>
    <w:rsid w:val="006E2FD4"/>
    <w:rsid w:val="006E2FF1"/>
    <w:rsid w:val="006E306B"/>
    <w:rsid w:val="006E3221"/>
    <w:rsid w:val="006E39DD"/>
    <w:rsid w:val="006E3C3B"/>
    <w:rsid w:val="006E3D74"/>
    <w:rsid w:val="006E3E16"/>
    <w:rsid w:val="006E409A"/>
    <w:rsid w:val="006E41B6"/>
    <w:rsid w:val="006E452E"/>
    <w:rsid w:val="006E481A"/>
    <w:rsid w:val="006E4B35"/>
    <w:rsid w:val="006E4C44"/>
    <w:rsid w:val="006E4C57"/>
    <w:rsid w:val="006E5101"/>
    <w:rsid w:val="006E5449"/>
    <w:rsid w:val="006E5812"/>
    <w:rsid w:val="006E5C11"/>
    <w:rsid w:val="006E5C13"/>
    <w:rsid w:val="006E5C58"/>
    <w:rsid w:val="006E5E0A"/>
    <w:rsid w:val="006E5E16"/>
    <w:rsid w:val="006E5E29"/>
    <w:rsid w:val="006E6789"/>
    <w:rsid w:val="006E68AD"/>
    <w:rsid w:val="006E6910"/>
    <w:rsid w:val="006E6B6D"/>
    <w:rsid w:val="006E744E"/>
    <w:rsid w:val="006E7878"/>
    <w:rsid w:val="006E7A29"/>
    <w:rsid w:val="006E7AD2"/>
    <w:rsid w:val="006E7EA0"/>
    <w:rsid w:val="006F0038"/>
    <w:rsid w:val="006F0323"/>
    <w:rsid w:val="006F071D"/>
    <w:rsid w:val="006F0848"/>
    <w:rsid w:val="006F0A0C"/>
    <w:rsid w:val="006F0CCC"/>
    <w:rsid w:val="006F0D1C"/>
    <w:rsid w:val="006F0ECA"/>
    <w:rsid w:val="006F14D1"/>
    <w:rsid w:val="006F1555"/>
    <w:rsid w:val="006F1AB5"/>
    <w:rsid w:val="006F1B4B"/>
    <w:rsid w:val="006F1E7E"/>
    <w:rsid w:val="006F1E86"/>
    <w:rsid w:val="006F2219"/>
    <w:rsid w:val="006F24C5"/>
    <w:rsid w:val="006F26EC"/>
    <w:rsid w:val="006F286D"/>
    <w:rsid w:val="006F28A8"/>
    <w:rsid w:val="006F2903"/>
    <w:rsid w:val="006F297C"/>
    <w:rsid w:val="006F2A03"/>
    <w:rsid w:val="006F2CAF"/>
    <w:rsid w:val="006F2DF8"/>
    <w:rsid w:val="006F31E1"/>
    <w:rsid w:val="006F32D8"/>
    <w:rsid w:val="006F3339"/>
    <w:rsid w:val="006F3752"/>
    <w:rsid w:val="006F3758"/>
    <w:rsid w:val="006F3973"/>
    <w:rsid w:val="006F3A5F"/>
    <w:rsid w:val="006F3B13"/>
    <w:rsid w:val="006F3D8B"/>
    <w:rsid w:val="006F3ED7"/>
    <w:rsid w:val="006F4436"/>
    <w:rsid w:val="006F46BD"/>
    <w:rsid w:val="006F4725"/>
    <w:rsid w:val="006F47C5"/>
    <w:rsid w:val="006F488A"/>
    <w:rsid w:val="006F4BC9"/>
    <w:rsid w:val="006F5038"/>
    <w:rsid w:val="006F5097"/>
    <w:rsid w:val="006F534B"/>
    <w:rsid w:val="006F5504"/>
    <w:rsid w:val="006F55F5"/>
    <w:rsid w:val="006F5761"/>
    <w:rsid w:val="006F5818"/>
    <w:rsid w:val="006F5D25"/>
    <w:rsid w:val="006F5D89"/>
    <w:rsid w:val="006F5E09"/>
    <w:rsid w:val="006F5E4A"/>
    <w:rsid w:val="006F5E7C"/>
    <w:rsid w:val="006F61C4"/>
    <w:rsid w:val="006F6270"/>
    <w:rsid w:val="006F6630"/>
    <w:rsid w:val="006F678D"/>
    <w:rsid w:val="006F68FE"/>
    <w:rsid w:val="006F6AE6"/>
    <w:rsid w:val="006F6DCF"/>
    <w:rsid w:val="006F6F39"/>
    <w:rsid w:val="006F750A"/>
    <w:rsid w:val="006F7A04"/>
    <w:rsid w:val="0070007A"/>
    <w:rsid w:val="007003F9"/>
    <w:rsid w:val="00700AC2"/>
    <w:rsid w:val="00700CAE"/>
    <w:rsid w:val="0070126A"/>
    <w:rsid w:val="00701300"/>
    <w:rsid w:val="007013E2"/>
    <w:rsid w:val="00701422"/>
    <w:rsid w:val="0070146B"/>
    <w:rsid w:val="007015E2"/>
    <w:rsid w:val="007016DD"/>
    <w:rsid w:val="00701745"/>
    <w:rsid w:val="00701A01"/>
    <w:rsid w:val="00701B01"/>
    <w:rsid w:val="00701D10"/>
    <w:rsid w:val="00702343"/>
    <w:rsid w:val="0070245F"/>
    <w:rsid w:val="007024FA"/>
    <w:rsid w:val="007027DA"/>
    <w:rsid w:val="007029E1"/>
    <w:rsid w:val="00702ACB"/>
    <w:rsid w:val="00702DE1"/>
    <w:rsid w:val="00702E4D"/>
    <w:rsid w:val="00702E92"/>
    <w:rsid w:val="00702F61"/>
    <w:rsid w:val="00702FF0"/>
    <w:rsid w:val="007030D1"/>
    <w:rsid w:val="007035BA"/>
    <w:rsid w:val="00703613"/>
    <w:rsid w:val="00703E95"/>
    <w:rsid w:val="00703EB0"/>
    <w:rsid w:val="00703EB1"/>
    <w:rsid w:val="007040A3"/>
    <w:rsid w:val="007042CA"/>
    <w:rsid w:val="0070439E"/>
    <w:rsid w:val="00704446"/>
    <w:rsid w:val="00704537"/>
    <w:rsid w:val="00704F9B"/>
    <w:rsid w:val="00704FED"/>
    <w:rsid w:val="007050EB"/>
    <w:rsid w:val="00705199"/>
    <w:rsid w:val="007051BD"/>
    <w:rsid w:val="007051D0"/>
    <w:rsid w:val="00705437"/>
    <w:rsid w:val="007054F5"/>
    <w:rsid w:val="00705613"/>
    <w:rsid w:val="0070563C"/>
    <w:rsid w:val="007059F7"/>
    <w:rsid w:val="00706014"/>
    <w:rsid w:val="007064F9"/>
    <w:rsid w:val="00706726"/>
    <w:rsid w:val="00706FCC"/>
    <w:rsid w:val="0070720D"/>
    <w:rsid w:val="007072D8"/>
    <w:rsid w:val="0070747F"/>
    <w:rsid w:val="007075D9"/>
    <w:rsid w:val="00707E0B"/>
    <w:rsid w:val="00707E67"/>
    <w:rsid w:val="00707E7B"/>
    <w:rsid w:val="00707FA3"/>
    <w:rsid w:val="007102CB"/>
    <w:rsid w:val="007103A4"/>
    <w:rsid w:val="007103C8"/>
    <w:rsid w:val="0071066B"/>
    <w:rsid w:val="0071069E"/>
    <w:rsid w:val="007108BE"/>
    <w:rsid w:val="00710A1A"/>
    <w:rsid w:val="00710AC3"/>
    <w:rsid w:val="00710D92"/>
    <w:rsid w:val="00710EAB"/>
    <w:rsid w:val="00711148"/>
    <w:rsid w:val="00711500"/>
    <w:rsid w:val="0071161C"/>
    <w:rsid w:val="00711A51"/>
    <w:rsid w:val="00711E6D"/>
    <w:rsid w:val="00712166"/>
    <w:rsid w:val="007124C0"/>
    <w:rsid w:val="0071266A"/>
    <w:rsid w:val="007129CD"/>
    <w:rsid w:val="00712B2D"/>
    <w:rsid w:val="00712D8A"/>
    <w:rsid w:val="00712E8A"/>
    <w:rsid w:val="007134BB"/>
    <w:rsid w:val="0071363E"/>
    <w:rsid w:val="007138FB"/>
    <w:rsid w:val="00713906"/>
    <w:rsid w:val="00713DF3"/>
    <w:rsid w:val="00713ED2"/>
    <w:rsid w:val="00713F4B"/>
    <w:rsid w:val="0071409D"/>
    <w:rsid w:val="007148A1"/>
    <w:rsid w:val="0071491E"/>
    <w:rsid w:val="00714A6E"/>
    <w:rsid w:val="00714A74"/>
    <w:rsid w:val="00714AB2"/>
    <w:rsid w:val="00714AF9"/>
    <w:rsid w:val="00714F12"/>
    <w:rsid w:val="00714F37"/>
    <w:rsid w:val="00714F9C"/>
    <w:rsid w:val="0071506D"/>
    <w:rsid w:val="0071506F"/>
    <w:rsid w:val="007155B8"/>
    <w:rsid w:val="00716357"/>
    <w:rsid w:val="00716406"/>
    <w:rsid w:val="00716691"/>
    <w:rsid w:val="007166AA"/>
    <w:rsid w:val="007169BF"/>
    <w:rsid w:val="00716BA9"/>
    <w:rsid w:val="007172C9"/>
    <w:rsid w:val="007172F9"/>
    <w:rsid w:val="007173BF"/>
    <w:rsid w:val="0071759B"/>
    <w:rsid w:val="007177A4"/>
    <w:rsid w:val="00717B2B"/>
    <w:rsid w:val="0072016B"/>
    <w:rsid w:val="007204C1"/>
    <w:rsid w:val="0072053B"/>
    <w:rsid w:val="007209D6"/>
    <w:rsid w:val="00720B1E"/>
    <w:rsid w:val="00720B89"/>
    <w:rsid w:val="00720C63"/>
    <w:rsid w:val="00720DE0"/>
    <w:rsid w:val="00720EDB"/>
    <w:rsid w:val="007210F0"/>
    <w:rsid w:val="0072145E"/>
    <w:rsid w:val="00721E21"/>
    <w:rsid w:val="00722109"/>
    <w:rsid w:val="0072248E"/>
    <w:rsid w:val="0072268A"/>
    <w:rsid w:val="00722701"/>
    <w:rsid w:val="007228D4"/>
    <w:rsid w:val="00722A90"/>
    <w:rsid w:val="00722F27"/>
    <w:rsid w:val="00722FA2"/>
    <w:rsid w:val="00722FC8"/>
    <w:rsid w:val="00722FF7"/>
    <w:rsid w:val="00723136"/>
    <w:rsid w:val="007231B3"/>
    <w:rsid w:val="007232C0"/>
    <w:rsid w:val="00723444"/>
    <w:rsid w:val="0072373A"/>
    <w:rsid w:val="007239BD"/>
    <w:rsid w:val="00723ADF"/>
    <w:rsid w:val="00723E51"/>
    <w:rsid w:val="0072408A"/>
    <w:rsid w:val="0072446F"/>
    <w:rsid w:val="007245DD"/>
    <w:rsid w:val="007246CF"/>
    <w:rsid w:val="00724CB2"/>
    <w:rsid w:val="00724EBC"/>
    <w:rsid w:val="00724F4F"/>
    <w:rsid w:val="00724FE5"/>
    <w:rsid w:val="0072583C"/>
    <w:rsid w:val="007258FA"/>
    <w:rsid w:val="00725982"/>
    <w:rsid w:val="00725C05"/>
    <w:rsid w:val="007261ED"/>
    <w:rsid w:val="00726839"/>
    <w:rsid w:val="0072685F"/>
    <w:rsid w:val="007268AB"/>
    <w:rsid w:val="00726CD0"/>
    <w:rsid w:val="00726CE5"/>
    <w:rsid w:val="00726E75"/>
    <w:rsid w:val="00727093"/>
    <w:rsid w:val="00727154"/>
    <w:rsid w:val="00727AF3"/>
    <w:rsid w:val="0073000B"/>
    <w:rsid w:val="00730086"/>
    <w:rsid w:val="007303D5"/>
    <w:rsid w:val="00730568"/>
    <w:rsid w:val="0073059F"/>
    <w:rsid w:val="007306B4"/>
    <w:rsid w:val="00730897"/>
    <w:rsid w:val="007308B5"/>
    <w:rsid w:val="007308BB"/>
    <w:rsid w:val="00730A5B"/>
    <w:rsid w:val="00730C53"/>
    <w:rsid w:val="00730F42"/>
    <w:rsid w:val="00730FBE"/>
    <w:rsid w:val="00731006"/>
    <w:rsid w:val="00731154"/>
    <w:rsid w:val="00731626"/>
    <w:rsid w:val="00731843"/>
    <w:rsid w:val="00731A10"/>
    <w:rsid w:val="00731A7E"/>
    <w:rsid w:val="00731B9F"/>
    <w:rsid w:val="00731D7E"/>
    <w:rsid w:val="0073201F"/>
    <w:rsid w:val="007323DD"/>
    <w:rsid w:val="007325ED"/>
    <w:rsid w:val="0073290A"/>
    <w:rsid w:val="00732AFB"/>
    <w:rsid w:val="00732CBA"/>
    <w:rsid w:val="00732E10"/>
    <w:rsid w:val="00733341"/>
    <w:rsid w:val="0073342B"/>
    <w:rsid w:val="00734155"/>
    <w:rsid w:val="00734338"/>
    <w:rsid w:val="0073462A"/>
    <w:rsid w:val="007348A4"/>
    <w:rsid w:val="00734989"/>
    <w:rsid w:val="00734D68"/>
    <w:rsid w:val="007351E5"/>
    <w:rsid w:val="007351F7"/>
    <w:rsid w:val="00735246"/>
    <w:rsid w:val="00735412"/>
    <w:rsid w:val="0073564A"/>
    <w:rsid w:val="00735724"/>
    <w:rsid w:val="00735834"/>
    <w:rsid w:val="00735A50"/>
    <w:rsid w:val="00735A86"/>
    <w:rsid w:val="00735BB5"/>
    <w:rsid w:val="00735F14"/>
    <w:rsid w:val="00735FEB"/>
    <w:rsid w:val="007360D0"/>
    <w:rsid w:val="007362CA"/>
    <w:rsid w:val="0073655F"/>
    <w:rsid w:val="0073674B"/>
    <w:rsid w:val="007367DB"/>
    <w:rsid w:val="007367FA"/>
    <w:rsid w:val="0073684F"/>
    <w:rsid w:val="00736A3A"/>
    <w:rsid w:val="00736B39"/>
    <w:rsid w:val="00736BE4"/>
    <w:rsid w:val="00737130"/>
    <w:rsid w:val="007373FB"/>
    <w:rsid w:val="00737553"/>
    <w:rsid w:val="00737F36"/>
    <w:rsid w:val="00740490"/>
    <w:rsid w:val="007404C4"/>
    <w:rsid w:val="007405C0"/>
    <w:rsid w:val="00740658"/>
    <w:rsid w:val="00741399"/>
    <w:rsid w:val="0074165C"/>
    <w:rsid w:val="0074182E"/>
    <w:rsid w:val="00741C9B"/>
    <w:rsid w:val="00742230"/>
    <w:rsid w:val="00742291"/>
    <w:rsid w:val="00742B11"/>
    <w:rsid w:val="00742DC0"/>
    <w:rsid w:val="00742E5E"/>
    <w:rsid w:val="00742FD1"/>
    <w:rsid w:val="00743618"/>
    <w:rsid w:val="0074380D"/>
    <w:rsid w:val="0074386F"/>
    <w:rsid w:val="007438E3"/>
    <w:rsid w:val="00743C2B"/>
    <w:rsid w:val="007440E3"/>
    <w:rsid w:val="0074432C"/>
    <w:rsid w:val="0074442E"/>
    <w:rsid w:val="007445AE"/>
    <w:rsid w:val="0074460B"/>
    <w:rsid w:val="0074477C"/>
    <w:rsid w:val="00744870"/>
    <w:rsid w:val="00744990"/>
    <w:rsid w:val="00744B6A"/>
    <w:rsid w:val="00744C61"/>
    <w:rsid w:val="00744F9C"/>
    <w:rsid w:val="007455F6"/>
    <w:rsid w:val="00745694"/>
    <w:rsid w:val="0074605D"/>
    <w:rsid w:val="00746090"/>
    <w:rsid w:val="0074612F"/>
    <w:rsid w:val="007463C2"/>
    <w:rsid w:val="00746499"/>
    <w:rsid w:val="007466A6"/>
    <w:rsid w:val="00746876"/>
    <w:rsid w:val="007469A7"/>
    <w:rsid w:val="00746AD6"/>
    <w:rsid w:val="0074710A"/>
    <w:rsid w:val="00747259"/>
    <w:rsid w:val="007472EA"/>
    <w:rsid w:val="0074733F"/>
    <w:rsid w:val="0074799C"/>
    <w:rsid w:val="007479BD"/>
    <w:rsid w:val="00747C52"/>
    <w:rsid w:val="00750347"/>
    <w:rsid w:val="0075044A"/>
    <w:rsid w:val="0075077F"/>
    <w:rsid w:val="007515B2"/>
    <w:rsid w:val="00751703"/>
    <w:rsid w:val="00751850"/>
    <w:rsid w:val="00751C07"/>
    <w:rsid w:val="00751DED"/>
    <w:rsid w:val="00751E7C"/>
    <w:rsid w:val="00752825"/>
    <w:rsid w:val="00752EEE"/>
    <w:rsid w:val="007533F4"/>
    <w:rsid w:val="00753609"/>
    <w:rsid w:val="00753678"/>
    <w:rsid w:val="007537C7"/>
    <w:rsid w:val="00753C0E"/>
    <w:rsid w:val="00753CFD"/>
    <w:rsid w:val="00754061"/>
    <w:rsid w:val="00754325"/>
    <w:rsid w:val="0075436C"/>
    <w:rsid w:val="007544BB"/>
    <w:rsid w:val="0075456C"/>
    <w:rsid w:val="0075468F"/>
    <w:rsid w:val="00754AEA"/>
    <w:rsid w:val="00754D99"/>
    <w:rsid w:val="00754E5C"/>
    <w:rsid w:val="00754ED8"/>
    <w:rsid w:val="00754FE0"/>
    <w:rsid w:val="00755706"/>
    <w:rsid w:val="00755D20"/>
    <w:rsid w:val="007561F4"/>
    <w:rsid w:val="00756443"/>
    <w:rsid w:val="0075666F"/>
    <w:rsid w:val="00756A9F"/>
    <w:rsid w:val="00756AAE"/>
    <w:rsid w:val="00756C69"/>
    <w:rsid w:val="00756E77"/>
    <w:rsid w:val="00757094"/>
    <w:rsid w:val="00757329"/>
    <w:rsid w:val="00757434"/>
    <w:rsid w:val="00757486"/>
    <w:rsid w:val="00757727"/>
    <w:rsid w:val="00757AFE"/>
    <w:rsid w:val="00760413"/>
    <w:rsid w:val="00760550"/>
    <w:rsid w:val="00760570"/>
    <w:rsid w:val="00760930"/>
    <w:rsid w:val="00760AA2"/>
    <w:rsid w:val="007612BA"/>
    <w:rsid w:val="007612C6"/>
    <w:rsid w:val="0076134C"/>
    <w:rsid w:val="0076176D"/>
    <w:rsid w:val="00761771"/>
    <w:rsid w:val="00761AF6"/>
    <w:rsid w:val="00761B3F"/>
    <w:rsid w:val="00761B55"/>
    <w:rsid w:val="00761C53"/>
    <w:rsid w:val="00762C69"/>
    <w:rsid w:val="0076334B"/>
    <w:rsid w:val="00763445"/>
    <w:rsid w:val="0076367D"/>
    <w:rsid w:val="0076389A"/>
    <w:rsid w:val="00763A57"/>
    <w:rsid w:val="00763E5B"/>
    <w:rsid w:val="00764017"/>
    <w:rsid w:val="00764032"/>
    <w:rsid w:val="007641F5"/>
    <w:rsid w:val="00764373"/>
    <w:rsid w:val="0076452D"/>
    <w:rsid w:val="00764B9E"/>
    <w:rsid w:val="00764F13"/>
    <w:rsid w:val="00765641"/>
    <w:rsid w:val="007657AC"/>
    <w:rsid w:val="007657FD"/>
    <w:rsid w:val="00765C49"/>
    <w:rsid w:val="00765D61"/>
    <w:rsid w:val="00765F66"/>
    <w:rsid w:val="00765F84"/>
    <w:rsid w:val="007660F5"/>
    <w:rsid w:val="00766290"/>
    <w:rsid w:val="007663E4"/>
    <w:rsid w:val="007669BB"/>
    <w:rsid w:val="00766A1F"/>
    <w:rsid w:val="00766A5B"/>
    <w:rsid w:val="00766A88"/>
    <w:rsid w:val="00766EBC"/>
    <w:rsid w:val="007670BE"/>
    <w:rsid w:val="00767380"/>
    <w:rsid w:val="007674EF"/>
    <w:rsid w:val="007675B7"/>
    <w:rsid w:val="00767942"/>
    <w:rsid w:val="00767996"/>
    <w:rsid w:val="00767F81"/>
    <w:rsid w:val="007701C7"/>
    <w:rsid w:val="007704DF"/>
    <w:rsid w:val="00770B16"/>
    <w:rsid w:val="00770B1B"/>
    <w:rsid w:val="007711F2"/>
    <w:rsid w:val="0077155D"/>
    <w:rsid w:val="0077194B"/>
    <w:rsid w:val="00771BE2"/>
    <w:rsid w:val="007722B4"/>
    <w:rsid w:val="007722C9"/>
    <w:rsid w:val="007725C8"/>
    <w:rsid w:val="0077261C"/>
    <w:rsid w:val="007729B9"/>
    <w:rsid w:val="00772D2B"/>
    <w:rsid w:val="00772F36"/>
    <w:rsid w:val="00772FE4"/>
    <w:rsid w:val="007730E7"/>
    <w:rsid w:val="00773712"/>
    <w:rsid w:val="00773814"/>
    <w:rsid w:val="007739A9"/>
    <w:rsid w:val="007739CB"/>
    <w:rsid w:val="00773C69"/>
    <w:rsid w:val="007740DA"/>
    <w:rsid w:val="00774143"/>
    <w:rsid w:val="007742F6"/>
    <w:rsid w:val="007749C9"/>
    <w:rsid w:val="00774E7A"/>
    <w:rsid w:val="00775202"/>
    <w:rsid w:val="00775479"/>
    <w:rsid w:val="00775585"/>
    <w:rsid w:val="007757D8"/>
    <w:rsid w:val="00775965"/>
    <w:rsid w:val="00775CC8"/>
    <w:rsid w:val="00775F76"/>
    <w:rsid w:val="00776269"/>
    <w:rsid w:val="0077629F"/>
    <w:rsid w:val="0077637E"/>
    <w:rsid w:val="007764E8"/>
    <w:rsid w:val="00776595"/>
    <w:rsid w:val="00776657"/>
    <w:rsid w:val="0077691E"/>
    <w:rsid w:val="0077692A"/>
    <w:rsid w:val="00776CA4"/>
    <w:rsid w:val="00776FAD"/>
    <w:rsid w:val="007773FA"/>
    <w:rsid w:val="007774F7"/>
    <w:rsid w:val="00777624"/>
    <w:rsid w:val="007777AE"/>
    <w:rsid w:val="007778F8"/>
    <w:rsid w:val="00777B20"/>
    <w:rsid w:val="00777DF2"/>
    <w:rsid w:val="00777FCC"/>
    <w:rsid w:val="007801AB"/>
    <w:rsid w:val="0078036B"/>
    <w:rsid w:val="007803F1"/>
    <w:rsid w:val="0078079C"/>
    <w:rsid w:val="007807EC"/>
    <w:rsid w:val="007808CF"/>
    <w:rsid w:val="00780A31"/>
    <w:rsid w:val="00780D14"/>
    <w:rsid w:val="007810A1"/>
    <w:rsid w:val="0078114E"/>
    <w:rsid w:val="00781188"/>
    <w:rsid w:val="007811D7"/>
    <w:rsid w:val="007811E1"/>
    <w:rsid w:val="0078128E"/>
    <w:rsid w:val="007812D6"/>
    <w:rsid w:val="0078137A"/>
    <w:rsid w:val="007815B3"/>
    <w:rsid w:val="007818C8"/>
    <w:rsid w:val="0078190D"/>
    <w:rsid w:val="0078210C"/>
    <w:rsid w:val="00782201"/>
    <w:rsid w:val="007822BB"/>
    <w:rsid w:val="007822DC"/>
    <w:rsid w:val="007827D4"/>
    <w:rsid w:val="00782847"/>
    <w:rsid w:val="007828CF"/>
    <w:rsid w:val="007829F9"/>
    <w:rsid w:val="00782CDE"/>
    <w:rsid w:val="00783004"/>
    <w:rsid w:val="007831E2"/>
    <w:rsid w:val="007832DE"/>
    <w:rsid w:val="00783380"/>
    <w:rsid w:val="007833C0"/>
    <w:rsid w:val="0078352D"/>
    <w:rsid w:val="0078376D"/>
    <w:rsid w:val="007838F8"/>
    <w:rsid w:val="00783D76"/>
    <w:rsid w:val="00783E55"/>
    <w:rsid w:val="007844C5"/>
    <w:rsid w:val="00784D10"/>
    <w:rsid w:val="00785156"/>
    <w:rsid w:val="00785268"/>
    <w:rsid w:val="007852F7"/>
    <w:rsid w:val="007853B9"/>
    <w:rsid w:val="0078552D"/>
    <w:rsid w:val="00785700"/>
    <w:rsid w:val="0078588C"/>
    <w:rsid w:val="00785A24"/>
    <w:rsid w:val="00785BB9"/>
    <w:rsid w:val="00785CF9"/>
    <w:rsid w:val="00785E1E"/>
    <w:rsid w:val="007862A6"/>
    <w:rsid w:val="0078642D"/>
    <w:rsid w:val="00786461"/>
    <w:rsid w:val="00786EB1"/>
    <w:rsid w:val="00786EC3"/>
    <w:rsid w:val="007872E4"/>
    <w:rsid w:val="007874A1"/>
    <w:rsid w:val="00787540"/>
    <w:rsid w:val="007876E9"/>
    <w:rsid w:val="00787737"/>
    <w:rsid w:val="00787845"/>
    <w:rsid w:val="007878D8"/>
    <w:rsid w:val="00787A13"/>
    <w:rsid w:val="00787A49"/>
    <w:rsid w:val="00787B69"/>
    <w:rsid w:val="00787CE6"/>
    <w:rsid w:val="00787F4C"/>
    <w:rsid w:val="0079012C"/>
    <w:rsid w:val="00790636"/>
    <w:rsid w:val="007906C1"/>
    <w:rsid w:val="0079090E"/>
    <w:rsid w:val="00790F49"/>
    <w:rsid w:val="007911A3"/>
    <w:rsid w:val="00791205"/>
    <w:rsid w:val="0079132D"/>
    <w:rsid w:val="007913AF"/>
    <w:rsid w:val="00791C60"/>
    <w:rsid w:val="00791D14"/>
    <w:rsid w:val="0079232B"/>
    <w:rsid w:val="0079235C"/>
    <w:rsid w:val="00792506"/>
    <w:rsid w:val="00792763"/>
    <w:rsid w:val="00792872"/>
    <w:rsid w:val="00792888"/>
    <w:rsid w:val="007928F5"/>
    <w:rsid w:val="00792A0D"/>
    <w:rsid w:val="00792F37"/>
    <w:rsid w:val="00793065"/>
    <w:rsid w:val="00793414"/>
    <w:rsid w:val="007935B8"/>
    <w:rsid w:val="00793765"/>
    <w:rsid w:val="00793A70"/>
    <w:rsid w:val="00793B0F"/>
    <w:rsid w:val="00793F8E"/>
    <w:rsid w:val="00793F9E"/>
    <w:rsid w:val="00793FB2"/>
    <w:rsid w:val="007941A9"/>
    <w:rsid w:val="00794685"/>
    <w:rsid w:val="00794800"/>
    <w:rsid w:val="00794995"/>
    <w:rsid w:val="00794C29"/>
    <w:rsid w:val="00794F9B"/>
    <w:rsid w:val="00794FA8"/>
    <w:rsid w:val="00794FB7"/>
    <w:rsid w:val="00795004"/>
    <w:rsid w:val="00795272"/>
    <w:rsid w:val="0079554C"/>
    <w:rsid w:val="00795FF5"/>
    <w:rsid w:val="00796206"/>
    <w:rsid w:val="00796359"/>
    <w:rsid w:val="007965F0"/>
    <w:rsid w:val="00796D2D"/>
    <w:rsid w:val="00796DFE"/>
    <w:rsid w:val="00796EA7"/>
    <w:rsid w:val="00796ECC"/>
    <w:rsid w:val="00796ED0"/>
    <w:rsid w:val="00796FB4"/>
    <w:rsid w:val="00797023"/>
    <w:rsid w:val="007974DD"/>
    <w:rsid w:val="007976AC"/>
    <w:rsid w:val="00797D48"/>
    <w:rsid w:val="00797F0C"/>
    <w:rsid w:val="007A00F8"/>
    <w:rsid w:val="007A0110"/>
    <w:rsid w:val="007A01BB"/>
    <w:rsid w:val="007A02E9"/>
    <w:rsid w:val="007A0563"/>
    <w:rsid w:val="007A06E7"/>
    <w:rsid w:val="007A0723"/>
    <w:rsid w:val="007A0940"/>
    <w:rsid w:val="007A0A66"/>
    <w:rsid w:val="007A0BB5"/>
    <w:rsid w:val="007A0CE9"/>
    <w:rsid w:val="007A0CF1"/>
    <w:rsid w:val="007A13F1"/>
    <w:rsid w:val="007A1469"/>
    <w:rsid w:val="007A14D2"/>
    <w:rsid w:val="007A14EB"/>
    <w:rsid w:val="007A1707"/>
    <w:rsid w:val="007A1807"/>
    <w:rsid w:val="007A19F6"/>
    <w:rsid w:val="007A1E71"/>
    <w:rsid w:val="007A1EBB"/>
    <w:rsid w:val="007A1F6B"/>
    <w:rsid w:val="007A2100"/>
    <w:rsid w:val="007A2205"/>
    <w:rsid w:val="007A25DE"/>
    <w:rsid w:val="007A2AA7"/>
    <w:rsid w:val="007A2ACE"/>
    <w:rsid w:val="007A2AF2"/>
    <w:rsid w:val="007A2B83"/>
    <w:rsid w:val="007A3529"/>
    <w:rsid w:val="007A378D"/>
    <w:rsid w:val="007A3A1B"/>
    <w:rsid w:val="007A3AEF"/>
    <w:rsid w:val="007A3C60"/>
    <w:rsid w:val="007A3DA7"/>
    <w:rsid w:val="007A3DDB"/>
    <w:rsid w:val="007A3FE9"/>
    <w:rsid w:val="007A4156"/>
    <w:rsid w:val="007A41EF"/>
    <w:rsid w:val="007A45CF"/>
    <w:rsid w:val="007A464B"/>
    <w:rsid w:val="007A46B3"/>
    <w:rsid w:val="007A4800"/>
    <w:rsid w:val="007A4A4D"/>
    <w:rsid w:val="007A4DBF"/>
    <w:rsid w:val="007A4E0F"/>
    <w:rsid w:val="007A4FA8"/>
    <w:rsid w:val="007A4FAD"/>
    <w:rsid w:val="007A514D"/>
    <w:rsid w:val="007A531C"/>
    <w:rsid w:val="007A5486"/>
    <w:rsid w:val="007A54B3"/>
    <w:rsid w:val="007A5548"/>
    <w:rsid w:val="007A556E"/>
    <w:rsid w:val="007A5571"/>
    <w:rsid w:val="007A55F9"/>
    <w:rsid w:val="007A5EDB"/>
    <w:rsid w:val="007A63E5"/>
    <w:rsid w:val="007A6887"/>
    <w:rsid w:val="007A6920"/>
    <w:rsid w:val="007A6EDE"/>
    <w:rsid w:val="007A6F72"/>
    <w:rsid w:val="007A7193"/>
    <w:rsid w:val="007A7245"/>
    <w:rsid w:val="007A763D"/>
    <w:rsid w:val="007A7813"/>
    <w:rsid w:val="007A781E"/>
    <w:rsid w:val="007A78D3"/>
    <w:rsid w:val="007A7C29"/>
    <w:rsid w:val="007A7D72"/>
    <w:rsid w:val="007A7E52"/>
    <w:rsid w:val="007B03C9"/>
    <w:rsid w:val="007B047F"/>
    <w:rsid w:val="007B0666"/>
    <w:rsid w:val="007B06E1"/>
    <w:rsid w:val="007B0DBB"/>
    <w:rsid w:val="007B1080"/>
    <w:rsid w:val="007B12E1"/>
    <w:rsid w:val="007B1B99"/>
    <w:rsid w:val="007B1FC1"/>
    <w:rsid w:val="007B2064"/>
    <w:rsid w:val="007B20B8"/>
    <w:rsid w:val="007B20EB"/>
    <w:rsid w:val="007B21FC"/>
    <w:rsid w:val="007B235D"/>
    <w:rsid w:val="007B26D2"/>
    <w:rsid w:val="007B287E"/>
    <w:rsid w:val="007B295F"/>
    <w:rsid w:val="007B2972"/>
    <w:rsid w:val="007B2B7A"/>
    <w:rsid w:val="007B2D01"/>
    <w:rsid w:val="007B2DB4"/>
    <w:rsid w:val="007B367F"/>
    <w:rsid w:val="007B3882"/>
    <w:rsid w:val="007B3AB4"/>
    <w:rsid w:val="007B3C8B"/>
    <w:rsid w:val="007B3D17"/>
    <w:rsid w:val="007B3FD0"/>
    <w:rsid w:val="007B3FE2"/>
    <w:rsid w:val="007B483E"/>
    <w:rsid w:val="007B4D4D"/>
    <w:rsid w:val="007B5164"/>
    <w:rsid w:val="007B51C1"/>
    <w:rsid w:val="007B51E3"/>
    <w:rsid w:val="007B53E0"/>
    <w:rsid w:val="007B5616"/>
    <w:rsid w:val="007B5896"/>
    <w:rsid w:val="007B5A63"/>
    <w:rsid w:val="007B5B51"/>
    <w:rsid w:val="007B5BBC"/>
    <w:rsid w:val="007B5D42"/>
    <w:rsid w:val="007B60BF"/>
    <w:rsid w:val="007B61C0"/>
    <w:rsid w:val="007B6700"/>
    <w:rsid w:val="007B67C7"/>
    <w:rsid w:val="007B6A52"/>
    <w:rsid w:val="007B6CC6"/>
    <w:rsid w:val="007B714C"/>
    <w:rsid w:val="007B715B"/>
    <w:rsid w:val="007B73F0"/>
    <w:rsid w:val="007B743B"/>
    <w:rsid w:val="007B769D"/>
    <w:rsid w:val="007B7993"/>
    <w:rsid w:val="007B79B2"/>
    <w:rsid w:val="007B7A6B"/>
    <w:rsid w:val="007B7B2A"/>
    <w:rsid w:val="007B7B68"/>
    <w:rsid w:val="007B7B82"/>
    <w:rsid w:val="007B7B94"/>
    <w:rsid w:val="007B7F5F"/>
    <w:rsid w:val="007C01B1"/>
    <w:rsid w:val="007C0208"/>
    <w:rsid w:val="007C0255"/>
    <w:rsid w:val="007C0424"/>
    <w:rsid w:val="007C0857"/>
    <w:rsid w:val="007C0A2A"/>
    <w:rsid w:val="007C0F62"/>
    <w:rsid w:val="007C1201"/>
    <w:rsid w:val="007C1314"/>
    <w:rsid w:val="007C141D"/>
    <w:rsid w:val="007C164F"/>
    <w:rsid w:val="007C197F"/>
    <w:rsid w:val="007C1B3D"/>
    <w:rsid w:val="007C1C39"/>
    <w:rsid w:val="007C2038"/>
    <w:rsid w:val="007C210A"/>
    <w:rsid w:val="007C25AE"/>
    <w:rsid w:val="007C260E"/>
    <w:rsid w:val="007C264E"/>
    <w:rsid w:val="007C2786"/>
    <w:rsid w:val="007C2AA2"/>
    <w:rsid w:val="007C2EB1"/>
    <w:rsid w:val="007C2FDD"/>
    <w:rsid w:val="007C308A"/>
    <w:rsid w:val="007C3246"/>
    <w:rsid w:val="007C3511"/>
    <w:rsid w:val="007C35DD"/>
    <w:rsid w:val="007C38AC"/>
    <w:rsid w:val="007C3B2F"/>
    <w:rsid w:val="007C3EDC"/>
    <w:rsid w:val="007C4067"/>
    <w:rsid w:val="007C4314"/>
    <w:rsid w:val="007C467C"/>
    <w:rsid w:val="007C4A91"/>
    <w:rsid w:val="007C4EC9"/>
    <w:rsid w:val="007C4F70"/>
    <w:rsid w:val="007C53D0"/>
    <w:rsid w:val="007C55FD"/>
    <w:rsid w:val="007C59C2"/>
    <w:rsid w:val="007C5B26"/>
    <w:rsid w:val="007C5E17"/>
    <w:rsid w:val="007C5EAC"/>
    <w:rsid w:val="007C5FDF"/>
    <w:rsid w:val="007C6025"/>
    <w:rsid w:val="007C62E7"/>
    <w:rsid w:val="007C6326"/>
    <w:rsid w:val="007C63CF"/>
    <w:rsid w:val="007C6C17"/>
    <w:rsid w:val="007C72AB"/>
    <w:rsid w:val="007C73EA"/>
    <w:rsid w:val="007C77B6"/>
    <w:rsid w:val="007C7A8C"/>
    <w:rsid w:val="007C7F37"/>
    <w:rsid w:val="007D00E3"/>
    <w:rsid w:val="007D0388"/>
    <w:rsid w:val="007D0415"/>
    <w:rsid w:val="007D0477"/>
    <w:rsid w:val="007D0550"/>
    <w:rsid w:val="007D05DB"/>
    <w:rsid w:val="007D06B2"/>
    <w:rsid w:val="007D0C27"/>
    <w:rsid w:val="007D0CC8"/>
    <w:rsid w:val="007D0DEB"/>
    <w:rsid w:val="007D0FFC"/>
    <w:rsid w:val="007D1020"/>
    <w:rsid w:val="007D1594"/>
    <w:rsid w:val="007D17DE"/>
    <w:rsid w:val="007D18B5"/>
    <w:rsid w:val="007D1AC0"/>
    <w:rsid w:val="007D1E50"/>
    <w:rsid w:val="007D22E9"/>
    <w:rsid w:val="007D2607"/>
    <w:rsid w:val="007D2A91"/>
    <w:rsid w:val="007D2A9C"/>
    <w:rsid w:val="007D2AB4"/>
    <w:rsid w:val="007D2DFF"/>
    <w:rsid w:val="007D2F69"/>
    <w:rsid w:val="007D2F8A"/>
    <w:rsid w:val="007D3108"/>
    <w:rsid w:val="007D32D6"/>
    <w:rsid w:val="007D381C"/>
    <w:rsid w:val="007D3931"/>
    <w:rsid w:val="007D3941"/>
    <w:rsid w:val="007D3A34"/>
    <w:rsid w:val="007D3AD1"/>
    <w:rsid w:val="007D3B20"/>
    <w:rsid w:val="007D3B96"/>
    <w:rsid w:val="007D3D73"/>
    <w:rsid w:val="007D3D8B"/>
    <w:rsid w:val="007D3ED0"/>
    <w:rsid w:val="007D4202"/>
    <w:rsid w:val="007D4213"/>
    <w:rsid w:val="007D4219"/>
    <w:rsid w:val="007D425F"/>
    <w:rsid w:val="007D431F"/>
    <w:rsid w:val="007D44CA"/>
    <w:rsid w:val="007D4655"/>
    <w:rsid w:val="007D4664"/>
    <w:rsid w:val="007D5027"/>
    <w:rsid w:val="007D5277"/>
    <w:rsid w:val="007D5CCC"/>
    <w:rsid w:val="007D6106"/>
    <w:rsid w:val="007D63D8"/>
    <w:rsid w:val="007D64A7"/>
    <w:rsid w:val="007D6588"/>
    <w:rsid w:val="007D6669"/>
    <w:rsid w:val="007D667C"/>
    <w:rsid w:val="007D6754"/>
    <w:rsid w:val="007D697D"/>
    <w:rsid w:val="007D6E6C"/>
    <w:rsid w:val="007D6F31"/>
    <w:rsid w:val="007D6FDC"/>
    <w:rsid w:val="007D7121"/>
    <w:rsid w:val="007D7BE8"/>
    <w:rsid w:val="007D7CA5"/>
    <w:rsid w:val="007E015E"/>
    <w:rsid w:val="007E03CA"/>
    <w:rsid w:val="007E03EF"/>
    <w:rsid w:val="007E0402"/>
    <w:rsid w:val="007E0503"/>
    <w:rsid w:val="007E0647"/>
    <w:rsid w:val="007E0960"/>
    <w:rsid w:val="007E0A4A"/>
    <w:rsid w:val="007E0E6C"/>
    <w:rsid w:val="007E1343"/>
    <w:rsid w:val="007E15E1"/>
    <w:rsid w:val="007E180D"/>
    <w:rsid w:val="007E1A26"/>
    <w:rsid w:val="007E1A38"/>
    <w:rsid w:val="007E1A4C"/>
    <w:rsid w:val="007E1CAF"/>
    <w:rsid w:val="007E1CFF"/>
    <w:rsid w:val="007E1D17"/>
    <w:rsid w:val="007E2716"/>
    <w:rsid w:val="007E29D7"/>
    <w:rsid w:val="007E2BFC"/>
    <w:rsid w:val="007E2EA1"/>
    <w:rsid w:val="007E3853"/>
    <w:rsid w:val="007E3BB7"/>
    <w:rsid w:val="007E3EB0"/>
    <w:rsid w:val="007E4243"/>
    <w:rsid w:val="007E4308"/>
    <w:rsid w:val="007E4B10"/>
    <w:rsid w:val="007E4BC2"/>
    <w:rsid w:val="007E4E35"/>
    <w:rsid w:val="007E4ED4"/>
    <w:rsid w:val="007E4FBD"/>
    <w:rsid w:val="007E4FCE"/>
    <w:rsid w:val="007E51A2"/>
    <w:rsid w:val="007E5289"/>
    <w:rsid w:val="007E52B4"/>
    <w:rsid w:val="007E530F"/>
    <w:rsid w:val="007E534B"/>
    <w:rsid w:val="007E535F"/>
    <w:rsid w:val="007E53FE"/>
    <w:rsid w:val="007E54C8"/>
    <w:rsid w:val="007E5F78"/>
    <w:rsid w:val="007E5FEB"/>
    <w:rsid w:val="007E6298"/>
    <w:rsid w:val="007E68D0"/>
    <w:rsid w:val="007E68EF"/>
    <w:rsid w:val="007E69DC"/>
    <w:rsid w:val="007E6E67"/>
    <w:rsid w:val="007E6EA7"/>
    <w:rsid w:val="007E7395"/>
    <w:rsid w:val="007E73CE"/>
    <w:rsid w:val="007E7501"/>
    <w:rsid w:val="007E750D"/>
    <w:rsid w:val="007E76C6"/>
    <w:rsid w:val="007E77AC"/>
    <w:rsid w:val="007E7915"/>
    <w:rsid w:val="007E7D6C"/>
    <w:rsid w:val="007F026E"/>
    <w:rsid w:val="007F02DF"/>
    <w:rsid w:val="007F0564"/>
    <w:rsid w:val="007F05CD"/>
    <w:rsid w:val="007F0788"/>
    <w:rsid w:val="007F07C2"/>
    <w:rsid w:val="007F08DF"/>
    <w:rsid w:val="007F0E0F"/>
    <w:rsid w:val="007F11C2"/>
    <w:rsid w:val="007F129F"/>
    <w:rsid w:val="007F14A7"/>
    <w:rsid w:val="007F1943"/>
    <w:rsid w:val="007F1D0F"/>
    <w:rsid w:val="007F1D4C"/>
    <w:rsid w:val="007F1E4E"/>
    <w:rsid w:val="007F1FF4"/>
    <w:rsid w:val="007F22D8"/>
    <w:rsid w:val="007F272B"/>
    <w:rsid w:val="007F2738"/>
    <w:rsid w:val="007F28F3"/>
    <w:rsid w:val="007F29A9"/>
    <w:rsid w:val="007F2A70"/>
    <w:rsid w:val="007F2A79"/>
    <w:rsid w:val="007F2CB7"/>
    <w:rsid w:val="007F2FC4"/>
    <w:rsid w:val="007F3456"/>
    <w:rsid w:val="007F375C"/>
    <w:rsid w:val="007F3B80"/>
    <w:rsid w:val="007F3D06"/>
    <w:rsid w:val="007F3D7A"/>
    <w:rsid w:val="007F3ED3"/>
    <w:rsid w:val="007F4002"/>
    <w:rsid w:val="007F40AD"/>
    <w:rsid w:val="007F429B"/>
    <w:rsid w:val="007F451D"/>
    <w:rsid w:val="007F4777"/>
    <w:rsid w:val="007F49B7"/>
    <w:rsid w:val="007F4FFF"/>
    <w:rsid w:val="007F505E"/>
    <w:rsid w:val="007F51C1"/>
    <w:rsid w:val="007F529E"/>
    <w:rsid w:val="007F53AD"/>
    <w:rsid w:val="007F5403"/>
    <w:rsid w:val="007F5555"/>
    <w:rsid w:val="007F5749"/>
    <w:rsid w:val="007F5B79"/>
    <w:rsid w:val="007F677D"/>
    <w:rsid w:val="007F6785"/>
    <w:rsid w:val="007F67F7"/>
    <w:rsid w:val="007F6AC1"/>
    <w:rsid w:val="007F7549"/>
    <w:rsid w:val="007F767D"/>
    <w:rsid w:val="007F768B"/>
    <w:rsid w:val="007F76F9"/>
    <w:rsid w:val="007F7AC0"/>
    <w:rsid w:val="007F7F93"/>
    <w:rsid w:val="00800230"/>
    <w:rsid w:val="00800397"/>
    <w:rsid w:val="00800BD4"/>
    <w:rsid w:val="00800D25"/>
    <w:rsid w:val="00801063"/>
    <w:rsid w:val="00801121"/>
    <w:rsid w:val="0080116D"/>
    <w:rsid w:val="00801838"/>
    <w:rsid w:val="008019CA"/>
    <w:rsid w:val="00801AB5"/>
    <w:rsid w:val="00801BCD"/>
    <w:rsid w:val="00801BD2"/>
    <w:rsid w:val="008020E5"/>
    <w:rsid w:val="0080212A"/>
    <w:rsid w:val="008021C3"/>
    <w:rsid w:val="00802348"/>
    <w:rsid w:val="00802717"/>
    <w:rsid w:val="00802A3D"/>
    <w:rsid w:val="00802A79"/>
    <w:rsid w:val="00802C0C"/>
    <w:rsid w:val="00802ECE"/>
    <w:rsid w:val="00802F8D"/>
    <w:rsid w:val="0080301A"/>
    <w:rsid w:val="008036B7"/>
    <w:rsid w:val="00803843"/>
    <w:rsid w:val="00803BBC"/>
    <w:rsid w:val="00803F72"/>
    <w:rsid w:val="0080411A"/>
    <w:rsid w:val="0080432F"/>
    <w:rsid w:val="0080444F"/>
    <w:rsid w:val="008044C1"/>
    <w:rsid w:val="00804E33"/>
    <w:rsid w:val="00804E48"/>
    <w:rsid w:val="00805202"/>
    <w:rsid w:val="0080531E"/>
    <w:rsid w:val="00805542"/>
    <w:rsid w:val="008058E9"/>
    <w:rsid w:val="00805CFA"/>
    <w:rsid w:val="00805DDE"/>
    <w:rsid w:val="00805FCF"/>
    <w:rsid w:val="00806183"/>
    <w:rsid w:val="00806455"/>
    <w:rsid w:val="00806506"/>
    <w:rsid w:val="0080675D"/>
    <w:rsid w:val="00806885"/>
    <w:rsid w:val="00806956"/>
    <w:rsid w:val="00806A8B"/>
    <w:rsid w:val="00806C4F"/>
    <w:rsid w:val="00806DE3"/>
    <w:rsid w:val="008074EF"/>
    <w:rsid w:val="0080777F"/>
    <w:rsid w:val="0080787B"/>
    <w:rsid w:val="008078E5"/>
    <w:rsid w:val="008103A1"/>
    <w:rsid w:val="00810C15"/>
    <w:rsid w:val="00810E25"/>
    <w:rsid w:val="00810E7D"/>
    <w:rsid w:val="0081107A"/>
    <w:rsid w:val="008110D5"/>
    <w:rsid w:val="00811866"/>
    <w:rsid w:val="00811B7D"/>
    <w:rsid w:val="00811D3A"/>
    <w:rsid w:val="00811F1C"/>
    <w:rsid w:val="008120B6"/>
    <w:rsid w:val="00812146"/>
    <w:rsid w:val="008121D9"/>
    <w:rsid w:val="00812437"/>
    <w:rsid w:val="00812473"/>
    <w:rsid w:val="00812492"/>
    <w:rsid w:val="00812583"/>
    <w:rsid w:val="00812665"/>
    <w:rsid w:val="00812AE3"/>
    <w:rsid w:val="00812BFE"/>
    <w:rsid w:val="00812C8E"/>
    <w:rsid w:val="00812CFC"/>
    <w:rsid w:val="0081302D"/>
    <w:rsid w:val="008130BE"/>
    <w:rsid w:val="008131AC"/>
    <w:rsid w:val="008133C7"/>
    <w:rsid w:val="0081346B"/>
    <w:rsid w:val="008136F2"/>
    <w:rsid w:val="008138D6"/>
    <w:rsid w:val="00813DC1"/>
    <w:rsid w:val="00814022"/>
    <w:rsid w:val="008140B8"/>
    <w:rsid w:val="00814285"/>
    <w:rsid w:val="00814370"/>
    <w:rsid w:val="00814602"/>
    <w:rsid w:val="00814891"/>
    <w:rsid w:val="008148CA"/>
    <w:rsid w:val="00814953"/>
    <w:rsid w:val="00814BE7"/>
    <w:rsid w:val="00815726"/>
    <w:rsid w:val="00815DFA"/>
    <w:rsid w:val="00816037"/>
    <w:rsid w:val="008160E8"/>
    <w:rsid w:val="0081614D"/>
    <w:rsid w:val="008161C2"/>
    <w:rsid w:val="008166AE"/>
    <w:rsid w:val="008166EA"/>
    <w:rsid w:val="008168F3"/>
    <w:rsid w:val="008169E1"/>
    <w:rsid w:val="00816A80"/>
    <w:rsid w:val="00816BFC"/>
    <w:rsid w:val="00816C4B"/>
    <w:rsid w:val="00817015"/>
    <w:rsid w:val="0081701D"/>
    <w:rsid w:val="008171B1"/>
    <w:rsid w:val="0081721F"/>
    <w:rsid w:val="0081733C"/>
    <w:rsid w:val="008175B5"/>
    <w:rsid w:val="00817603"/>
    <w:rsid w:val="0081775C"/>
    <w:rsid w:val="00817DCC"/>
    <w:rsid w:val="00820AD4"/>
    <w:rsid w:val="00820AF8"/>
    <w:rsid w:val="00820BB2"/>
    <w:rsid w:val="00820DF8"/>
    <w:rsid w:val="00820E4B"/>
    <w:rsid w:val="00820FD4"/>
    <w:rsid w:val="0082125E"/>
    <w:rsid w:val="008212BB"/>
    <w:rsid w:val="00821534"/>
    <w:rsid w:val="008218F7"/>
    <w:rsid w:val="00821AF8"/>
    <w:rsid w:val="00821E14"/>
    <w:rsid w:val="00821F93"/>
    <w:rsid w:val="00821FE3"/>
    <w:rsid w:val="008221A3"/>
    <w:rsid w:val="008225C9"/>
    <w:rsid w:val="008227D4"/>
    <w:rsid w:val="008229FE"/>
    <w:rsid w:val="00822A42"/>
    <w:rsid w:val="008232F6"/>
    <w:rsid w:val="0082331B"/>
    <w:rsid w:val="0082350A"/>
    <w:rsid w:val="008239E9"/>
    <w:rsid w:val="00823B55"/>
    <w:rsid w:val="00823BD7"/>
    <w:rsid w:val="00823C0E"/>
    <w:rsid w:val="00823D07"/>
    <w:rsid w:val="00823F67"/>
    <w:rsid w:val="0082447D"/>
    <w:rsid w:val="008247B4"/>
    <w:rsid w:val="008249AA"/>
    <w:rsid w:val="00824A78"/>
    <w:rsid w:val="00824B51"/>
    <w:rsid w:val="0082527D"/>
    <w:rsid w:val="0082561D"/>
    <w:rsid w:val="008258DC"/>
    <w:rsid w:val="008259E1"/>
    <w:rsid w:val="00825EB7"/>
    <w:rsid w:val="00826107"/>
    <w:rsid w:val="00826269"/>
    <w:rsid w:val="0082689A"/>
    <w:rsid w:val="0082699C"/>
    <w:rsid w:val="00826AFB"/>
    <w:rsid w:val="00826D13"/>
    <w:rsid w:val="00826DB2"/>
    <w:rsid w:val="00826DB3"/>
    <w:rsid w:val="00826DF4"/>
    <w:rsid w:val="008272D7"/>
    <w:rsid w:val="00827518"/>
    <w:rsid w:val="008276DB"/>
    <w:rsid w:val="00827900"/>
    <w:rsid w:val="00827A31"/>
    <w:rsid w:val="00827AB4"/>
    <w:rsid w:val="00827C7D"/>
    <w:rsid w:val="00827EF8"/>
    <w:rsid w:val="00830301"/>
    <w:rsid w:val="0083038D"/>
    <w:rsid w:val="00830565"/>
    <w:rsid w:val="00830634"/>
    <w:rsid w:val="0083077F"/>
    <w:rsid w:val="00830837"/>
    <w:rsid w:val="00830DE0"/>
    <w:rsid w:val="00831239"/>
    <w:rsid w:val="00831395"/>
    <w:rsid w:val="00831424"/>
    <w:rsid w:val="008314CB"/>
    <w:rsid w:val="008314F0"/>
    <w:rsid w:val="00831814"/>
    <w:rsid w:val="008318B6"/>
    <w:rsid w:val="00831A47"/>
    <w:rsid w:val="00831A73"/>
    <w:rsid w:val="00831C7C"/>
    <w:rsid w:val="00831EF7"/>
    <w:rsid w:val="00831FB3"/>
    <w:rsid w:val="00831FB4"/>
    <w:rsid w:val="0083214F"/>
    <w:rsid w:val="0083215D"/>
    <w:rsid w:val="0083220E"/>
    <w:rsid w:val="00832223"/>
    <w:rsid w:val="00832277"/>
    <w:rsid w:val="0083239C"/>
    <w:rsid w:val="008323E0"/>
    <w:rsid w:val="00832632"/>
    <w:rsid w:val="00832675"/>
    <w:rsid w:val="008329C6"/>
    <w:rsid w:val="00832CDB"/>
    <w:rsid w:val="00833007"/>
    <w:rsid w:val="00833025"/>
    <w:rsid w:val="0083375D"/>
    <w:rsid w:val="0083393D"/>
    <w:rsid w:val="00833982"/>
    <w:rsid w:val="00833A11"/>
    <w:rsid w:val="00833C86"/>
    <w:rsid w:val="00833D28"/>
    <w:rsid w:val="00833D40"/>
    <w:rsid w:val="00833D93"/>
    <w:rsid w:val="00833F79"/>
    <w:rsid w:val="008343E1"/>
    <w:rsid w:val="00834492"/>
    <w:rsid w:val="008347BB"/>
    <w:rsid w:val="00834BE1"/>
    <w:rsid w:val="00834C2A"/>
    <w:rsid w:val="00834C92"/>
    <w:rsid w:val="00835163"/>
    <w:rsid w:val="0083525F"/>
    <w:rsid w:val="0083542B"/>
    <w:rsid w:val="00835AE2"/>
    <w:rsid w:val="00835BF8"/>
    <w:rsid w:val="0083618A"/>
    <w:rsid w:val="00836359"/>
    <w:rsid w:val="00836380"/>
    <w:rsid w:val="008366D5"/>
    <w:rsid w:val="00836818"/>
    <w:rsid w:val="0083693B"/>
    <w:rsid w:val="00836D8B"/>
    <w:rsid w:val="00836D9D"/>
    <w:rsid w:val="00836EBD"/>
    <w:rsid w:val="00836F67"/>
    <w:rsid w:val="0083704F"/>
    <w:rsid w:val="008373BD"/>
    <w:rsid w:val="00837472"/>
    <w:rsid w:val="008377A7"/>
    <w:rsid w:val="0083788F"/>
    <w:rsid w:val="00837A92"/>
    <w:rsid w:val="00837E9E"/>
    <w:rsid w:val="00840226"/>
    <w:rsid w:val="00840295"/>
    <w:rsid w:val="008402AE"/>
    <w:rsid w:val="008402DA"/>
    <w:rsid w:val="00840476"/>
    <w:rsid w:val="00840DD4"/>
    <w:rsid w:val="00841464"/>
    <w:rsid w:val="008417D9"/>
    <w:rsid w:val="00841837"/>
    <w:rsid w:val="00841879"/>
    <w:rsid w:val="00841A82"/>
    <w:rsid w:val="00841D80"/>
    <w:rsid w:val="0084280F"/>
    <w:rsid w:val="0084287E"/>
    <w:rsid w:val="00842964"/>
    <w:rsid w:val="00842D5E"/>
    <w:rsid w:val="00842ECF"/>
    <w:rsid w:val="00843018"/>
    <w:rsid w:val="0084332C"/>
    <w:rsid w:val="008433AA"/>
    <w:rsid w:val="008437E9"/>
    <w:rsid w:val="00843B0B"/>
    <w:rsid w:val="00843D66"/>
    <w:rsid w:val="00843D9B"/>
    <w:rsid w:val="00844005"/>
    <w:rsid w:val="008444CD"/>
    <w:rsid w:val="00844657"/>
    <w:rsid w:val="008447DE"/>
    <w:rsid w:val="00844818"/>
    <w:rsid w:val="008448F0"/>
    <w:rsid w:val="00844AE3"/>
    <w:rsid w:val="008450AC"/>
    <w:rsid w:val="00845303"/>
    <w:rsid w:val="00845321"/>
    <w:rsid w:val="00845339"/>
    <w:rsid w:val="008455D9"/>
    <w:rsid w:val="008455E4"/>
    <w:rsid w:val="0084584E"/>
    <w:rsid w:val="0084608E"/>
    <w:rsid w:val="00846417"/>
    <w:rsid w:val="0084664C"/>
    <w:rsid w:val="0084664E"/>
    <w:rsid w:val="00846657"/>
    <w:rsid w:val="00846765"/>
    <w:rsid w:val="00846B33"/>
    <w:rsid w:val="00846CB4"/>
    <w:rsid w:val="00846E30"/>
    <w:rsid w:val="00847251"/>
    <w:rsid w:val="0084727C"/>
    <w:rsid w:val="00847388"/>
    <w:rsid w:val="00847518"/>
    <w:rsid w:val="0084773E"/>
    <w:rsid w:val="0084781F"/>
    <w:rsid w:val="00850510"/>
    <w:rsid w:val="00851AC1"/>
    <w:rsid w:val="00851C3A"/>
    <w:rsid w:val="00851DAD"/>
    <w:rsid w:val="00851E72"/>
    <w:rsid w:val="008520C0"/>
    <w:rsid w:val="00852127"/>
    <w:rsid w:val="00852220"/>
    <w:rsid w:val="00852462"/>
    <w:rsid w:val="008524DD"/>
    <w:rsid w:val="00852543"/>
    <w:rsid w:val="008526E6"/>
    <w:rsid w:val="00852988"/>
    <w:rsid w:val="00852D49"/>
    <w:rsid w:val="00852DB8"/>
    <w:rsid w:val="00852EE9"/>
    <w:rsid w:val="00853257"/>
    <w:rsid w:val="008532E3"/>
    <w:rsid w:val="008533D6"/>
    <w:rsid w:val="00853A0A"/>
    <w:rsid w:val="00853AEE"/>
    <w:rsid w:val="00854257"/>
    <w:rsid w:val="008542FC"/>
    <w:rsid w:val="00854450"/>
    <w:rsid w:val="0085467B"/>
    <w:rsid w:val="008548B7"/>
    <w:rsid w:val="00854B93"/>
    <w:rsid w:val="00855103"/>
    <w:rsid w:val="0085539E"/>
    <w:rsid w:val="008554C2"/>
    <w:rsid w:val="008556E5"/>
    <w:rsid w:val="0085589C"/>
    <w:rsid w:val="00856031"/>
    <w:rsid w:val="008561E6"/>
    <w:rsid w:val="00856E31"/>
    <w:rsid w:val="0085734C"/>
    <w:rsid w:val="008575A0"/>
    <w:rsid w:val="008577A1"/>
    <w:rsid w:val="008578E0"/>
    <w:rsid w:val="008579EF"/>
    <w:rsid w:val="00857B1A"/>
    <w:rsid w:val="00857B9D"/>
    <w:rsid w:val="00857BCF"/>
    <w:rsid w:val="00857F52"/>
    <w:rsid w:val="008602C8"/>
    <w:rsid w:val="008602D0"/>
    <w:rsid w:val="008602D8"/>
    <w:rsid w:val="0086064C"/>
    <w:rsid w:val="00860B3E"/>
    <w:rsid w:val="00860C23"/>
    <w:rsid w:val="00860CD9"/>
    <w:rsid w:val="00860D48"/>
    <w:rsid w:val="00860F1D"/>
    <w:rsid w:val="00861203"/>
    <w:rsid w:val="00861428"/>
    <w:rsid w:val="008614A4"/>
    <w:rsid w:val="008616B1"/>
    <w:rsid w:val="008617E5"/>
    <w:rsid w:val="00861E0E"/>
    <w:rsid w:val="00862067"/>
    <w:rsid w:val="008621E3"/>
    <w:rsid w:val="00862539"/>
    <w:rsid w:val="0086289D"/>
    <w:rsid w:val="00862D04"/>
    <w:rsid w:val="00862DC6"/>
    <w:rsid w:val="00862ED8"/>
    <w:rsid w:val="008634F9"/>
    <w:rsid w:val="00863993"/>
    <w:rsid w:val="00863F0D"/>
    <w:rsid w:val="00863FA9"/>
    <w:rsid w:val="0086422D"/>
    <w:rsid w:val="00864386"/>
    <w:rsid w:val="0086463E"/>
    <w:rsid w:val="00864994"/>
    <w:rsid w:val="00864AA5"/>
    <w:rsid w:val="00864D6A"/>
    <w:rsid w:val="00864DF0"/>
    <w:rsid w:val="00864E21"/>
    <w:rsid w:val="00864E6E"/>
    <w:rsid w:val="008651CA"/>
    <w:rsid w:val="00865395"/>
    <w:rsid w:val="00865831"/>
    <w:rsid w:val="00865B25"/>
    <w:rsid w:val="00865B75"/>
    <w:rsid w:val="00865C85"/>
    <w:rsid w:val="00865D39"/>
    <w:rsid w:val="00865E92"/>
    <w:rsid w:val="008663F3"/>
    <w:rsid w:val="0086656D"/>
    <w:rsid w:val="00866664"/>
    <w:rsid w:val="00866730"/>
    <w:rsid w:val="008668A9"/>
    <w:rsid w:val="00866ABE"/>
    <w:rsid w:val="00866CB9"/>
    <w:rsid w:val="00866EA1"/>
    <w:rsid w:val="008670B4"/>
    <w:rsid w:val="0086715E"/>
    <w:rsid w:val="008673D6"/>
    <w:rsid w:val="00867523"/>
    <w:rsid w:val="008675EE"/>
    <w:rsid w:val="0086767C"/>
    <w:rsid w:val="0086768D"/>
    <w:rsid w:val="00867A81"/>
    <w:rsid w:val="00867ACF"/>
    <w:rsid w:val="00867B4D"/>
    <w:rsid w:val="00867C2D"/>
    <w:rsid w:val="00867EBA"/>
    <w:rsid w:val="00867FFB"/>
    <w:rsid w:val="008702E6"/>
    <w:rsid w:val="00870400"/>
    <w:rsid w:val="0087040A"/>
    <w:rsid w:val="008707F7"/>
    <w:rsid w:val="00870C99"/>
    <w:rsid w:val="00870D51"/>
    <w:rsid w:val="00870DA5"/>
    <w:rsid w:val="00871108"/>
    <w:rsid w:val="008711DB"/>
    <w:rsid w:val="0087146F"/>
    <w:rsid w:val="00872017"/>
    <w:rsid w:val="0087217E"/>
    <w:rsid w:val="008721C5"/>
    <w:rsid w:val="00872349"/>
    <w:rsid w:val="008724C4"/>
    <w:rsid w:val="00872510"/>
    <w:rsid w:val="008725A8"/>
    <w:rsid w:val="00872B11"/>
    <w:rsid w:val="00872B33"/>
    <w:rsid w:val="0087358C"/>
    <w:rsid w:val="00873691"/>
    <w:rsid w:val="00873779"/>
    <w:rsid w:val="00873A4C"/>
    <w:rsid w:val="00873CEA"/>
    <w:rsid w:val="00873E74"/>
    <w:rsid w:val="008741F7"/>
    <w:rsid w:val="00874233"/>
    <w:rsid w:val="008743D4"/>
    <w:rsid w:val="00874407"/>
    <w:rsid w:val="00874468"/>
    <w:rsid w:val="0087450B"/>
    <w:rsid w:val="00874555"/>
    <w:rsid w:val="008748DB"/>
    <w:rsid w:val="00874C98"/>
    <w:rsid w:val="00874CEF"/>
    <w:rsid w:val="008750DD"/>
    <w:rsid w:val="0087519B"/>
    <w:rsid w:val="0087522F"/>
    <w:rsid w:val="0087569F"/>
    <w:rsid w:val="0087577B"/>
    <w:rsid w:val="008758E5"/>
    <w:rsid w:val="00875989"/>
    <w:rsid w:val="0087598F"/>
    <w:rsid w:val="00875B8B"/>
    <w:rsid w:val="0087610C"/>
    <w:rsid w:val="008765D2"/>
    <w:rsid w:val="008765FD"/>
    <w:rsid w:val="008767B3"/>
    <w:rsid w:val="008767D9"/>
    <w:rsid w:val="00876861"/>
    <w:rsid w:val="0087686A"/>
    <w:rsid w:val="00876A6B"/>
    <w:rsid w:val="00876BD3"/>
    <w:rsid w:val="00876DF9"/>
    <w:rsid w:val="00876FF4"/>
    <w:rsid w:val="008772C9"/>
    <w:rsid w:val="00877387"/>
    <w:rsid w:val="0087738B"/>
    <w:rsid w:val="008776A3"/>
    <w:rsid w:val="00877861"/>
    <w:rsid w:val="00877B60"/>
    <w:rsid w:val="00877CD4"/>
    <w:rsid w:val="00877F39"/>
    <w:rsid w:val="00880259"/>
    <w:rsid w:val="0088039E"/>
    <w:rsid w:val="00880429"/>
    <w:rsid w:val="0088056B"/>
    <w:rsid w:val="008805BA"/>
    <w:rsid w:val="00880731"/>
    <w:rsid w:val="008808BA"/>
    <w:rsid w:val="008809FF"/>
    <w:rsid w:val="00880A62"/>
    <w:rsid w:val="00880ABE"/>
    <w:rsid w:val="00880B28"/>
    <w:rsid w:val="00880C6A"/>
    <w:rsid w:val="008810BA"/>
    <w:rsid w:val="008818C8"/>
    <w:rsid w:val="00881AAF"/>
    <w:rsid w:val="00882034"/>
    <w:rsid w:val="0088206A"/>
    <w:rsid w:val="00882122"/>
    <w:rsid w:val="0088215A"/>
    <w:rsid w:val="0088220F"/>
    <w:rsid w:val="0088225B"/>
    <w:rsid w:val="008823C1"/>
    <w:rsid w:val="008824D3"/>
    <w:rsid w:val="008826DE"/>
    <w:rsid w:val="00882988"/>
    <w:rsid w:val="008831E0"/>
    <w:rsid w:val="0088331F"/>
    <w:rsid w:val="0088379D"/>
    <w:rsid w:val="008837D3"/>
    <w:rsid w:val="00883A91"/>
    <w:rsid w:val="00883BA5"/>
    <w:rsid w:val="00883F32"/>
    <w:rsid w:val="00883FC9"/>
    <w:rsid w:val="00884013"/>
    <w:rsid w:val="00884138"/>
    <w:rsid w:val="00884660"/>
    <w:rsid w:val="00884670"/>
    <w:rsid w:val="008846AC"/>
    <w:rsid w:val="00884A4D"/>
    <w:rsid w:val="00884AA2"/>
    <w:rsid w:val="00884B22"/>
    <w:rsid w:val="00885091"/>
    <w:rsid w:val="008851A4"/>
    <w:rsid w:val="008853E7"/>
    <w:rsid w:val="0088562A"/>
    <w:rsid w:val="00885841"/>
    <w:rsid w:val="00885851"/>
    <w:rsid w:val="00885B65"/>
    <w:rsid w:val="00885BBC"/>
    <w:rsid w:val="00886274"/>
    <w:rsid w:val="00886659"/>
    <w:rsid w:val="008867D4"/>
    <w:rsid w:val="0088680E"/>
    <w:rsid w:val="0088683E"/>
    <w:rsid w:val="00886B88"/>
    <w:rsid w:val="00886BA4"/>
    <w:rsid w:val="00886BBB"/>
    <w:rsid w:val="00886E7F"/>
    <w:rsid w:val="00887452"/>
    <w:rsid w:val="00887F63"/>
    <w:rsid w:val="00887FCB"/>
    <w:rsid w:val="008902B7"/>
    <w:rsid w:val="008903D3"/>
    <w:rsid w:val="0089048A"/>
    <w:rsid w:val="00890689"/>
    <w:rsid w:val="008909C8"/>
    <w:rsid w:val="00890EC6"/>
    <w:rsid w:val="00890EC7"/>
    <w:rsid w:val="00890F09"/>
    <w:rsid w:val="0089109F"/>
    <w:rsid w:val="00891331"/>
    <w:rsid w:val="0089140C"/>
    <w:rsid w:val="00891575"/>
    <w:rsid w:val="008919E6"/>
    <w:rsid w:val="008921CF"/>
    <w:rsid w:val="00892233"/>
    <w:rsid w:val="008922FA"/>
    <w:rsid w:val="0089234C"/>
    <w:rsid w:val="00892896"/>
    <w:rsid w:val="00892A00"/>
    <w:rsid w:val="00892A66"/>
    <w:rsid w:val="00893566"/>
    <w:rsid w:val="0089361B"/>
    <w:rsid w:val="00893D40"/>
    <w:rsid w:val="00893F76"/>
    <w:rsid w:val="0089403A"/>
    <w:rsid w:val="00894315"/>
    <w:rsid w:val="008944AB"/>
    <w:rsid w:val="00894532"/>
    <w:rsid w:val="008947A5"/>
    <w:rsid w:val="00894964"/>
    <w:rsid w:val="00894BCB"/>
    <w:rsid w:val="00894DCE"/>
    <w:rsid w:val="008955A0"/>
    <w:rsid w:val="008955B2"/>
    <w:rsid w:val="0089586D"/>
    <w:rsid w:val="00895B7B"/>
    <w:rsid w:val="00895BD3"/>
    <w:rsid w:val="00895D1D"/>
    <w:rsid w:val="00895F59"/>
    <w:rsid w:val="0089602D"/>
    <w:rsid w:val="008961C1"/>
    <w:rsid w:val="00896360"/>
    <w:rsid w:val="00896365"/>
    <w:rsid w:val="00896438"/>
    <w:rsid w:val="00896C2C"/>
    <w:rsid w:val="00896DEF"/>
    <w:rsid w:val="00896FBC"/>
    <w:rsid w:val="00897396"/>
    <w:rsid w:val="008976FF"/>
    <w:rsid w:val="00897968"/>
    <w:rsid w:val="00897977"/>
    <w:rsid w:val="00897A0E"/>
    <w:rsid w:val="00897C9D"/>
    <w:rsid w:val="00897F3F"/>
    <w:rsid w:val="008A00E0"/>
    <w:rsid w:val="008A06F4"/>
    <w:rsid w:val="008A07F2"/>
    <w:rsid w:val="008A0AD1"/>
    <w:rsid w:val="008A0AF5"/>
    <w:rsid w:val="008A1032"/>
    <w:rsid w:val="008A1483"/>
    <w:rsid w:val="008A150C"/>
    <w:rsid w:val="008A1542"/>
    <w:rsid w:val="008A1567"/>
    <w:rsid w:val="008A168C"/>
    <w:rsid w:val="008A17E2"/>
    <w:rsid w:val="008A180A"/>
    <w:rsid w:val="008A1E0E"/>
    <w:rsid w:val="008A1E88"/>
    <w:rsid w:val="008A20E8"/>
    <w:rsid w:val="008A2312"/>
    <w:rsid w:val="008A26BB"/>
    <w:rsid w:val="008A282F"/>
    <w:rsid w:val="008A2913"/>
    <w:rsid w:val="008A29CE"/>
    <w:rsid w:val="008A2F6E"/>
    <w:rsid w:val="008A3074"/>
    <w:rsid w:val="008A340D"/>
    <w:rsid w:val="008A34C2"/>
    <w:rsid w:val="008A351C"/>
    <w:rsid w:val="008A38A4"/>
    <w:rsid w:val="008A3A72"/>
    <w:rsid w:val="008A3B61"/>
    <w:rsid w:val="008A3B7E"/>
    <w:rsid w:val="008A3EE4"/>
    <w:rsid w:val="008A4039"/>
    <w:rsid w:val="008A42C8"/>
    <w:rsid w:val="008A48BD"/>
    <w:rsid w:val="008A4C8D"/>
    <w:rsid w:val="008A522A"/>
    <w:rsid w:val="008A53CD"/>
    <w:rsid w:val="008A57F6"/>
    <w:rsid w:val="008A5947"/>
    <w:rsid w:val="008A5AE4"/>
    <w:rsid w:val="008A5BB0"/>
    <w:rsid w:val="008A5BDA"/>
    <w:rsid w:val="008A5CCF"/>
    <w:rsid w:val="008A5E8C"/>
    <w:rsid w:val="008A5FA7"/>
    <w:rsid w:val="008A60D8"/>
    <w:rsid w:val="008A6246"/>
    <w:rsid w:val="008A62E9"/>
    <w:rsid w:val="008A65DF"/>
    <w:rsid w:val="008A661D"/>
    <w:rsid w:val="008A66C8"/>
    <w:rsid w:val="008A690F"/>
    <w:rsid w:val="008A6B8D"/>
    <w:rsid w:val="008A6BE2"/>
    <w:rsid w:val="008A7263"/>
    <w:rsid w:val="008A78DD"/>
    <w:rsid w:val="008A7D87"/>
    <w:rsid w:val="008A7DFC"/>
    <w:rsid w:val="008A7EE8"/>
    <w:rsid w:val="008A7F0C"/>
    <w:rsid w:val="008B0025"/>
    <w:rsid w:val="008B025E"/>
    <w:rsid w:val="008B05E1"/>
    <w:rsid w:val="008B09D5"/>
    <w:rsid w:val="008B09E6"/>
    <w:rsid w:val="008B0A46"/>
    <w:rsid w:val="008B0A54"/>
    <w:rsid w:val="008B0C4C"/>
    <w:rsid w:val="008B0DEB"/>
    <w:rsid w:val="008B1144"/>
    <w:rsid w:val="008B132B"/>
    <w:rsid w:val="008B1489"/>
    <w:rsid w:val="008B16C7"/>
    <w:rsid w:val="008B1702"/>
    <w:rsid w:val="008B1B2D"/>
    <w:rsid w:val="008B1EE3"/>
    <w:rsid w:val="008B209A"/>
    <w:rsid w:val="008B22E5"/>
    <w:rsid w:val="008B2503"/>
    <w:rsid w:val="008B2935"/>
    <w:rsid w:val="008B2D2A"/>
    <w:rsid w:val="008B2D62"/>
    <w:rsid w:val="008B2DCC"/>
    <w:rsid w:val="008B2E91"/>
    <w:rsid w:val="008B35F8"/>
    <w:rsid w:val="008B36B2"/>
    <w:rsid w:val="008B3BB7"/>
    <w:rsid w:val="008B40A0"/>
    <w:rsid w:val="008B4279"/>
    <w:rsid w:val="008B43C8"/>
    <w:rsid w:val="008B4C5D"/>
    <w:rsid w:val="008B4D8E"/>
    <w:rsid w:val="008B52B7"/>
    <w:rsid w:val="008B55DA"/>
    <w:rsid w:val="008B560E"/>
    <w:rsid w:val="008B5726"/>
    <w:rsid w:val="008B5793"/>
    <w:rsid w:val="008B5B07"/>
    <w:rsid w:val="008B5BD2"/>
    <w:rsid w:val="008B62C1"/>
    <w:rsid w:val="008B663F"/>
    <w:rsid w:val="008B6932"/>
    <w:rsid w:val="008B69B8"/>
    <w:rsid w:val="008B6B02"/>
    <w:rsid w:val="008B6B39"/>
    <w:rsid w:val="008B6BE2"/>
    <w:rsid w:val="008B6D17"/>
    <w:rsid w:val="008B6F8C"/>
    <w:rsid w:val="008B7218"/>
    <w:rsid w:val="008B7493"/>
    <w:rsid w:val="008B761D"/>
    <w:rsid w:val="008B7713"/>
    <w:rsid w:val="008B7808"/>
    <w:rsid w:val="008B7961"/>
    <w:rsid w:val="008B7B91"/>
    <w:rsid w:val="008B7BA5"/>
    <w:rsid w:val="008B7F5A"/>
    <w:rsid w:val="008B7FD1"/>
    <w:rsid w:val="008C00B4"/>
    <w:rsid w:val="008C00BE"/>
    <w:rsid w:val="008C0260"/>
    <w:rsid w:val="008C0382"/>
    <w:rsid w:val="008C03DA"/>
    <w:rsid w:val="008C056D"/>
    <w:rsid w:val="008C05A4"/>
    <w:rsid w:val="008C0A34"/>
    <w:rsid w:val="008C0DC4"/>
    <w:rsid w:val="008C0FB4"/>
    <w:rsid w:val="008C108B"/>
    <w:rsid w:val="008C120C"/>
    <w:rsid w:val="008C134F"/>
    <w:rsid w:val="008C13D6"/>
    <w:rsid w:val="008C149C"/>
    <w:rsid w:val="008C15DA"/>
    <w:rsid w:val="008C1903"/>
    <w:rsid w:val="008C1ABD"/>
    <w:rsid w:val="008C1D1E"/>
    <w:rsid w:val="008C1E35"/>
    <w:rsid w:val="008C1E4F"/>
    <w:rsid w:val="008C209A"/>
    <w:rsid w:val="008C21A7"/>
    <w:rsid w:val="008C263C"/>
    <w:rsid w:val="008C293C"/>
    <w:rsid w:val="008C2D49"/>
    <w:rsid w:val="008C3015"/>
    <w:rsid w:val="008C301A"/>
    <w:rsid w:val="008C3358"/>
    <w:rsid w:val="008C3790"/>
    <w:rsid w:val="008C37FE"/>
    <w:rsid w:val="008C3A95"/>
    <w:rsid w:val="008C3B27"/>
    <w:rsid w:val="008C3CD6"/>
    <w:rsid w:val="008C46DF"/>
    <w:rsid w:val="008C4945"/>
    <w:rsid w:val="008C4CAD"/>
    <w:rsid w:val="008C4D60"/>
    <w:rsid w:val="008C4F2C"/>
    <w:rsid w:val="008C513A"/>
    <w:rsid w:val="008C571F"/>
    <w:rsid w:val="008C57FE"/>
    <w:rsid w:val="008C590B"/>
    <w:rsid w:val="008C5A14"/>
    <w:rsid w:val="008C5B15"/>
    <w:rsid w:val="008C5C01"/>
    <w:rsid w:val="008C5C95"/>
    <w:rsid w:val="008C5CE0"/>
    <w:rsid w:val="008C5DF8"/>
    <w:rsid w:val="008C5E17"/>
    <w:rsid w:val="008C5FAD"/>
    <w:rsid w:val="008C5FD5"/>
    <w:rsid w:val="008C626D"/>
    <w:rsid w:val="008C632C"/>
    <w:rsid w:val="008C64E0"/>
    <w:rsid w:val="008C65B4"/>
    <w:rsid w:val="008C65EC"/>
    <w:rsid w:val="008C6748"/>
    <w:rsid w:val="008C6BD2"/>
    <w:rsid w:val="008C710E"/>
    <w:rsid w:val="008C7553"/>
    <w:rsid w:val="008C76C9"/>
    <w:rsid w:val="008C770A"/>
    <w:rsid w:val="008C7BB7"/>
    <w:rsid w:val="008C7C06"/>
    <w:rsid w:val="008C7CE0"/>
    <w:rsid w:val="008D006E"/>
    <w:rsid w:val="008D011E"/>
    <w:rsid w:val="008D0122"/>
    <w:rsid w:val="008D0340"/>
    <w:rsid w:val="008D05FD"/>
    <w:rsid w:val="008D0887"/>
    <w:rsid w:val="008D0C01"/>
    <w:rsid w:val="008D113A"/>
    <w:rsid w:val="008D132D"/>
    <w:rsid w:val="008D16AF"/>
    <w:rsid w:val="008D1B6D"/>
    <w:rsid w:val="008D1BD9"/>
    <w:rsid w:val="008D1DA6"/>
    <w:rsid w:val="008D1DE2"/>
    <w:rsid w:val="008D1E9A"/>
    <w:rsid w:val="008D1F2D"/>
    <w:rsid w:val="008D2009"/>
    <w:rsid w:val="008D21BD"/>
    <w:rsid w:val="008D2495"/>
    <w:rsid w:val="008D2538"/>
    <w:rsid w:val="008D2738"/>
    <w:rsid w:val="008D2804"/>
    <w:rsid w:val="008D29C4"/>
    <w:rsid w:val="008D2A30"/>
    <w:rsid w:val="008D2BBB"/>
    <w:rsid w:val="008D2D02"/>
    <w:rsid w:val="008D2D37"/>
    <w:rsid w:val="008D2F2D"/>
    <w:rsid w:val="008D3747"/>
    <w:rsid w:val="008D396B"/>
    <w:rsid w:val="008D3B79"/>
    <w:rsid w:val="008D3ECA"/>
    <w:rsid w:val="008D4358"/>
    <w:rsid w:val="008D43F6"/>
    <w:rsid w:val="008D4631"/>
    <w:rsid w:val="008D4AF2"/>
    <w:rsid w:val="008D4EBD"/>
    <w:rsid w:val="008D4F77"/>
    <w:rsid w:val="008D53D7"/>
    <w:rsid w:val="008D53E8"/>
    <w:rsid w:val="008D5509"/>
    <w:rsid w:val="008D55C2"/>
    <w:rsid w:val="008D55CB"/>
    <w:rsid w:val="008D570F"/>
    <w:rsid w:val="008D5754"/>
    <w:rsid w:val="008D57BD"/>
    <w:rsid w:val="008D5812"/>
    <w:rsid w:val="008D58C2"/>
    <w:rsid w:val="008D593C"/>
    <w:rsid w:val="008D5A89"/>
    <w:rsid w:val="008D5B35"/>
    <w:rsid w:val="008D5BB7"/>
    <w:rsid w:val="008D623E"/>
    <w:rsid w:val="008D630E"/>
    <w:rsid w:val="008D66DE"/>
    <w:rsid w:val="008D6749"/>
    <w:rsid w:val="008D6ABD"/>
    <w:rsid w:val="008D6C63"/>
    <w:rsid w:val="008D6F17"/>
    <w:rsid w:val="008D6F39"/>
    <w:rsid w:val="008D72F0"/>
    <w:rsid w:val="008D7467"/>
    <w:rsid w:val="008D746D"/>
    <w:rsid w:val="008D7737"/>
    <w:rsid w:val="008D787E"/>
    <w:rsid w:val="008D7923"/>
    <w:rsid w:val="008D7992"/>
    <w:rsid w:val="008D7B7F"/>
    <w:rsid w:val="008D7C7A"/>
    <w:rsid w:val="008D7EBB"/>
    <w:rsid w:val="008E0951"/>
    <w:rsid w:val="008E0C61"/>
    <w:rsid w:val="008E0E2F"/>
    <w:rsid w:val="008E0E42"/>
    <w:rsid w:val="008E1259"/>
    <w:rsid w:val="008E1443"/>
    <w:rsid w:val="008E1914"/>
    <w:rsid w:val="008E19B9"/>
    <w:rsid w:val="008E1D88"/>
    <w:rsid w:val="008E2ED9"/>
    <w:rsid w:val="008E3141"/>
    <w:rsid w:val="008E3191"/>
    <w:rsid w:val="008E31FA"/>
    <w:rsid w:val="008E32A9"/>
    <w:rsid w:val="008E362D"/>
    <w:rsid w:val="008E37DF"/>
    <w:rsid w:val="008E3AAA"/>
    <w:rsid w:val="008E3CCC"/>
    <w:rsid w:val="008E4050"/>
    <w:rsid w:val="008E40E4"/>
    <w:rsid w:val="008E4210"/>
    <w:rsid w:val="008E42B9"/>
    <w:rsid w:val="008E4A95"/>
    <w:rsid w:val="008E4B8C"/>
    <w:rsid w:val="008E4BA7"/>
    <w:rsid w:val="008E4BC8"/>
    <w:rsid w:val="008E518C"/>
    <w:rsid w:val="008E51B2"/>
    <w:rsid w:val="008E5377"/>
    <w:rsid w:val="008E538F"/>
    <w:rsid w:val="008E54A9"/>
    <w:rsid w:val="008E54EC"/>
    <w:rsid w:val="008E55E9"/>
    <w:rsid w:val="008E5744"/>
    <w:rsid w:val="008E5859"/>
    <w:rsid w:val="008E595D"/>
    <w:rsid w:val="008E5F51"/>
    <w:rsid w:val="008E61DC"/>
    <w:rsid w:val="008E61F9"/>
    <w:rsid w:val="008E6268"/>
    <w:rsid w:val="008E65FC"/>
    <w:rsid w:val="008E67A5"/>
    <w:rsid w:val="008E6842"/>
    <w:rsid w:val="008E69BE"/>
    <w:rsid w:val="008E6B18"/>
    <w:rsid w:val="008E6B2D"/>
    <w:rsid w:val="008E6B86"/>
    <w:rsid w:val="008E6B9A"/>
    <w:rsid w:val="008E6BAC"/>
    <w:rsid w:val="008E6CA5"/>
    <w:rsid w:val="008E6EE3"/>
    <w:rsid w:val="008E6F98"/>
    <w:rsid w:val="008E7587"/>
    <w:rsid w:val="008E783E"/>
    <w:rsid w:val="008E7E47"/>
    <w:rsid w:val="008E7F01"/>
    <w:rsid w:val="008E7F0D"/>
    <w:rsid w:val="008E7FA8"/>
    <w:rsid w:val="008F00D0"/>
    <w:rsid w:val="008F01DF"/>
    <w:rsid w:val="008F0242"/>
    <w:rsid w:val="008F0681"/>
    <w:rsid w:val="008F0A65"/>
    <w:rsid w:val="008F0AA1"/>
    <w:rsid w:val="008F0BA5"/>
    <w:rsid w:val="008F0CEF"/>
    <w:rsid w:val="008F1028"/>
    <w:rsid w:val="008F1108"/>
    <w:rsid w:val="008F11DE"/>
    <w:rsid w:val="008F1512"/>
    <w:rsid w:val="008F163D"/>
    <w:rsid w:val="008F18D9"/>
    <w:rsid w:val="008F1B0C"/>
    <w:rsid w:val="008F1C11"/>
    <w:rsid w:val="008F1C1C"/>
    <w:rsid w:val="008F1E55"/>
    <w:rsid w:val="008F2075"/>
    <w:rsid w:val="008F24B1"/>
    <w:rsid w:val="008F24EC"/>
    <w:rsid w:val="008F2786"/>
    <w:rsid w:val="008F2A4E"/>
    <w:rsid w:val="008F2AC1"/>
    <w:rsid w:val="008F2AD4"/>
    <w:rsid w:val="008F2F2C"/>
    <w:rsid w:val="008F34D3"/>
    <w:rsid w:val="008F3CD4"/>
    <w:rsid w:val="008F3CD6"/>
    <w:rsid w:val="008F3DD4"/>
    <w:rsid w:val="008F3F8E"/>
    <w:rsid w:val="008F4478"/>
    <w:rsid w:val="008F4601"/>
    <w:rsid w:val="008F47A7"/>
    <w:rsid w:val="008F490F"/>
    <w:rsid w:val="008F49DD"/>
    <w:rsid w:val="008F4B07"/>
    <w:rsid w:val="008F4C1C"/>
    <w:rsid w:val="008F4D42"/>
    <w:rsid w:val="008F4DFA"/>
    <w:rsid w:val="008F5347"/>
    <w:rsid w:val="008F543F"/>
    <w:rsid w:val="008F5604"/>
    <w:rsid w:val="008F5857"/>
    <w:rsid w:val="008F5B56"/>
    <w:rsid w:val="008F60CA"/>
    <w:rsid w:val="008F65EA"/>
    <w:rsid w:val="008F66A9"/>
    <w:rsid w:val="008F6AA8"/>
    <w:rsid w:val="008F6D32"/>
    <w:rsid w:val="008F6FFF"/>
    <w:rsid w:val="008F70DC"/>
    <w:rsid w:val="008F74DB"/>
    <w:rsid w:val="008F75FE"/>
    <w:rsid w:val="008F7694"/>
    <w:rsid w:val="008F79BF"/>
    <w:rsid w:val="008F7EBB"/>
    <w:rsid w:val="0090002E"/>
    <w:rsid w:val="009003DB"/>
    <w:rsid w:val="009004F9"/>
    <w:rsid w:val="0090064C"/>
    <w:rsid w:val="00900853"/>
    <w:rsid w:val="00900952"/>
    <w:rsid w:val="00900D15"/>
    <w:rsid w:val="00900D77"/>
    <w:rsid w:val="00901018"/>
    <w:rsid w:val="0090111D"/>
    <w:rsid w:val="0090128A"/>
    <w:rsid w:val="009014CC"/>
    <w:rsid w:val="0090181A"/>
    <w:rsid w:val="00901F72"/>
    <w:rsid w:val="00902025"/>
    <w:rsid w:val="00902261"/>
    <w:rsid w:val="0090245E"/>
    <w:rsid w:val="00902616"/>
    <w:rsid w:val="00902755"/>
    <w:rsid w:val="00902793"/>
    <w:rsid w:val="00902DD0"/>
    <w:rsid w:val="009035DB"/>
    <w:rsid w:val="00903C5D"/>
    <w:rsid w:val="00903C9C"/>
    <w:rsid w:val="00903D13"/>
    <w:rsid w:val="00903DAB"/>
    <w:rsid w:val="00903E87"/>
    <w:rsid w:val="00903ED4"/>
    <w:rsid w:val="009046D6"/>
    <w:rsid w:val="009048B0"/>
    <w:rsid w:val="009049BD"/>
    <w:rsid w:val="00904B89"/>
    <w:rsid w:val="00904D6B"/>
    <w:rsid w:val="00904D89"/>
    <w:rsid w:val="00904E44"/>
    <w:rsid w:val="00904FEE"/>
    <w:rsid w:val="009050B7"/>
    <w:rsid w:val="0090561B"/>
    <w:rsid w:val="00905BF4"/>
    <w:rsid w:val="00905CBA"/>
    <w:rsid w:val="00905D16"/>
    <w:rsid w:val="009061A7"/>
    <w:rsid w:val="009065E7"/>
    <w:rsid w:val="0090668B"/>
    <w:rsid w:val="009066B0"/>
    <w:rsid w:val="00906A78"/>
    <w:rsid w:val="00906D3C"/>
    <w:rsid w:val="00906D61"/>
    <w:rsid w:val="00906E61"/>
    <w:rsid w:val="009072E8"/>
    <w:rsid w:val="009072FE"/>
    <w:rsid w:val="0090744C"/>
    <w:rsid w:val="0090785D"/>
    <w:rsid w:val="009079DE"/>
    <w:rsid w:val="00907CC7"/>
    <w:rsid w:val="00907D17"/>
    <w:rsid w:val="00907E52"/>
    <w:rsid w:val="00907EDF"/>
    <w:rsid w:val="00907FDE"/>
    <w:rsid w:val="00910134"/>
    <w:rsid w:val="0091013A"/>
    <w:rsid w:val="00910395"/>
    <w:rsid w:val="009109D1"/>
    <w:rsid w:val="009109E3"/>
    <w:rsid w:val="00910F76"/>
    <w:rsid w:val="00910F7C"/>
    <w:rsid w:val="0091107A"/>
    <w:rsid w:val="0091111A"/>
    <w:rsid w:val="00911330"/>
    <w:rsid w:val="00911369"/>
    <w:rsid w:val="0091142B"/>
    <w:rsid w:val="00911564"/>
    <w:rsid w:val="00911D88"/>
    <w:rsid w:val="0091206C"/>
    <w:rsid w:val="0091220C"/>
    <w:rsid w:val="00912236"/>
    <w:rsid w:val="00912307"/>
    <w:rsid w:val="00912CD5"/>
    <w:rsid w:val="0091320C"/>
    <w:rsid w:val="00913226"/>
    <w:rsid w:val="0091325D"/>
    <w:rsid w:val="009135C2"/>
    <w:rsid w:val="009135C8"/>
    <w:rsid w:val="0091383C"/>
    <w:rsid w:val="00913996"/>
    <w:rsid w:val="00913A6B"/>
    <w:rsid w:val="00913FEF"/>
    <w:rsid w:val="00914168"/>
    <w:rsid w:val="009141ED"/>
    <w:rsid w:val="009143A1"/>
    <w:rsid w:val="00914742"/>
    <w:rsid w:val="00914C59"/>
    <w:rsid w:val="00914DF6"/>
    <w:rsid w:val="009150D0"/>
    <w:rsid w:val="00915343"/>
    <w:rsid w:val="00915366"/>
    <w:rsid w:val="00915483"/>
    <w:rsid w:val="009155FD"/>
    <w:rsid w:val="009158CE"/>
    <w:rsid w:val="00915AEB"/>
    <w:rsid w:val="00915AEE"/>
    <w:rsid w:val="00915DC6"/>
    <w:rsid w:val="00915F1B"/>
    <w:rsid w:val="009160FF"/>
    <w:rsid w:val="00916241"/>
    <w:rsid w:val="00916468"/>
    <w:rsid w:val="009165B5"/>
    <w:rsid w:val="009167BB"/>
    <w:rsid w:val="009167BF"/>
    <w:rsid w:val="009169C7"/>
    <w:rsid w:val="009169F8"/>
    <w:rsid w:val="00916B10"/>
    <w:rsid w:val="00916E67"/>
    <w:rsid w:val="00916F2B"/>
    <w:rsid w:val="00916FFD"/>
    <w:rsid w:val="00917117"/>
    <w:rsid w:val="009173BF"/>
    <w:rsid w:val="00917436"/>
    <w:rsid w:val="009177C8"/>
    <w:rsid w:val="00917964"/>
    <w:rsid w:val="00917A2C"/>
    <w:rsid w:val="00917AD9"/>
    <w:rsid w:val="00917ECD"/>
    <w:rsid w:val="009201E5"/>
    <w:rsid w:val="009202BE"/>
    <w:rsid w:val="009203C7"/>
    <w:rsid w:val="009204A9"/>
    <w:rsid w:val="0092084C"/>
    <w:rsid w:val="0092105A"/>
    <w:rsid w:val="009211F7"/>
    <w:rsid w:val="00921282"/>
    <w:rsid w:val="009215CF"/>
    <w:rsid w:val="0092166D"/>
    <w:rsid w:val="00921746"/>
    <w:rsid w:val="00921A26"/>
    <w:rsid w:val="00921CED"/>
    <w:rsid w:val="00921E67"/>
    <w:rsid w:val="009220C7"/>
    <w:rsid w:val="00922108"/>
    <w:rsid w:val="009221E6"/>
    <w:rsid w:val="00922240"/>
    <w:rsid w:val="00922B14"/>
    <w:rsid w:val="00922BEB"/>
    <w:rsid w:val="00922CF7"/>
    <w:rsid w:val="00922D28"/>
    <w:rsid w:val="00922E14"/>
    <w:rsid w:val="00922F2D"/>
    <w:rsid w:val="00923248"/>
    <w:rsid w:val="009234CF"/>
    <w:rsid w:val="0092352C"/>
    <w:rsid w:val="0092355F"/>
    <w:rsid w:val="009235EE"/>
    <w:rsid w:val="00923BA8"/>
    <w:rsid w:val="00923D20"/>
    <w:rsid w:val="00923DE8"/>
    <w:rsid w:val="00923E8A"/>
    <w:rsid w:val="009245EF"/>
    <w:rsid w:val="00924686"/>
    <w:rsid w:val="009246BC"/>
    <w:rsid w:val="00924721"/>
    <w:rsid w:val="0092479B"/>
    <w:rsid w:val="00924885"/>
    <w:rsid w:val="00924A3F"/>
    <w:rsid w:val="00924C1C"/>
    <w:rsid w:val="00924CBF"/>
    <w:rsid w:val="00925243"/>
    <w:rsid w:val="009254C0"/>
    <w:rsid w:val="009256DF"/>
    <w:rsid w:val="0092574F"/>
    <w:rsid w:val="00925888"/>
    <w:rsid w:val="0092590D"/>
    <w:rsid w:val="00925CEC"/>
    <w:rsid w:val="00925D0D"/>
    <w:rsid w:val="00926750"/>
    <w:rsid w:val="00927154"/>
    <w:rsid w:val="00927C0C"/>
    <w:rsid w:val="00927F1F"/>
    <w:rsid w:val="00930948"/>
    <w:rsid w:val="009309E7"/>
    <w:rsid w:val="00930CC2"/>
    <w:rsid w:val="0093136A"/>
    <w:rsid w:val="0093151A"/>
    <w:rsid w:val="009316D1"/>
    <w:rsid w:val="0093176F"/>
    <w:rsid w:val="009317A4"/>
    <w:rsid w:val="00931CCB"/>
    <w:rsid w:val="00931EBD"/>
    <w:rsid w:val="00931F7C"/>
    <w:rsid w:val="00932165"/>
    <w:rsid w:val="009324F6"/>
    <w:rsid w:val="00932594"/>
    <w:rsid w:val="00932924"/>
    <w:rsid w:val="0093297B"/>
    <w:rsid w:val="00932AE5"/>
    <w:rsid w:val="00932E79"/>
    <w:rsid w:val="00932F8C"/>
    <w:rsid w:val="00933078"/>
    <w:rsid w:val="009336AE"/>
    <w:rsid w:val="0093383A"/>
    <w:rsid w:val="00933907"/>
    <w:rsid w:val="00933AEB"/>
    <w:rsid w:val="00934318"/>
    <w:rsid w:val="0093459A"/>
    <w:rsid w:val="00934A84"/>
    <w:rsid w:val="00934BDE"/>
    <w:rsid w:val="00934D6C"/>
    <w:rsid w:val="00934F7D"/>
    <w:rsid w:val="0093505C"/>
    <w:rsid w:val="00935A31"/>
    <w:rsid w:val="00935AE9"/>
    <w:rsid w:val="00935C4F"/>
    <w:rsid w:val="00935F55"/>
    <w:rsid w:val="0093605B"/>
    <w:rsid w:val="00936297"/>
    <w:rsid w:val="0093671E"/>
    <w:rsid w:val="00936AAE"/>
    <w:rsid w:val="00936B31"/>
    <w:rsid w:val="00936C63"/>
    <w:rsid w:val="00936EDD"/>
    <w:rsid w:val="0093716C"/>
    <w:rsid w:val="009374AD"/>
    <w:rsid w:val="009374E6"/>
    <w:rsid w:val="00937750"/>
    <w:rsid w:val="009378D6"/>
    <w:rsid w:val="00937C56"/>
    <w:rsid w:val="00937E80"/>
    <w:rsid w:val="00937F15"/>
    <w:rsid w:val="00937F7B"/>
    <w:rsid w:val="009400ED"/>
    <w:rsid w:val="009402BC"/>
    <w:rsid w:val="0094038D"/>
    <w:rsid w:val="00940536"/>
    <w:rsid w:val="00940651"/>
    <w:rsid w:val="00940684"/>
    <w:rsid w:val="009408DD"/>
    <w:rsid w:val="00940E65"/>
    <w:rsid w:val="00940E7B"/>
    <w:rsid w:val="0094138C"/>
    <w:rsid w:val="0094146C"/>
    <w:rsid w:val="0094172E"/>
    <w:rsid w:val="00941AE5"/>
    <w:rsid w:val="00941B1E"/>
    <w:rsid w:val="00941D4C"/>
    <w:rsid w:val="00941FA3"/>
    <w:rsid w:val="009420CD"/>
    <w:rsid w:val="009425B1"/>
    <w:rsid w:val="00942B7B"/>
    <w:rsid w:val="00942C07"/>
    <w:rsid w:val="00942F2E"/>
    <w:rsid w:val="0094308B"/>
    <w:rsid w:val="0094353B"/>
    <w:rsid w:val="00943879"/>
    <w:rsid w:val="00943A9F"/>
    <w:rsid w:val="00943ED2"/>
    <w:rsid w:val="00943EFC"/>
    <w:rsid w:val="00944044"/>
    <w:rsid w:val="009446B4"/>
    <w:rsid w:val="00944761"/>
    <w:rsid w:val="0094480B"/>
    <w:rsid w:val="00944883"/>
    <w:rsid w:val="009448E9"/>
    <w:rsid w:val="00944BE5"/>
    <w:rsid w:val="00944CE7"/>
    <w:rsid w:val="00944DC2"/>
    <w:rsid w:val="00945016"/>
    <w:rsid w:val="00945143"/>
    <w:rsid w:val="00945172"/>
    <w:rsid w:val="009451AF"/>
    <w:rsid w:val="00945221"/>
    <w:rsid w:val="00945324"/>
    <w:rsid w:val="00945347"/>
    <w:rsid w:val="00945714"/>
    <w:rsid w:val="0094572C"/>
    <w:rsid w:val="009457C4"/>
    <w:rsid w:val="009457DE"/>
    <w:rsid w:val="0094612C"/>
    <w:rsid w:val="009462ED"/>
    <w:rsid w:val="00946345"/>
    <w:rsid w:val="009466DB"/>
    <w:rsid w:val="009466F7"/>
    <w:rsid w:val="00946ADD"/>
    <w:rsid w:val="00946D53"/>
    <w:rsid w:val="00946EFB"/>
    <w:rsid w:val="00946F41"/>
    <w:rsid w:val="0094711F"/>
    <w:rsid w:val="00947136"/>
    <w:rsid w:val="009471DD"/>
    <w:rsid w:val="00947508"/>
    <w:rsid w:val="009476C3"/>
    <w:rsid w:val="0094789B"/>
    <w:rsid w:val="009479E8"/>
    <w:rsid w:val="00947CF7"/>
    <w:rsid w:val="00947D58"/>
    <w:rsid w:val="00947FC9"/>
    <w:rsid w:val="00950000"/>
    <w:rsid w:val="009501B1"/>
    <w:rsid w:val="00950227"/>
    <w:rsid w:val="0095024C"/>
    <w:rsid w:val="009504A8"/>
    <w:rsid w:val="00950611"/>
    <w:rsid w:val="00950A47"/>
    <w:rsid w:val="00950B85"/>
    <w:rsid w:val="00950C8B"/>
    <w:rsid w:val="00950CB2"/>
    <w:rsid w:val="00950E40"/>
    <w:rsid w:val="00950E97"/>
    <w:rsid w:val="00950F01"/>
    <w:rsid w:val="00950F09"/>
    <w:rsid w:val="009512EB"/>
    <w:rsid w:val="0095165C"/>
    <w:rsid w:val="0095179F"/>
    <w:rsid w:val="00951C10"/>
    <w:rsid w:val="00951D4C"/>
    <w:rsid w:val="00951DF3"/>
    <w:rsid w:val="00951F4B"/>
    <w:rsid w:val="0095220D"/>
    <w:rsid w:val="00952241"/>
    <w:rsid w:val="00952310"/>
    <w:rsid w:val="009524ED"/>
    <w:rsid w:val="009525A6"/>
    <w:rsid w:val="00952C18"/>
    <w:rsid w:val="00952F2B"/>
    <w:rsid w:val="00953052"/>
    <w:rsid w:val="009532A4"/>
    <w:rsid w:val="009534B1"/>
    <w:rsid w:val="009535C3"/>
    <w:rsid w:val="009535F9"/>
    <w:rsid w:val="009536B5"/>
    <w:rsid w:val="0095371A"/>
    <w:rsid w:val="0095372E"/>
    <w:rsid w:val="00953807"/>
    <w:rsid w:val="009538CA"/>
    <w:rsid w:val="00953FC7"/>
    <w:rsid w:val="0095443F"/>
    <w:rsid w:val="0095476F"/>
    <w:rsid w:val="00954A03"/>
    <w:rsid w:val="00954E18"/>
    <w:rsid w:val="00954E51"/>
    <w:rsid w:val="009551B9"/>
    <w:rsid w:val="009555A1"/>
    <w:rsid w:val="0095565F"/>
    <w:rsid w:val="0095567C"/>
    <w:rsid w:val="0095589F"/>
    <w:rsid w:val="009559FC"/>
    <w:rsid w:val="00955A65"/>
    <w:rsid w:val="0095604A"/>
    <w:rsid w:val="00956131"/>
    <w:rsid w:val="0095624A"/>
    <w:rsid w:val="00956A53"/>
    <w:rsid w:val="00956EFB"/>
    <w:rsid w:val="009571F5"/>
    <w:rsid w:val="00957402"/>
    <w:rsid w:val="0095777A"/>
    <w:rsid w:val="009578CC"/>
    <w:rsid w:val="009578D0"/>
    <w:rsid w:val="009578D7"/>
    <w:rsid w:val="00957A13"/>
    <w:rsid w:val="00957BF4"/>
    <w:rsid w:val="00957D00"/>
    <w:rsid w:val="00957EC0"/>
    <w:rsid w:val="00957FB8"/>
    <w:rsid w:val="00960208"/>
    <w:rsid w:val="00960282"/>
    <w:rsid w:val="00960B2E"/>
    <w:rsid w:val="00960C63"/>
    <w:rsid w:val="00960EDA"/>
    <w:rsid w:val="009614CC"/>
    <w:rsid w:val="00961595"/>
    <w:rsid w:val="00961624"/>
    <w:rsid w:val="00961657"/>
    <w:rsid w:val="009616FE"/>
    <w:rsid w:val="009617A0"/>
    <w:rsid w:val="00961848"/>
    <w:rsid w:val="00961A38"/>
    <w:rsid w:val="00961BF9"/>
    <w:rsid w:val="00961DB6"/>
    <w:rsid w:val="00961EC8"/>
    <w:rsid w:val="00961F57"/>
    <w:rsid w:val="0096203D"/>
    <w:rsid w:val="00962450"/>
    <w:rsid w:val="00962689"/>
    <w:rsid w:val="00962769"/>
    <w:rsid w:val="0096299E"/>
    <w:rsid w:val="00962F0A"/>
    <w:rsid w:val="00962F1E"/>
    <w:rsid w:val="009634BF"/>
    <w:rsid w:val="009634E0"/>
    <w:rsid w:val="009634ED"/>
    <w:rsid w:val="00963A19"/>
    <w:rsid w:val="00963A3D"/>
    <w:rsid w:val="00963AE9"/>
    <w:rsid w:val="00963BCC"/>
    <w:rsid w:val="00963C69"/>
    <w:rsid w:val="00963DE3"/>
    <w:rsid w:val="00963EC7"/>
    <w:rsid w:val="00964052"/>
    <w:rsid w:val="00964231"/>
    <w:rsid w:val="009642EC"/>
    <w:rsid w:val="009643F8"/>
    <w:rsid w:val="00964474"/>
    <w:rsid w:val="009645DC"/>
    <w:rsid w:val="00964882"/>
    <w:rsid w:val="00964B94"/>
    <w:rsid w:val="00964C85"/>
    <w:rsid w:val="00964FBD"/>
    <w:rsid w:val="00965370"/>
    <w:rsid w:val="00965386"/>
    <w:rsid w:val="009657C6"/>
    <w:rsid w:val="009658D8"/>
    <w:rsid w:val="00965BFE"/>
    <w:rsid w:val="00965CB4"/>
    <w:rsid w:val="00965DDD"/>
    <w:rsid w:val="00966863"/>
    <w:rsid w:val="009669A3"/>
    <w:rsid w:val="00966D70"/>
    <w:rsid w:val="00966F38"/>
    <w:rsid w:val="009674B3"/>
    <w:rsid w:val="009675B8"/>
    <w:rsid w:val="00967800"/>
    <w:rsid w:val="00967995"/>
    <w:rsid w:val="00967FD0"/>
    <w:rsid w:val="00967FE5"/>
    <w:rsid w:val="0097002C"/>
    <w:rsid w:val="00970091"/>
    <w:rsid w:val="00970382"/>
    <w:rsid w:val="00970467"/>
    <w:rsid w:val="0097059C"/>
    <w:rsid w:val="009706B7"/>
    <w:rsid w:val="00970A46"/>
    <w:rsid w:val="00970A48"/>
    <w:rsid w:val="00970D58"/>
    <w:rsid w:val="00970FD3"/>
    <w:rsid w:val="00971ED0"/>
    <w:rsid w:val="009721E0"/>
    <w:rsid w:val="00972488"/>
    <w:rsid w:val="009724CA"/>
    <w:rsid w:val="00972863"/>
    <w:rsid w:val="009729A3"/>
    <w:rsid w:val="00972B3B"/>
    <w:rsid w:val="00972B62"/>
    <w:rsid w:val="00972BFE"/>
    <w:rsid w:val="00972F13"/>
    <w:rsid w:val="0097306A"/>
    <w:rsid w:val="00973729"/>
    <w:rsid w:val="009738AB"/>
    <w:rsid w:val="00973C57"/>
    <w:rsid w:val="00973F82"/>
    <w:rsid w:val="00974311"/>
    <w:rsid w:val="0097466C"/>
    <w:rsid w:val="0097472B"/>
    <w:rsid w:val="009747C2"/>
    <w:rsid w:val="00974CC9"/>
    <w:rsid w:val="00974CE4"/>
    <w:rsid w:val="00974F25"/>
    <w:rsid w:val="00975269"/>
    <w:rsid w:val="009756B4"/>
    <w:rsid w:val="009759E3"/>
    <w:rsid w:val="00975C57"/>
    <w:rsid w:val="00975C9E"/>
    <w:rsid w:val="00975E0A"/>
    <w:rsid w:val="00976194"/>
    <w:rsid w:val="009761D4"/>
    <w:rsid w:val="009762B8"/>
    <w:rsid w:val="00976373"/>
    <w:rsid w:val="00976461"/>
    <w:rsid w:val="0097658E"/>
    <w:rsid w:val="00976E52"/>
    <w:rsid w:val="00976FB0"/>
    <w:rsid w:val="00977170"/>
    <w:rsid w:val="00977262"/>
    <w:rsid w:val="0097727A"/>
    <w:rsid w:val="00977701"/>
    <w:rsid w:val="0097777F"/>
    <w:rsid w:val="00977937"/>
    <w:rsid w:val="00977BBE"/>
    <w:rsid w:val="00977BD3"/>
    <w:rsid w:val="00977CCA"/>
    <w:rsid w:val="00980610"/>
    <w:rsid w:val="00980969"/>
    <w:rsid w:val="009811B5"/>
    <w:rsid w:val="009814D0"/>
    <w:rsid w:val="00981771"/>
    <w:rsid w:val="0098185D"/>
    <w:rsid w:val="00981ABC"/>
    <w:rsid w:val="00981D7B"/>
    <w:rsid w:val="00981DB8"/>
    <w:rsid w:val="00981DD4"/>
    <w:rsid w:val="00981F7D"/>
    <w:rsid w:val="00981FC1"/>
    <w:rsid w:val="00981FCD"/>
    <w:rsid w:val="009825E3"/>
    <w:rsid w:val="0098279D"/>
    <w:rsid w:val="00982C79"/>
    <w:rsid w:val="00982EE3"/>
    <w:rsid w:val="0098300A"/>
    <w:rsid w:val="0098316C"/>
    <w:rsid w:val="009833E4"/>
    <w:rsid w:val="0098363A"/>
    <w:rsid w:val="009836E1"/>
    <w:rsid w:val="00983ABB"/>
    <w:rsid w:val="009840F0"/>
    <w:rsid w:val="00984347"/>
    <w:rsid w:val="00984381"/>
    <w:rsid w:val="00984505"/>
    <w:rsid w:val="009847E7"/>
    <w:rsid w:val="00984818"/>
    <w:rsid w:val="00984C2E"/>
    <w:rsid w:val="00984C8F"/>
    <w:rsid w:val="00984DB7"/>
    <w:rsid w:val="00984F79"/>
    <w:rsid w:val="009850B0"/>
    <w:rsid w:val="009851C9"/>
    <w:rsid w:val="009852F4"/>
    <w:rsid w:val="00985314"/>
    <w:rsid w:val="0098569E"/>
    <w:rsid w:val="00985753"/>
    <w:rsid w:val="0098577D"/>
    <w:rsid w:val="00985D4A"/>
    <w:rsid w:val="00985DB8"/>
    <w:rsid w:val="009860C4"/>
    <w:rsid w:val="00986313"/>
    <w:rsid w:val="009863D6"/>
    <w:rsid w:val="009870F5"/>
    <w:rsid w:val="0098715D"/>
    <w:rsid w:val="009871A8"/>
    <w:rsid w:val="009872D8"/>
    <w:rsid w:val="00987434"/>
    <w:rsid w:val="00987587"/>
    <w:rsid w:val="009875FD"/>
    <w:rsid w:val="0098780A"/>
    <w:rsid w:val="00987CA7"/>
    <w:rsid w:val="009901FA"/>
    <w:rsid w:val="0099021F"/>
    <w:rsid w:val="00990688"/>
    <w:rsid w:val="00990A77"/>
    <w:rsid w:val="009910EE"/>
    <w:rsid w:val="00991A12"/>
    <w:rsid w:val="00991BDF"/>
    <w:rsid w:val="00991EBD"/>
    <w:rsid w:val="00991FB2"/>
    <w:rsid w:val="009921D0"/>
    <w:rsid w:val="0099220C"/>
    <w:rsid w:val="00992293"/>
    <w:rsid w:val="009922E3"/>
    <w:rsid w:val="009923CC"/>
    <w:rsid w:val="009923F0"/>
    <w:rsid w:val="00992A77"/>
    <w:rsid w:val="00992D56"/>
    <w:rsid w:val="009937BE"/>
    <w:rsid w:val="00993800"/>
    <w:rsid w:val="0099387C"/>
    <w:rsid w:val="00993C1E"/>
    <w:rsid w:val="009944CF"/>
    <w:rsid w:val="009944D6"/>
    <w:rsid w:val="0099499B"/>
    <w:rsid w:val="00994F1A"/>
    <w:rsid w:val="00994FF5"/>
    <w:rsid w:val="0099506A"/>
    <w:rsid w:val="0099530C"/>
    <w:rsid w:val="00995524"/>
    <w:rsid w:val="00995908"/>
    <w:rsid w:val="00995A21"/>
    <w:rsid w:val="00995AF1"/>
    <w:rsid w:val="00995B92"/>
    <w:rsid w:val="00995D7A"/>
    <w:rsid w:val="00995DD7"/>
    <w:rsid w:val="00995E86"/>
    <w:rsid w:val="00996031"/>
    <w:rsid w:val="009962C3"/>
    <w:rsid w:val="009965C8"/>
    <w:rsid w:val="00996909"/>
    <w:rsid w:val="00996C9D"/>
    <w:rsid w:val="00996F01"/>
    <w:rsid w:val="00996F21"/>
    <w:rsid w:val="009972B0"/>
    <w:rsid w:val="009972E8"/>
    <w:rsid w:val="00997531"/>
    <w:rsid w:val="00997874"/>
    <w:rsid w:val="009A001F"/>
    <w:rsid w:val="009A0174"/>
    <w:rsid w:val="009A0275"/>
    <w:rsid w:val="009A037E"/>
    <w:rsid w:val="009A0680"/>
    <w:rsid w:val="009A0746"/>
    <w:rsid w:val="009A0756"/>
    <w:rsid w:val="009A07C3"/>
    <w:rsid w:val="009A0D51"/>
    <w:rsid w:val="009A0DA7"/>
    <w:rsid w:val="009A0DAB"/>
    <w:rsid w:val="009A1358"/>
    <w:rsid w:val="009A1371"/>
    <w:rsid w:val="009A13D1"/>
    <w:rsid w:val="009A1568"/>
    <w:rsid w:val="009A1779"/>
    <w:rsid w:val="009A1837"/>
    <w:rsid w:val="009A1B3B"/>
    <w:rsid w:val="009A1BBA"/>
    <w:rsid w:val="009A1EF6"/>
    <w:rsid w:val="009A22DB"/>
    <w:rsid w:val="009A27D2"/>
    <w:rsid w:val="009A286C"/>
    <w:rsid w:val="009A289D"/>
    <w:rsid w:val="009A2995"/>
    <w:rsid w:val="009A2B0A"/>
    <w:rsid w:val="009A2EA9"/>
    <w:rsid w:val="009A30B5"/>
    <w:rsid w:val="009A365E"/>
    <w:rsid w:val="009A3806"/>
    <w:rsid w:val="009A3D6B"/>
    <w:rsid w:val="009A41A4"/>
    <w:rsid w:val="009A4240"/>
    <w:rsid w:val="009A497C"/>
    <w:rsid w:val="009A4B20"/>
    <w:rsid w:val="009A4E55"/>
    <w:rsid w:val="009A503A"/>
    <w:rsid w:val="009A5113"/>
    <w:rsid w:val="009A559A"/>
    <w:rsid w:val="009A56E0"/>
    <w:rsid w:val="009A5935"/>
    <w:rsid w:val="009A59F5"/>
    <w:rsid w:val="009A5AE5"/>
    <w:rsid w:val="009A5C37"/>
    <w:rsid w:val="009A5C44"/>
    <w:rsid w:val="009A5CB1"/>
    <w:rsid w:val="009A5CD5"/>
    <w:rsid w:val="009A5F30"/>
    <w:rsid w:val="009A609A"/>
    <w:rsid w:val="009A60E5"/>
    <w:rsid w:val="009A6288"/>
    <w:rsid w:val="009A65B8"/>
    <w:rsid w:val="009A69F3"/>
    <w:rsid w:val="009A70AC"/>
    <w:rsid w:val="009A741F"/>
    <w:rsid w:val="009A79CC"/>
    <w:rsid w:val="009B00AF"/>
    <w:rsid w:val="009B02C0"/>
    <w:rsid w:val="009B05EA"/>
    <w:rsid w:val="009B0624"/>
    <w:rsid w:val="009B0CDF"/>
    <w:rsid w:val="009B0CE2"/>
    <w:rsid w:val="009B0EAB"/>
    <w:rsid w:val="009B11A1"/>
    <w:rsid w:val="009B146E"/>
    <w:rsid w:val="009B16DE"/>
    <w:rsid w:val="009B186A"/>
    <w:rsid w:val="009B19A5"/>
    <w:rsid w:val="009B1A4D"/>
    <w:rsid w:val="009B1DCF"/>
    <w:rsid w:val="009B22E9"/>
    <w:rsid w:val="009B258C"/>
    <w:rsid w:val="009B2758"/>
    <w:rsid w:val="009B2992"/>
    <w:rsid w:val="009B2AF7"/>
    <w:rsid w:val="009B2BC9"/>
    <w:rsid w:val="009B3002"/>
    <w:rsid w:val="009B3147"/>
    <w:rsid w:val="009B33ED"/>
    <w:rsid w:val="009B3432"/>
    <w:rsid w:val="009B3861"/>
    <w:rsid w:val="009B3A5D"/>
    <w:rsid w:val="009B3BE7"/>
    <w:rsid w:val="009B4482"/>
    <w:rsid w:val="009B4646"/>
    <w:rsid w:val="009B4A5D"/>
    <w:rsid w:val="009B4BBC"/>
    <w:rsid w:val="009B5065"/>
    <w:rsid w:val="009B5EBD"/>
    <w:rsid w:val="009B622E"/>
    <w:rsid w:val="009B6722"/>
    <w:rsid w:val="009B6DC4"/>
    <w:rsid w:val="009B729E"/>
    <w:rsid w:val="009B74F5"/>
    <w:rsid w:val="009B7640"/>
    <w:rsid w:val="009B7FB0"/>
    <w:rsid w:val="009C0196"/>
    <w:rsid w:val="009C0638"/>
    <w:rsid w:val="009C0959"/>
    <w:rsid w:val="009C0A57"/>
    <w:rsid w:val="009C0AF3"/>
    <w:rsid w:val="009C0B96"/>
    <w:rsid w:val="009C0F07"/>
    <w:rsid w:val="009C1160"/>
    <w:rsid w:val="009C11C2"/>
    <w:rsid w:val="009C130F"/>
    <w:rsid w:val="009C13B6"/>
    <w:rsid w:val="009C1459"/>
    <w:rsid w:val="009C14F3"/>
    <w:rsid w:val="009C16A4"/>
    <w:rsid w:val="009C17B1"/>
    <w:rsid w:val="009C1CD7"/>
    <w:rsid w:val="009C1E5D"/>
    <w:rsid w:val="009C232E"/>
    <w:rsid w:val="009C23A1"/>
    <w:rsid w:val="009C249F"/>
    <w:rsid w:val="009C2685"/>
    <w:rsid w:val="009C2738"/>
    <w:rsid w:val="009C2A98"/>
    <w:rsid w:val="009C2F1A"/>
    <w:rsid w:val="009C3165"/>
    <w:rsid w:val="009C3374"/>
    <w:rsid w:val="009C33B8"/>
    <w:rsid w:val="009C35C9"/>
    <w:rsid w:val="009C3626"/>
    <w:rsid w:val="009C3774"/>
    <w:rsid w:val="009C3B77"/>
    <w:rsid w:val="009C3D9F"/>
    <w:rsid w:val="009C3EFB"/>
    <w:rsid w:val="009C471E"/>
    <w:rsid w:val="009C49C1"/>
    <w:rsid w:val="009C4B72"/>
    <w:rsid w:val="009C4E02"/>
    <w:rsid w:val="009C4E6A"/>
    <w:rsid w:val="009C51A4"/>
    <w:rsid w:val="009C5418"/>
    <w:rsid w:val="009C604F"/>
    <w:rsid w:val="009C63A5"/>
    <w:rsid w:val="009C6637"/>
    <w:rsid w:val="009C6995"/>
    <w:rsid w:val="009C7230"/>
    <w:rsid w:val="009C7366"/>
    <w:rsid w:val="009C73A8"/>
    <w:rsid w:val="009C7618"/>
    <w:rsid w:val="009C781F"/>
    <w:rsid w:val="009C7AB1"/>
    <w:rsid w:val="009C7DC9"/>
    <w:rsid w:val="009D04C3"/>
    <w:rsid w:val="009D07DE"/>
    <w:rsid w:val="009D08CD"/>
    <w:rsid w:val="009D0A63"/>
    <w:rsid w:val="009D0B29"/>
    <w:rsid w:val="009D1221"/>
    <w:rsid w:val="009D127C"/>
    <w:rsid w:val="009D1397"/>
    <w:rsid w:val="009D14CF"/>
    <w:rsid w:val="009D14E3"/>
    <w:rsid w:val="009D16E2"/>
    <w:rsid w:val="009D17C7"/>
    <w:rsid w:val="009D1977"/>
    <w:rsid w:val="009D198C"/>
    <w:rsid w:val="009D198F"/>
    <w:rsid w:val="009D19A5"/>
    <w:rsid w:val="009D1EC1"/>
    <w:rsid w:val="009D1FBF"/>
    <w:rsid w:val="009D24CA"/>
    <w:rsid w:val="009D2706"/>
    <w:rsid w:val="009D2819"/>
    <w:rsid w:val="009D28B3"/>
    <w:rsid w:val="009D2A68"/>
    <w:rsid w:val="009D2B9E"/>
    <w:rsid w:val="009D2E64"/>
    <w:rsid w:val="009D30A4"/>
    <w:rsid w:val="009D32C1"/>
    <w:rsid w:val="009D3373"/>
    <w:rsid w:val="009D33E1"/>
    <w:rsid w:val="009D385A"/>
    <w:rsid w:val="009D3A6F"/>
    <w:rsid w:val="009D3AE4"/>
    <w:rsid w:val="009D48BE"/>
    <w:rsid w:val="009D4909"/>
    <w:rsid w:val="009D4CE4"/>
    <w:rsid w:val="009D4D1A"/>
    <w:rsid w:val="009D4E0E"/>
    <w:rsid w:val="009D50B8"/>
    <w:rsid w:val="009D546C"/>
    <w:rsid w:val="009D54CC"/>
    <w:rsid w:val="009D5509"/>
    <w:rsid w:val="009D559D"/>
    <w:rsid w:val="009D57C8"/>
    <w:rsid w:val="009D5A01"/>
    <w:rsid w:val="009D5DD8"/>
    <w:rsid w:val="009D6005"/>
    <w:rsid w:val="009D63E5"/>
    <w:rsid w:val="009D656C"/>
    <w:rsid w:val="009D6C22"/>
    <w:rsid w:val="009D6EC0"/>
    <w:rsid w:val="009D6F69"/>
    <w:rsid w:val="009D71A4"/>
    <w:rsid w:val="009D74DC"/>
    <w:rsid w:val="009D75BA"/>
    <w:rsid w:val="009D76F6"/>
    <w:rsid w:val="009D77AA"/>
    <w:rsid w:val="009D7A7A"/>
    <w:rsid w:val="009D7C1E"/>
    <w:rsid w:val="009D7C9A"/>
    <w:rsid w:val="009E013F"/>
    <w:rsid w:val="009E0283"/>
    <w:rsid w:val="009E02C0"/>
    <w:rsid w:val="009E04C4"/>
    <w:rsid w:val="009E0768"/>
    <w:rsid w:val="009E0812"/>
    <w:rsid w:val="009E0C16"/>
    <w:rsid w:val="009E0CC4"/>
    <w:rsid w:val="009E0D8D"/>
    <w:rsid w:val="009E0E17"/>
    <w:rsid w:val="009E1BB1"/>
    <w:rsid w:val="009E1F41"/>
    <w:rsid w:val="009E20FA"/>
    <w:rsid w:val="009E2571"/>
    <w:rsid w:val="009E2707"/>
    <w:rsid w:val="009E27F6"/>
    <w:rsid w:val="009E2BB2"/>
    <w:rsid w:val="009E2D1C"/>
    <w:rsid w:val="009E2F7F"/>
    <w:rsid w:val="009E30A7"/>
    <w:rsid w:val="009E314A"/>
    <w:rsid w:val="009E34E7"/>
    <w:rsid w:val="009E381D"/>
    <w:rsid w:val="009E3C50"/>
    <w:rsid w:val="009E4A7A"/>
    <w:rsid w:val="009E4D3A"/>
    <w:rsid w:val="009E4E8F"/>
    <w:rsid w:val="009E5184"/>
    <w:rsid w:val="009E55A1"/>
    <w:rsid w:val="009E5A3D"/>
    <w:rsid w:val="009E5BC8"/>
    <w:rsid w:val="009E5F4B"/>
    <w:rsid w:val="009E6018"/>
    <w:rsid w:val="009E618E"/>
    <w:rsid w:val="009E6223"/>
    <w:rsid w:val="009E6237"/>
    <w:rsid w:val="009E633D"/>
    <w:rsid w:val="009E6531"/>
    <w:rsid w:val="009E6586"/>
    <w:rsid w:val="009E67E6"/>
    <w:rsid w:val="009E690C"/>
    <w:rsid w:val="009E6CB4"/>
    <w:rsid w:val="009E6CD2"/>
    <w:rsid w:val="009E6D26"/>
    <w:rsid w:val="009E7223"/>
    <w:rsid w:val="009E73D8"/>
    <w:rsid w:val="009E76F0"/>
    <w:rsid w:val="009E7777"/>
    <w:rsid w:val="009E77D3"/>
    <w:rsid w:val="009E7BA0"/>
    <w:rsid w:val="009E7C9D"/>
    <w:rsid w:val="009E7DC9"/>
    <w:rsid w:val="009E7E36"/>
    <w:rsid w:val="009E7ED7"/>
    <w:rsid w:val="009F0115"/>
    <w:rsid w:val="009F038D"/>
    <w:rsid w:val="009F078F"/>
    <w:rsid w:val="009F0978"/>
    <w:rsid w:val="009F102A"/>
    <w:rsid w:val="009F10D2"/>
    <w:rsid w:val="009F1608"/>
    <w:rsid w:val="009F1747"/>
    <w:rsid w:val="009F1855"/>
    <w:rsid w:val="009F1D19"/>
    <w:rsid w:val="009F1E68"/>
    <w:rsid w:val="009F1F94"/>
    <w:rsid w:val="009F201C"/>
    <w:rsid w:val="009F290F"/>
    <w:rsid w:val="009F2B2F"/>
    <w:rsid w:val="009F2ED6"/>
    <w:rsid w:val="009F34D7"/>
    <w:rsid w:val="009F3757"/>
    <w:rsid w:val="009F38BD"/>
    <w:rsid w:val="009F38DB"/>
    <w:rsid w:val="009F3FE7"/>
    <w:rsid w:val="009F4132"/>
    <w:rsid w:val="009F427E"/>
    <w:rsid w:val="009F4398"/>
    <w:rsid w:val="009F4519"/>
    <w:rsid w:val="009F4A48"/>
    <w:rsid w:val="009F4D94"/>
    <w:rsid w:val="009F4F42"/>
    <w:rsid w:val="009F5043"/>
    <w:rsid w:val="009F5143"/>
    <w:rsid w:val="009F5247"/>
    <w:rsid w:val="009F5B37"/>
    <w:rsid w:val="009F5D59"/>
    <w:rsid w:val="009F5D69"/>
    <w:rsid w:val="009F5DB7"/>
    <w:rsid w:val="009F5E99"/>
    <w:rsid w:val="009F5EEF"/>
    <w:rsid w:val="009F5F0D"/>
    <w:rsid w:val="009F60F1"/>
    <w:rsid w:val="009F6148"/>
    <w:rsid w:val="009F6369"/>
    <w:rsid w:val="009F6CC6"/>
    <w:rsid w:val="009F6D1A"/>
    <w:rsid w:val="009F724C"/>
    <w:rsid w:val="009F7406"/>
    <w:rsid w:val="009F772A"/>
    <w:rsid w:val="009F7792"/>
    <w:rsid w:val="009F7851"/>
    <w:rsid w:val="009F7A86"/>
    <w:rsid w:val="009F7B93"/>
    <w:rsid w:val="009F7C2B"/>
    <w:rsid w:val="009F7C3B"/>
    <w:rsid w:val="009F7C93"/>
    <w:rsid w:val="009F7CE4"/>
    <w:rsid w:val="00A0014A"/>
    <w:rsid w:val="00A003C1"/>
    <w:rsid w:val="00A0060B"/>
    <w:rsid w:val="00A008AB"/>
    <w:rsid w:val="00A00BA3"/>
    <w:rsid w:val="00A00C7B"/>
    <w:rsid w:val="00A01002"/>
    <w:rsid w:val="00A01277"/>
    <w:rsid w:val="00A0141B"/>
    <w:rsid w:val="00A01924"/>
    <w:rsid w:val="00A01AB7"/>
    <w:rsid w:val="00A01B0A"/>
    <w:rsid w:val="00A01BC4"/>
    <w:rsid w:val="00A02237"/>
    <w:rsid w:val="00A0242E"/>
    <w:rsid w:val="00A026B0"/>
    <w:rsid w:val="00A02875"/>
    <w:rsid w:val="00A029FE"/>
    <w:rsid w:val="00A02A8A"/>
    <w:rsid w:val="00A02AB0"/>
    <w:rsid w:val="00A0330C"/>
    <w:rsid w:val="00A03469"/>
    <w:rsid w:val="00A0362D"/>
    <w:rsid w:val="00A03C5D"/>
    <w:rsid w:val="00A03CE3"/>
    <w:rsid w:val="00A042D4"/>
    <w:rsid w:val="00A0448D"/>
    <w:rsid w:val="00A0481C"/>
    <w:rsid w:val="00A04901"/>
    <w:rsid w:val="00A049BB"/>
    <w:rsid w:val="00A04AA2"/>
    <w:rsid w:val="00A04AD6"/>
    <w:rsid w:val="00A04D57"/>
    <w:rsid w:val="00A0521D"/>
    <w:rsid w:val="00A056C2"/>
    <w:rsid w:val="00A05E7E"/>
    <w:rsid w:val="00A061C0"/>
    <w:rsid w:val="00A06606"/>
    <w:rsid w:val="00A066C7"/>
    <w:rsid w:val="00A0675B"/>
    <w:rsid w:val="00A0688F"/>
    <w:rsid w:val="00A06CF9"/>
    <w:rsid w:val="00A06F41"/>
    <w:rsid w:val="00A071CA"/>
    <w:rsid w:val="00A07449"/>
    <w:rsid w:val="00A076E4"/>
    <w:rsid w:val="00A07B3A"/>
    <w:rsid w:val="00A07C38"/>
    <w:rsid w:val="00A1017C"/>
    <w:rsid w:val="00A10213"/>
    <w:rsid w:val="00A10285"/>
    <w:rsid w:val="00A10286"/>
    <w:rsid w:val="00A10444"/>
    <w:rsid w:val="00A105B7"/>
    <w:rsid w:val="00A109E5"/>
    <w:rsid w:val="00A10AD3"/>
    <w:rsid w:val="00A10F7C"/>
    <w:rsid w:val="00A11242"/>
    <w:rsid w:val="00A1142D"/>
    <w:rsid w:val="00A11615"/>
    <w:rsid w:val="00A11701"/>
    <w:rsid w:val="00A11770"/>
    <w:rsid w:val="00A11A5A"/>
    <w:rsid w:val="00A11F9E"/>
    <w:rsid w:val="00A12004"/>
    <w:rsid w:val="00A12434"/>
    <w:rsid w:val="00A124A9"/>
    <w:rsid w:val="00A125A2"/>
    <w:rsid w:val="00A127BA"/>
    <w:rsid w:val="00A12BB3"/>
    <w:rsid w:val="00A12EAB"/>
    <w:rsid w:val="00A132D5"/>
    <w:rsid w:val="00A1332D"/>
    <w:rsid w:val="00A1391B"/>
    <w:rsid w:val="00A13966"/>
    <w:rsid w:val="00A14000"/>
    <w:rsid w:val="00A143C1"/>
    <w:rsid w:val="00A144C8"/>
    <w:rsid w:val="00A14524"/>
    <w:rsid w:val="00A14549"/>
    <w:rsid w:val="00A14A00"/>
    <w:rsid w:val="00A14BB5"/>
    <w:rsid w:val="00A14C68"/>
    <w:rsid w:val="00A14D6D"/>
    <w:rsid w:val="00A14EBB"/>
    <w:rsid w:val="00A152A9"/>
    <w:rsid w:val="00A1531D"/>
    <w:rsid w:val="00A15372"/>
    <w:rsid w:val="00A15835"/>
    <w:rsid w:val="00A15899"/>
    <w:rsid w:val="00A15E9B"/>
    <w:rsid w:val="00A160CC"/>
    <w:rsid w:val="00A16111"/>
    <w:rsid w:val="00A1649C"/>
    <w:rsid w:val="00A165F0"/>
    <w:rsid w:val="00A169F7"/>
    <w:rsid w:val="00A16E8C"/>
    <w:rsid w:val="00A16F80"/>
    <w:rsid w:val="00A17087"/>
    <w:rsid w:val="00A172C3"/>
    <w:rsid w:val="00A1750E"/>
    <w:rsid w:val="00A17552"/>
    <w:rsid w:val="00A17747"/>
    <w:rsid w:val="00A17947"/>
    <w:rsid w:val="00A1797B"/>
    <w:rsid w:val="00A179EA"/>
    <w:rsid w:val="00A17BF2"/>
    <w:rsid w:val="00A17C2E"/>
    <w:rsid w:val="00A17D31"/>
    <w:rsid w:val="00A17D57"/>
    <w:rsid w:val="00A17E58"/>
    <w:rsid w:val="00A17F4C"/>
    <w:rsid w:val="00A20025"/>
    <w:rsid w:val="00A204F3"/>
    <w:rsid w:val="00A20966"/>
    <w:rsid w:val="00A20EDE"/>
    <w:rsid w:val="00A21222"/>
    <w:rsid w:val="00A214E7"/>
    <w:rsid w:val="00A2153B"/>
    <w:rsid w:val="00A2162C"/>
    <w:rsid w:val="00A21635"/>
    <w:rsid w:val="00A21AA7"/>
    <w:rsid w:val="00A21ED5"/>
    <w:rsid w:val="00A224EA"/>
    <w:rsid w:val="00A22F66"/>
    <w:rsid w:val="00A22FBE"/>
    <w:rsid w:val="00A230CD"/>
    <w:rsid w:val="00A231DE"/>
    <w:rsid w:val="00A2323A"/>
    <w:rsid w:val="00A234A8"/>
    <w:rsid w:val="00A234E1"/>
    <w:rsid w:val="00A240B5"/>
    <w:rsid w:val="00A240C0"/>
    <w:rsid w:val="00A245EC"/>
    <w:rsid w:val="00A24772"/>
    <w:rsid w:val="00A24876"/>
    <w:rsid w:val="00A24AF1"/>
    <w:rsid w:val="00A24D7F"/>
    <w:rsid w:val="00A25000"/>
    <w:rsid w:val="00A252CC"/>
    <w:rsid w:val="00A256A1"/>
    <w:rsid w:val="00A25884"/>
    <w:rsid w:val="00A25C59"/>
    <w:rsid w:val="00A25D0E"/>
    <w:rsid w:val="00A261E7"/>
    <w:rsid w:val="00A26305"/>
    <w:rsid w:val="00A263A4"/>
    <w:rsid w:val="00A263B4"/>
    <w:rsid w:val="00A26562"/>
    <w:rsid w:val="00A268D1"/>
    <w:rsid w:val="00A26CCB"/>
    <w:rsid w:val="00A26ED8"/>
    <w:rsid w:val="00A272BA"/>
    <w:rsid w:val="00A27374"/>
    <w:rsid w:val="00A27707"/>
    <w:rsid w:val="00A27747"/>
    <w:rsid w:val="00A27788"/>
    <w:rsid w:val="00A27AA7"/>
    <w:rsid w:val="00A27B97"/>
    <w:rsid w:val="00A27E9B"/>
    <w:rsid w:val="00A27F94"/>
    <w:rsid w:val="00A304CB"/>
    <w:rsid w:val="00A305A6"/>
    <w:rsid w:val="00A305C7"/>
    <w:rsid w:val="00A30611"/>
    <w:rsid w:val="00A307E1"/>
    <w:rsid w:val="00A30815"/>
    <w:rsid w:val="00A30934"/>
    <w:rsid w:val="00A309D3"/>
    <w:rsid w:val="00A30CF6"/>
    <w:rsid w:val="00A30D1C"/>
    <w:rsid w:val="00A30D1D"/>
    <w:rsid w:val="00A30FFD"/>
    <w:rsid w:val="00A31059"/>
    <w:rsid w:val="00A311AD"/>
    <w:rsid w:val="00A3131E"/>
    <w:rsid w:val="00A3146E"/>
    <w:rsid w:val="00A315B9"/>
    <w:rsid w:val="00A3164A"/>
    <w:rsid w:val="00A3172C"/>
    <w:rsid w:val="00A318CD"/>
    <w:rsid w:val="00A31917"/>
    <w:rsid w:val="00A31C5A"/>
    <w:rsid w:val="00A31F1D"/>
    <w:rsid w:val="00A31F70"/>
    <w:rsid w:val="00A320E1"/>
    <w:rsid w:val="00A32166"/>
    <w:rsid w:val="00A32395"/>
    <w:rsid w:val="00A324B4"/>
    <w:rsid w:val="00A32660"/>
    <w:rsid w:val="00A326F5"/>
    <w:rsid w:val="00A3275E"/>
    <w:rsid w:val="00A32858"/>
    <w:rsid w:val="00A3291A"/>
    <w:rsid w:val="00A32AE5"/>
    <w:rsid w:val="00A32B28"/>
    <w:rsid w:val="00A32E46"/>
    <w:rsid w:val="00A32EF2"/>
    <w:rsid w:val="00A3361E"/>
    <w:rsid w:val="00A33631"/>
    <w:rsid w:val="00A33B83"/>
    <w:rsid w:val="00A33C76"/>
    <w:rsid w:val="00A33E11"/>
    <w:rsid w:val="00A34246"/>
    <w:rsid w:val="00A34341"/>
    <w:rsid w:val="00A34868"/>
    <w:rsid w:val="00A348C6"/>
    <w:rsid w:val="00A34961"/>
    <w:rsid w:val="00A349F6"/>
    <w:rsid w:val="00A349FB"/>
    <w:rsid w:val="00A35070"/>
    <w:rsid w:val="00A35121"/>
    <w:rsid w:val="00A35325"/>
    <w:rsid w:val="00A3569A"/>
    <w:rsid w:val="00A3583B"/>
    <w:rsid w:val="00A35CEE"/>
    <w:rsid w:val="00A35EF4"/>
    <w:rsid w:val="00A363A7"/>
    <w:rsid w:val="00A364DF"/>
    <w:rsid w:val="00A366BD"/>
    <w:rsid w:val="00A369CA"/>
    <w:rsid w:val="00A36C62"/>
    <w:rsid w:val="00A371F3"/>
    <w:rsid w:val="00A373F5"/>
    <w:rsid w:val="00A3752C"/>
    <w:rsid w:val="00A37A34"/>
    <w:rsid w:val="00A37DD5"/>
    <w:rsid w:val="00A37DE7"/>
    <w:rsid w:val="00A40184"/>
    <w:rsid w:val="00A405EF"/>
    <w:rsid w:val="00A40719"/>
    <w:rsid w:val="00A4079C"/>
    <w:rsid w:val="00A40CF6"/>
    <w:rsid w:val="00A40E0B"/>
    <w:rsid w:val="00A41033"/>
    <w:rsid w:val="00A41070"/>
    <w:rsid w:val="00A41359"/>
    <w:rsid w:val="00A41403"/>
    <w:rsid w:val="00A41525"/>
    <w:rsid w:val="00A416C7"/>
    <w:rsid w:val="00A41C0F"/>
    <w:rsid w:val="00A41E08"/>
    <w:rsid w:val="00A41E77"/>
    <w:rsid w:val="00A421D5"/>
    <w:rsid w:val="00A428B0"/>
    <w:rsid w:val="00A42982"/>
    <w:rsid w:val="00A42EC5"/>
    <w:rsid w:val="00A4309D"/>
    <w:rsid w:val="00A435B6"/>
    <w:rsid w:val="00A4388C"/>
    <w:rsid w:val="00A43DD9"/>
    <w:rsid w:val="00A43F07"/>
    <w:rsid w:val="00A4417E"/>
    <w:rsid w:val="00A44327"/>
    <w:rsid w:val="00A444E6"/>
    <w:rsid w:val="00A44588"/>
    <w:rsid w:val="00A445B1"/>
    <w:rsid w:val="00A447D7"/>
    <w:rsid w:val="00A44B8E"/>
    <w:rsid w:val="00A44CBA"/>
    <w:rsid w:val="00A450A2"/>
    <w:rsid w:val="00A450B8"/>
    <w:rsid w:val="00A451AA"/>
    <w:rsid w:val="00A452AC"/>
    <w:rsid w:val="00A453F3"/>
    <w:rsid w:val="00A45440"/>
    <w:rsid w:val="00A455A6"/>
    <w:rsid w:val="00A45AF3"/>
    <w:rsid w:val="00A45B3D"/>
    <w:rsid w:val="00A45C97"/>
    <w:rsid w:val="00A46126"/>
    <w:rsid w:val="00A4695E"/>
    <w:rsid w:val="00A46C39"/>
    <w:rsid w:val="00A46C3B"/>
    <w:rsid w:val="00A46CC7"/>
    <w:rsid w:val="00A46F73"/>
    <w:rsid w:val="00A471ED"/>
    <w:rsid w:val="00A475BD"/>
    <w:rsid w:val="00A47B88"/>
    <w:rsid w:val="00A47BF5"/>
    <w:rsid w:val="00A47C95"/>
    <w:rsid w:val="00A47C96"/>
    <w:rsid w:val="00A47D47"/>
    <w:rsid w:val="00A50187"/>
    <w:rsid w:val="00A50580"/>
    <w:rsid w:val="00A5079B"/>
    <w:rsid w:val="00A50CF5"/>
    <w:rsid w:val="00A50E09"/>
    <w:rsid w:val="00A511B7"/>
    <w:rsid w:val="00A512D2"/>
    <w:rsid w:val="00A51997"/>
    <w:rsid w:val="00A51AD2"/>
    <w:rsid w:val="00A51D3F"/>
    <w:rsid w:val="00A51D52"/>
    <w:rsid w:val="00A51D96"/>
    <w:rsid w:val="00A52702"/>
    <w:rsid w:val="00A531CA"/>
    <w:rsid w:val="00A5341F"/>
    <w:rsid w:val="00A53438"/>
    <w:rsid w:val="00A539DF"/>
    <w:rsid w:val="00A53A42"/>
    <w:rsid w:val="00A53A71"/>
    <w:rsid w:val="00A53AA2"/>
    <w:rsid w:val="00A53B9A"/>
    <w:rsid w:val="00A53C87"/>
    <w:rsid w:val="00A53E50"/>
    <w:rsid w:val="00A5413E"/>
    <w:rsid w:val="00A54232"/>
    <w:rsid w:val="00A5425E"/>
    <w:rsid w:val="00A543BC"/>
    <w:rsid w:val="00A54410"/>
    <w:rsid w:val="00A549FF"/>
    <w:rsid w:val="00A54D83"/>
    <w:rsid w:val="00A54F35"/>
    <w:rsid w:val="00A5531A"/>
    <w:rsid w:val="00A5536F"/>
    <w:rsid w:val="00A5567B"/>
    <w:rsid w:val="00A55851"/>
    <w:rsid w:val="00A559CC"/>
    <w:rsid w:val="00A55DCF"/>
    <w:rsid w:val="00A566C0"/>
    <w:rsid w:val="00A567F9"/>
    <w:rsid w:val="00A568FA"/>
    <w:rsid w:val="00A56A2E"/>
    <w:rsid w:val="00A56AAF"/>
    <w:rsid w:val="00A56B17"/>
    <w:rsid w:val="00A5742E"/>
    <w:rsid w:val="00A57942"/>
    <w:rsid w:val="00A57B57"/>
    <w:rsid w:val="00A600EF"/>
    <w:rsid w:val="00A6021F"/>
    <w:rsid w:val="00A60300"/>
    <w:rsid w:val="00A60438"/>
    <w:rsid w:val="00A604CB"/>
    <w:rsid w:val="00A60714"/>
    <w:rsid w:val="00A60D72"/>
    <w:rsid w:val="00A60D86"/>
    <w:rsid w:val="00A60DC0"/>
    <w:rsid w:val="00A61376"/>
    <w:rsid w:val="00A61645"/>
    <w:rsid w:val="00A61768"/>
    <w:rsid w:val="00A61A61"/>
    <w:rsid w:val="00A61C49"/>
    <w:rsid w:val="00A61D3C"/>
    <w:rsid w:val="00A61D96"/>
    <w:rsid w:val="00A61D9F"/>
    <w:rsid w:val="00A61F69"/>
    <w:rsid w:val="00A62133"/>
    <w:rsid w:val="00A621A7"/>
    <w:rsid w:val="00A6221F"/>
    <w:rsid w:val="00A6248F"/>
    <w:rsid w:val="00A625A2"/>
    <w:rsid w:val="00A6285D"/>
    <w:rsid w:val="00A6352D"/>
    <w:rsid w:val="00A637DB"/>
    <w:rsid w:val="00A63875"/>
    <w:rsid w:val="00A6390C"/>
    <w:rsid w:val="00A63A8E"/>
    <w:rsid w:val="00A63C48"/>
    <w:rsid w:val="00A63C7E"/>
    <w:rsid w:val="00A63E89"/>
    <w:rsid w:val="00A64113"/>
    <w:rsid w:val="00A6419A"/>
    <w:rsid w:val="00A643AC"/>
    <w:rsid w:val="00A645D5"/>
    <w:rsid w:val="00A646EF"/>
    <w:rsid w:val="00A648C1"/>
    <w:rsid w:val="00A650FC"/>
    <w:rsid w:val="00A65329"/>
    <w:rsid w:val="00A65424"/>
    <w:rsid w:val="00A654EF"/>
    <w:rsid w:val="00A655BB"/>
    <w:rsid w:val="00A655CA"/>
    <w:rsid w:val="00A6567B"/>
    <w:rsid w:val="00A65A2F"/>
    <w:rsid w:val="00A65AC6"/>
    <w:rsid w:val="00A65DA0"/>
    <w:rsid w:val="00A661A9"/>
    <w:rsid w:val="00A661D1"/>
    <w:rsid w:val="00A665A7"/>
    <w:rsid w:val="00A66970"/>
    <w:rsid w:val="00A6699D"/>
    <w:rsid w:val="00A66A5E"/>
    <w:rsid w:val="00A66AA4"/>
    <w:rsid w:val="00A66B51"/>
    <w:rsid w:val="00A66D4A"/>
    <w:rsid w:val="00A67222"/>
    <w:rsid w:val="00A676C4"/>
    <w:rsid w:val="00A6776C"/>
    <w:rsid w:val="00A67BB8"/>
    <w:rsid w:val="00A67F6E"/>
    <w:rsid w:val="00A700DF"/>
    <w:rsid w:val="00A700EE"/>
    <w:rsid w:val="00A70398"/>
    <w:rsid w:val="00A703E3"/>
    <w:rsid w:val="00A7052B"/>
    <w:rsid w:val="00A706F0"/>
    <w:rsid w:val="00A7086A"/>
    <w:rsid w:val="00A70E68"/>
    <w:rsid w:val="00A712B3"/>
    <w:rsid w:val="00A71328"/>
    <w:rsid w:val="00A7148E"/>
    <w:rsid w:val="00A715BA"/>
    <w:rsid w:val="00A7162C"/>
    <w:rsid w:val="00A717E6"/>
    <w:rsid w:val="00A71944"/>
    <w:rsid w:val="00A71A0E"/>
    <w:rsid w:val="00A71F7B"/>
    <w:rsid w:val="00A71F85"/>
    <w:rsid w:val="00A7247A"/>
    <w:rsid w:val="00A72A1A"/>
    <w:rsid w:val="00A72DA9"/>
    <w:rsid w:val="00A73474"/>
    <w:rsid w:val="00A73665"/>
    <w:rsid w:val="00A73AC2"/>
    <w:rsid w:val="00A73B1D"/>
    <w:rsid w:val="00A73C83"/>
    <w:rsid w:val="00A73D27"/>
    <w:rsid w:val="00A73D33"/>
    <w:rsid w:val="00A73DB0"/>
    <w:rsid w:val="00A73E3A"/>
    <w:rsid w:val="00A74145"/>
    <w:rsid w:val="00A74222"/>
    <w:rsid w:val="00A742A7"/>
    <w:rsid w:val="00A74493"/>
    <w:rsid w:val="00A74573"/>
    <w:rsid w:val="00A7469B"/>
    <w:rsid w:val="00A74706"/>
    <w:rsid w:val="00A748A1"/>
    <w:rsid w:val="00A74DAD"/>
    <w:rsid w:val="00A74DE0"/>
    <w:rsid w:val="00A74F8E"/>
    <w:rsid w:val="00A75193"/>
    <w:rsid w:val="00A7529E"/>
    <w:rsid w:val="00A752C2"/>
    <w:rsid w:val="00A75864"/>
    <w:rsid w:val="00A75879"/>
    <w:rsid w:val="00A7596B"/>
    <w:rsid w:val="00A759A2"/>
    <w:rsid w:val="00A75BA0"/>
    <w:rsid w:val="00A75C13"/>
    <w:rsid w:val="00A76036"/>
    <w:rsid w:val="00A76111"/>
    <w:rsid w:val="00A76508"/>
    <w:rsid w:val="00A76895"/>
    <w:rsid w:val="00A76AE6"/>
    <w:rsid w:val="00A76D08"/>
    <w:rsid w:val="00A77286"/>
    <w:rsid w:val="00A77388"/>
    <w:rsid w:val="00A77499"/>
    <w:rsid w:val="00A7755E"/>
    <w:rsid w:val="00A776B6"/>
    <w:rsid w:val="00A77827"/>
    <w:rsid w:val="00A77C10"/>
    <w:rsid w:val="00A77CA9"/>
    <w:rsid w:val="00A8018E"/>
    <w:rsid w:val="00A803AB"/>
    <w:rsid w:val="00A809DD"/>
    <w:rsid w:val="00A80AC2"/>
    <w:rsid w:val="00A80B4E"/>
    <w:rsid w:val="00A80C48"/>
    <w:rsid w:val="00A811CD"/>
    <w:rsid w:val="00A8129C"/>
    <w:rsid w:val="00A81593"/>
    <w:rsid w:val="00A8162E"/>
    <w:rsid w:val="00A81F4F"/>
    <w:rsid w:val="00A81F66"/>
    <w:rsid w:val="00A82041"/>
    <w:rsid w:val="00A8226B"/>
    <w:rsid w:val="00A824C5"/>
    <w:rsid w:val="00A8271D"/>
    <w:rsid w:val="00A828A2"/>
    <w:rsid w:val="00A82914"/>
    <w:rsid w:val="00A82C31"/>
    <w:rsid w:val="00A82CA5"/>
    <w:rsid w:val="00A82EFE"/>
    <w:rsid w:val="00A82F51"/>
    <w:rsid w:val="00A833DD"/>
    <w:rsid w:val="00A83A39"/>
    <w:rsid w:val="00A83BB2"/>
    <w:rsid w:val="00A83D86"/>
    <w:rsid w:val="00A84134"/>
    <w:rsid w:val="00A843D3"/>
    <w:rsid w:val="00A846A8"/>
    <w:rsid w:val="00A847F5"/>
    <w:rsid w:val="00A84966"/>
    <w:rsid w:val="00A84F55"/>
    <w:rsid w:val="00A852D4"/>
    <w:rsid w:val="00A853E7"/>
    <w:rsid w:val="00A85882"/>
    <w:rsid w:val="00A858F1"/>
    <w:rsid w:val="00A85B4F"/>
    <w:rsid w:val="00A85B8A"/>
    <w:rsid w:val="00A85CCC"/>
    <w:rsid w:val="00A85CE2"/>
    <w:rsid w:val="00A85FB8"/>
    <w:rsid w:val="00A86BD5"/>
    <w:rsid w:val="00A86C4C"/>
    <w:rsid w:val="00A86CFE"/>
    <w:rsid w:val="00A86D78"/>
    <w:rsid w:val="00A8707B"/>
    <w:rsid w:val="00A8734C"/>
    <w:rsid w:val="00A87A17"/>
    <w:rsid w:val="00A87E32"/>
    <w:rsid w:val="00A87E38"/>
    <w:rsid w:val="00A901DB"/>
    <w:rsid w:val="00A90230"/>
    <w:rsid w:val="00A902F7"/>
    <w:rsid w:val="00A9045D"/>
    <w:rsid w:val="00A909E4"/>
    <w:rsid w:val="00A90DA2"/>
    <w:rsid w:val="00A9102E"/>
    <w:rsid w:val="00A911D7"/>
    <w:rsid w:val="00A912A3"/>
    <w:rsid w:val="00A9146B"/>
    <w:rsid w:val="00A917DA"/>
    <w:rsid w:val="00A917FF"/>
    <w:rsid w:val="00A91BD9"/>
    <w:rsid w:val="00A91D11"/>
    <w:rsid w:val="00A91EE8"/>
    <w:rsid w:val="00A92019"/>
    <w:rsid w:val="00A92069"/>
    <w:rsid w:val="00A92176"/>
    <w:rsid w:val="00A92505"/>
    <w:rsid w:val="00A92574"/>
    <w:rsid w:val="00A92A5C"/>
    <w:rsid w:val="00A92E5B"/>
    <w:rsid w:val="00A93303"/>
    <w:rsid w:val="00A9350F"/>
    <w:rsid w:val="00A9374B"/>
    <w:rsid w:val="00A9378D"/>
    <w:rsid w:val="00A93C1D"/>
    <w:rsid w:val="00A93E95"/>
    <w:rsid w:val="00A942EF"/>
    <w:rsid w:val="00A94B35"/>
    <w:rsid w:val="00A94F05"/>
    <w:rsid w:val="00A94FFE"/>
    <w:rsid w:val="00A9534B"/>
    <w:rsid w:val="00A9544C"/>
    <w:rsid w:val="00A954CD"/>
    <w:rsid w:val="00A955F4"/>
    <w:rsid w:val="00A955FC"/>
    <w:rsid w:val="00A95782"/>
    <w:rsid w:val="00A957DA"/>
    <w:rsid w:val="00A9586D"/>
    <w:rsid w:val="00A95FE6"/>
    <w:rsid w:val="00A967B3"/>
    <w:rsid w:val="00A9688B"/>
    <w:rsid w:val="00A96916"/>
    <w:rsid w:val="00A96B97"/>
    <w:rsid w:val="00A9717C"/>
    <w:rsid w:val="00A972DD"/>
    <w:rsid w:val="00A976B4"/>
    <w:rsid w:val="00A97C4F"/>
    <w:rsid w:val="00A97DA4"/>
    <w:rsid w:val="00A97DF1"/>
    <w:rsid w:val="00AA00F0"/>
    <w:rsid w:val="00AA01C2"/>
    <w:rsid w:val="00AA02CC"/>
    <w:rsid w:val="00AA04C2"/>
    <w:rsid w:val="00AA0510"/>
    <w:rsid w:val="00AA05E0"/>
    <w:rsid w:val="00AA075C"/>
    <w:rsid w:val="00AA0769"/>
    <w:rsid w:val="00AA0790"/>
    <w:rsid w:val="00AA08DB"/>
    <w:rsid w:val="00AA09E4"/>
    <w:rsid w:val="00AA0A6A"/>
    <w:rsid w:val="00AA0BD0"/>
    <w:rsid w:val="00AA1194"/>
    <w:rsid w:val="00AA1399"/>
    <w:rsid w:val="00AA15C9"/>
    <w:rsid w:val="00AA183C"/>
    <w:rsid w:val="00AA1966"/>
    <w:rsid w:val="00AA19F2"/>
    <w:rsid w:val="00AA1AE7"/>
    <w:rsid w:val="00AA1BFE"/>
    <w:rsid w:val="00AA1C5C"/>
    <w:rsid w:val="00AA1D46"/>
    <w:rsid w:val="00AA21E9"/>
    <w:rsid w:val="00AA2531"/>
    <w:rsid w:val="00AA276A"/>
    <w:rsid w:val="00AA2965"/>
    <w:rsid w:val="00AA2B7D"/>
    <w:rsid w:val="00AA2C07"/>
    <w:rsid w:val="00AA2DEA"/>
    <w:rsid w:val="00AA303E"/>
    <w:rsid w:val="00AA3249"/>
    <w:rsid w:val="00AA34FA"/>
    <w:rsid w:val="00AA3546"/>
    <w:rsid w:val="00AA362C"/>
    <w:rsid w:val="00AA381F"/>
    <w:rsid w:val="00AA38D0"/>
    <w:rsid w:val="00AA3AF6"/>
    <w:rsid w:val="00AA3AFA"/>
    <w:rsid w:val="00AA3BC7"/>
    <w:rsid w:val="00AA3BF4"/>
    <w:rsid w:val="00AA3EE9"/>
    <w:rsid w:val="00AA3F0A"/>
    <w:rsid w:val="00AA3FB7"/>
    <w:rsid w:val="00AA430E"/>
    <w:rsid w:val="00AA45F8"/>
    <w:rsid w:val="00AA48E1"/>
    <w:rsid w:val="00AA4ABF"/>
    <w:rsid w:val="00AA4C99"/>
    <w:rsid w:val="00AA4CC1"/>
    <w:rsid w:val="00AA4D5D"/>
    <w:rsid w:val="00AA4FBC"/>
    <w:rsid w:val="00AA4FE0"/>
    <w:rsid w:val="00AA5042"/>
    <w:rsid w:val="00AA5606"/>
    <w:rsid w:val="00AA573A"/>
    <w:rsid w:val="00AA57B7"/>
    <w:rsid w:val="00AA5FA7"/>
    <w:rsid w:val="00AA6128"/>
    <w:rsid w:val="00AA61AA"/>
    <w:rsid w:val="00AA67E5"/>
    <w:rsid w:val="00AA69D9"/>
    <w:rsid w:val="00AA70E5"/>
    <w:rsid w:val="00AA758F"/>
    <w:rsid w:val="00AA7674"/>
    <w:rsid w:val="00AA7792"/>
    <w:rsid w:val="00AA77A1"/>
    <w:rsid w:val="00AA78BE"/>
    <w:rsid w:val="00AA7B63"/>
    <w:rsid w:val="00AA7F67"/>
    <w:rsid w:val="00AB01B4"/>
    <w:rsid w:val="00AB03A2"/>
    <w:rsid w:val="00AB062B"/>
    <w:rsid w:val="00AB07CD"/>
    <w:rsid w:val="00AB082B"/>
    <w:rsid w:val="00AB083E"/>
    <w:rsid w:val="00AB0A50"/>
    <w:rsid w:val="00AB0F6B"/>
    <w:rsid w:val="00AB1013"/>
    <w:rsid w:val="00AB11EA"/>
    <w:rsid w:val="00AB139A"/>
    <w:rsid w:val="00AB19E1"/>
    <w:rsid w:val="00AB1BD9"/>
    <w:rsid w:val="00AB1D30"/>
    <w:rsid w:val="00AB1DB3"/>
    <w:rsid w:val="00AB1E1C"/>
    <w:rsid w:val="00AB1F93"/>
    <w:rsid w:val="00AB2086"/>
    <w:rsid w:val="00AB20DE"/>
    <w:rsid w:val="00AB231E"/>
    <w:rsid w:val="00AB239B"/>
    <w:rsid w:val="00AB29F7"/>
    <w:rsid w:val="00AB2C76"/>
    <w:rsid w:val="00AB2F30"/>
    <w:rsid w:val="00AB2F4B"/>
    <w:rsid w:val="00AB2F88"/>
    <w:rsid w:val="00AB3221"/>
    <w:rsid w:val="00AB36BF"/>
    <w:rsid w:val="00AB3963"/>
    <w:rsid w:val="00AB3B24"/>
    <w:rsid w:val="00AB3B75"/>
    <w:rsid w:val="00AB3CEB"/>
    <w:rsid w:val="00AB3D73"/>
    <w:rsid w:val="00AB4053"/>
    <w:rsid w:val="00AB4517"/>
    <w:rsid w:val="00AB460F"/>
    <w:rsid w:val="00AB46EC"/>
    <w:rsid w:val="00AB4807"/>
    <w:rsid w:val="00AB482B"/>
    <w:rsid w:val="00AB4926"/>
    <w:rsid w:val="00AB4BC7"/>
    <w:rsid w:val="00AB4F06"/>
    <w:rsid w:val="00AB5337"/>
    <w:rsid w:val="00AB5916"/>
    <w:rsid w:val="00AB61F9"/>
    <w:rsid w:val="00AB642A"/>
    <w:rsid w:val="00AB678A"/>
    <w:rsid w:val="00AB6F9A"/>
    <w:rsid w:val="00AB7073"/>
    <w:rsid w:val="00AB75A8"/>
    <w:rsid w:val="00AB761C"/>
    <w:rsid w:val="00AB782A"/>
    <w:rsid w:val="00AB7A9D"/>
    <w:rsid w:val="00AB7C01"/>
    <w:rsid w:val="00AB7FA2"/>
    <w:rsid w:val="00AC057B"/>
    <w:rsid w:val="00AC064D"/>
    <w:rsid w:val="00AC0658"/>
    <w:rsid w:val="00AC0B7E"/>
    <w:rsid w:val="00AC0D5A"/>
    <w:rsid w:val="00AC151F"/>
    <w:rsid w:val="00AC18F1"/>
    <w:rsid w:val="00AC1B20"/>
    <w:rsid w:val="00AC1F12"/>
    <w:rsid w:val="00AC258E"/>
    <w:rsid w:val="00AC2775"/>
    <w:rsid w:val="00AC284C"/>
    <w:rsid w:val="00AC2C94"/>
    <w:rsid w:val="00AC2EC5"/>
    <w:rsid w:val="00AC316D"/>
    <w:rsid w:val="00AC377F"/>
    <w:rsid w:val="00AC3848"/>
    <w:rsid w:val="00AC3992"/>
    <w:rsid w:val="00AC3B42"/>
    <w:rsid w:val="00AC3DB8"/>
    <w:rsid w:val="00AC42DE"/>
    <w:rsid w:val="00AC46C5"/>
    <w:rsid w:val="00AC4B67"/>
    <w:rsid w:val="00AC4B79"/>
    <w:rsid w:val="00AC4C39"/>
    <w:rsid w:val="00AC52F7"/>
    <w:rsid w:val="00AC5333"/>
    <w:rsid w:val="00AC535D"/>
    <w:rsid w:val="00AC54D4"/>
    <w:rsid w:val="00AC567A"/>
    <w:rsid w:val="00AC5919"/>
    <w:rsid w:val="00AC59DB"/>
    <w:rsid w:val="00AC5A71"/>
    <w:rsid w:val="00AC5ACD"/>
    <w:rsid w:val="00AC5DA1"/>
    <w:rsid w:val="00AC5E1C"/>
    <w:rsid w:val="00AC5F61"/>
    <w:rsid w:val="00AC6020"/>
    <w:rsid w:val="00AC610F"/>
    <w:rsid w:val="00AC636D"/>
    <w:rsid w:val="00AC6474"/>
    <w:rsid w:val="00AC6721"/>
    <w:rsid w:val="00AC6787"/>
    <w:rsid w:val="00AC67F9"/>
    <w:rsid w:val="00AC6A00"/>
    <w:rsid w:val="00AC6A54"/>
    <w:rsid w:val="00AC6B28"/>
    <w:rsid w:val="00AC6B5E"/>
    <w:rsid w:val="00AC6EC7"/>
    <w:rsid w:val="00AC72B5"/>
    <w:rsid w:val="00AC7428"/>
    <w:rsid w:val="00AC76B4"/>
    <w:rsid w:val="00AC76E1"/>
    <w:rsid w:val="00AC7813"/>
    <w:rsid w:val="00AC79F2"/>
    <w:rsid w:val="00AC7D70"/>
    <w:rsid w:val="00AC7E0F"/>
    <w:rsid w:val="00AC7F4C"/>
    <w:rsid w:val="00AD04A9"/>
    <w:rsid w:val="00AD055F"/>
    <w:rsid w:val="00AD068B"/>
    <w:rsid w:val="00AD08EB"/>
    <w:rsid w:val="00AD0BD3"/>
    <w:rsid w:val="00AD0EAD"/>
    <w:rsid w:val="00AD12CC"/>
    <w:rsid w:val="00AD1469"/>
    <w:rsid w:val="00AD14AB"/>
    <w:rsid w:val="00AD1808"/>
    <w:rsid w:val="00AD18DC"/>
    <w:rsid w:val="00AD1914"/>
    <w:rsid w:val="00AD19DA"/>
    <w:rsid w:val="00AD1EFF"/>
    <w:rsid w:val="00AD20FB"/>
    <w:rsid w:val="00AD220F"/>
    <w:rsid w:val="00AD2616"/>
    <w:rsid w:val="00AD2863"/>
    <w:rsid w:val="00AD2F7A"/>
    <w:rsid w:val="00AD306D"/>
    <w:rsid w:val="00AD3120"/>
    <w:rsid w:val="00AD31F4"/>
    <w:rsid w:val="00AD33DC"/>
    <w:rsid w:val="00AD36AB"/>
    <w:rsid w:val="00AD374B"/>
    <w:rsid w:val="00AD37CB"/>
    <w:rsid w:val="00AD3895"/>
    <w:rsid w:val="00AD3A20"/>
    <w:rsid w:val="00AD3ED1"/>
    <w:rsid w:val="00AD40B7"/>
    <w:rsid w:val="00AD4146"/>
    <w:rsid w:val="00AD4230"/>
    <w:rsid w:val="00AD43DE"/>
    <w:rsid w:val="00AD442F"/>
    <w:rsid w:val="00AD4654"/>
    <w:rsid w:val="00AD4864"/>
    <w:rsid w:val="00AD4C83"/>
    <w:rsid w:val="00AD4EEF"/>
    <w:rsid w:val="00AD52CB"/>
    <w:rsid w:val="00AD57F8"/>
    <w:rsid w:val="00AD59FD"/>
    <w:rsid w:val="00AD5CB5"/>
    <w:rsid w:val="00AD67BE"/>
    <w:rsid w:val="00AD6B9A"/>
    <w:rsid w:val="00AD6D34"/>
    <w:rsid w:val="00AD6EF6"/>
    <w:rsid w:val="00AD6EFA"/>
    <w:rsid w:val="00AD718F"/>
    <w:rsid w:val="00AD73F5"/>
    <w:rsid w:val="00AD7622"/>
    <w:rsid w:val="00AD77C0"/>
    <w:rsid w:val="00AD7846"/>
    <w:rsid w:val="00AD7946"/>
    <w:rsid w:val="00AD79B1"/>
    <w:rsid w:val="00AD7A68"/>
    <w:rsid w:val="00AD7CC3"/>
    <w:rsid w:val="00AD7F6B"/>
    <w:rsid w:val="00AE00DC"/>
    <w:rsid w:val="00AE08AF"/>
    <w:rsid w:val="00AE0952"/>
    <w:rsid w:val="00AE095E"/>
    <w:rsid w:val="00AE0D42"/>
    <w:rsid w:val="00AE0EB6"/>
    <w:rsid w:val="00AE1315"/>
    <w:rsid w:val="00AE1613"/>
    <w:rsid w:val="00AE1676"/>
    <w:rsid w:val="00AE17C0"/>
    <w:rsid w:val="00AE1CD5"/>
    <w:rsid w:val="00AE1DD1"/>
    <w:rsid w:val="00AE208B"/>
    <w:rsid w:val="00AE223A"/>
    <w:rsid w:val="00AE25AF"/>
    <w:rsid w:val="00AE269A"/>
    <w:rsid w:val="00AE26CF"/>
    <w:rsid w:val="00AE2893"/>
    <w:rsid w:val="00AE28DA"/>
    <w:rsid w:val="00AE2921"/>
    <w:rsid w:val="00AE2977"/>
    <w:rsid w:val="00AE2AF8"/>
    <w:rsid w:val="00AE2E01"/>
    <w:rsid w:val="00AE2F98"/>
    <w:rsid w:val="00AE3469"/>
    <w:rsid w:val="00AE3521"/>
    <w:rsid w:val="00AE363D"/>
    <w:rsid w:val="00AE39F3"/>
    <w:rsid w:val="00AE3A3D"/>
    <w:rsid w:val="00AE3ACF"/>
    <w:rsid w:val="00AE4944"/>
    <w:rsid w:val="00AE4969"/>
    <w:rsid w:val="00AE4999"/>
    <w:rsid w:val="00AE500A"/>
    <w:rsid w:val="00AE518D"/>
    <w:rsid w:val="00AE51B8"/>
    <w:rsid w:val="00AE52DF"/>
    <w:rsid w:val="00AE54E3"/>
    <w:rsid w:val="00AE5510"/>
    <w:rsid w:val="00AE5634"/>
    <w:rsid w:val="00AE5671"/>
    <w:rsid w:val="00AE5754"/>
    <w:rsid w:val="00AE5A80"/>
    <w:rsid w:val="00AE5A93"/>
    <w:rsid w:val="00AE5F34"/>
    <w:rsid w:val="00AE617B"/>
    <w:rsid w:val="00AE673D"/>
    <w:rsid w:val="00AE6EEB"/>
    <w:rsid w:val="00AE6F98"/>
    <w:rsid w:val="00AE70D4"/>
    <w:rsid w:val="00AE711A"/>
    <w:rsid w:val="00AE75CE"/>
    <w:rsid w:val="00AE762B"/>
    <w:rsid w:val="00AE76E2"/>
    <w:rsid w:val="00AE792E"/>
    <w:rsid w:val="00AE79F7"/>
    <w:rsid w:val="00AE7A49"/>
    <w:rsid w:val="00AE7B1A"/>
    <w:rsid w:val="00AE7EBA"/>
    <w:rsid w:val="00AF0151"/>
    <w:rsid w:val="00AF08B8"/>
    <w:rsid w:val="00AF0A66"/>
    <w:rsid w:val="00AF0D42"/>
    <w:rsid w:val="00AF0D6F"/>
    <w:rsid w:val="00AF0D91"/>
    <w:rsid w:val="00AF0F05"/>
    <w:rsid w:val="00AF1090"/>
    <w:rsid w:val="00AF1678"/>
    <w:rsid w:val="00AF16C4"/>
    <w:rsid w:val="00AF19EF"/>
    <w:rsid w:val="00AF23FB"/>
    <w:rsid w:val="00AF2674"/>
    <w:rsid w:val="00AF2768"/>
    <w:rsid w:val="00AF2B1B"/>
    <w:rsid w:val="00AF2D0D"/>
    <w:rsid w:val="00AF2D5A"/>
    <w:rsid w:val="00AF3011"/>
    <w:rsid w:val="00AF3113"/>
    <w:rsid w:val="00AF3119"/>
    <w:rsid w:val="00AF3283"/>
    <w:rsid w:val="00AF3384"/>
    <w:rsid w:val="00AF38C5"/>
    <w:rsid w:val="00AF3C55"/>
    <w:rsid w:val="00AF3DA3"/>
    <w:rsid w:val="00AF3DC7"/>
    <w:rsid w:val="00AF3F1E"/>
    <w:rsid w:val="00AF40DA"/>
    <w:rsid w:val="00AF41D4"/>
    <w:rsid w:val="00AF423A"/>
    <w:rsid w:val="00AF43E2"/>
    <w:rsid w:val="00AF4478"/>
    <w:rsid w:val="00AF4655"/>
    <w:rsid w:val="00AF4809"/>
    <w:rsid w:val="00AF486E"/>
    <w:rsid w:val="00AF4A81"/>
    <w:rsid w:val="00AF5253"/>
    <w:rsid w:val="00AF52B8"/>
    <w:rsid w:val="00AF5876"/>
    <w:rsid w:val="00AF5963"/>
    <w:rsid w:val="00AF5E5E"/>
    <w:rsid w:val="00AF6439"/>
    <w:rsid w:val="00AF64BB"/>
    <w:rsid w:val="00AF67EC"/>
    <w:rsid w:val="00AF690C"/>
    <w:rsid w:val="00AF6B28"/>
    <w:rsid w:val="00AF6D05"/>
    <w:rsid w:val="00AF6DBB"/>
    <w:rsid w:val="00AF6FF3"/>
    <w:rsid w:val="00AF72AE"/>
    <w:rsid w:val="00AF7336"/>
    <w:rsid w:val="00AF76D1"/>
    <w:rsid w:val="00AF7ACB"/>
    <w:rsid w:val="00AF7C5D"/>
    <w:rsid w:val="00B000A2"/>
    <w:rsid w:val="00B00349"/>
    <w:rsid w:val="00B0047B"/>
    <w:rsid w:val="00B004B0"/>
    <w:rsid w:val="00B005FF"/>
    <w:rsid w:val="00B00659"/>
    <w:rsid w:val="00B00DFC"/>
    <w:rsid w:val="00B01085"/>
    <w:rsid w:val="00B01588"/>
    <w:rsid w:val="00B015C3"/>
    <w:rsid w:val="00B017B9"/>
    <w:rsid w:val="00B017E6"/>
    <w:rsid w:val="00B01ADE"/>
    <w:rsid w:val="00B01BC2"/>
    <w:rsid w:val="00B01DEE"/>
    <w:rsid w:val="00B021B0"/>
    <w:rsid w:val="00B02271"/>
    <w:rsid w:val="00B02470"/>
    <w:rsid w:val="00B026A8"/>
    <w:rsid w:val="00B0278C"/>
    <w:rsid w:val="00B02810"/>
    <w:rsid w:val="00B02AC2"/>
    <w:rsid w:val="00B02ACF"/>
    <w:rsid w:val="00B02B2B"/>
    <w:rsid w:val="00B02CB2"/>
    <w:rsid w:val="00B02D0C"/>
    <w:rsid w:val="00B02E95"/>
    <w:rsid w:val="00B03222"/>
    <w:rsid w:val="00B03372"/>
    <w:rsid w:val="00B03A51"/>
    <w:rsid w:val="00B03F9F"/>
    <w:rsid w:val="00B0489F"/>
    <w:rsid w:val="00B049A0"/>
    <w:rsid w:val="00B04A30"/>
    <w:rsid w:val="00B04A59"/>
    <w:rsid w:val="00B04C81"/>
    <w:rsid w:val="00B04F23"/>
    <w:rsid w:val="00B04F88"/>
    <w:rsid w:val="00B0509F"/>
    <w:rsid w:val="00B050D7"/>
    <w:rsid w:val="00B05171"/>
    <w:rsid w:val="00B0567D"/>
    <w:rsid w:val="00B0598A"/>
    <w:rsid w:val="00B05CA9"/>
    <w:rsid w:val="00B061A8"/>
    <w:rsid w:val="00B061EF"/>
    <w:rsid w:val="00B061F4"/>
    <w:rsid w:val="00B06399"/>
    <w:rsid w:val="00B064E5"/>
    <w:rsid w:val="00B06568"/>
    <w:rsid w:val="00B067C2"/>
    <w:rsid w:val="00B0683F"/>
    <w:rsid w:val="00B0690E"/>
    <w:rsid w:val="00B06AC8"/>
    <w:rsid w:val="00B06C99"/>
    <w:rsid w:val="00B06CB0"/>
    <w:rsid w:val="00B06CC6"/>
    <w:rsid w:val="00B07354"/>
    <w:rsid w:val="00B07437"/>
    <w:rsid w:val="00B074AA"/>
    <w:rsid w:val="00B078AE"/>
    <w:rsid w:val="00B07E19"/>
    <w:rsid w:val="00B07FCD"/>
    <w:rsid w:val="00B07FD6"/>
    <w:rsid w:val="00B10197"/>
    <w:rsid w:val="00B1033F"/>
    <w:rsid w:val="00B1045F"/>
    <w:rsid w:val="00B1046A"/>
    <w:rsid w:val="00B1050E"/>
    <w:rsid w:val="00B10518"/>
    <w:rsid w:val="00B10605"/>
    <w:rsid w:val="00B10DBE"/>
    <w:rsid w:val="00B1137F"/>
    <w:rsid w:val="00B1139D"/>
    <w:rsid w:val="00B115FF"/>
    <w:rsid w:val="00B1166A"/>
    <w:rsid w:val="00B1179A"/>
    <w:rsid w:val="00B1197A"/>
    <w:rsid w:val="00B11A57"/>
    <w:rsid w:val="00B11E7C"/>
    <w:rsid w:val="00B11F55"/>
    <w:rsid w:val="00B12381"/>
    <w:rsid w:val="00B1244F"/>
    <w:rsid w:val="00B1258B"/>
    <w:rsid w:val="00B1276D"/>
    <w:rsid w:val="00B12934"/>
    <w:rsid w:val="00B13038"/>
    <w:rsid w:val="00B1312E"/>
    <w:rsid w:val="00B1325C"/>
    <w:rsid w:val="00B13352"/>
    <w:rsid w:val="00B1339A"/>
    <w:rsid w:val="00B13657"/>
    <w:rsid w:val="00B13D1D"/>
    <w:rsid w:val="00B13DAA"/>
    <w:rsid w:val="00B14220"/>
    <w:rsid w:val="00B1447A"/>
    <w:rsid w:val="00B146FA"/>
    <w:rsid w:val="00B149A1"/>
    <w:rsid w:val="00B14B0D"/>
    <w:rsid w:val="00B14B40"/>
    <w:rsid w:val="00B14D7E"/>
    <w:rsid w:val="00B14E7A"/>
    <w:rsid w:val="00B155F0"/>
    <w:rsid w:val="00B15858"/>
    <w:rsid w:val="00B1598E"/>
    <w:rsid w:val="00B15B2F"/>
    <w:rsid w:val="00B15BC7"/>
    <w:rsid w:val="00B1607F"/>
    <w:rsid w:val="00B166F3"/>
    <w:rsid w:val="00B168BC"/>
    <w:rsid w:val="00B16A95"/>
    <w:rsid w:val="00B16B69"/>
    <w:rsid w:val="00B16C25"/>
    <w:rsid w:val="00B17124"/>
    <w:rsid w:val="00B172A1"/>
    <w:rsid w:val="00B17DFA"/>
    <w:rsid w:val="00B17E39"/>
    <w:rsid w:val="00B17EC4"/>
    <w:rsid w:val="00B201ED"/>
    <w:rsid w:val="00B202A5"/>
    <w:rsid w:val="00B20560"/>
    <w:rsid w:val="00B20583"/>
    <w:rsid w:val="00B20774"/>
    <w:rsid w:val="00B20BC5"/>
    <w:rsid w:val="00B20D97"/>
    <w:rsid w:val="00B20EF5"/>
    <w:rsid w:val="00B20F98"/>
    <w:rsid w:val="00B211E4"/>
    <w:rsid w:val="00B213C1"/>
    <w:rsid w:val="00B214BF"/>
    <w:rsid w:val="00B21545"/>
    <w:rsid w:val="00B21858"/>
    <w:rsid w:val="00B2193C"/>
    <w:rsid w:val="00B21CB5"/>
    <w:rsid w:val="00B22017"/>
    <w:rsid w:val="00B2218B"/>
    <w:rsid w:val="00B2226F"/>
    <w:rsid w:val="00B2279C"/>
    <w:rsid w:val="00B22C9A"/>
    <w:rsid w:val="00B22DAF"/>
    <w:rsid w:val="00B22E07"/>
    <w:rsid w:val="00B22FFB"/>
    <w:rsid w:val="00B23279"/>
    <w:rsid w:val="00B234BC"/>
    <w:rsid w:val="00B2356A"/>
    <w:rsid w:val="00B23588"/>
    <w:rsid w:val="00B2379C"/>
    <w:rsid w:val="00B23A2A"/>
    <w:rsid w:val="00B23CB9"/>
    <w:rsid w:val="00B24A91"/>
    <w:rsid w:val="00B24B36"/>
    <w:rsid w:val="00B24E79"/>
    <w:rsid w:val="00B25062"/>
    <w:rsid w:val="00B25369"/>
    <w:rsid w:val="00B25405"/>
    <w:rsid w:val="00B255A5"/>
    <w:rsid w:val="00B25AA8"/>
    <w:rsid w:val="00B25AC0"/>
    <w:rsid w:val="00B25D83"/>
    <w:rsid w:val="00B2658C"/>
    <w:rsid w:val="00B26751"/>
    <w:rsid w:val="00B2678E"/>
    <w:rsid w:val="00B267B3"/>
    <w:rsid w:val="00B26A3C"/>
    <w:rsid w:val="00B26D2F"/>
    <w:rsid w:val="00B26D3A"/>
    <w:rsid w:val="00B26FFC"/>
    <w:rsid w:val="00B27097"/>
    <w:rsid w:val="00B271F8"/>
    <w:rsid w:val="00B27295"/>
    <w:rsid w:val="00B27380"/>
    <w:rsid w:val="00B27444"/>
    <w:rsid w:val="00B275AC"/>
    <w:rsid w:val="00B27A38"/>
    <w:rsid w:val="00B27C44"/>
    <w:rsid w:val="00B27D56"/>
    <w:rsid w:val="00B3047B"/>
    <w:rsid w:val="00B3071A"/>
    <w:rsid w:val="00B30CD2"/>
    <w:rsid w:val="00B30F89"/>
    <w:rsid w:val="00B310A0"/>
    <w:rsid w:val="00B313D1"/>
    <w:rsid w:val="00B31535"/>
    <w:rsid w:val="00B31565"/>
    <w:rsid w:val="00B31687"/>
    <w:rsid w:val="00B317D4"/>
    <w:rsid w:val="00B31898"/>
    <w:rsid w:val="00B31A38"/>
    <w:rsid w:val="00B31D85"/>
    <w:rsid w:val="00B31E0C"/>
    <w:rsid w:val="00B320FC"/>
    <w:rsid w:val="00B3213B"/>
    <w:rsid w:val="00B32160"/>
    <w:rsid w:val="00B3297F"/>
    <w:rsid w:val="00B32D25"/>
    <w:rsid w:val="00B33055"/>
    <w:rsid w:val="00B338F6"/>
    <w:rsid w:val="00B33AA0"/>
    <w:rsid w:val="00B33B0F"/>
    <w:rsid w:val="00B33BD0"/>
    <w:rsid w:val="00B33ED0"/>
    <w:rsid w:val="00B33F6C"/>
    <w:rsid w:val="00B34103"/>
    <w:rsid w:val="00B3417F"/>
    <w:rsid w:val="00B34243"/>
    <w:rsid w:val="00B34351"/>
    <w:rsid w:val="00B3450F"/>
    <w:rsid w:val="00B34539"/>
    <w:rsid w:val="00B3464A"/>
    <w:rsid w:val="00B34877"/>
    <w:rsid w:val="00B348E8"/>
    <w:rsid w:val="00B34919"/>
    <w:rsid w:val="00B34929"/>
    <w:rsid w:val="00B3498D"/>
    <w:rsid w:val="00B34E8F"/>
    <w:rsid w:val="00B34EF1"/>
    <w:rsid w:val="00B34F39"/>
    <w:rsid w:val="00B35315"/>
    <w:rsid w:val="00B353B2"/>
    <w:rsid w:val="00B35741"/>
    <w:rsid w:val="00B35B58"/>
    <w:rsid w:val="00B35DE9"/>
    <w:rsid w:val="00B35EE3"/>
    <w:rsid w:val="00B35F85"/>
    <w:rsid w:val="00B360D2"/>
    <w:rsid w:val="00B361B0"/>
    <w:rsid w:val="00B3642D"/>
    <w:rsid w:val="00B3659B"/>
    <w:rsid w:val="00B3699E"/>
    <w:rsid w:val="00B369D2"/>
    <w:rsid w:val="00B36A98"/>
    <w:rsid w:val="00B36AAD"/>
    <w:rsid w:val="00B36B89"/>
    <w:rsid w:val="00B36C17"/>
    <w:rsid w:val="00B36CA6"/>
    <w:rsid w:val="00B36D0B"/>
    <w:rsid w:val="00B372D3"/>
    <w:rsid w:val="00B374AE"/>
    <w:rsid w:val="00B37545"/>
    <w:rsid w:val="00B3756A"/>
    <w:rsid w:val="00B37670"/>
    <w:rsid w:val="00B37743"/>
    <w:rsid w:val="00B37B93"/>
    <w:rsid w:val="00B37BC1"/>
    <w:rsid w:val="00B37C1E"/>
    <w:rsid w:val="00B37F4D"/>
    <w:rsid w:val="00B40481"/>
    <w:rsid w:val="00B4050D"/>
    <w:rsid w:val="00B406AA"/>
    <w:rsid w:val="00B406E7"/>
    <w:rsid w:val="00B4099F"/>
    <w:rsid w:val="00B40FCC"/>
    <w:rsid w:val="00B41284"/>
    <w:rsid w:val="00B4138C"/>
    <w:rsid w:val="00B4142E"/>
    <w:rsid w:val="00B416CB"/>
    <w:rsid w:val="00B41A97"/>
    <w:rsid w:val="00B41C51"/>
    <w:rsid w:val="00B41D81"/>
    <w:rsid w:val="00B41EC7"/>
    <w:rsid w:val="00B4231B"/>
    <w:rsid w:val="00B42B17"/>
    <w:rsid w:val="00B42B84"/>
    <w:rsid w:val="00B42B96"/>
    <w:rsid w:val="00B42E9A"/>
    <w:rsid w:val="00B42ED3"/>
    <w:rsid w:val="00B42EE5"/>
    <w:rsid w:val="00B434AE"/>
    <w:rsid w:val="00B4364A"/>
    <w:rsid w:val="00B43A7C"/>
    <w:rsid w:val="00B43BE8"/>
    <w:rsid w:val="00B43CB8"/>
    <w:rsid w:val="00B43E65"/>
    <w:rsid w:val="00B44009"/>
    <w:rsid w:val="00B441B4"/>
    <w:rsid w:val="00B441CA"/>
    <w:rsid w:val="00B44827"/>
    <w:rsid w:val="00B44897"/>
    <w:rsid w:val="00B44A23"/>
    <w:rsid w:val="00B44D87"/>
    <w:rsid w:val="00B44FA8"/>
    <w:rsid w:val="00B45274"/>
    <w:rsid w:val="00B45510"/>
    <w:rsid w:val="00B457E8"/>
    <w:rsid w:val="00B45911"/>
    <w:rsid w:val="00B45978"/>
    <w:rsid w:val="00B4603D"/>
    <w:rsid w:val="00B460EB"/>
    <w:rsid w:val="00B46883"/>
    <w:rsid w:val="00B46976"/>
    <w:rsid w:val="00B46BAD"/>
    <w:rsid w:val="00B46CF6"/>
    <w:rsid w:val="00B4707B"/>
    <w:rsid w:val="00B472F0"/>
    <w:rsid w:val="00B4755F"/>
    <w:rsid w:val="00B479CB"/>
    <w:rsid w:val="00B47AE2"/>
    <w:rsid w:val="00B47B37"/>
    <w:rsid w:val="00B47E36"/>
    <w:rsid w:val="00B505D4"/>
    <w:rsid w:val="00B509EB"/>
    <w:rsid w:val="00B50DEB"/>
    <w:rsid w:val="00B50EAA"/>
    <w:rsid w:val="00B50F50"/>
    <w:rsid w:val="00B51242"/>
    <w:rsid w:val="00B51717"/>
    <w:rsid w:val="00B5184E"/>
    <w:rsid w:val="00B51BC8"/>
    <w:rsid w:val="00B51C9D"/>
    <w:rsid w:val="00B51ECA"/>
    <w:rsid w:val="00B51EFA"/>
    <w:rsid w:val="00B5202A"/>
    <w:rsid w:val="00B520E6"/>
    <w:rsid w:val="00B5224A"/>
    <w:rsid w:val="00B5230F"/>
    <w:rsid w:val="00B524CD"/>
    <w:rsid w:val="00B5250F"/>
    <w:rsid w:val="00B526A1"/>
    <w:rsid w:val="00B5289F"/>
    <w:rsid w:val="00B529F7"/>
    <w:rsid w:val="00B52B94"/>
    <w:rsid w:val="00B5395B"/>
    <w:rsid w:val="00B53972"/>
    <w:rsid w:val="00B53DC4"/>
    <w:rsid w:val="00B54296"/>
    <w:rsid w:val="00B5458D"/>
    <w:rsid w:val="00B545E0"/>
    <w:rsid w:val="00B549EF"/>
    <w:rsid w:val="00B54A96"/>
    <w:rsid w:val="00B552E5"/>
    <w:rsid w:val="00B55438"/>
    <w:rsid w:val="00B55780"/>
    <w:rsid w:val="00B557C4"/>
    <w:rsid w:val="00B55A28"/>
    <w:rsid w:val="00B55AB7"/>
    <w:rsid w:val="00B55DF2"/>
    <w:rsid w:val="00B5608B"/>
    <w:rsid w:val="00B5662C"/>
    <w:rsid w:val="00B56A6B"/>
    <w:rsid w:val="00B56BC7"/>
    <w:rsid w:val="00B56F6A"/>
    <w:rsid w:val="00B5703B"/>
    <w:rsid w:val="00B570D8"/>
    <w:rsid w:val="00B575CB"/>
    <w:rsid w:val="00B57699"/>
    <w:rsid w:val="00B57B3E"/>
    <w:rsid w:val="00B57CE3"/>
    <w:rsid w:val="00B57E9B"/>
    <w:rsid w:val="00B57FED"/>
    <w:rsid w:val="00B60356"/>
    <w:rsid w:val="00B6039C"/>
    <w:rsid w:val="00B60451"/>
    <w:rsid w:val="00B608DF"/>
    <w:rsid w:val="00B608F6"/>
    <w:rsid w:val="00B60933"/>
    <w:rsid w:val="00B609A8"/>
    <w:rsid w:val="00B60B1D"/>
    <w:rsid w:val="00B60BE1"/>
    <w:rsid w:val="00B613CA"/>
    <w:rsid w:val="00B6165D"/>
    <w:rsid w:val="00B61950"/>
    <w:rsid w:val="00B619A0"/>
    <w:rsid w:val="00B61D33"/>
    <w:rsid w:val="00B61EDA"/>
    <w:rsid w:val="00B62125"/>
    <w:rsid w:val="00B621BC"/>
    <w:rsid w:val="00B62217"/>
    <w:rsid w:val="00B629A4"/>
    <w:rsid w:val="00B635B3"/>
    <w:rsid w:val="00B635ED"/>
    <w:rsid w:val="00B637D1"/>
    <w:rsid w:val="00B63802"/>
    <w:rsid w:val="00B6395C"/>
    <w:rsid w:val="00B63A81"/>
    <w:rsid w:val="00B63D52"/>
    <w:rsid w:val="00B63D73"/>
    <w:rsid w:val="00B63E5B"/>
    <w:rsid w:val="00B63F45"/>
    <w:rsid w:val="00B640CC"/>
    <w:rsid w:val="00B64155"/>
    <w:rsid w:val="00B64643"/>
    <w:rsid w:val="00B647BC"/>
    <w:rsid w:val="00B647F5"/>
    <w:rsid w:val="00B648E4"/>
    <w:rsid w:val="00B649AE"/>
    <w:rsid w:val="00B649CD"/>
    <w:rsid w:val="00B64DB6"/>
    <w:rsid w:val="00B650EE"/>
    <w:rsid w:val="00B65599"/>
    <w:rsid w:val="00B655D7"/>
    <w:rsid w:val="00B65718"/>
    <w:rsid w:val="00B65802"/>
    <w:rsid w:val="00B6581A"/>
    <w:rsid w:val="00B65AAF"/>
    <w:rsid w:val="00B65C78"/>
    <w:rsid w:val="00B6649E"/>
    <w:rsid w:val="00B66B61"/>
    <w:rsid w:val="00B66B9C"/>
    <w:rsid w:val="00B66EEB"/>
    <w:rsid w:val="00B670FD"/>
    <w:rsid w:val="00B6714B"/>
    <w:rsid w:val="00B67191"/>
    <w:rsid w:val="00B67614"/>
    <w:rsid w:val="00B6790E"/>
    <w:rsid w:val="00B6793B"/>
    <w:rsid w:val="00B67A1F"/>
    <w:rsid w:val="00B700A5"/>
    <w:rsid w:val="00B702A8"/>
    <w:rsid w:val="00B708FF"/>
    <w:rsid w:val="00B70E14"/>
    <w:rsid w:val="00B7107D"/>
    <w:rsid w:val="00B71230"/>
    <w:rsid w:val="00B7124C"/>
    <w:rsid w:val="00B712C2"/>
    <w:rsid w:val="00B71992"/>
    <w:rsid w:val="00B719D7"/>
    <w:rsid w:val="00B71D65"/>
    <w:rsid w:val="00B71EDC"/>
    <w:rsid w:val="00B71F34"/>
    <w:rsid w:val="00B72338"/>
    <w:rsid w:val="00B7244A"/>
    <w:rsid w:val="00B72530"/>
    <w:rsid w:val="00B725E6"/>
    <w:rsid w:val="00B72D49"/>
    <w:rsid w:val="00B72E32"/>
    <w:rsid w:val="00B72E90"/>
    <w:rsid w:val="00B72F78"/>
    <w:rsid w:val="00B7310B"/>
    <w:rsid w:val="00B73161"/>
    <w:rsid w:val="00B736E5"/>
    <w:rsid w:val="00B738D8"/>
    <w:rsid w:val="00B73948"/>
    <w:rsid w:val="00B73E20"/>
    <w:rsid w:val="00B7490A"/>
    <w:rsid w:val="00B74B18"/>
    <w:rsid w:val="00B74B53"/>
    <w:rsid w:val="00B74CC6"/>
    <w:rsid w:val="00B74CEE"/>
    <w:rsid w:val="00B75029"/>
    <w:rsid w:val="00B750BA"/>
    <w:rsid w:val="00B754D5"/>
    <w:rsid w:val="00B757AD"/>
    <w:rsid w:val="00B758EE"/>
    <w:rsid w:val="00B759AC"/>
    <w:rsid w:val="00B75C51"/>
    <w:rsid w:val="00B75E52"/>
    <w:rsid w:val="00B76330"/>
    <w:rsid w:val="00B76893"/>
    <w:rsid w:val="00B76C69"/>
    <w:rsid w:val="00B77700"/>
    <w:rsid w:val="00B7783F"/>
    <w:rsid w:val="00B77E45"/>
    <w:rsid w:val="00B8004A"/>
    <w:rsid w:val="00B8020F"/>
    <w:rsid w:val="00B80371"/>
    <w:rsid w:val="00B803BE"/>
    <w:rsid w:val="00B803E5"/>
    <w:rsid w:val="00B80634"/>
    <w:rsid w:val="00B806B6"/>
    <w:rsid w:val="00B80808"/>
    <w:rsid w:val="00B80815"/>
    <w:rsid w:val="00B809FC"/>
    <w:rsid w:val="00B80D57"/>
    <w:rsid w:val="00B81064"/>
    <w:rsid w:val="00B811DF"/>
    <w:rsid w:val="00B818C5"/>
    <w:rsid w:val="00B81D0F"/>
    <w:rsid w:val="00B81D60"/>
    <w:rsid w:val="00B82497"/>
    <w:rsid w:val="00B82872"/>
    <w:rsid w:val="00B82C9F"/>
    <w:rsid w:val="00B82E75"/>
    <w:rsid w:val="00B82E81"/>
    <w:rsid w:val="00B8309C"/>
    <w:rsid w:val="00B83439"/>
    <w:rsid w:val="00B8349B"/>
    <w:rsid w:val="00B835A1"/>
    <w:rsid w:val="00B83778"/>
    <w:rsid w:val="00B83931"/>
    <w:rsid w:val="00B847C4"/>
    <w:rsid w:val="00B84A32"/>
    <w:rsid w:val="00B84C32"/>
    <w:rsid w:val="00B84CF1"/>
    <w:rsid w:val="00B84DDF"/>
    <w:rsid w:val="00B84E13"/>
    <w:rsid w:val="00B84EF5"/>
    <w:rsid w:val="00B84F63"/>
    <w:rsid w:val="00B8558D"/>
    <w:rsid w:val="00B85664"/>
    <w:rsid w:val="00B85997"/>
    <w:rsid w:val="00B85AF2"/>
    <w:rsid w:val="00B85BDC"/>
    <w:rsid w:val="00B85DF3"/>
    <w:rsid w:val="00B85ECC"/>
    <w:rsid w:val="00B86103"/>
    <w:rsid w:val="00B865AF"/>
    <w:rsid w:val="00B86874"/>
    <w:rsid w:val="00B86882"/>
    <w:rsid w:val="00B86BD9"/>
    <w:rsid w:val="00B8700C"/>
    <w:rsid w:val="00B87310"/>
    <w:rsid w:val="00B87450"/>
    <w:rsid w:val="00B8764F"/>
    <w:rsid w:val="00B8770E"/>
    <w:rsid w:val="00B87719"/>
    <w:rsid w:val="00B8778B"/>
    <w:rsid w:val="00B878A3"/>
    <w:rsid w:val="00B878F1"/>
    <w:rsid w:val="00B87EC6"/>
    <w:rsid w:val="00B87F23"/>
    <w:rsid w:val="00B87F8B"/>
    <w:rsid w:val="00B900D1"/>
    <w:rsid w:val="00B90451"/>
    <w:rsid w:val="00B905C4"/>
    <w:rsid w:val="00B90617"/>
    <w:rsid w:val="00B906F6"/>
    <w:rsid w:val="00B9079A"/>
    <w:rsid w:val="00B90BFC"/>
    <w:rsid w:val="00B90C25"/>
    <w:rsid w:val="00B90C26"/>
    <w:rsid w:val="00B90D21"/>
    <w:rsid w:val="00B90E02"/>
    <w:rsid w:val="00B9113F"/>
    <w:rsid w:val="00B912D0"/>
    <w:rsid w:val="00B915B1"/>
    <w:rsid w:val="00B91601"/>
    <w:rsid w:val="00B917A0"/>
    <w:rsid w:val="00B918B5"/>
    <w:rsid w:val="00B918B7"/>
    <w:rsid w:val="00B918DF"/>
    <w:rsid w:val="00B91A7A"/>
    <w:rsid w:val="00B91A7D"/>
    <w:rsid w:val="00B91B77"/>
    <w:rsid w:val="00B91E14"/>
    <w:rsid w:val="00B91F13"/>
    <w:rsid w:val="00B920B0"/>
    <w:rsid w:val="00B92554"/>
    <w:rsid w:val="00B92A9A"/>
    <w:rsid w:val="00B92AA6"/>
    <w:rsid w:val="00B92B58"/>
    <w:rsid w:val="00B92C0F"/>
    <w:rsid w:val="00B92F46"/>
    <w:rsid w:val="00B9309D"/>
    <w:rsid w:val="00B9330B"/>
    <w:rsid w:val="00B93529"/>
    <w:rsid w:val="00B93598"/>
    <w:rsid w:val="00B9397D"/>
    <w:rsid w:val="00B939B4"/>
    <w:rsid w:val="00B93C31"/>
    <w:rsid w:val="00B93E43"/>
    <w:rsid w:val="00B93F9C"/>
    <w:rsid w:val="00B94001"/>
    <w:rsid w:val="00B940AA"/>
    <w:rsid w:val="00B944A9"/>
    <w:rsid w:val="00B94871"/>
    <w:rsid w:val="00B94AAD"/>
    <w:rsid w:val="00B94EE8"/>
    <w:rsid w:val="00B955C3"/>
    <w:rsid w:val="00B95EAF"/>
    <w:rsid w:val="00B96107"/>
    <w:rsid w:val="00B96393"/>
    <w:rsid w:val="00B963BC"/>
    <w:rsid w:val="00B96408"/>
    <w:rsid w:val="00B9658E"/>
    <w:rsid w:val="00B965B7"/>
    <w:rsid w:val="00B965D3"/>
    <w:rsid w:val="00B9693F"/>
    <w:rsid w:val="00B96D01"/>
    <w:rsid w:val="00B96D87"/>
    <w:rsid w:val="00B96DB2"/>
    <w:rsid w:val="00B971EB"/>
    <w:rsid w:val="00B97204"/>
    <w:rsid w:val="00B975B0"/>
    <w:rsid w:val="00B977E7"/>
    <w:rsid w:val="00B979D6"/>
    <w:rsid w:val="00BA011A"/>
    <w:rsid w:val="00BA0420"/>
    <w:rsid w:val="00BA0A9A"/>
    <w:rsid w:val="00BA0BE3"/>
    <w:rsid w:val="00BA0C2B"/>
    <w:rsid w:val="00BA0F6A"/>
    <w:rsid w:val="00BA1491"/>
    <w:rsid w:val="00BA1699"/>
    <w:rsid w:val="00BA16FA"/>
    <w:rsid w:val="00BA17FE"/>
    <w:rsid w:val="00BA198C"/>
    <w:rsid w:val="00BA1A74"/>
    <w:rsid w:val="00BA1C4E"/>
    <w:rsid w:val="00BA237F"/>
    <w:rsid w:val="00BA2452"/>
    <w:rsid w:val="00BA2530"/>
    <w:rsid w:val="00BA261C"/>
    <w:rsid w:val="00BA26CA"/>
    <w:rsid w:val="00BA2A3A"/>
    <w:rsid w:val="00BA2B55"/>
    <w:rsid w:val="00BA2BDE"/>
    <w:rsid w:val="00BA2DE6"/>
    <w:rsid w:val="00BA2E8F"/>
    <w:rsid w:val="00BA3235"/>
    <w:rsid w:val="00BA386C"/>
    <w:rsid w:val="00BA39DB"/>
    <w:rsid w:val="00BA3BB7"/>
    <w:rsid w:val="00BA3D5A"/>
    <w:rsid w:val="00BA3E58"/>
    <w:rsid w:val="00BA3E6E"/>
    <w:rsid w:val="00BA3EFE"/>
    <w:rsid w:val="00BA4027"/>
    <w:rsid w:val="00BA46D3"/>
    <w:rsid w:val="00BA4855"/>
    <w:rsid w:val="00BA4C78"/>
    <w:rsid w:val="00BA5095"/>
    <w:rsid w:val="00BA50BC"/>
    <w:rsid w:val="00BA5158"/>
    <w:rsid w:val="00BA5224"/>
    <w:rsid w:val="00BA560E"/>
    <w:rsid w:val="00BA6111"/>
    <w:rsid w:val="00BA61D7"/>
    <w:rsid w:val="00BA6290"/>
    <w:rsid w:val="00BA6459"/>
    <w:rsid w:val="00BA64E1"/>
    <w:rsid w:val="00BA66EA"/>
    <w:rsid w:val="00BA6B5B"/>
    <w:rsid w:val="00BA6BD5"/>
    <w:rsid w:val="00BA7701"/>
    <w:rsid w:val="00BA78FD"/>
    <w:rsid w:val="00BA7B8D"/>
    <w:rsid w:val="00BA7E70"/>
    <w:rsid w:val="00BB0148"/>
    <w:rsid w:val="00BB016C"/>
    <w:rsid w:val="00BB0BFD"/>
    <w:rsid w:val="00BB0E67"/>
    <w:rsid w:val="00BB0F5A"/>
    <w:rsid w:val="00BB105C"/>
    <w:rsid w:val="00BB10A4"/>
    <w:rsid w:val="00BB12E2"/>
    <w:rsid w:val="00BB138D"/>
    <w:rsid w:val="00BB153F"/>
    <w:rsid w:val="00BB17D3"/>
    <w:rsid w:val="00BB17DF"/>
    <w:rsid w:val="00BB1843"/>
    <w:rsid w:val="00BB217C"/>
    <w:rsid w:val="00BB21BF"/>
    <w:rsid w:val="00BB2241"/>
    <w:rsid w:val="00BB282C"/>
    <w:rsid w:val="00BB2BCE"/>
    <w:rsid w:val="00BB2CB3"/>
    <w:rsid w:val="00BB2D1F"/>
    <w:rsid w:val="00BB2E72"/>
    <w:rsid w:val="00BB2EDD"/>
    <w:rsid w:val="00BB2F7D"/>
    <w:rsid w:val="00BB3193"/>
    <w:rsid w:val="00BB32D7"/>
    <w:rsid w:val="00BB351D"/>
    <w:rsid w:val="00BB3A30"/>
    <w:rsid w:val="00BB3AE1"/>
    <w:rsid w:val="00BB3B9C"/>
    <w:rsid w:val="00BB3D60"/>
    <w:rsid w:val="00BB3EE1"/>
    <w:rsid w:val="00BB3F0E"/>
    <w:rsid w:val="00BB40B9"/>
    <w:rsid w:val="00BB41C9"/>
    <w:rsid w:val="00BB4289"/>
    <w:rsid w:val="00BB42A2"/>
    <w:rsid w:val="00BB42E4"/>
    <w:rsid w:val="00BB445C"/>
    <w:rsid w:val="00BB448C"/>
    <w:rsid w:val="00BB467D"/>
    <w:rsid w:val="00BB46C8"/>
    <w:rsid w:val="00BB46EA"/>
    <w:rsid w:val="00BB4938"/>
    <w:rsid w:val="00BB4D2F"/>
    <w:rsid w:val="00BB4F3E"/>
    <w:rsid w:val="00BB5011"/>
    <w:rsid w:val="00BB52F6"/>
    <w:rsid w:val="00BB5764"/>
    <w:rsid w:val="00BB5852"/>
    <w:rsid w:val="00BB5DA9"/>
    <w:rsid w:val="00BB5E22"/>
    <w:rsid w:val="00BB6112"/>
    <w:rsid w:val="00BB6753"/>
    <w:rsid w:val="00BB68CA"/>
    <w:rsid w:val="00BB69AB"/>
    <w:rsid w:val="00BB6BA7"/>
    <w:rsid w:val="00BB6FD5"/>
    <w:rsid w:val="00BB748F"/>
    <w:rsid w:val="00BB79D4"/>
    <w:rsid w:val="00BB7A5E"/>
    <w:rsid w:val="00BB7C62"/>
    <w:rsid w:val="00BB7C64"/>
    <w:rsid w:val="00BC0B9B"/>
    <w:rsid w:val="00BC0BA3"/>
    <w:rsid w:val="00BC0D02"/>
    <w:rsid w:val="00BC0F5D"/>
    <w:rsid w:val="00BC15C4"/>
    <w:rsid w:val="00BC16CD"/>
    <w:rsid w:val="00BC1767"/>
    <w:rsid w:val="00BC1877"/>
    <w:rsid w:val="00BC202C"/>
    <w:rsid w:val="00BC20A1"/>
    <w:rsid w:val="00BC20A7"/>
    <w:rsid w:val="00BC2124"/>
    <w:rsid w:val="00BC2942"/>
    <w:rsid w:val="00BC29F5"/>
    <w:rsid w:val="00BC2A30"/>
    <w:rsid w:val="00BC2A71"/>
    <w:rsid w:val="00BC2DEB"/>
    <w:rsid w:val="00BC2E1B"/>
    <w:rsid w:val="00BC2F3F"/>
    <w:rsid w:val="00BC3258"/>
    <w:rsid w:val="00BC32F4"/>
    <w:rsid w:val="00BC3484"/>
    <w:rsid w:val="00BC3ED0"/>
    <w:rsid w:val="00BC3EE8"/>
    <w:rsid w:val="00BC3FE8"/>
    <w:rsid w:val="00BC41BD"/>
    <w:rsid w:val="00BC426C"/>
    <w:rsid w:val="00BC43C8"/>
    <w:rsid w:val="00BC462F"/>
    <w:rsid w:val="00BC494E"/>
    <w:rsid w:val="00BC49B2"/>
    <w:rsid w:val="00BC4C67"/>
    <w:rsid w:val="00BC4DD9"/>
    <w:rsid w:val="00BC4F49"/>
    <w:rsid w:val="00BC4FEF"/>
    <w:rsid w:val="00BC566B"/>
    <w:rsid w:val="00BC5AB6"/>
    <w:rsid w:val="00BC5C42"/>
    <w:rsid w:val="00BC5CF4"/>
    <w:rsid w:val="00BC5DA6"/>
    <w:rsid w:val="00BC5F15"/>
    <w:rsid w:val="00BC637C"/>
    <w:rsid w:val="00BC6395"/>
    <w:rsid w:val="00BC646D"/>
    <w:rsid w:val="00BC6580"/>
    <w:rsid w:val="00BC6665"/>
    <w:rsid w:val="00BC6925"/>
    <w:rsid w:val="00BC699F"/>
    <w:rsid w:val="00BC6DE6"/>
    <w:rsid w:val="00BC7101"/>
    <w:rsid w:val="00BC7185"/>
    <w:rsid w:val="00BC7439"/>
    <w:rsid w:val="00BC7696"/>
    <w:rsid w:val="00BC777F"/>
    <w:rsid w:val="00BC7B2E"/>
    <w:rsid w:val="00BC7C1D"/>
    <w:rsid w:val="00BD0110"/>
    <w:rsid w:val="00BD06C1"/>
    <w:rsid w:val="00BD06F3"/>
    <w:rsid w:val="00BD083A"/>
    <w:rsid w:val="00BD08F3"/>
    <w:rsid w:val="00BD0CEF"/>
    <w:rsid w:val="00BD1036"/>
    <w:rsid w:val="00BD10AD"/>
    <w:rsid w:val="00BD10B9"/>
    <w:rsid w:val="00BD13AC"/>
    <w:rsid w:val="00BD13E8"/>
    <w:rsid w:val="00BD15F7"/>
    <w:rsid w:val="00BD1666"/>
    <w:rsid w:val="00BD1764"/>
    <w:rsid w:val="00BD182A"/>
    <w:rsid w:val="00BD18AD"/>
    <w:rsid w:val="00BD1B57"/>
    <w:rsid w:val="00BD216D"/>
    <w:rsid w:val="00BD22BC"/>
    <w:rsid w:val="00BD2900"/>
    <w:rsid w:val="00BD299C"/>
    <w:rsid w:val="00BD29A3"/>
    <w:rsid w:val="00BD29EA"/>
    <w:rsid w:val="00BD2B9A"/>
    <w:rsid w:val="00BD2C3D"/>
    <w:rsid w:val="00BD2E0A"/>
    <w:rsid w:val="00BD3040"/>
    <w:rsid w:val="00BD32B7"/>
    <w:rsid w:val="00BD3D09"/>
    <w:rsid w:val="00BD3D70"/>
    <w:rsid w:val="00BD3E6C"/>
    <w:rsid w:val="00BD40AC"/>
    <w:rsid w:val="00BD42A9"/>
    <w:rsid w:val="00BD436D"/>
    <w:rsid w:val="00BD4393"/>
    <w:rsid w:val="00BD44B0"/>
    <w:rsid w:val="00BD4715"/>
    <w:rsid w:val="00BD4824"/>
    <w:rsid w:val="00BD4883"/>
    <w:rsid w:val="00BD48BA"/>
    <w:rsid w:val="00BD48FB"/>
    <w:rsid w:val="00BD4ACB"/>
    <w:rsid w:val="00BD4B2F"/>
    <w:rsid w:val="00BD4C05"/>
    <w:rsid w:val="00BD4F06"/>
    <w:rsid w:val="00BD5044"/>
    <w:rsid w:val="00BD5260"/>
    <w:rsid w:val="00BD5469"/>
    <w:rsid w:val="00BD54A3"/>
    <w:rsid w:val="00BD5655"/>
    <w:rsid w:val="00BD5A36"/>
    <w:rsid w:val="00BD5BF8"/>
    <w:rsid w:val="00BD5D2B"/>
    <w:rsid w:val="00BD5E4D"/>
    <w:rsid w:val="00BD5E9E"/>
    <w:rsid w:val="00BD67A5"/>
    <w:rsid w:val="00BD6D37"/>
    <w:rsid w:val="00BD722C"/>
    <w:rsid w:val="00BD73AD"/>
    <w:rsid w:val="00BD7955"/>
    <w:rsid w:val="00BD797E"/>
    <w:rsid w:val="00BD7998"/>
    <w:rsid w:val="00BD7ADE"/>
    <w:rsid w:val="00BD7E6C"/>
    <w:rsid w:val="00BE056A"/>
    <w:rsid w:val="00BE0970"/>
    <w:rsid w:val="00BE0ACF"/>
    <w:rsid w:val="00BE0AF6"/>
    <w:rsid w:val="00BE0E99"/>
    <w:rsid w:val="00BE0F2C"/>
    <w:rsid w:val="00BE1133"/>
    <w:rsid w:val="00BE13A2"/>
    <w:rsid w:val="00BE13C7"/>
    <w:rsid w:val="00BE17B4"/>
    <w:rsid w:val="00BE17C0"/>
    <w:rsid w:val="00BE17D1"/>
    <w:rsid w:val="00BE1934"/>
    <w:rsid w:val="00BE1E9C"/>
    <w:rsid w:val="00BE1EA3"/>
    <w:rsid w:val="00BE1F08"/>
    <w:rsid w:val="00BE20AC"/>
    <w:rsid w:val="00BE21C3"/>
    <w:rsid w:val="00BE229D"/>
    <w:rsid w:val="00BE2409"/>
    <w:rsid w:val="00BE245C"/>
    <w:rsid w:val="00BE25B0"/>
    <w:rsid w:val="00BE26C4"/>
    <w:rsid w:val="00BE27BD"/>
    <w:rsid w:val="00BE2899"/>
    <w:rsid w:val="00BE2C4D"/>
    <w:rsid w:val="00BE2D0F"/>
    <w:rsid w:val="00BE3302"/>
    <w:rsid w:val="00BE3681"/>
    <w:rsid w:val="00BE39C3"/>
    <w:rsid w:val="00BE3ADE"/>
    <w:rsid w:val="00BE3AE0"/>
    <w:rsid w:val="00BE3CEB"/>
    <w:rsid w:val="00BE4171"/>
    <w:rsid w:val="00BE426A"/>
    <w:rsid w:val="00BE44EF"/>
    <w:rsid w:val="00BE46F6"/>
    <w:rsid w:val="00BE4748"/>
    <w:rsid w:val="00BE49F2"/>
    <w:rsid w:val="00BE4A42"/>
    <w:rsid w:val="00BE4AD0"/>
    <w:rsid w:val="00BE4DDE"/>
    <w:rsid w:val="00BE52FA"/>
    <w:rsid w:val="00BE5920"/>
    <w:rsid w:val="00BE5A36"/>
    <w:rsid w:val="00BE5C22"/>
    <w:rsid w:val="00BE64D5"/>
    <w:rsid w:val="00BE6949"/>
    <w:rsid w:val="00BE6BCB"/>
    <w:rsid w:val="00BE76CF"/>
    <w:rsid w:val="00BE7AA9"/>
    <w:rsid w:val="00BE7B6D"/>
    <w:rsid w:val="00BE7C38"/>
    <w:rsid w:val="00BE7E4D"/>
    <w:rsid w:val="00BF0317"/>
    <w:rsid w:val="00BF0577"/>
    <w:rsid w:val="00BF057F"/>
    <w:rsid w:val="00BF0ADA"/>
    <w:rsid w:val="00BF0BAB"/>
    <w:rsid w:val="00BF0F35"/>
    <w:rsid w:val="00BF1374"/>
    <w:rsid w:val="00BF161A"/>
    <w:rsid w:val="00BF1741"/>
    <w:rsid w:val="00BF1910"/>
    <w:rsid w:val="00BF1F18"/>
    <w:rsid w:val="00BF21BA"/>
    <w:rsid w:val="00BF22D3"/>
    <w:rsid w:val="00BF2683"/>
    <w:rsid w:val="00BF2697"/>
    <w:rsid w:val="00BF2EF5"/>
    <w:rsid w:val="00BF304F"/>
    <w:rsid w:val="00BF3101"/>
    <w:rsid w:val="00BF33CC"/>
    <w:rsid w:val="00BF345C"/>
    <w:rsid w:val="00BF3567"/>
    <w:rsid w:val="00BF378F"/>
    <w:rsid w:val="00BF37D4"/>
    <w:rsid w:val="00BF38DF"/>
    <w:rsid w:val="00BF3C15"/>
    <w:rsid w:val="00BF3D0C"/>
    <w:rsid w:val="00BF3D95"/>
    <w:rsid w:val="00BF3DC3"/>
    <w:rsid w:val="00BF3F92"/>
    <w:rsid w:val="00BF4164"/>
    <w:rsid w:val="00BF451B"/>
    <w:rsid w:val="00BF48C0"/>
    <w:rsid w:val="00BF5064"/>
    <w:rsid w:val="00BF51A2"/>
    <w:rsid w:val="00BF52DE"/>
    <w:rsid w:val="00BF54DC"/>
    <w:rsid w:val="00BF573B"/>
    <w:rsid w:val="00BF5742"/>
    <w:rsid w:val="00BF5C47"/>
    <w:rsid w:val="00BF5DB9"/>
    <w:rsid w:val="00BF640C"/>
    <w:rsid w:val="00BF6941"/>
    <w:rsid w:val="00BF696B"/>
    <w:rsid w:val="00BF730E"/>
    <w:rsid w:val="00BF73C4"/>
    <w:rsid w:val="00BF749A"/>
    <w:rsid w:val="00BF7F2B"/>
    <w:rsid w:val="00C0029E"/>
    <w:rsid w:val="00C00515"/>
    <w:rsid w:val="00C007A1"/>
    <w:rsid w:val="00C0092D"/>
    <w:rsid w:val="00C00CC7"/>
    <w:rsid w:val="00C01390"/>
    <w:rsid w:val="00C01776"/>
    <w:rsid w:val="00C0178A"/>
    <w:rsid w:val="00C019C5"/>
    <w:rsid w:val="00C019F2"/>
    <w:rsid w:val="00C01A3E"/>
    <w:rsid w:val="00C01F6E"/>
    <w:rsid w:val="00C02011"/>
    <w:rsid w:val="00C02082"/>
    <w:rsid w:val="00C0256C"/>
    <w:rsid w:val="00C02B13"/>
    <w:rsid w:val="00C02DA0"/>
    <w:rsid w:val="00C02DCB"/>
    <w:rsid w:val="00C02E52"/>
    <w:rsid w:val="00C03A04"/>
    <w:rsid w:val="00C03C93"/>
    <w:rsid w:val="00C03D76"/>
    <w:rsid w:val="00C03F6F"/>
    <w:rsid w:val="00C0402C"/>
    <w:rsid w:val="00C04259"/>
    <w:rsid w:val="00C0453A"/>
    <w:rsid w:val="00C04669"/>
    <w:rsid w:val="00C04AE5"/>
    <w:rsid w:val="00C04B8F"/>
    <w:rsid w:val="00C04C40"/>
    <w:rsid w:val="00C04D5B"/>
    <w:rsid w:val="00C04E74"/>
    <w:rsid w:val="00C05244"/>
    <w:rsid w:val="00C05594"/>
    <w:rsid w:val="00C056AC"/>
    <w:rsid w:val="00C05AFB"/>
    <w:rsid w:val="00C05D4E"/>
    <w:rsid w:val="00C05EBA"/>
    <w:rsid w:val="00C05F3D"/>
    <w:rsid w:val="00C0612E"/>
    <w:rsid w:val="00C06209"/>
    <w:rsid w:val="00C063A0"/>
    <w:rsid w:val="00C0641B"/>
    <w:rsid w:val="00C064B0"/>
    <w:rsid w:val="00C06591"/>
    <w:rsid w:val="00C065E2"/>
    <w:rsid w:val="00C0668C"/>
    <w:rsid w:val="00C06A3A"/>
    <w:rsid w:val="00C06B36"/>
    <w:rsid w:val="00C06C51"/>
    <w:rsid w:val="00C0714D"/>
    <w:rsid w:val="00C07343"/>
    <w:rsid w:val="00C074D5"/>
    <w:rsid w:val="00C0762F"/>
    <w:rsid w:val="00C07681"/>
    <w:rsid w:val="00C0773D"/>
    <w:rsid w:val="00C079E2"/>
    <w:rsid w:val="00C07A0F"/>
    <w:rsid w:val="00C1026A"/>
    <w:rsid w:val="00C1049B"/>
    <w:rsid w:val="00C104FD"/>
    <w:rsid w:val="00C10912"/>
    <w:rsid w:val="00C10B3E"/>
    <w:rsid w:val="00C113A8"/>
    <w:rsid w:val="00C113ED"/>
    <w:rsid w:val="00C1150D"/>
    <w:rsid w:val="00C115DF"/>
    <w:rsid w:val="00C11893"/>
    <w:rsid w:val="00C11930"/>
    <w:rsid w:val="00C11A6A"/>
    <w:rsid w:val="00C11B1E"/>
    <w:rsid w:val="00C11E7F"/>
    <w:rsid w:val="00C120C2"/>
    <w:rsid w:val="00C122ED"/>
    <w:rsid w:val="00C12692"/>
    <w:rsid w:val="00C1272D"/>
    <w:rsid w:val="00C12773"/>
    <w:rsid w:val="00C12849"/>
    <w:rsid w:val="00C12955"/>
    <w:rsid w:val="00C12B61"/>
    <w:rsid w:val="00C12CFA"/>
    <w:rsid w:val="00C12FF0"/>
    <w:rsid w:val="00C13198"/>
    <w:rsid w:val="00C13383"/>
    <w:rsid w:val="00C133BC"/>
    <w:rsid w:val="00C142CE"/>
    <w:rsid w:val="00C14614"/>
    <w:rsid w:val="00C147DE"/>
    <w:rsid w:val="00C1498B"/>
    <w:rsid w:val="00C14C13"/>
    <w:rsid w:val="00C14EB2"/>
    <w:rsid w:val="00C14F20"/>
    <w:rsid w:val="00C15311"/>
    <w:rsid w:val="00C157DB"/>
    <w:rsid w:val="00C15836"/>
    <w:rsid w:val="00C15F9A"/>
    <w:rsid w:val="00C15FE1"/>
    <w:rsid w:val="00C160E5"/>
    <w:rsid w:val="00C160F9"/>
    <w:rsid w:val="00C16680"/>
    <w:rsid w:val="00C166AA"/>
    <w:rsid w:val="00C169D8"/>
    <w:rsid w:val="00C16CD0"/>
    <w:rsid w:val="00C16E47"/>
    <w:rsid w:val="00C1708A"/>
    <w:rsid w:val="00C1740F"/>
    <w:rsid w:val="00C1742A"/>
    <w:rsid w:val="00C17591"/>
    <w:rsid w:val="00C179F4"/>
    <w:rsid w:val="00C17A2E"/>
    <w:rsid w:val="00C17B68"/>
    <w:rsid w:val="00C17C60"/>
    <w:rsid w:val="00C17DE1"/>
    <w:rsid w:val="00C17F70"/>
    <w:rsid w:val="00C20072"/>
    <w:rsid w:val="00C203C0"/>
    <w:rsid w:val="00C2041D"/>
    <w:rsid w:val="00C20526"/>
    <w:rsid w:val="00C2061A"/>
    <w:rsid w:val="00C20795"/>
    <w:rsid w:val="00C207EF"/>
    <w:rsid w:val="00C20B6B"/>
    <w:rsid w:val="00C20B6D"/>
    <w:rsid w:val="00C20B8E"/>
    <w:rsid w:val="00C20DD0"/>
    <w:rsid w:val="00C21489"/>
    <w:rsid w:val="00C214BE"/>
    <w:rsid w:val="00C2172F"/>
    <w:rsid w:val="00C218FD"/>
    <w:rsid w:val="00C21908"/>
    <w:rsid w:val="00C21AC7"/>
    <w:rsid w:val="00C21D61"/>
    <w:rsid w:val="00C22131"/>
    <w:rsid w:val="00C223F8"/>
    <w:rsid w:val="00C2245F"/>
    <w:rsid w:val="00C2260E"/>
    <w:rsid w:val="00C22639"/>
    <w:rsid w:val="00C227DB"/>
    <w:rsid w:val="00C22EED"/>
    <w:rsid w:val="00C23091"/>
    <w:rsid w:val="00C232F3"/>
    <w:rsid w:val="00C2362C"/>
    <w:rsid w:val="00C23663"/>
    <w:rsid w:val="00C2368D"/>
    <w:rsid w:val="00C23906"/>
    <w:rsid w:val="00C239ED"/>
    <w:rsid w:val="00C23B0A"/>
    <w:rsid w:val="00C23C54"/>
    <w:rsid w:val="00C23C8E"/>
    <w:rsid w:val="00C244C7"/>
    <w:rsid w:val="00C2458B"/>
    <w:rsid w:val="00C246B2"/>
    <w:rsid w:val="00C2484E"/>
    <w:rsid w:val="00C24886"/>
    <w:rsid w:val="00C24F65"/>
    <w:rsid w:val="00C24FF7"/>
    <w:rsid w:val="00C25386"/>
    <w:rsid w:val="00C25414"/>
    <w:rsid w:val="00C2578B"/>
    <w:rsid w:val="00C25987"/>
    <w:rsid w:val="00C2690E"/>
    <w:rsid w:val="00C26B67"/>
    <w:rsid w:val="00C26CCF"/>
    <w:rsid w:val="00C2700A"/>
    <w:rsid w:val="00C27091"/>
    <w:rsid w:val="00C271A4"/>
    <w:rsid w:val="00C273C5"/>
    <w:rsid w:val="00C274A5"/>
    <w:rsid w:val="00C27562"/>
    <w:rsid w:val="00C275B1"/>
    <w:rsid w:val="00C27626"/>
    <w:rsid w:val="00C27A68"/>
    <w:rsid w:val="00C27A6A"/>
    <w:rsid w:val="00C27D7C"/>
    <w:rsid w:val="00C27E3D"/>
    <w:rsid w:val="00C3003D"/>
    <w:rsid w:val="00C30096"/>
    <w:rsid w:val="00C30280"/>
    <w:rsid w:val="00C303F4"/>
    <w:rsid w:val="00C30468"/>
    <w:rsid w:val="00C30627"/>
    <w:rsid w:val="00C3085D"/>
    <w:rsid w:val="00C30C34"/>
    <w:rsid w:val="00C31139"/>
    <w:rsid w:val="00C31531"/>
    <w:rsid w:val="00C31557"/>
    <w:rsid w:val="00C31655"/>
    <w:rsid w:val="00C31874"/>
    <w:rsid w:val="00C31A3E"/>
    <w:rsid w:val="00C31AC2"/>
    <w:rsid w:val="00C31CD4"/>
    <w:rsid w:val="00C31E10"/>
    <w:rsid w:val="00C31FD2"/>
    <w:rsid w:val="00C32417"/>
    <w:rsid w:val="00C32586"/>
    <w:rsid w:val="00C326D5"/>
    <w:rsid w:val="00C327B6"/>
    <w:rsid w:val="00C32B10"/>
    <w:rsid w:val="00C32E8C"/>
    <w:rsid w:val="00C331B2"/>
    <w:rsid w:val="00C333A4"/>
    <w:rsid w:val="00C333D2"/>
    <w:rsid w:val="00C335D0"/>
    <w:rsid w:val="00C33812"/>
    <w:rsid w:val="00C3392B"/>
    <w:rsid w:val="00C33A40"/>
    <w:rsid w:val="00C33C39"/>
    <w:rsid w:val="00C34007"/>
    <w:rsid w:val="00C34061"/>
    <w:rsid w:val="00C34963"/>
    <w:rsid w:val="00C34F3C"/>
    <w:rsid w:val="00C35926"/>
    <w:rsid w:val="00C35D94"/>
    <w:rsid w:val="00C361EE"/>
    <w:rsid w:val="00C36467"/>
    <w:rsid w:val="00C3654F"/>
    <w:rsid w:val="00C366C0"/>
    <w:rsid w:val="00C36844"/>
    <w:rsid w:val="00C36B7C"/>
    <w:rsid w:val="00C36CAD"/>
    <w:rsid w:val="00C372AC"/>
    <w:rsid w:val="00C3777F"/>
    <w:rsid w:val="00C377E8"/>
    <w:rsid w:val="00C37862"/>
    <w:rsid w:val="00C37973"/>
    <w:rsid w:val="00C37E70"/>
    <w:rsid w:val="00C37F37"/>
    <w:rsid w:val="00C4054A"/>
    <w:rsid w:val="00C40B22"/>
    <w:rsid w:val="00C40BED"/>
    <w:rsid w:val="00C40CE1"/>
    <w:rsid w:val="00C41027"/>
    <w:rsid w:val="00C413D3"/>
    <w:rsid w:val="00C41A5C"/>
    <w:rsid w:val="00C41B54"/>
    <w:rsid w:val="00C41B56"/>
    <w:rsid w:val="00C41F6C"/>
    <w:rsid w:val="00C41F89"/>
    <w:rsid w:val="00C42343"/>
    <w:rsid w:val="00C4258E"/>
    <w:rsid w:val="00C429EB"/>
    <w:rsid w:val="00C42B57"/>
    <w:rsid w:val="00C42CEA"/>
    <w:rsid w:val="00C42D87"/>
    <w:rsid w:val="00C42E52"/>
    <w:rsid w:val="00C433BF"/>
    <w:rsid w:val="00C436B4"/>
    <w:rsid w:val="00C43866"/>
    <w:rsid w:val="00C43CC4"/>
    <w:rsid w:val="00C43D68"/>
    <w:rsid w:val="00C43FCE"/>
    <w:rsid w:val="00C44039"/>
    <w:rsid w:val="00C440C8"/>
    <w:rsid w:val="00C440FA"/>
    <w:rsid w:val="00C4429F"/>
    <w:rsid w:val="00C44454"/>
    <w:rsid w:val="00C445B3"/>
    <w:rsid w:val="00C446E7"/>
    <w:rsid w:val="00C44995"/>
    <w:rsid w:val="00C449BE"/>
    <w:rsid w:val="00C44A24"/>
    <w:rsid w:val="00C44D99"/>
    <w:rsid w:val="00C4502A"/>
    <w:rsid w:val="00C456A3"/>
    <w:rsid w:val="00C45935"/>
    <w:rsid w:val="00C459AE"/>
    <w:rsid w:val="00C45C61"/>
    <w:rsid w:val="00C45E38"/>
    <w:rsid w:val="00C45F05"/>
    <w:rsid w:val="00C46673"/>
    <w:rsid w:val="00C4671F"/>
    <w:rsid w:val="00C46900"/>
    <w:rsid w:val="00C469D4"/>
    <w:rsid w:val="00C46C0C"/>
    <w:rsid w:val="00C46C9D"/>
    <w:rsid w:val="00C46EBF"/>
    <w:rsid w:val="00C473B9"/>
    <w:rsid w:val="00C4749E"/>
    <w:rsid w:val="00C47604"/>
    <w:rsid w:val="00C47922"/>
    <w:rsid w:val="00C479DF"/>
    <w:rsid w:val="00C47DEA"/>
    <w:rsid w:val="00C47E43"/>
    <w:rsid w:val="00C47E90"/>
    <w:rsid w:val="00C47FDF"/>
    <w:rsid w:val="00C5033A"/>
    <w:rsid w:val="00C5047D"/>
    <w:rsid w:val="00C5064F"/>
    <w:rsid w:val="00C50A0C"/>
    <w:rsid w:val="00C50AF5"/>
    <w:rsid w:val="00C50BDE"/>
    <w:rsid w:val="00C50C3B"/>
    <w:rsid w:val="00C50E47"/>
    <w:rsid w:val="00C5105B"/>
    <w:rsid w:val="00C513E1"/>
    <w:rsid w:val="00C5157A"/>
    <w:rsid w:val="00C51642"/>
    <w:rsid w:val="00C51836"/>
    <w:rsid w:val="00C519BC"/>
    <w:rsid w:val="00C519F8"/>
    <w:rsid w:val="00C51B6B"/>
    <w:rsid w:val="00C51B84"/>
    <w:rsid w:val="00C5238F"/>
    <w:rsid w:val="00C525B3"/>
    <w:rsid w:val="00C52E44"/>
    <w:rsid w:val="00C53136"/>
    <w:rsid w:val="00C5329D"/>
    <w:rsid w:val="00C53350"/>
    <w:rsid w:val="00C536A8"/>
    <w:rsid w:val="00C5376A"/>
    <w:rsid w:val="00C537AA"/>
    <w:rsid w:val="00C53BAE"/>
    <w:rsid w:val="00C53E8C"/>
    <w:rsid w:val="00C5404B"/>
    <w:rsid w:val="00C544C8"/>
    <w:rsid w:val="00C54635"/>
    <w:rsid w:val="00C546F7"/>
    <w:rsid w:val="00C54864"/>
    <w:rsid w:val="00C548EE"/>
    <w:rsid w:val="00C54A11"/>
    <w:rsid w:val="00C54C53"/>
    <w:rsid w:val="00C54FDE"/>
    <w:rsid w:val="00C5509F"/>
    <w:rsid w:val="00C55195"/>
    <w:rsid w:val="00C556BE"/>
    <w:rsid w:val="00C55949"/>
    <w:rsid w:val="00C55B4E"/>
    <w:rsid w:val="00C55C69"/>
    <w:rsid w:val="00C55FF5"/>
    <w:rsid w:val="00C56098"/>
    <w:rsid w:val="00C563DE"/>
    <w:rsid w:val="00C56789"/>
    <w:rsid w:val="00C56ACD"/>
    <w:rsid w:val="00C56C36"/>
    <w:rsid w:val="00C57087"/>
    <w:rsid w:val="00C571F9"/>
    <w:rsid w:val="00C57478"/>
    <w:rsid w:val="00C575FA"/>
    <w:rsid w:val="00C57CEE"/>
    <w:rsid w:val="00C6015A"/>
    <w:rsid w:val="00C60794"/>
    <w:rsid w:val="00C6140E"/>
    <w:rsid w:val="00C6146F"/>
    <w:rsid w:val="00C614A8"/>
    <w:rsid w:val="00C6152B"/>
    <w:rsid w:val="00C6169D"/>
    <w:rsid w:val="00C61887"/>
    <w:rsid w:val="00C61AF0"/>
    <w:rsid w:val="00C61DE0"/>
    <w:rsid w:val="00C62258"/>
    <w:rsid w:val="00C622A0"/>
    <w:rsid w:val="00C627B3"/>
    <w:rsid w:val="00C62BBD"/>
    <w:rsid w:val="00C62C9E"/>
    <w:rsid w:val="00C62E2E"/>
    <w:rsid w:val="00C63030"/>
    <w:rsid w:val="00C6316F"/>
    <w:rsid w:val="00C63392"/>
    <w:rsid w:val="00C6350B"/>
    <w:rsid w:val="00C63971"/>
    <w:rsid w:val="00C639DC"/>
    <w:rsid w:val="00C642DC"/>
    <w:rsid w:val="00C648AA"/>
    <w:rsid w:val="00C64A73"/>
    <w:rsid w:val="00C64B62"/>
    <w:rsid w:val="00C65035"/>
    <w:rsid w:val="00C65306"/>
    <w:rsid w:val="00C6532D"/>
    <w:rsid w:val="00C65472"/>
    <w:rsid w:val="00C6565E"/>
    <w:rsid w:val="00C65859"/>
    <w:rsid w:val="00C659A6"/>
    <w:rsid w:val="00C65F56"/>
    <w:rsid w:val="00C6680E"/>
    <w:rsid w:val="00C669CB"/>
    <w:rsid w:val="00C66A8F"/>
    <w:rsid w:val="00C66BEE"/>
    <w:rsid w:val="00C67029"/>
    <w:rsid w:val="00C67154"/>
    <w:rsid w:val="00C67233"/>
    <w:rsid w:val="00C6770A"/>
    <w:rsid w:val="00C67A39"/>
    <w:rsid w:val="00C67B3E"/>
    <w:rsid w:val="00C67C86"/>
    <w:rsid w:val="00C67DBE"/>
    <w:rsid w:val="00C70344"/>
    <w:rsid w:val="00C703F1"/>
    <w:rsid w:val="00C706EF"/>
    <w:rsid w:val="00C710F1"/>
    <w:rsid w:val="00C712FF"/>
    <w:rsid w:val="00C7135E"/>
    <w:rsid w:val="00C7163D"/>
    <w:rsid w:val="00C71A2C"/>
    <w:rsid w:val="00C71D5E"/>
    <w:rsid w:val="00C71E0A"/>
    <w:rsid w:val="00C71F5A"/>
    <w:rsid w:val="00C71F5C"/>
    <w:rsid w:val="00C724D8"/>
    <w:rsid w:val="00C726B8"/>
    <w:rsid w:val="00C726B9"/>
    <w:rsid w:val="00C729B5"/>
    <w:rsid w:val="00C729F5"/>
    <w:rsid w:val="00C72B2F"/>
    <w:rsid w:val="00C72BBC"/>
    <w:rsid w:val="00C7307F"/>
    <w:rsid w:val="00C7315D"/>
    <w:rsid w:val="00C731AD"/>
    <w:rsid w:val="00C735B1"/>
    <w:rsid w:val="00C73820"/>
    <w:rsid w:val="00C7382E"/>
    <w:rsid w:val="00C739DA"/>
    <w:rsid w:val="00C73A7F"/>
    <w:rsid w:val="00C73CDF"/>
    <w:rsid w:val="00C73D3E"/>
    <w:rsid w:val="00C73F2C"/>
    <w:rsid w:val="00C7415A"/>
    <w:rsid w:val="00C7460D"/>
    <w:rsid w:val="00C74757"/>
    <w:rsid w:val="00C74976"/>
    <w:rsid w:val="00C74ABB"/>
    <w:rsid w:val="00C74EA2"/>
    <w:rsid w:val="00C755C6"/>
    <w:rsid w:val="00C75652"/>
    <w:rsid w:val="00C7585A"/>
    <w:rsid w:val="00C75886"/>
    <w:rsid w:val="00C759CD"/>
    <w:rsid w:val="00C75AA2"/>
    <w:rsid w:val="00C75C34"/>
    <w:rsid w:val="00C760D9"/>
    <w:rsid w:val="00C762F4"/>
    <w:rsid w:val="00C76396"/>
    <w:rsid w:val="00C764F0"/>
    <w:rsid w:val="00C7662F"/>
    <w:rsid w:val="00C76951"/>
    <w:rsid w:val="00C76B29"/>
    <w:rsid w:val="00C76DA4"/>
    <w:rsid w:val="00C771F7"/>
    <w:rsid w:val="00C773F2"/>
    <w:rsid w:val="00C77649"/>
    <w:rsid w:val="00C77982"/>
    <w:rsid w:val="00C77BA9"/>
    <w:rsid w:val="00C77DB3"/>
    <w:rsid w:val="00C77F13"/>
    <w:rsid w:val="00C80225"/>
    <w:rsid w:val="00C80431"/>
    <w:rsid w:val="00C804C8"/>
    <w:rsid w:val="00C8064A"/>
    <w:rsid w:val="00C80A18"/>
    <w:rsid w:val="00C80B8A"/>
    <w:rsid w:val="00C812B5"/>
    <w:rsid w:val="00C812DB"/>
    <w:rsid w:val="00C81415"/>
    <w:rsid w:val="00C81505"/>
    <w:rsid w:val="00C8176C"/>
    <w:rsid w:val="00C81A18"/>
    <w:rsid w:val="00C81AF8"/>
    <w:rsid w:val="00C821DB"/>
    <w:rsid w:val="00C82519"/>
    <w:rsid w:val="00C825E8"/>
    <w:rsid w:val="00C8265F"/>
    <w:rsid w:val="00C827E9"/>
    <w:rsid w:val="00C82AB6"/>
    <w:rsid w:val="00C82B8E"/>
    <w:rsid w:val="00C8343B"/>
    <w:rsid w:val="00C83513"/>
    <w:rsid w:val="00C83CFB"/>
    <w:rsid w:val="00C843EB"/>
    <w:rsid w:val="00C844B0"/>
    <w:rsid w:val="00C84606"/>
    <w:rsid w:val="00C84793"/>
    <w:rsid w:val="00C85125"/>
    <w:rsid w:val="00C852B5"/>
    <w:rsid w:val="00C852CF"/>
    <w:rsid w:val="00C85788"/>
    <w:rsid w:val="00C85789"/>
    <w:rsid w:val="00C857A3"/>
    <w:rsid w:val="00C85895"/>
    <w:rsid w:val="00C85B14"/>
    <w:rsid w:val="00C85B77"/>
    <w:rsid w:val="00C85D10"/>
    <w:rsid w:val="00C85DFE"/>
    <w:rsid w:val="00C860F4"/>
    <w:rsid w:val="00C86119"/>
    <w:rsid w:val="00C863CD"/>
    <w:rsid w:val="00C864BD"/>
    <w:rsid w:val="00C864F0"/>
    <w:rsid w:val="00C86759"/>
    <w:rsid w:val="00C867C1"/>
    <w:rsid w:val="00C86830"/>
    <w:rsid w:val="00C86A62"/>
    <w:rsid w:val="00C87183"/>
    <w:rsid w:val="00C871F7"/>
    <w:rsid w:val="00C87279"/>
    <w:rsid w:val="00C872F6"/>
    <w:rsid w:val="00C873DC"/>
    <w:rsid w:val="00C876C8"/>
    <w:rsid w:val="00C87934"/>
    <w:rsid w:val="00C8796F"/>
    <w:rsid w:val="00C87991"/>
    <w:rsid w:val="00C8799F"/>
    <w:rsid w:val="00C87A17"/>
    <w:rsid w:val="00C87CB1"/>
    <w:rsid w:val="00C900FF"/>
    <w:rsid w:val="00C902A0"/>
    <w:rsid w:val="00C903C7"/>
    <w:rsid w:val="00C90494"/>
    <w:rsid w:val="00C9061E"/>
    <w:rsid w:val="00C90C0C"/>
    <w:rsid w:val="00C90CC5"/>
    <w:rsid w:val="00C90D93"/>
    <w:rsid w:val="00C90DE9"/>
    <w:rsid w:val="00C90DFC"/>
    <w:rsid w:val="00C90E76"/>
    <w:rsid w:val="00C90EE1"/>
    <w:rsid w:val="00C91050"/>
    <w:rsid w:val="00C913F9"/>
    <w:rsid w:val="00C9158E"/>
    <w:rsid w:val="00C91A22"/>
    <w:rsid w:val="00C91AE3"/>
    <w:rsid w:val="00C91BEC"/>
    <w:rsid w:val="00C91C18"/>
    <w:rsid w:val="00C91EFA"/>
    <w:rsid w:val="00C921F2"/>
    <w:rsid w:val="00C928F0"/>
    <w:rsid w:val="00C9293D"/>
    <w:rsid w:val="00C92C26"/>
    <w:rsid w:val="00C92D26"/>
    <w:rsid w:val="00C930E0"/>
    <w:rsid w:val="00C93125"/>
    <w:rsid w:val="00C9336D"/>
    <w:rsid w:val="00C93498"/>
    <w:rsid w:val="00C93A0C"/>
    <w:rsid w:val="00C93B2F"/>
    <w:rsid w:val="00C93BE5"/>
    <w:rsid w:val="00C9460A"/>
    <w:rsid w:val="00C94955"/>
    <w:rsid w:val="00C94B5F"/>
    <w:rsid w:val="00C94C2A"/>
    <w:rsid w:val="00C94D96"/>
    <w:rsid w:val="00C94E15"/>
    <w:rsid w:val="00C950D3"/>
    <w:rsid w:val="00C950F8"/>
    <w:rsid w:val="00C95109"/>
    <w:rsid w:val="00C95228"/>
    <w:rsid w:val="00C95349"/>
    <w:rsid w:val="00C95596"/>
    <w:rsid w:val="00C957A5"/>
    <w:rsid w:val="00C95A7F"/>
    <w:rsid w:val="00C95C23"/>
    <w:rsid w:val="00C95D4D"/>
    <w:rsid w:val="00C95D5D"/>
    <w:rsid w:val="00C95EE0"/>
    <w:rsid w:val="00C9636C"/>
    <w:rsid w:val="00C96583"/>
    <w:rsid w:val="00C96A2F"/>
    <w:rsid w:val="00C96BA3"/>
    <w:rsid w:val="00C97917"/>
    <w:rsid w:val="00C97C16"/>
    <w:rsid w:val="00CA0140"/>
    <w:rsid w:val="00CA0174"/>
    <w:rsid w:val="00CA02A6"/>
    <w:rsid w:val="00CA0B28"/>
    <w:rsid w:val="00CA0C22"/>
    <w:rsid w:val="00CA0D01"/>
    <w:rsid w:val="00CA10F4"/>
    <w:rsid w:val="00CA1300"/>
    <w:rsid w:val="00CA13AB"/>
    <w:rsid w:val="00CA1D0A"/>
    <w:rsid w:val="00CA2025"/>
    <w:rsid w:val="00CA205D"/>
    <w:rsid w:val="00CA21BA"/>
    <w:rsid w:val="00CA2388"/>
    <w:rsid w:val="00CA27DE"/>
    <w:rsid w:val="00CA2850"/>
    <w:rsid w:val="00CA2E4F"/>
    <w:rsid w:val="00CA332C"/>
    <w:rsid w:val="00CA3354"/>
    <w:rsid w:val="00CA345B"/>
    <w:rsid w:val="00CA35F2"/>
    <w:rsid w:val="00CA3702"/>
    <w:rsid w:val="00CA38A9"/>
    <w:rsid w:val="00CA4456"/>
    <w:rsid w:val="00CA4A4A"/>
    <w:rsid w:val="00CA4D7A"/>
    <w:rsid w:val="00CA50E1"/>
    <w:rsid w:val="00CA521D"/>
    <w:rsid w:val="00CA5257"/>
    <w:rsid w:val="00CA526E"/>
    <w:rsid w:val="00CA5314"/>
    <w:rsid w:val="00CA5353"/>
    <w:rsid w:val="00CA5403"/>
    <w:rsid w:val="00CA55AD"/>
    <w:rsid w:val="00CA56D3"/>
    <w:rsid w:val="00CA58EF"/>
    <w:rsid w:val="00CA5DBC"/>
    <w:rsid w:val="00CA5DFA"/>
    <w:rsid w:val="00CA5E91"/>
    <w:rsid w:val="00CA64DC"/>
    <w:rsid w:val="00CA661F"/>
    <w:rsid w:val="00CA66F3"/>
    <w:rsid w:val="00CA6723"/>
    <w:rsid w:val="00CA6751"/>
    <w:rsid w:val="00CA6882"/>
    <w:rsid w:val="00CA68DF"/>
    <w:rsid w:val="00CA697C"/>
    <w:rsid w:val="00CA6C50"/>
    <w:rsid w:val="00CA7108"/>
    <w:rsid w:val="00CA71D9"/>
    <w:rsid w:val="00CA732C"/>
    <w:rsid w:val="00CA74BC"/>
    <w:rsid w:val="00CA77D0"/>
    <w:rsid w:val="00CA7854"/>
    <w:rsid w:val="00CA7B52"/>
    <w:rsid w:val="00CA7DD0"/>
    <w:rsid w:val="00CA7EAA"/>
    <w:rsid w:val="00CA7FD3"/>
    <w:rsid w:val="00CB0153"/>
    <w:rsid w:val="00CB023B"/>
    <w:rsid w:val="00CB07F8"/>
    <w:rsid w:val="00CB08FB"/>
    <w:rsid w:val="00CB0A96"/>
    <w:rsid w:val="00CB0C97"/>
    <w:rsid w:val="00CB0F12"/>
    <w:rsid w:val="00CB1017"/>
    <w:rsid w:val="00CB1195"/>
    <w:rsid w:val="00CB15C9"/>
    <w:rsid w:val="00CB1745"/>
    <w:rsid w:val="00CB1BF3"/>
    <w:rsid w:val="00CB1D00"/>
    <w:rsid w:val="00CB22CD"/>
    <w:rsid w:val="00CB246B"/>
    <w:rsid w:val="00CB296B"/>
    <w:rsid w:val="00CB2C63"/>
    <w:rsid w:val="00CB2CEF"/>
    <w:rsid w:val="00CB2D28"/>
    <w:rsid w:val="00CB2D33"/>
    <w:rsid w:val="00CB2F7C"/>
    <w:rsid w:val="00CB3FB7"/>
    <w:rsid w:val="00CB44BB"/>
    <w:rsid w:val="00CB4AF4"/>
    <w:rsid w:val="00CB4B7C"/>
    <w:rsid w:val="00CB5B11"/>
    <w:rsid w:val="00CB5BDB"/>
    <w:rsid w:val="00CB5C00"/>
    <w:rsid w:val="00CB5CB5"/>
    <w:rsid w:val="00CB5D44"/>
    <w:rsid w:val="00CB606E"/>
    <w:rsid w:val="00CB6330"/>
    <w:rsid w:val="00CB6362"/>
    <w:rsid w:val="00CB64D0"/>
    <w:rsid w:val="00CB6779"/>
    <w:rsid w:val="00CB6981"/>
    <w:rsid w:val="00CB69AC"/>
    <w:rsid w:val="00CB6AC7"/>
    <w:rsid w:val="00CB6C2A"/>
    <w:rsid w:val="00CB6DA9"/>
    <w:rsid w:val="00CB6F7C"/>
    <w:rsid w:val="00CB6F85"/>
    <w:rsid w:val="00CB77DA"/>
    <w:rsid w:val="00CB78DC"/>
    <w:rsid w:val="00CB79F3"/>
    <w:rsid w:val="00CB7A0D"/>
    <w:rsid w:val="00CB7A5F"/>
    <w:rsid w:val="00CB7C00"/>
    <w:rsid w:val="00CB7D03"/>
    <w:rsid w:val="00CB7F1F"/>
    <w:rsid w:val="00CB7F49"/>
    <w:rsid w:val="00CC007E"/>
    <w:rsid w:val="00CC0184"/>
    <w:rsid w:val="00CC07E9"/>
    <w:rsid w:val="00CC085F"/>
    <w:rsid w:val="00CC0EA5"/>
    <w:rsid w:val="00CC1507"/>
    <w:rsid w:val="00CC1551"/>
    <w:rsid w:val="00CC15B2"/>
    <w:rsid w:val="00CC1709"/>
    <w:rsid w:val="00CC1710"/>
    <w:rsid w:val="00CC1766"/>
    <w:rsid w:val="00CC1981"/>
    <w:rsid w:val="00CC1BDE"/>
    <w:rsid w:val="00CC1DC2"/>
    <w:rsid w:val="00CC2005"/>
    <w:rsid w:val="00CC27F7"/>
    <w:rsid w:val="00CC29D0"/>
    <w:rsid w:val="00CC2FCC"/>
    <w:rsid w:val="00CC33D9"/>
    <w:rsid w:val="00CC3C77"/>
    <w:rsid w:val="00CC40B7"/>
    <w:rsid w:val="00CC4394"/>
    <w:rsid w:val="00CC4F99"/>
    <w:rsid w:val="00CC50D2"/>
    <w:rsid w:val="00CC5136"/>
    <w:rsid w:val="00CC5400"/>
    <w:rsid w:val="00CC56C1"/>
    <w:rsid w:val="00CC591D"/>
    <w:rsid w:val="00CC61C1"/>
    <w:rsid w:val="00CC646C"/>
    <w:rsid w:val="00CC663A"/>
    <w:rsid w:val="00CC683A"/>
    <w:rsid w:val="00CC689E"/>
    <w:rsid w:val="00CC70CE"/>
    <w:rsid w:val="00CC77F2"/>
    <w:rsid w:val="00CC7857"/>
    <w:rsid w:val="00CC7D56"/>
    <w:rsid w:val="00CC7E8F"/>
    <w:rsid w:val="00CC7F00"/>
    <w:rsid w:val="00CD023F"/>
    <w:rsid w:val="00CD02CE"/>
    <w:rsid w:val="00CD0634"/>
    <w:rsid w:val="00CD0813"/>
    <w:rsid w:val="00CD0A75"/>
    <w:rsid w:val="00CD0B30"/>
    <w:rsid w:val="00CD125F"/>
    <w:rsid w:val="00CD1393"/>
    <w:rsid w:val="00CD13C8"/>
    <w:rsid w:val="00CD1F6E"/>
    <w:rsid w:val="00CD1FDD"/>
    <w:rsid w:val="00CD2071"/>
    <w:rsid w:val="00CD2602"/>
    <w:rsid w:val="00CD266D"/>
    <w:rsid w:val="00CD2D9D"/>
    <w:rsid w:val="00CD2E78"/>
    <w:rsid w:val="00CD342A"/>
    <w:rsid w:val="00CD35F9"/>
    <w:rsid w:val="00CD3697"/>
    <w:rsid w:val="00CD3DBC"/>
    <w:rsid w:val="00CD3E9A"/>
    <w:rsid w:val="00CD41CB"/>
    <w:rsid w:val="00CD41DC"/>
    <w:rsid w:val="00CD4333"/>
    <w:rsid w:val="00CD4404"/>
    <w:rsid w:val="00CD4CD4"/>
    <w:rsid w:val="00CD4E16"/>
    <w:rsid w:val="00CD526B"/>
    <w:rsid w:val="00CD56B0"/>
    <w:rsid w:val="00CD56C2"/>
    <w:rsid w:val="00CD57F3"/>
    <w:rsid w:val="00CD5D70"/>
    <w:rsid w:val="00CD5D83"/>
    <w:rsid w:val="00CD5EF2"/>
    <w:rsid w:val="00CD641B"/>
    <w:rsid w:val="00CD65CA"/>
    <w:rsid w:val="00CD6600"/>
    <w:rsid w:val="00CD67CD"/>
    <w:rsid w:val="00CD6BAF"/>
    <w:rsid w:val="00CD6D7C"/>
    <w:rsid w:val="00CD70AA"/>
    <w:rsid w:val="00CD7310"/>
    <w:rsid w:val="00CD78AA"/>
    <w:rsid w:val="00CD7AFB"/>
    <w:rsid w:val="00CD7B5D"/>
    <w:rsid w:val="00CD7C0F"/>
    <w:rsid w:val="00CD7E51"/>
    <w:rsid w:val="00CE00A5"/>
    <w:rsid w:val="00CE00D4"/>
    <w:rsid w:val="00CE02A6"/>
    <w:rsid w:val="00CE04AB"/>
    <w:rsid w:val="00CE04FF"/>
    <w:rsid w:val="00CE074B"/>
    <w:rsid w:val="00CE086E"/>
    <w:rsid w:val="00CE0AF2"/>
    <w:rsid w:val="00CE0B1C"/>
    <w:rsid w:val="00CE0E2A"/>
    <w:rsid w:val="00CE0E46"/>
    <w:rsid w:val="00CE0F82"/>
    <w:rsid w:val="00CE1097"/>
    <w:rsid w:val="00CE12FC"/>
    <w:rsid w:val="00CE1397"/>
    <w:rsid w:val="00CE14FB"/>
    <w:rsid w:val="00CE1651"/>
    <w:rsid w:val="00CE17C0"/>
    <w:rsid w:val="00CE1856"/>
    <w:rsid w:val="00CE1998"/>
    <w:rsid w:val="00CE1C00"/>
    <w:rsid w:val="00CE21B1"/>
    <w:rsid w:val="00CE22CB"/>
    <w:rsid w:val="00CE23D7"/>
    <w:rsid w:val="00CE244C"/>
    <w:rsid w:val="00CE26AA"/>
    <w:rsid w:val="00CE2AE4"/>
    <w:rsid w:val="00CE2B74"/>
    <w:rsid w:val="00CE2D16"/>
    <w:rsid w:val="00CE30EF"/>
    <w:rsid w:val="00CE317B"/>
    <w:rsid w:val="00CE36FF"/>
    <w:rsid w:val="00CE3A32"/>
    <w:rsid w:val="00CE3BC8"/>
    <w:rsid w:val="00CE47BE"/>
    <w:rsid w:val="00CE4911"/>
    <w:rsid w:val="00CE4BEB"/>
    <w:rsid w:val="00CE4CA6"/>
    <w:rsid w:val="00CE4D14"/>
    <w:rsid w:val="00CE4D23"/>
    <w:rsid w:val="00CE4D6D"/>
    <w:rsid w:val="00CE4D77"/>
    <w:rsid w:val="00CE4E3B"/>
    <w:rsid w:val="00CE4ECA"/>
    <w:rsid w:val="00CE52C2"/>
    <w:rsid w:val="00CE58BB"/>
    <w:rsid w:val="00CE5E35"/>
    <w:rsid w:val="00CE6105"/>
    <w:rsid w:val="00CE61F5"/>
    <w:rsid w:val="00CE6364"/>
    <w:rsid w:val="00CE6655"/>
    <w:rsid w:val="00CE66DD"/>
    <w:rsid w:val="00CE6960"/>
    <w:rsid w:val="00CE6B13"/>
    <w:rsid w:val="00CE6B6A"/>
    <w:rsid w:val="00CE6F67"/>
    <w:rsid w:val="00CE713A"/>
    <w:rsid w:val="00CE7518"/>
    <w:rsid w:val="00CE769D"/>
    <w:rsid w:val="00CE7CF1"/>
    <w:rsid w:val="00CE7EEC"/>
    <w:rsid w:val="00CE7F29"/>
    <w:rsid w:val="00CF0219"/>
    <w:rsid w:val="00CF0568"/>
    <w:rsid w:val="00CF05E4"/>
    <w:rsid w:val="00CF09C0"/>
    <w:rsid w:val="00CF0B27"/>
    <w:rsid w:val="00CF0BBA"/>
    <w:rsid w:val="00CF0C1B"/>
    <w:rsid w:val="00CF0C58"/>
    <w:rsid w:val="00CF0DE0"/>
    <w:rsid w:val="00CF0F46"/>
    <w:rsid w:val="00CF1008"/>
    <w:rsid w:val="00CF12B7"/>
    <w:rsid w:val="00CF13FB"/>
    <w:rsid w:val="00CF1761"/>
    <w:rsid w:val="00CF1BFF"/>
    <w:rsid w:val="00CF1E17"/>
    <w:rsid w:val="00CF1EED"/>
    <w:rsid w:val="00CF1F36"/>
    <w:rsid w:val="00CF1F80"/>
    <w:rsid w:val="00CF1FDE"/>
    <w:rsid w:val="00CF23B7"/>
    <w:rsid w:val="00CF26DB"/>
    <w:rsid w:val="00CF280F"/>
    <w:rsid w:val="00CF2815"/>
    <w:rsid w:val="00CF2843"/>
    <w:rsid w:val="00CF2882"/>
    <w:rsid w:val="00CF2C28"/>
    <w:rsid w:val="00CF3314"/>
    <w:rsid w:val="00CF3648"/>
    <w:rsid w:val="00CF38EE"/>
    <w:rsid w:val="00CF392E"/>
    <w:rsid w:val="00CF3B25"/>
    <w:rsid w:val="00CF3BE0"/>
    <w:rsid w:val="00CF3C92"/>
    <w:rsid w:val="00CF3D5A"/>
    <w:rsid w:val="00CF3DBC"/>
    <w:rsid w:val="00CF3FA0"/>
    <w:rsid w:val="00CF43EA"/>
    <w:rsid w:val="00CF4606"/>
    <w:rsid w:val="00CF4721"/>
    <w:rsid w:val="00CF4883"/>
    <w:rsid w:val="00CF4BCB"/>
    <w:rsid w:val="00CF4C20"/>
    <w:rsid w:val="00CF4DCE"/>
    <w:rsid w:val="00CF514E"/>
    <w:rsid w:val="00CF521A"/>
    <w:rsid w:val="00CF53C0"/>
    <w:rsid w:val="00CF5E3A"/>
    <w:rsid w:val="00CF6338"/>
    <w:rsid w:val="00CF6EC0"/>
    <w:rsid w:val="00CF6F87"/>
    <w:rsid w:val="00CF7003"/>
    <w:rsid w:val="00CF743E"/>
    <w:rsid w:val="00CF74FD"/>
    <w:rsid w:val="00CF79DB"/>
    <w:rsid w:val="00CF7AF3"/>
    <w:rsid w:val="00CF7B58"/>
    <w:rsid w:val="00CF7C7C"/>
    <w:rsid w:val="00D0024E"/>
    <w:rsid w:val="00D0063F"/>
    <w:rsid w:val="00D00A52"/>
    <w:rsid w:val="00D00E25"/>
    <w:rsid w:val="00D00FA8"/>
    <w:rsid w:val="00D01317"/>
    <w:rsid w:val="00D0157F"/>
    <w:rsid w:val="00D01758"/>
    <w:rsid w:val="00D01A26"/>
    <w:rsid w:val="00D01B0A"/>
    <w:rsid w:val="00D01B35"/>
    <w:rsid w:val="00D01CEA"/>
    <w:rsid w:val="00D01D31"/>
    <w:rsid w:val="00D0200E"/>
    <w:rsid w:val="00D0216A"/>
    <w:rsid w:val="00D02449"/>
    <w:rsid w:val="00D02501"/>
    <w:rsid w:val="00D025AC"/>
    <w:rsid w:val="00D028B4"/>
    <w:rsid w:val="00D0298A"/>
    <w:rsid w:val="00D0307E"/>
    <w:rsid w:val="00D0308F"/>
    <w:rsid w:val="00D0316D"/>
    <w:rsid w:val="00D031E7"/>
    <w:rsid w:val="00D033AE"/>
    <w:rsid w:val="00D034A6"/>
    <w:rsid w:val="00D034B7"/>
    <w:rsid w:val="00D03A96"/>
    <w:rsid w:val="00D03B65"/>
    <w:rsid w:val="00D03DCE"/>
    <w:rsid w:val="00D03FF8"/>
    <w:rsid w:val="00D0410B"/>
    <w:rsid w:val="00D04717"/>
    <w:rsid w:val="00D048C2"/>
    <w:rsid w:val="00D048C8"/>
    <w:rsid w:val="00D04CC4"/>
    <w:rsid w:val="00D04F06"/>
    <w:rsid w:val="00D0568D"/>
    <w:rsid w:val="00D058D2"/>
    <w:rsid w:val="00D05A1C"/>
    <w:rsid w:val="00D05E94"/>
    <w:rsid w:val="00D05FFF"/>
    <w:rsid w:val="00D0605D"/>
    <w:rsid w:val="00D060B7"/>
    <w:rsid w:val="00D060C3"/>
    <w:rsid w:val="00D060D9"/>
    <w:rsid w:val="00D0619F"/>
    <w:rsid w:val="00D0623C"/>
    <w:rsid w:val="00D062CA"/>
    <w:rsid w:val="00D0654E"/>
    <w:rsid w:val="00D067A4"/>
    <w:rsid w:val="00D06B5A"/>
    <w:rsid w:val="00D06EB7"/>
    <w:rsid w:val="00D07662"/>
    <w:rsid w:val="00D079B9"/>
    <w:rsid w:val="00D07A33"/>
    <w:rsid w:val="00D07B2D"/>
    <w:rsid w:val="00D07B36"/>
    <w:rsid w:val="00D10104"/>
    <w:rsid w:val="00D10328"/>
    <w:rsid w:val="00D105A9"/>
    <w:rsid w:val="00D10B1D"/>
    <w:rsid w:val="00D10B2E"/>
    <w:rsid w:val="00D11059"/>
    <w:rsid w:val="00D1105D"/>
    <w:rsid w:val="00D1146D"/>
    <w:rsid w:val="00D11C00"/>
    <w:rsid w:val="00D11D1F"/>
    <w:rsid w:val="00D11E46"/>
    <w:rsid w:val="00D11F4E"/>
    <w:rsid w:val="00D120E9"/>
    <w:rsid w:val="00D125A4"/>
    <w:rsid w:val="00D125DD"/>
    <w:rsid w:val="00D1260A"/>
    <w:rsid w:val="00D1289E"/>
    <w:rsid w:val="00D128DA"/>
    <w:rsid w:val="00D129D0"/>
    <w:rsid w:val="00D12F39"/>
    <w:rsid w:val="00D13396"/>
    <w:rsid w:val="00D133D9"/>
    <w:rsid w:val="00D133E5"/>
    <w:rsid w:val="00D13459"/>
    <w:rsid w:val="00D13B42"/>
    <w:rsid w:val="00D13B5E"/>
    <w:rsid w:val="00D13CE7"/>
    <w:rsid w:val="00D13E91"/>
    <w:rsid w:val="00D1417C"/>
    <w:rsid w:val="00D141F4"/>
    <w:rsid w:val="00D14247"/>
    <w:rsid w:val="00D14523"/>
    <w:rsid w:val="00D14986"/>
    <w:rsid w:val="00D14CA2"/>
    <w:rsid w:val="00D14EA4"/>
    <w:rsid w:val="00D14F8C"/>
    <w:rsid w:val="00D151F0"/>
    <w:rsid w:val="00D154A5"/>
    <w:rsid w:val="00D155A9"/>
    <w:rsid w:val="00D155DF"/>
    <w:rsid w:val="00D156DD"/>
    <w:rsid w:val="00D158A0"/>
    <w:rsid w:val="00D15B7F"/>
    <w:rsid w:val="00D15EC7"/>
    <w:rsid w:val="00D15F5B"/>
    <w:rsid w:val="00D163C7"/>
    <w:rsid w:val="00D16745"/>
    <w:rsid w:val="00D1674C"/>
    <w:rsid w:val="00D16C6D"/>
    <w:rsid w:val="00D16D58"/>
    <w:rsid w:val="00D16ED1"/>
    <w:rsid w:val="00D170E9"/>
    <w:rsid w:val="00D1769E"/>
    <w:rsid w:val="00D177C5"/>
    <w:rsid w:val="00D1794F"/>
    <w:rsid w:val="00D179A5"/>
    <w:rsid w:val="00D179D4"/>
    <w:rsid w:val="00D17CD7"/>
    <w:rsid w:val="00D17E51"/>
    <w:rsid w:val="00D201F8"/>
    <w:rsid w:val="00D209AD"/>
    <w:rsid w:val="00D20E84"/>
    <w:rsid w:val="00D21336"/>
    <w:rsid w:val="00D2141E"/>
    <w:rsid w:val="00D21539"/>
    <w:rsid w:val="00D215CC"/>
    <w:rsid w:val="00D21676"/>
    <w:rsid w:val="00D218E7"/>
    <w:rsid w:val="00D21B5D"/>
    <w:rsid w:val="00D21E3E"/>
    <w:rsid w:val="00D2238D"/>
    <w:rsid w:val="00D224FD"/>
    <w:rsid w:val="00D22B9D"/>
    <w:rsid w:val="00D22BBA"/>
    <w:rsid w:val="00D22EB2"/>
    <w:rsid w:val="00D22FDD"/>
    <w:rsid w:val="00D23254"/>
    <w:rsid w:val="00D23406"/>
    <w:rsid w:val="00D2384C"/>
    <w:rsid w:val="00D23AFD"/>
    <w:rsid w:val="00D23B65"/>
    <w:rsid w:val="00D23DFC"/>
    <w:rsid w:val="00D23E97"/>
    <w:rsid w:val="00D24028"/>
    <w:rsid w:val="00D242CC"/>
    <w:rsid w:val="00D246AC"/>
    <w:rsid w:val="00D2482E"/>
    <w:rsid w:val="00D24B37"/>
    <w:rsid w:val="00D24CEC"/>
    <w:rsid w:val="00D24EE2"/>
    <w:rsid w:val="00D25174"/>
    <w:rsid w:val="00D2532F"/>
    <w:rsid w:val="00D253FA"/>
    <w:rsid w:val="00D2571F"/>
    <w:rsid w:val="00D258C7"/>
    <w:rsid w:val="00D25991"/>
    <w:rsid w:val="00D25B59"/>
    <w:rsid w:val="00D25DFC"/>
    <w:rsid w:val="00D25F25"/>
    <w:rsid w:val="00D2609B"/>
    <w:rsid w:val="00D266AB"/>
    <w:rsid w:val="00D2680A"/>
    <w:rsid w:val="00D26972"/>
    <w:rsid w:val="00D2697B"/>
    <w:rsid w:val="00D26987"/>
    <w:rsid w:val="00D269C3"/>
    <w:rsid w:val="00D26C13"/>
    <w:rsid w:val="00D26CFE"/>
    <w:rsid w:val="00D272B0"/>
    <w:rsid w:val="00D27306"/>
    <w:rsid w:val="00D273F1"/>
    <w:rsid w:val="00D2772B"/>
    <w:rsid w:val="00D27736"/>
    <w:rsid w:val="00D27A69"/>
    <w:rsid w:val="00D27A78"/>
    <w:rsid w:val="00D27AD9"/>
    <w:rsid w:val="00D27C5D"/>
    <w:rsid w:val="00D27EBC"/>
    <w:rsid w:val="00D300F9"/>
    <w:rsid w:val="00D303F4"/>
    <w:rsid w:val="00D3084C"/>
    <w:rsid w:val="00D309CE"/>
    <w:rsid w:val="00D30C89"/>
    <w:rsid w:val="00D3132A"/>
    <w:rsid w:val="00D31336"/>
    <w:rsid w:val="00D314D7"/>
    <w:rsid w:val="00D317FB"/>
    <w:rsid w:val="00D31F7D"/>
    <w:rsid w:val="00D32202"/>
    <w:rsid w:val="00D32242"/>
    <w:rsid w:val="00D3245F"/>
    <w:rsid w:val="00D32BC1"/>
    <w:rsid w:val="00D330DE"/>
    <w:rsid w:val="00D3351E"/>
    <w:rsid w:val="00D3352F"/>
    <w:rsid w:val="00D33531"/>
    <w:rsid w:val="00D33697"/>
    <w:rsid w:val="00D337F7"/>
    <w:rsid w:val="00D33A2E"/>
    <w:rsid w:val="00D33E23"/>
    <w:rsid w:val="00D33FE3"/>
    <w:rsid w:val="00D341B8"/>
    <w:rsid w:val="00D347E3"/>
    <w:rsid w:val="00D349C0"/>
    <w:rsid w:val="00D34B5E"/>
    <w:rsid w:val="00D34D7E"/>
    <w:rsid w:val="00D34F87"/>
    <w:rsid w:val="00D35057"/>
    <w:rsid w:val="00D35C9D"/>
    <w:rsid w:val="00D35CEE"/>
    <w:rsid w:val="00D362A9"/>
    <w:rsid w:val="00D3656E"/>
    <w:rsid w:val="00D36575"/>
    <w:rsid w:val="00D36653"/>
    <w:rsid w:val="00D366FE"/>
    <w:rsid w:val="00D36834"/>
    <w:rsid w:val="00D3695C"/>
    <w:rsid w:val="00D36D1D"/>
    <w:rsid w:val="00D36D73"/>
    <w:rsid w:val="00D36DDC"/>
    <w:rsid w:val="00D37129"/>
    <w:rsid w:val="00D373F5"/>
    <w:rsid w:val="00D37571"/>
    <w:rsid w:val="00D377E5"/>
    <w:rsid w:val="00D37A3C"/>
    <w:rsid w:val="00D37B9E"/>
    <w:rsid w:val="00D37C5A"/>
    <w:rsid w:val="00D37F21"/>
    <w:rsid w:val="00D40200"/>
    <w:rsid w:val="00D403A7"/>
    <w:rsid w:val="00D4043C"/>
    <w:rsid w:val="00D40D6D"/>
    <w:rsid w:val="00D411F6"/>
    <w:rsid w:val="00D4157F"/>
    <w:rsid w:val="00D41D14"/>
    <w:rsid w:val="00D41D54"/>
    <w:rsid w:val="00D420F6"/>
    <w:rsid w:val="00D42315"/>
    <w:rsid w:val="00D4288F"/>
    <w:rsid w:val="00D42A2E"/>
    <w:rsid w:val="00D42D31"/>
    <w:rsid w:val="00D42D5D"/>
    <w:rsid w:val="00D42D7D"/>
    <w:rsid w:val="00D42F9F"/>
    <w:rsid w:val="00D43169"/>
    <w:rsid w:val="00D431EF"/>
    <w:rsid w:val="00D43362"/>
    <w:rsid w:val="00D43464"/>
    <w:rsid w:val="00D43554"/>
    <w:rsid w:val="00D4359F"/>
    <w:rsid w:val="00D4363B"/>
    <w:rsid w:val="00D43917"/>
    <w:rsid w:val="00D4397E"/>
    <w:rsid w:val="00D441E5"/>
    <w:rsid w:val="00D44208"/>
    <w:rsid w:val="00D4423D"/>
    <w:rsid w:val="00D4433D"/>
    <w:rsid w:val="00D44D75"/>
    <w:rsid w:val="00D44DC6"/>
    <w:rsid w:val="00D44DD5"/>
    <w:rsid w:val="00D44F83"/>
    <w:rsid w:val="00D4506F"/>
    <w:rsid w:val="00D454E8"/>
    <w:rsid w:val="00D45534"/>
    <w:rsid w:val="00D45721"/>
    <w:rsid w:val="00D4572C"/>
    <w:rsid w:val="00D4587F"/>
    <w:rsid w:val="00D459EB"/>
    <w:rsid w:val="00D45A90"/>
    <w:rsid w:val="00D45AE3"/>
    <w:rsid w:val="00D46228"/>
    <w:rsid w:val="00D46531"/>
    <w:rsid w:val="00D46DA2"/>
    <w:rsid w:val="00D46F4A"/>
    <w:rsid w:val="00D471AD"/>
    <w:rsid w:val="00D4727D"/>
    <w:rsid w:val="00D47837"/>
    <w:rsid w:val="00D47941"/>
    <w:rsid w:val="00D4794A"/>
    <w:rsid w:val="00D47ACE"/>
    <w:rsid w:val="00D47D9B"/>
    <w:rsid w:val="00D47DAC"/>
    <w:rsid w:val="00D47FA2"/>
    <w:rsid w:val="00D5012C"/>
    <w:rsid w:val="00D50134"/>
    <w:rsid w:val="00D502AD"/>
    <w:rsid w:val="00D50328"/>
    <w:rsid w:val="00D50838"/>
    <w:rsid w:val="00D50BC8"/>
    <w:rsid w:val="00D50BFD"/>
    <w:rsid w:val="00D50D56"/>
    <w:rsid w:val="00D5198D"/>
    <w:rsid w:val="00D51996"/>
    <w:rsid w:val="00D51A76"/>
    <w:rsid w:val="00D51D94"/>
    <w:rsid w:val="00D51E4A"/>
    <w:rsid w:val="00D52859"/>
    <w:rsid w:val="00D52965"/>
    <w:rsid w:val="00D52A10"/>
    <w:rsid w:val="00D52BA4"/>
    <w:rsid w:val="00D52C38"/>
    <w:rsid w:val="00D52EF9"/>
    <w:rsid w:val="00D5305F"/>
    <w:rsid w:val="00D53357"/>
    <w:rsid w:val="00D534D0"/>
    <w:rsid w:val="00D5384B"/>
    <w:rsid w:val="00D539D2"/>
    <w:rsid w:val="00D53E41"/>
    <w:rsid w:val="00D53F9B"/>
    <w:rsid w:val="00D53FC7"/>
    <w:rsid w:val="00D54054"/>
    <w:rsid w:val="00D542A5"/>
    <w:rsid w:val="00D54396"/>
    <w:rsid w:val="00D548CF"/>
    <w:rsid w:val="00D55181"/>
    <w:rsid w:val="00D55237"/>
    <w:rsid w:val="00D552FA"/>
    <w:rsid w:val="00D5555D"/>
    <w:rsid w:val="00D557CC"/>
    <w:rsid w:val="00D56430"/>
    <w:rsid w:val="00D567E7"/>
    <w:rsid w:val="00D567F6"/>
    <w:rsid w:val="00D56ADF"/>
    <w:rsid w:val="00D56D69"/>
    <w:rsid w:val="00D56E5A"/>
    <w:rsid w:val="00D56FAD"/>
    <w:rsid w:val="00D57135"/>
    <w:rsid w:val="00D57362"/>
    <w:rsid w:val="00D57364"/>
    <w:rsid w:val="00D57699"/>
    <w:rsid w:val="00D576D7"/>
    <w:rsid w:val="00D576F9"/>
    <w:rsid w:val="00D57738"/>
    <w:rsid w:val="00D57751"/>
    <w:rsid w:val="00D5794A"/>
    <w:rsid w:val="00D57986"/>
    <w:rsid w:val="00D6015A"/>
    <w:rsid w:val="00D60933"/>
    <w:rsid w:val="00D60C76"/>
    <w:rsid w:val="00D60C93"/>
    <w:rsid w:val="00D60E6B"/>
    <w:rsid w:val="00D610CA"/>
    <w:rsid w:val="00D611B2"/>
    <w:rsid w:val="00D61376"/>
    <w:rsid w:val="00D6157A"/>
    <w:rsid w:val="00D61B9D"/>
    <w:rsid w:val="00D61F24"/>
    <w:rsid w:val="00D62206"/>
    <w:rsid w:val="00D62461"/>
    <w:rsid w:val="00D6282F"/>
    <w:rsid w:val="00D62AD9"/>
    <w:rsid w:val="00D62C48"/>
    <w:rsid w:val="00D62F06"/>
    <w:rsid w:val="00D62F5C"/>
    <w:rsid w:val="00D630F6"/>
    <w:rsid w:val="00D63305"/>
    <w:rsid w:val="00D6351D"/>
    <w:rsid w:val="00D636EE"/>
    <w:rsid w:val="00D63B41"/>
    <w:rsid w:val="00D63D50"/>
    <w:rsid w:val="00D64290"/>
    <w:rsid w:val="00D644C4"/>
    <w:rsid w:val="00D64594"/>
    <w:rsid w:val="00D645C9"/>
    <w:rsid w:val="00D6460C"/>
    <w:rsid w:val="00D6470D"/>
    <w:rsid w:val="00D6489B"/>
    <w:rsid w:val="00D648E7"/>
    <w:rsid w:val="00D64A09"/>
    <w:rsid w:val="00D64FC9"/>
    <w:rsid w:val="00D65413"/>
    <w:rsid w:val="00D65884"/>
    <w:rsid w:val="00D65A1F"/>
    <w:rsid w:val="00D65D81"/>
    <w:rsid w:val="00D65FF0"/>
    <w:rsid w:val="00D660B3"/>
    <w:rsid w:val="00D6616C"/>
    <w:rsid w:val="00D661EB"/>
    <w:rsid w:val="00D662A9"/>
    <w:rsid w:val="00D6645B"/>
    <w:rsid w:val="00D66514"/>
    <w:rsid w:val="00D66656"/>
    <w:rsid w:val="00D66C8A"/>
    <w:rsid w:val="00D66EF8"/>
    <w:rsid w:val="00D66FC9"/>
    <w:rsid w:val="00D66FD2"/>
    <w:rsid w:val="00D670A2"/>
    <w:rsid w:val="00D67104"/>
    <w:rsid w:val="00D67280"/>
    <w:rsid w:val="00D673B1"/>
    <w:rsid w:val="00D674A4"/>
    <w:rsid w:val="00D678D5"/>
    <w:rsid w:val="00D67A75"/>
    <w:rsid w:val="00D67C5C"/>
    <w:rsid w:val="00D67E95"/>
    <w:rsid w:val="00D67EC3"/>
    <w:rsid w:val="00D67FB9"/>
    <w:rsid w:val="00D7032B"/>
    <w:rsid w:val="00D70698"/>
    <w:rsid w:val="00D706DC"/>
    <w:rsid w:val="00D70EB5"/>
    <w:rsid w:val="00D711DF"/>
    <w:rsid w:val="00D716B6"/>
    <w:rsid w:val="00D71C73"/>
    <w:rsid w:val="00D71CB2"/>
    <w:rsid w:val="00D71EB7"/>
    <w:rsid w:val="00D72484"/>
    <w:rsid w:val="00D7249E"/>
    <w:rsid w:val="00D728FA"/>
    <w:rsid w:val="00D72D40"/>
    <w:rsid w:val="00D732F1"/>
    <w:rsid w:val="00D7349A"/>
    <w:rsid w:val="00D7400C"/>
    <w:rsid w:val="00D740A1"/>
    <w:rsid w:val="00D741CE"/>
    <w:rsid w:val="00D74263"/>
    <w:rsid w:val="00D7435F"/>
    <w:rsid w:val="00D7458D"/>
    <w:rsid w:val="00D745A0"/>
    <w:rsid w:val="00D74678"/>
    <w:rsid w:val="00D7485D"/>
    <w:rsid w:val="00D74A1D"/>
    <w:rsid w:val="00D74A78"/>
    <w:rsid w:val="00D74CC3"/>
    <w:rsid w:val="00D74DC0"/>
    <w:rsid w:val="00D74F64"/>
    <w:rsid w:val="00D75242"/>
    <w:rsid w:val="00D75443"/>
    <w:rsid w:val="00D75C1A"/>
    <w:rsid w:val="00D75DAC"/>
    <w:rsid w:val="00D7621B"/>
    <w:rsid w:val="00D76302"/>
    <w:rsid w:val="00D763E9"/>
    <w:rsid w:val="00D764BC"/>
    <w:rsid w:val="00D76EEB"/>
    <w:rsid w:val="00D76FF9"/>
    <w:rsid w:val="00D77130"/>
    <w:rsid w:val="00D77A43"/>
    <w:rsid w:val="00D77A6A"/>
    <w:rsid w:val="00D77B81"/>
    <w:rsid w:val="00D802AA"/>
    <w:rsid w:val="00D802C2"/>
    <w:rsid w:val="00D804FA"/>
    <w:rsid w:val="00D8066A"/>
    <w:rsid w:val="00D8072C"/>
    <w:rsid w:val="00D80CF5"/>
    <w:rsid w:val="00D80E62"/>
    <w:rsid w:val="00D80EBD"/>
    <w:rsid w:val="00D81880"/>
    <w:rsid w:val="00D81C07"/>
    <w:rsid w:val="00D81D36"/>
    <w:rsid w:val="00D82021"/>
    <w:rsid w:val="00D820E5"/>
    <w:rsid w:val="00D8216B"/>
    <w:rsid w:val="00D82176"/>
    <w:rsid w:val="00D821C8"/>
    <w:rsid w:val="00D82A27"/>
    <w:rsid w:val="00D82BD4"/>
    <w:rsid w:val="00D82F72"/>
    <w:rsid w:val="00D8313E"/>
    <w:rsid w:val="00D83CDB"/>
    <w:rsid w:val="00D83DF0"/>
    <w:rsid w:val="00D83E37"/>
    <w:rsid w:val="00D83EC1"/>
    <w:rsid w:val="00D841C9"/>
    <w:rsid w:val="00D84252"/>
    <w:rsid w:val="00D842EC"/>
    <w:rsid w:val="00D8448D"/>
    <w:rsid w:val="00D847C9"/>
    <w:rsid w:val="00D8483B"/>
    <w:rsid w:val="00D84925"/>
    <w:rsid w:val="00D8505F"/>
    <w:rsid w:val="00D85B19"/>
    <w:rsid w:val="00D85B3D"/>
    <w:rsid w:val="00D85E9E"/>
    <w:rsid w:val="00D8612D"/>
    <w:rsid w:val="00D86345"/>
    <w:rsid w:val="00D863A0"/>
    <w:rsid w:val="00D863F3"/>
    <w:rsid w:val="00D8656B"/>
    <w:rsid w:val="00D8658D"/>
    <w:rsid w:val="00D868FF"/>
    <w:rsid w:val="00D86914"/>
    <w:rsid w:val="00D86BC5"/>
    <w:rsid w:val="00D86C50"/>
    <w:rsid w:val="00D86CE8"/>
    <w:rsid w:val="00D86F94"/>
    <w:rsid w:val="00D86FCB"/>
    <w:rsid w:val="00D86FDC"/>
    <w:rsid w:val="00D87002"/>
    <w:rsid w:val="00D87091"/>
    <w:rsid w:val="00D87279"/>
    <w:rsid w:val="00D87283"/>
    <w:rsid w:val="00D87422"/>
    <w:rsid w:val="00D875E8"/>
    <w:rsid w:val="00D87817"/>
    <w:rsid w:val="00D87ABC"/>
    <w:rsid w:val="00D87B5F"/>
    <w:rsid w:val="00D87DC0"/>
    <w:rsid w:val="00D87EA4"/>
    <w:rsid w:val="00D90020"/>
    <w:rsid w:val="00D901AA"/>
    <w:rsid w:val="00D903A0"/>
    <w:rsid w:val="00D90695"/>
    <w:rsid w:val="00D90CE0"/>
    <w:rsid w:val="00D9116C"/>
    <w:rsid w:val="00D91313"/>
    <w:rsid w:val="00D91622"/>
    <w:rsid w:val="00D91A71"/>
    <w:rsid w:val="00D91AEB"/>
    <w:rsid w:val="00D91B5B"/>
    <w:rsid w:val="00D91BEE"/>
    <w:rsid w:val="00D91D8D"/>
    <w:rsid w:val="00D91E8F"/>
    <w:rsid w:val="00D91F55"/>
    <w:rsid w:val="00D922B9"/>
    <w:rsid w:val="00D922BD"/>
    <w:rsid w:val="00D923C7"/>
    <w:rsid w:val="00D92809"/>
    <w:rsid w:val="00D9286B"/>
    <w:rsid w:val="00D92A4D"/>
    <w:rsid w:val="00D92BF0"/>
    <w:rsid w:val="00D92CF5"/>
    <w:rsid w:val="00D92F32"/>
    <w:rsid w:val="00D92F5B"/>
    <w:rsid w:val="00D9317D"/>
    <w:rsid w:val="00D935A9"/>
    <w:rsid w:val="00D935CC"/>
    <w:rsid w:val="00D937F2"/>
    <w:rsid w:val="00D93B36"/>
    <w:rsid w:val="00D93BA6"/>
    <w:rsid w:val="00D93BBD"/>
    <w:rsid w:val="00D93CFF"/>
    <w:rsid w:val="00D9408C"/>
    <w:rsid w:val="00D9418E"/>
    <w:rsid w:val="00D943BD"/>
    <w:rsid w:val="00D9486E"/>
    <w:rsid w:val="00D948BA"/>
    <w:rsid w:val="00D94941"/>
    <w:rsid w:val="00D949A9"/>
    <w:rsid w:val="00D94AF7"/>
    <w:rsid w:val="00D94D3B"/>
    <w:rsid w:val="00D94E5E"/>
    <w:rsid w:val="00D94EC8"/>
    <w:rsid w:val="00D955B1"/>
    <w:rsid w:val="00D955FE"/>
    <w:rsid w:val="00D95834"/>
    <w:rsid w:val="00D9587A"/>
    <w:rsid w:val="00D95A19"/>
    <w:rsid w:val="00D95B62"/>
    <w:rsid w:val="00D95DD4"/>
    <w:rsid w:val="00D95F5F"/>
    <w:rsid w:val="00D96128"/>
    <w:rsid w:val="00D9612B"/>
    <w:rsid w:val="00D961BD"/>
    <w:rsid w:val="00D96331"/>
    <w:rsid w:val="00D96550"/>
    <w:rsid w:val="00D965EC"/>
    <w:rsid w:val="00D966EB"/>
    <w:rsid w:val="00D9681A"/>
    <w:rsid w:val="00D968F4"/>
    <w:rsid w:val="00D96EE2"/>
    <w:rsid w:val="00D97058"/>
    <w:rsid w:val="00D97088"/>
    <w:rsid w:val="00D97520"/>
    <w:rsid w:val="00D97574"/>
    <w:rsid w:val="00D976BF"/>
    <w:rsid w:val="00D979D1"/>
    <w:rsid w:val="00D97D10"/>
    <w:rsid w:val="00D97F23"/>
    <w:rsid w:val="00DA0108"/>
    <w:rsid w:val="00DA0364"/>
    <w:rsid w:val="00DA072A"/>
    <w:rsid w:val="00DA0AC1"/>
    <w:rsid w:val="00DA0F7B"/>
    <w:rsid w:val="00DA0FB2"/>
    <w:rsid w:val="00DA118D"/>
    <w:rsid w:val="00DA11FF"/>
    <w:rsid w:val="00DA137B"/>
    <w:rsid w:val="00DA1420"/>
    <w:rsid w:val="00DA1427"/>
    <w:rsid w:val="00DA1621"/>
    <w:rsid w:val="00DA18F6"/>
    <w:rsid w:val="00DA19CB"/>
    <w:rsid w:val="00DA1A6E"/>
    <w:rsid w:val="00DA1A9D"/>
    <w:rsid w:val="00DA2262"/>
    <w:rsid w:val="00DA22AE"/>
    <w:rsid w:val="00DA2613"/>
    <w:rsid w:val="00DA276E"/>
    <w:rsid w:val="00DA27D5"/>
    <w:rsid w:val="00DA2BBF"/>
    <w:rsid w:val="00DA2F33"/>
    <w:rsid w:val="00DA2FE9"/>
    <w:rsid w:val="00DA3105"/>
    <w:rsid w:val="00DA32D2"/>
    <w:rsid w:val="00DA32E5"/>
    <w:rsid w:val="00DA3395"/>
    <w:rsid w:val="00DA3517"/>
    <w:rsid w:val="00DA3AB0"/>
    <w:rsid w:val="00DA3AF2"/>
    <w:rsid w:val="00DA3D83"/>
    <w:rsid w:val="00DA3F89"/>
    <w:rsid w:val="00DA40DC"/>
    <w:rsid w:val="00DA4225"/>
    <w:rsid w:val="00DA4393"/>
    <w:rsid w:val="00DA43F2"/>
    <w:rsid w:val="00DA44AC"/>
    <w:rsid w:val="00DA44DA"/>
    <w:rsid w:val="00DA450D"/>
    <w:rsid w:val="00DA45B0"/>
    <w:rsid w:val="00DA499B"/>
    <w:rsid w:val="00DA4BD6"/>
    <w:rsid w:val="00DA4E1C"/>
    <w:rsid w:val="00DA4F97"/>
    <w:rsid w:val="00DA5149"/>
    <w:rsid w:val="00DA51EB"/>
    <w:rsid w:val="00DA52EA"/>
    <w:rsid w:val="00DA5612"/>
    <w:rsid w:val="00DA56B1"/>
    <w:rsid w:val="00DA5702"/>
    <w:rsid w:val="00DA5CB1"/>
    <w:rsid w:val="00DA5F17"/>
    <w:rsid w:val="00DA5FFC"/>
    <w:rsid w:val="00DA602E"/>
    <w:rsid w:val="00DA646C"/>
    <w:rsid w:val="00DA6746"/>
    <w:rsid w:val="00DA689A"/>
    <w:rsid w:val="00DA7143"/>
    <w:rsid w:val="00DA75E5"/>
    <w:rsid w:val="00DA75EE"/>
    <w:rsid w:val="00DA782A"/>
    <w:rsid w:val="00DA7B39"/>
    <w:rsid w:val="00DA7CF2"/>
    <w:rsid w:val="00DA7F2A"/>
    <w:rsid w:val="00DA7F80"/>
    <w:rsid w:val="00DA7F88"/>
    <w:rsid w:val="00DB000B"/>
    <w:rsid w:val="00DB01B8"/>
    <w:rsid w:val="00DB01B9"/>
    <w:rsid w:val="00DB022C"/>
    <w:rsid w:val="00DB0670"/>
    <w:rsid w:val="00DB07B8"/>
    <w:rsid w:val="00DB0ABE"/>
    <w:rsid w:val="00DB0CE8"/>
    <w:rsid w:val="00DB0F7A"/>
    <w:rsid w:val="00DB1385"/>
    <w:rsid w:val="00DB13CC"/>
    <w:rsid w:val="00DB16D1"/>
    <w:rsid w:val="00DB1749"/>
    <w:rsid w:val="00DB177E"/>
    <w:rsid w:val="00DB17B3"/>
    <w:rsid w:val="00DB1A8E"/>
    <w:rsid w:val="00DB1D49"/>
    <w:rsid w:val="00DB23F4"/>
    <w:rsid w:val="00DB2C45"/>
    <w:rsid w:val="00DB2EC3"/>
    <w:rsid w:val="00DB32EE"/>
    <w:rsid w:val="00DB34B2"/>
    <w:rsid w:val="00DB3607"/>
    <w:rsid w:val="00DB3BBC"/>
    <w:rsid w:val="00DB3BEC"/>
    <w:rsid w:val="00DB3E2E"/>
    <w:rsid w:val="00DB3FE6"/>
    <w:rsid w:val="00DB40A0"/>
    <w:rsid w:val="00DB42F1"/>
    <w:rsid w:val="00DB4475"/>
    <w:rsid w:val="00DB45EF"/>
    <w:rsid w:val="00DB472E"/>
    <w:rsid w:val="00DB485D"/>
    <w:rsid w:val="00DB4866"/>
    <w:rsid w:val="00DB48E0"/>
    <w:rsid w:val="00DB4A89"/>
    <w:rsid w:val="00DB4C27"/>
    <w:rsid w:val="00DB4DDA"/>
    <w:rsid w:val="00DB4FD1"/>
    <w:rsid w:val="00DB51B5"/>
    <w:rsid w:val="00DB577B"/>
    <w:rsid w:val="00DB57E4"/>
    <w:rsid w:val="00DB5A67"/>
    <w:rsid w:val="00DB5A76"/>
    <w:rsid w:val="00DB6675"/>
    <w:rsid w:val="00DB677F"/>
    <w:rsid w:val="00DB67AE"/>
    <w:rsid w:val="00DB6AB2"/>
    <w:rsid w:val="00DB6D82"/>
    <w:rsid w:val="00DB6FBB"/>
    <w:rsid w:val="00DB74E7"/>
    <w:rsid w:val="00DB7655"/>
    <w:rsid w:val="00DB7C89"/>
    <w:rsid w:val="00DB7C9D"/>
    <w:rsid w:val="00DB7CD8"/>
    <w:rsid w:val="00DC0065"/>
    <w:rsid w:val="00DC0306"/>
    <w:rsid w:val="00DC03C2"/>
    <w:rsid w:val="00DC0632"/>
    <w:rsid w:val="00DC06B2"/>
    <w:rsid w:val="00DC0881"/>
    <w:rsid w:val="00DC09BA"/>
    <w:rsid w:val="00DC0A25"/>
    <w:rsid w:val="00DC0C26"/>
    <w:rsid w:val="00DC0E96"/>
    <w:rsid w:val="00DC1391"/>
    <w:rsid w:val="00DC1CCB"/>
    <w:rsid w:val="00DC1CE0"/>
    <w:rsid w:val="00DC1D8A"/>
    <w:rsid w:val="00DC2031"/>
    <w:rsid w:val="00DC21E3"/>
    <w:rsid w:val="00DC261B"/>
    <w:rsid w:val="00DC27A0"/>
    <w:rsid w:val="00DC29D0"/>
    <w:rsid w:val="00DC2CE6"/>
    <w:rsid w:val="00DC37C7"/>
    <w:rsid w:val="00DC39FD"/>
    <w:rsid w:val="00DC3EC9"/>
    <w:rsid w:val="00DC3F33"/>
    <w:rsid w:val="00DC41C8"/>
    <w:rsid w:val="00DC498F"/>
    <w:rsid w:val="00DC4C05"/>
    <w:rsid w:val="00DC4EC9"/>
    <w:rsid w:val="00DC514E"/>
    <w:rsid w:val="00DC53A2"/>
    <w:rsid w:val="00DC544D"/>
    <w:rsid w:val="00DC551E"/>
    <w:rsid w:val="00DC5687"/>
    <w:rsid w:val="00DC583A"/>
    <w:rsid w:val="00DC5898"/>
    <w:rsid w:val="00DC5A02"/>
    <w:rsid w:val="00DC5D80"/>
    <w:rsid w:val="00DC5DB9"/>
    <w:rsid w:val="00DC5ECB"/>
    <w:rsid w:val="00DC6013"/>
    <w:rsid w:val="00DC676D"/>
    <w:rsid w:val="00DC6772"/>
    <w:rsid w:val="00DC67F5"/>
    <w:rsid w:val="00DC681B"/>
    <w:rsid w:val="00DC682F"/>
    <w:rsid w:val="00DC6BBE"/>
    <w:rsid w:val="00DC724D"/>
    <w:rsid w:val="00DC75A2"/>
    <w:rsid w:val="00DC7980"/>
    <w:rsid w:val="00DC7BA8"/>
    <w:rsid w:val="00DC7C7D"/>
    <w:rsid w:val="00DD03F6"/>
    <w:rsid w:val="00DD0650"/>
    <w:rsid w:val="00DD0A9B"/>
    <w:rsid w:val="00DD0C5F"/>
    <w:rsid w:val="00DD0DE0"/>
    <w:rsid w:val="00DD1399"/>
    <w:rsid w:val="00DD17C9"/>
    <w:rsid w:val="00DD19FD"/>
    <w:rsid w:val="00DD1CC4"/>
    <w:rsid w:val="00DD1DBC"/>
    <w:rsid w:val="00DD1DF4"/>
    <w:rsid w:val="00DD1F95"/>
    <w:rsid w:val="00DD246C"/>
    <w:rsid w:val="00DD267B"/>
    <w:rsid w:val="00DD2977"/>
    <w:rsid w:val="00DD2A0B"/>
    <w:rsid w:val="00DD2A77"/>
    <w:rsid w:val="00DD2B9A"/>
    <w:rsid w:val="00DD2C50"/>
    <w:rsid w:val="00DD3659"/>
    <w:rsid w:val="00DD37E3"/>
    <w:rsid w:val="00DD3B3A"/>
    <w:rsid w:val="00DD3F15"/>
    <w:rsid w:val="00DD404B"/>
    <w:rsid w:val="00DD417B"/>
    <w:rsid w:val="00DD4304"/>
    <w:rsid w:val="00DD433B"/>
    <w:rsid w:val="00DD43F4"/>
    <w:rsid w:val="00DD4510"/>
    <w:rsid w:val="00DD49EB"/>
    <w:rsid w:val="00DD4DB5"/>
    <w:rsid w:val="00DD4FBA"/>
    <w:rsid w:val="00DD51E2"/>
    <w:rsid w:val="00DD55D4"/>
    <w:rsid w:val="00DD566B"/>
    <w:rsid w:val="00DD631B"/>
    <w:rsid w:val="00DD64D4"/>
    <w:rsid w:val="00DD66B3"/>
    <w:rsid w:val="00DD6AB9"/>
    <w:rsid w:val="00DD6B15"/>
    <w:rsid w:val="00DD6B76"/>
    <w:rsid w:val="00DD6BE4"/>
    <w:rsid w:val="00DD6FA0"/>
    <w:rsid w:val="00DD7155"/>
    <w:rsid w:val="00DD7271"/>
    <w:rsid w:val="00DD7448"/>
    <w:rsid w:val="00DD7456"/>
    <w:rsid w:val="00DD776D"/>
    <w:rsid w:val="00DD778A"/>
    <w:rsid w:val="00DD786E"/>
    <w:rsid w:val="00DD79DE"/>
    <w:rsid w:val="00DD79EE"/>
    <w:rsid w:val="00DD7A7D"/>
    <w:rsid w:val="00DD7ADA"/>
    <w:rsid w:val="00DD7C9F"/>
    <w:rsid w:val="00DE0080"/>
    <w:rsid w:val="00DE00EF"/>
    <w:rsid w:val="00DE0323"/>
    <w:rsid w:val="00DE08A1"/>
    <w:rsid w:val="00DE0CDB"/>
    <w:rsid w:val="00DE0F4E"/>
    <w:rsid w:val="00DE0FA8"/>
    <w:rsid w:val="00DE1208"/>
    <w:rsid w:val="00DE1244"/>
    <w:rsid w:val="00DE147B"/>
    <w:rsid w:val="00DE16CA"/>
    <w:rsid w:val="00DE182B"/>
    <w:rsid w:val="00DE1AE7"/>
    <w:rsid w:val="00DE1C0A"/>
    <w:rsid w:val="00DE1DF7"/>
    <w:rsid w:val="00DE1F4A"/>
    <w:rsid w:val="00DE219A"/>
    <w:rsid w:val="00DE2C04"/>
    <w:rsid w:val="00DE2C92"/>
    <w:rsid w:val="00DE2F2D"/>
    <w:rsid w:val="00DE3326"/>
    <w:rsid w:val="00DE371A"/>
    <w:rsid w:val="00DE3966"/>
    <w:rsid w:val="00DE3CC6"/>
    <w:rsid w:val="00DE41D4"/>
    <w:rsid w:val="00DE43CE"/>
    <w:rsid w:val="00DE481F"/>
    <w:rsid w:val="00DE4BF0"/>
    <w:rsid w:val="00DE4E55"/>
    <w:rsid w:val="00DE4F86"/>
    <w:rsid w:val="00DE5252"/>
    <w:rsid w:val="00DE557C"/>
    <w:rsid w:val="00DE5650"/>
    <w:rsid w:val="00DE5872"/>
    <w:rsid w:val="00DE5957"/>
    <w:rsid w:val="00DE5A79"/>
    <w:rsid w:val="00DE5AE3"/>
    <w:rsid w:val="00DE5B73"/>
    <w:rsid w:val="00DE5DE6"/>
    <w:rsid w:val="00DE5FF3"/>
    <w:rsid w:val="00DE60A7"/>
    <w:rsid w:val="00DE61D0"/>
    <w:rsid w:val="00DE6355"/>
    <w:rsid w:val="00DE6737"/>
    <w:rsid w:val="00DE6A27"/>
    <w:rsid w:val="00DE6C08"/>
    <w:rsid w:val="00DE6E63"/>
    <w:rsid w:val="00DE6E86"/>
    <w:rsid w:val="00DE7148"/>
    <w:rsid w:val="00DE76D9"/>
    <w:rsid w:val="00DE7BCE"/>
    <w:rsid w:val="00DE7C24"/>
    <w:rsid w:val="00DE7F37"/>
    <w:rsid w:val="00DF0138"/>
    <w:rsid w:val="00DF02DD"/>
    <w:rsid w:val="00DF06DB"/>
    <w:rsid w:val="00DF0799"/>
    <w:rsid w:val="00DF0DA8"/>
    <w:rsid w:val="00DF0E22"/>
    <w:rsid w:val="00DF1118"/>
    <w:rsid w:val="00DF11D3"/>
    <w:rsid w:val="00DF1363"/>
    <w:rsid w:val="00DF13F2"/>
    <w:rsid w:val="00DF15DB"/>
    <w:rsid w:val="00DF16F7"/>
    <w:rsid w:val="00DF1776"/>
    <w:rsid w:val="00DF180A"/>
    <w:rsid w:val="00DF18BF"/>
    <w:rsid w:val="00DF18EC"/>
    <w:rsid w:val="00DF1A63"/>
    <w:rsid w:val="00DF1C0D"/>
    <w:rsid w:val="00DF1F25"/>
    <w:rsid w:val="00DF22B9"/>
    <w:rsid w:val="00DF23A2"/>
    <w:rsid w:val="00DF289B"/>
    <w:rsid w:val="00DF2935"/>
    <w:rsid w:val="00DF2C28"/>
    <w:rsid w:val="00DF2D48"/>
    <w:rsid w:val="00DF32ED"/>
    <w:rsid w:val="00DF387C"/>
    <w:rsid w:val="00DF3E15"/>
    <w:rsid w:val="00DF40BC"/>
    <w:rsid w:val="00DF42A2"/>
    <w:rsid w:val="00DF442F"/>
    <w:rsid w:val="00DF49C8"/>
    <w:rsid w:val="00DF4B28"/>
    <w:rsid w:val="00DF4B72"/>
    <w:rsid w:val="00DF4C02"/>
    <w:rsid w:val="00DF4ED9"/>
    <w:rsid w:val="00DF5225"/>
    <w:rsid w:val="00DF5430"/>
    <w:rsid w:val="00DF55BD"/>
    <w:rsid w:val="00DF56A9"/>
    <w:rsid w:val="00DF58DD"/>
    <w:rsid w:val="00DF5940"/>
    <w:rsid w:val="00DF5EA1"/>
    <w:rsid w:val="00DF5EDB"/>
    <w:rsid w:val="00DF60BE"/>
    <w:rsid w:val="00DF60C9"/>
    <w:rsid w:val="00DF62A9"/>
    <w:rsid w:val="00DF6370"/>
    <w:rsid w:val="00DF6390"/>
    <w:rsid w:val="00DF65D3"/>
    <w:rsid w:val="00DF6603"/>
    <w:rsid w:val="00DF6632"/>
    <w:rsid w:val="00DF67FA"/>
    <w:rsid w:val="00DF6860"/>
    <w:rsid w:val="00DF6E1C"/>
    <w:rsid w:val="00DF6ECF"/>
    <w:rsid w:val="00DF6F1A"/>
    <w:rsid w:val="00DF7235"/>
    <w:rsid w:val="00DF7381"/>
    <w:rsid w:val="00DF756C"/>
    <w:rsid w:val="00DF762B"/>
    <w:rsid w:val="00DF7747"/>
    <w:rsid w:val="00DF7A2D"/>
    <w:rsid w:val="00DF7B06"/>
    <w:rsid w:val="00DF7B69"/>
    <w:rsid w:val="00DF7C39"/>
    <w:rsid w:val="00DF7CFE"/>
    <w:rsid w:val="00DF7F9E"/>
    <w:rsid w:val="00E00069"/>
    <w:rsid w:val="00E00181"/>
    <w:rsid w:val="00E002FF"/>
    <w:rsid w:val="00E00498"/>
    <w:rsid w:val="00E0073E"/>
    <w:rsid w:val="00E007F8"/>
    <w:rsid w:val="00E00A30"/>
    <w:rsid w:val="00E00C0C"/>
    <w:rsid w:val="00E00C3D"/>
    <w:rsid w:val="00E00C59"/>
    <w:rsid w:val="00E00EAB"/>
    <w:rsid w:val="00E00EFC"/>
    <w:rsid w:val="00E010B1"/>
    <w:rsid w:val="00E01320"/>
    <w:rsid w:val="00E01743"/>
    <w:rsid w:val="00E018F0"/>
    <w:rsid w:val="00E01A6A"/>
    <w:rsid w:val="00E01FC0"/>
    <w:rsid w:val="00E0203F"/>
    <w:rsid w:val="00E022E0"/>
    <w:rsid w:val="00E02309"/>
    <w:rsid w:val="00E023CE"/>
    <w:rsid w:val="00E02A13"/>
    <w:rsid w:val="00E02A1B"/>
    <w:rsid w:val="00E02A20"/>
    <w:rsid w:val="00E02F82"/>
    <w:rsid w:val="00E02FA3"/>
    <w:rsid w:val="00E032FF"/>
    <w:rsid w:val="00E03343"/>
    <w:rsid w:val="00E033AD"/>
    <w:rsid w:val="00E03655"/>
    <w:rsid w:val="00E036D6"/>
    <w:rsid w:val="00E03763"/>
    <w:rsid w:val="00E03841"/>
    <w:rsid w:val="00E038B0"/>
    <w:rsid w:val="00E03D30"/>
    <w:rsid w:val="00E03F25"/>
    <w:rsid w:val="00E03F99"/>
    <w:rsid w:val="00E04020"/>
    <w:rsid w:val="00E04348"/>
    <w:rsid w:val="00E046BA"/>
    <w:rsid w:val="00E04805"/>
    <w:rsid w:val="00E049FC"/>
    <w:rsid w:val="00E04D51"/>
    <w:rsid w:val="00E04E21"/>
    <w:rsid w:val="00E05160"/>
    <w:rsid w:val="00E05175"/>
    <w:rsid w:val="00E051E6"/>
    <w:rsid w:val="00E0539C"/>
    <w:rsid w:val="00E05532"/>
    <w:rsid w:val="00E058D1"/>
    <w:rsid w:val="00E058F8"/>
    <w:rsid w:val="00E05AC0"/>
    <w:rsid w:val="00E05ADB"/>
    <w:rsid w:val="00E05BE9"/>
    <w:rsid w:val="00E05DD0"/>
    <w:rsid w:val="00E05EB9"/>
    <w:rsid w:val="00E05F12"/>
    <w:rsid w:val="00E05F54"/>
    <w:rsid w:val="00E060DF"/>
    <w:rsid w:val="00E063AB"/>
    <w:rsid w:val="00E06963"/>
    <w:rsid w:val="00E06F86"/>
    <w:rsid w:val="00E0708E"/>
    <w:rsid w:val="00E07137"/>
    <w:rsid w:val="00E07307"/>
    <w:rsid w:val="00E0759E"/>
    <w:rsid w:val="00E0775C"/>
    <w:rsid w:val="00E101E7"/>
    <w:rsid w:val="00E105A8"/>
    <w:rsid w:val="00E10762"/>
    <w:rsid w:val="00E10F21"/>
    <w:rsid w:val="00E113E2"/>
    <w:rsid w:val="00E11476"/>
    <w:rsid w:val="00E115F3"/>
    <w:rsid w:val="00E11749"/>
    <w:rsid w:val="00E1186B"/>
    <w:rsid w:val="00E11F85"/>
    <w:rsid w:val="00E123A3"/>
    <w:rsid w:val="00E129F2"/>
    <w:rsid w:val="00E12E21"/>
    <w:rsid w:val="00E12ECA"/>
    <w:rsid w:val="00E130F0"/>
    <w:rsid w:val="00E135D7"/>
    <w:rsid w:val="00E13724"/>
    <w:rsid w:val="00E1384E"/>
    <w:rsid w:val="00E13A1C"/>
    <w:rsid w:val="00E13A4D"/>
    <w:rsid w:val="00E13B8D"/>
    <w:rsid w:val="00E13C72"/>
    <w:rsid w:val="00E13F80"/>
    <w:rsid w:val="00E142B3"/>
    <w:rsid w:val="00E14656"/>
    <w:rsid w:val="00E146A8"/>
    <w:rsid w:val="00E14775"/>
    <w:rsid w:val="00E149D2"/>
    <w:rsid w:val="00E14EFC"/>
    <w:rsid w:val="00E15055"/>
    <w:rsid w:val="00E15143"/>
    <w:rsid w:val="00E15190"/>
    <w:rsid w:val="00E152B3"/>
    <w:rsid w:val="00E15621"/>
    <w:rsid w:val="00E15983"/>
    <w:rsid w:val="00E15EB6"/>
    <w:rsid w:val="00E1632D"/>
    <w:rsid w:val="00E163F6"/>
    <w:rsid w:val="00E165E4"/>
    <w:rsid w:val="00E166BC"/>
    <w:rsid w:val="00E166F7"/>
    <w:rsid w:val="00E16A40"/>
    <w:rsid w:val="00E16F44"/>
    <w:rsid w:val="00E17543"/>
    <w:rsid w:val="00E175A6"/>
    <w:rsid w:val="00E176E1"/>
    <w:rsid w:val="00E1770D"/>
    <w:rsid w:val="00E17752"/>
    <w:rsid w:val="00E17AF9"/>
    <w:rsid w:val="00E17DE1"/>
    <w:rsid w:val="00E17EE0"/>
    <w:rsid w:val="00E17F93"/>
    <w:rsid w:val="00E17F9E"/>
    <w:rsid w:val="00E17FE2"/>
    <w:rsid w:val="00E20103"/>
    <w:rsid w:val="00E20751"/>
    <w:rsid w:val="00E20771"/>
    <w:rsid w:val="00E2099D"/>
    <w:rsid w:val="00E20B1B"/>
    <w:rsid w:val="00E20C9B"/>
    <w:rsid w:val="00E210FC"/>
    <w:rsid w:val="00E2113D"/>
    <w:rsid w:val="00E2129A"/>
    <w:rsid w:val="00E212EA"/>
    <w:rsid w:val="00E214EA"/>
    <w:rsid w:val="00E217EE"/>
    <w:rsid w:val="00E21E36"/>
    <w:rsid w:val="00E22160"/>
    <w:rsid w:val="00E2220C"/>
    <w:rsid w:val="00E2221E"/>
    <w:rsid w:val="00E223B7"/>
    <w:rsid w:val="00E22579"/>
    <w:rsid w:val="00E2290E"/>
    <w:rsid w:val="00E22AE9"/>
    <w:rsid w:val="00E22F2E"/>
    <w:rsid w:val="00E23161"/>
    <w:rsid w:val="00E232AA"/>
    <w:rsid w:val="00E233EB"/>
    <w:rsid w:val="00E23469"/>
    <w:rsid w:val="00E23553"/>
    <w:rsid w:val="00E238B8"/>
    <w:rsid w:val="00E23D54"/>
    <w:rsid w:val="00E23DF6"/>
    <w:rsid w:val="00E23E5D"/>
    <w:rsid w:val="00E24597"/>
    <w:rsid w:val="00E24644"/>
    <w:rsid w:val="00E24879"/>
    <w:rsid w:val="00E24932"/>
    <w:rsid w:val="00E249A6"/>
    <w:rsid w:val="00E24D19"/>
    <w:rsid w:val="00E2520F"/>
    <w:rsid w:val="00E2537D"/>
    <w:rsid w:val="00E25776"/>
    <w:rsid w:val="00E25ABC"/>
    <w:rsid w:val="00E25CF9"/>
    <w:rsid w:val="00E25DCE"/>
    <w:rsid w:val="00E26068"/>
    <w:rsid w:val="00E260D4"/>
    <w:rsid w:val="00E2616E"/>
    <w:rsid w:val="00E26187"/>
    <w:rsid w:val="00E2635E"/>
    <w:rsid w:val="00E26437"/>
    <w:rsid w:val="00E2661D"/>
    <w:rsid w:val="00E27725"/>
    <w:rsid w:val="00E277F2"/>
    <w:rsid w:val="00E278CB"/>
    <w:rsid w:val="00E27913"/>
    <w:rsid w:val="00E27A0D"/>
    <w:rsid w:val="00E27A0E"/>
    <w:rsid w:val="00E27A25"/>
    <w:rsid w:val="00E27A66"/>
    <w:rsid w:val="00E27A7B"/>
    <w:rsid w:val="00E27B8A"/>
    <w:rsid w:val="00E27D4D"/>
    <w:rsid w:val="00E27F77"/>
    <w:rsid w:val="00E30108"/>
    <w:rsid w:val="00E30161"/>
    <w:rsid w:val="00E301D2"/>
    <w:rsid w:val="00E30B5D"/>
    <w:rsid w:val="00E30EB5"/>
    <w:rsid w:val="00E3134D"/>
    <w:rsid w:val="00E313B4"/>
    <w:rsid w:val="00E31D0C"/>
    <w:rsid w:val="00E31E0B"/>
    <w:rsid w:val="00E320AC"/>
    <w:rsid w:val="00E3210F"/>
    <w:rsid w:val="00E32640"/>
    <w:rsid w:val="00E32C6B"/>
    <w:rsid w:val="00E32F18"/>
    <w:rsid w:val="00E33080"/>
    <w:rsid w:val="00E3319A"/>
    <w:rsid w:val="00E333F9"/>
    <w:rsid w:val="00E3399C"/>
    <w:rsid w:val="00E33BCB"/>
    <w:rsid w:val="00E33C04"/>
    <w:rsid w:val="00E33C17"/>
    <w:rsid w:val="00E33D2F"/>
    <w:rsid w:val="00E33D82"/>
    <w:rsid w:val="00E33F19"/>
    <w:rsid w:val="00E34089"/>
    <w:rsid w:val="00E341F1"/>
    <w:rsid w:val="00E342A3"/>
    <w:rsid w:val="00E34300"/>
    <w:rsid w:val="00E34338"/>
    <w:rsid w:val="00E3437F"/>
    <w:rsid w:val="00E3443D"/>
    <w:rsid w:val="00E34528"/>
    <w:rsid w:val="00E346DE"/>
    <w:rsid w:val="00E3484F"/>
    <w:rsid w:val="00E34917"/>
    <w:rsid w:val="00E34C8F"/>
    <w:rsid w:val="00E34EA1"/>
    <w:rsid w:val="00E3504F"/>
    <w:rsid w:val="00E35B84"/>
    <w:rsid w:val="00E35CAE"/>
    <w:rsid w:val="00E35E97"/>
    <w:rsid w:val="00E3623C"/>
    <w:rsid w:val="00E36448"/>
    <w:rsid w:val="00E3699A"/>
    <w:rsid w:val="00E36A72"/>
    <w:rsid w:val="00E374A9"/>
    <w:rsid w:val="00E374D8"/>
    <w:rsid w:val="00E375EE"/>
    <w:rsid w:val="00E3789B"/>
    <w:rsid w:val="00E37C9A"/>
    <w:rsid w:val="00E37CA8"/>
    <w:rsid w:val="00E37DBE"/>
    <w:rsid w:val="00E37F3D"/>
    <w:rsid w:val="00E40025"/>
    <w:rsid w:val="00E401D1"/>
    <w:rsid w:val="00E401D4"/>
    <w:rsid w:val="00E40434"/>
    <w:rsid w:val="00E40447"/>
    <w:rsid w:val="00E40546"/>
    <w:rsid w:val="00E40610"/>
    <w:rsid w:val="00E40A57"/>
    <w:rsid w:val="00E417F1"/>
    <w:rsid w:val="00E41AE2"/>
    <w:rsid w:val="00E41D59"/>
    <w:rsid w:val="00E41DC4"/>
    <w:rsid w:val="00E41FE7"/>
    <w:rsid w:val="00E420AF"/>
    <w:rsid w:val="00E42681"/>
    <w:rsid w:val="00E42914"/>
    <w:rsid w:val="00E4293B"/>
    <w:rsid w:val="00E42BC3"/>
    <w:rsid w:val="00E42CD0"/>
    <w:rsid w:val="00E42D72"/>
    <w:rsid w:val="00E42ED4"/>
    <w:rsid w:val="00E43092"/>
    <w:rsid w:val="00E43176"/>
    <w:rsid w:val="00E4323C"/>
    <w:rsid w:val="00E432EC"/>
    <w:rsid w:val="00E433DF"/>
    <w:rsid w:val="00E439D2"/>
    <w:rsid w:val="00E43A43"/>
    <w:rsid w:val="00E43D74"/>
    <w:rsid w:val="00E4402A"/>
    <w:rsid w:val="00E440A1"/>
    <w:rsid w:val="00E440B4"/>
    <w:rsid w:val="00E4439F"/>
    <w:rsid w:val="00E44829"/>
    <w:rsid w:val="00E449E7"/>
    <w:rsid w:val="00E44A40"/>
    <w:rsid w:val="00E44C48"/>
    <w:rsid w:val="00E44C52"/>
    <w:rsid w:val="00E44EAC"/>
    <w:rsid w:val="00E4520D"/>
    <w:rsid w:val="00E455AD"/>
    <w:rsid w:val="00E45878"/>
    <w:rsid w:val="00E45A7E"/>
    <w:rsid w:val="00E45B19"/>
    <w:rsid w:val="00E45CE6"/>
    <w:rsid w:val="00E45E77"/>
    <w:rsid w:val="00E45F7D"/>
    <w:rsid w:val="00E467EC"/>
    <w:rsid w:val="00E46A82"/>
    <w:rsid w:val="00E47223"/>
    <w:rsid w:val="00E47550"/>
    <w:rsid w:val="00E47590"/>
    <w:rsid w:val="00E47740"/>
    <w:rsid w:val="00E4797D"/>
    <w:rsid w:val="00E479B7"/>
    <w:rsid w:val="00E479E4"/>
    <w:rsid w:val="00E47AA1"/>
    <w:rsid w:val="00E47BDD"/>
    <w:rsid w:val="00E47DA5"/>
    <w:rsid w:val="00E5028C"/>
    <w:rsid w:val="00E5069B"/>
    <w:rsid w:val="00E506D1"/>
    <w:rsid w:val="00E50A2E"/>
    <w:rsid w:val="00E50C6A"/>
    <w:rsid w:val="00E514D8"/>
    <w:rsid w:val="00E51860"/>
    <w:rsid w:val="00E5193F"/>
    <w:rsid w:val="00E520EB"/>
    <w:rsid w:val="00E5221A"/>
    <w:rsid w:val="00E52265"/>
    <w:rsid w:val="00E522C8"/>
    <w:rsid w:val="00E523E9"/>
    <w:rsid w:val="00E524D9"/>
    <w:rsid w:val="00E524FE"/>
    <w:rsid w:val="00E52801"/>
    <w:rsid w:val="00E52A92"/>
    <w:rsid w:val="00E52C27"/>
    <w:rsid w:val="00E52C3C"/>
    <w:rsid w:val="00E52EB3"/>
    <w:rsid w:val="00E52F20"/>
    <w:rsid w:val="00E5343C"/>
    <w:rsid w:val="00E5356F"/>
    <w:rsid w:val="00E535FB"/>
    <w:rsid w:val="00E53603"/>
    <w:rsid w:val="00E536B9"/>
    <w:rsid w:val="00E53840"/>
    <w:rsid w:val="00E53A7F"/>
    <w:rsid w:val="00E53E03"/>
    <w:rsid w:val="00E53E60"/>
    <w:rsid w:val="00E53F93"/>
    <w:rsid w:val="00E54076"/>
    <w:rsid w:val="00E54260"/>
    <w:rsid w:val="00E5440A"/>
    <w:rsid w:val="00E54617"/>
    <w:rsid w:val="00E54690"/>
    <w:rsid w:val="00E547C9"/>
    <w:rsid w:val="00E54907"/>
    <w:rsid w:val="00E549FC"/>
    <w:rsid w:val="00E54C15"/>
    <w:rsid w:val="00E54C83"/>
    <w:rsid w:val="00E54F08"/>
    <w:rsid w:val="00E55220"/>
    <w:rsid w:val="00E55505"/>
    <w:rsid w:val="00E556FE"/>
    <w:rsid w:val="00E55AB6"/>
    <w:rsid w:val="00E55B49"/>
    <w:rsid w:val="00E55C1D"/>
    <w:rsid w:val="00E55D60"/>
    <w:rsid w:val="00E56393"/>
    <w:rsid w:val="00E56776"/>
    <w:rsid w:val="00E56B52"/>
    <w:rsid w:val="00E571C1"/>
    <w:rsid w:val="00E574A3"/>
    <w:rsid w:val="00E575FA"/>
    <w:rsid w:val="00E57B6A"/>
    <w:rsid w:val="00E57CFF"/>
    <w:rsid w:val="00E60004"/>
    <w:rsid w:val="00E60271"/>
    <w:rsid w:val="00E602CF"/>
    <w:rsid w:val="00E6049E"/>
    <w:rsid w:val="00E60595"/>
    <w:rsid w:val="00E60879"/>
    <w:rsid w:val="00E612B7"/>
    <w:rsid w:val="00E61338"/>
    <w:rsid w:val="00E614D5"/>
    <w:rsid w:val="00E61991"/>
    <w:rsid w:val="00E61BCE"/>
    <w:rsid w:val="00E61C83"/>
    <w:rsid w:val="00E61D89"/>
    <w:rsid w:val="00E61EFF"/>
    <w:rsid w:val="00E621C6"/>
    <w:rsid w:val="00E6263B"/>
    <w:rsid w:val="00E629F2"/>
    <w:rsid w:val="00E62A7C"/>
    <w:rsid w:val="00E62BDC"/>
    <w:rsid w:val="00E62C98"/>
    <w:rsid w:val="00E62D0D"/>
    <w:rsid w:val="00E6303A"/>
    <w:rsid w:val="00E6313F"/>
    <w:rsid w:val="00E6346D"/>
    <w:rsid w:val="00E6350B"/>
    <w:rsid w:val="00E6384E"/>
    <w:rsid w:val="00E63AE1"/>
    <w:rsid w:val="00E63AE5"/>
    <w:rsid w:val="00E63C38"/>
    <w:rsid w:val="00E63EC1"/>
    <w:rsid w:val="00E63F1B"/>
    <w:rsid w:val="00E6408C"/>
    <w:rsid w:val="00E641CD"/>
    <w:rsid w:val="00E64450"/>
    <w:rsid w:val="00E64562"/>
    <w:rsid w:val="00E64A93"/>
    <w:rsid w:val="00E64DDD"/>
    <w:rsid w:val="00E651C3"/>
    <w:rsid w:val="00E65402"/>
    <w:rsid w:val="00E65A18"/>
    <w:rsid w:val="00E65AC5"/>
    <w:rsid w:val="00E65D34"/>
    <w:rsid w:val="00E65EB8"/>
    <w:rsid w:val="00E66400"/>
    <w:rsid w:val="00E664BF"/>
    <w:rsid w:val="00E66A8C"/>
    <w:rsid w:val="00E66C35"/>
    <w:rsid w:val="00E66F8B"/>
    <w:rsid w:val="00E67125"/>
    <w:rsid w:val="00E6776E"/>
    <w:rsid w:val="00E679EC"/>
    <w:rsid w:val="00E67A2D"/>
    <w:rsid w:val="00E67B12"/>
    <w:rsid w:val="00E67B87"/>
    <w:rsid w:val="00E70384"/>
    <w:rsid w:val="00E70649"/>
    <w:rsid w:val="00E70798"/>
    <w:rsid w:val="00E70830"/>
    <w:rsid w:val="00E70836"/>
    <w:rsid w:val="00E70AF1"/>
    <w:rsid w:val="00E70CF4"/>
    <w:rsid w:val="00E70F58"/>
    <w:rsid w:val="00E710BB"/>
    <w:rsid w:val="00E711FF"/>
    <w:rsid w:val="00E71362"/>
    <w:rsid w:val="00E718FC"/>
    <w:rsid w:val="00E71946"/>
    <w:rsid w:val="00E71A26"/>
    <w:rsid w:val="00E71F5A"/>
    <w:rsid w:val="00E7204D"/>
    <w:rsid w:val="00E72160"/>
    <w:rsid w:val="00E725F1"/>
    <w:rsid w:val="00E727F7"/>
    <w:rsid w:val="00E72807"/>
    <w:rsid w:val="00E72903"/>
    <w:rsid w:val="00E72BA7"/>
    <w:rsid w:val="00E7314A"/>
    <w:rsid w:val="00E73302"/>
    <w:rsid w:val="00E7337C"/>
    <w:rsid w:val="00E73422"/>
    <w:rsid w:val="00E738F3"/>
    <w:rsid w:val="00E73BFC"/>
    <w:rsid w:val="00E73EE0"/>
    <w:rsid w:val="00E73F80"/>
    <w:rsid w:val="00E74067"/>
    <w:rsid w:val="00E7408D"/>
    <w:rsid w:val="00E7417C"/>
    <w:rsid w:val="00E74394"/>
    <w:rsid w:val="00E74D65"/>
    <w:rsid w:val="00E74E8D"/>
    <w:rsid w:val="00E75115"/>
    <w:rsid w:val="00E754FA"/>
    <w:rsid w:val="00E755BF"/>
    <w:rsid w:val="00E755D8"/>
    <w:rsid w:val="00E7589C"/>
    <w:rsid w:val="00E758FB"/>
    <w:rsid w:val="00E75A44"/>
    <w:rsid w:val="00E75AFF"/>
    <w:rsid w:val="00E75C20"/>
    <w:rsid w:val="00E75EF3"/>
    <w:rsid w:val="00E75FBC"/>
    <w:rsid w:val="00E75FFB"/>
    <w:rsid w:val="00E760DE"/>
    <w:rsid w:val="00E765F5"/>
    <w:rsid w:val="00E76697"/>
    <w:rsid w:val="00E76742"/>
    <w:rsid w:val="00E76A6E"/>
    <w:rsid w:val="00E76C59"/>
    <w:rsid w:val="00E772AF"/>
    <w:rsid w:val="00E7748B"/>
    <w:rsid w:val="00E778DC"/>
    <w:rsid w:val="00E77965"/>
    <w:rsid w:val="00E77B21"/>
    <w:rsid w:val="00E77C38"/>
    <w:rsid w:val="00E77D89"/>
    <w:rsid w:val="00E804D7"/>
    <w:rsid w:val="00E80668"/>
    <w:rsid w:val="00E80681"/>
    <w:rsid w:val="00E80857"/>
    <w:rsid w:val="00E80A24"/>
    <w:rsid w:val="00E80B7A"/>
    <w:rsid w:val="00E8134C"/>
    <w:rsid w:val="00E81407"/>
    <w:rsid w:val="00E81819"/>
    <w:rsid w:val="00E81B93"/>
    <w:rsid w:val="00E81D9E"/>
    <w:rsid w:val="00E8201A"/>
    <w:rsid w:val="00E8216D"/>
    <w:rsid w:val="00E8242B"/>
    <w:rsid w:val="00E82549"/>
    <w:rsid w:val="00E82794"/>
    <w:rsid w:val="00E828B1"/>
    <w:rsid w:val="00E82A62"/>
    <w:rsid w:val="00E82B23"/>
    <w:rsid w:val="00E82EC3"/>
    <w:rsid w:val="00E82F09"/>
    <w:rsid w:val="00E8324A"/>
    <w:rsid w:val="00E83317"/>
    <w:rsid w:val="00E840FC"/>
    <w:rsid w:val="00E84314"/>
    <w:rsid w:val="00E84611"/>
    <w:rsid w:val="00E8463F"/>
    <w:rsid w:val="00E84700"/>
    <w:rsid w:val="00E84864"/>
    <w:rsid w:val="00E84CA3"/>
    <w:rsid w:val="00E84E48"/>
    <w:rsid w:val="00E84F77"/>
    <w:rsid w:val="00E8500F"/>
    <w:rsid w:val="00E85083"/>
    <w:rsid w:val="00E852DF"/>
    <w:rsid w:val="00E85464"/>
    <w:rsid w:val="00E85477"/>
    <w:rsid w:val="00E856F1"/>
    <w:rsid w:val="00E85757"/>
    <w:rsid w:val="00E85761"/>
    <w:rsid w:val="00E857C7"/>
    <w:rsid w:val="00E8586C"/>
    <w:rsid w:val="00E859B6"/>
    <w:rsid w:val="00E85ACC"/>
    <w:rsid w:val="00E85AEF"/>
    <w:rsid w:val="00E860AA"/>
    <w:rsid w:val="00E86392"/>
    <w:rsid w:val="00E863D6"/>
    <w:rsid w:val="00E8641C"/>
    <w:rsid w:val="00E8647D"/>
    <w:rsid w:val="00E86546"/>
    <w:rsid w:val="00E8671F"/>
    <w:rsid w:val="00E867B3"/>
    <w:rsid w:val="00E86964"/>
    <w:rsid w:val="00E86E07"/>
    <w:rsid w:val="00E86F24"/>
    <w:rsid w:val="00E87039"/>
    <w:rsid w:val="00E87205"/>
    <w:rsid w:val="00E872D5"/>
    <w:rsid w:val="00E87619"/>
    <w:rsid w:val="00E87761"/>
    <w:rsid w:val="00E878FD"/>
    <w:rsid w:val="00E87984"/>
    <w:rsid w:val="00E879E1"/>
    <w:rsid w:val="00E90D05"/>
    <w:rsid w:val="00E90F29"/>
    <w:rsid w:val="00E912F2"/>
    <w:rsid w:val="00E914DD"/>
    <w:rsid w:val="00E91552"/>
    <w:rsid w:val="00E91647"/>
    <w:rsid w:val="00E91850"/>
    <w:rsid w:val="00E91A89"/>
    <w:rsid w:val="00E91B2F"/>
    <w:rsid w:val="00E91BCB"/>
    <w:rsid w:val="00E91D75"/>
    <w:rsid w:val="00E91FE8"/>
    <w:rsid w:val="00E922FD"/>
    <w:rsid w:val="00E92D4A"/>
    <w:rsid w:val="00E92EC3"/>
    <w:rsid w:val="00E937CE"/>
    <w:rsid w:val="00E938EA"/>
    <w:rsid w:val="00E9394C"/>
    <w:rsid w:val="00E93DE0"/>
    <w:rsid w:val="00E93F07"/>
    <w:rsid w:val="00E94020"/>
    <w:rsid w:val="00E94137"/>
    <w:rsid w:val="00E94523"/>
    <w:rsid w:val="00E949F4"/>
    <w:rsid w:val="00E94AB9"/>
    <w:rsid w:val="00E94AF3"/>
    <w:rsid w:val="00E94B17"/>
    <w:rsid w:val="00E95153"/>
    <w:rsid w:val="00E95238"/>
    <w:rsid w:val="00E954C8"/>
    <w:rsid w:val="00E95C42"/>
    <w:rsid w:val="00E95CB7"/>
    <w:rsid w:val="00E95CC8"/>
    <w:rsid w:val="00E95CEC"/>
    <w:rsid w:val="00E95DAB"/>
    <w:rsid w:val="00E95FD7"/>
    <w:rsid w:val="00E9607A"/>
    <w:rsid w:val="00E9637C"/>
    <w:rsid w:val="00E964EA"/>
    <w:rsid w:val="00E96706"/>
    <w:rsid w:val="00E967D4"/>
    <w:rsid w:val="00E96845"/>
    <w:rsid w:val="00E968FC"/>
    <w:rsid w:val="00E96C57"/>
    <w:rsid w:val="00E96C99"/>
    <w:rsid w:val="00E96EF1"/>
    <w:rsid w:val="00E9725A"/>
    <w:rsid w:val="00E97492"/>
    <w:rsid w:val="00E97690"/>
    <w:rsid w:val="00E97809"/>
    <w:rsid w:val="00E97820"/>
    <w:rsid w:val="00E97843"/>
    <w:rsid w:val="00E9798B"/>
    <w:rsid w:val="00E97DD8"/>
    <w:rsid w:val="00E97FAB"/>
    <w:rsid w:val="00E97FEA"/>
    <w:rsid w:val="00EA00D4"/>
    <w:rsid w:val="00EA0230"/>
    <w:rsid w:val="00EA02B9"/>
    <w:rsid w:val="00EA06C5"/>
    <w:rsid w:val="00EA0749"/>
    <w:rsid w:val="00EA08AE"/>
    <w:rsid w:val="00EA0A6B"/>
    <w:rsid w:val="00EA0AD1"/>
    <w:rsid w:val="00EA0B34"/>
    <w:rsid w:val="00EA0CF5"/>
    <w:rsid w:val="00EA0D27"/>
    <w:rsid w:val="00EA0E6A"/>
    <w:rsid w:val="00EA1119"/>
    <w:rsid w:val="00EA1137"/>
    <w:rsid w:val="00EA1261"/>
    <w:rsid w:val="00EA12F5"/>
    <w:rsid w:val="00EA1982"/>
    <w:rsid w:val="00EA1AB9"/>
    <w:rsid w:val="00EA1F63"/>
    <w:rsid w:val="00EA204B"/>
    <w:rsid w:val="00EA211F"/>
    <w:rsid w:val="00EA2250"/>
    <w:rsid w:val="00EA307C"/>
    <w:rsid w:val="00EA3125"/>
    <w:rsid w:val="00EA3170"/>
    <w:rsid w:val="00EA34A6"/>
    <w:rsid w:val="00EA358B"/>
    <w:rsid w:val="00EA35EB"/>
    <w:rsid w:val="00EA3BE1"/>
    <w:rsid w:val="00EA3C50"/>
    <w:rsid w:val="00EA4093"/>
    <w:rsid w:val="00EA49F2"/>
    <w:rsid w:val="00EA4DFE"/>
    <w:rsid w:val="00EA50C1"/>
    <w:rsid w:val="00EA548D"/>
    <w:rsid w:val="00EA5674"/>
    <w:rsid w:val="00EA5B0B"/>
    <w:rsid w:val="00EA5DE0"/>
    <w:rsid w:val="00EA5F06"/>
    <w:rsid w:val="00EA6843"/>
    <w:rsid w:val="00EA76D0"/>
    <w:rsid w:val="00EA7990"/>
    <w:rsid w:val="00EA7F04"/>
    <w:rsid w:val="00EB0217"/>
    <w:rsid w:val="00EB0263"/>
    <w:rsid w:val="00EB02AB"/>
    <w:rsid w:val="00EB02C4"/>
    <w:rsid w:val="00EB047D"/>
    <w:rsid w:val="00EB0481"/>
    <w:rsid w:val="00EB058E"/>
    <w:rsid w:val="00EB0699"/>
    <w:rsid w:val="00EB0B5F"/>
    <w:rsid w:val="00EB0FB6"/>
    <w:rsid w:val="00EB17EC"/>
    <w:rsid w:val="00EB1854"/>
    <w:rsid w:val="00EB1A2F"/>
    <w:rsid w:val="00EB21A2"/>
    <w:rsid w:val="00EB21DB"/>
    <w:rsid w:val="00EB254F"/>
    <w:rsid w:val="00EB2F10"/>
    <w:rsid w:val="00EB3557"/>
    <w:rsid w:val="00EB3672"/>
    <w:rsid w:val="00EB37E3"/>
    <w:rsid w:val="00EB3D8E"/>
    <w:rsid w:val="00EB3DB7"/>
    <w:rsid w:val="00EB3EC6"/>
    <w:rsid w:val="00EB3FAD"/>
    <w:rsid w:val="00EB401E"/>
    <w:rsid w:val="00EB4078"/>
    <w:rsid w:val="00EB411D"/>
    <w:rsid w:val="00EB4443"/>
    <w:rsid w:val="00EB45A6"/>
    <w:rsid w:val="00EB45B9"/>
    <w:rsid w:val="00EB464D"/>
    <w:rsid w:val="00EB4814"/>
    <w:rsid w:val="00EB48A8"/>
    <w:rsid w:val="00EB4BCC"/>
    <w:rsid w:val="00EB5080"/>
    <w:rsid w:val="00EB5303"/>
    <w:rsid w:val="00EB57CC"/>
    <w:rsid w:val="00EB5840"/>
    <w:rsid w:val="00EB59F2"/>
    <w:rsid w:val="00EB6057"/>
    <w:rsid w:val="00EB620D"/>
    <w:rsid w:val="00EB6286"/>
    <w:rsid w:val="00EB630F"/>
    <w:rsid w:val="00EB6353"/>
    <w:rsid w:val="00EB640B"/>
    <w:rsid w:val="00EB6412"/>
    <w:rsid w:val="00EB643E"/>
    <w:rsid w:val="00EB6481"/>
    <w:rsid w:val="00EB6531"/>
    <w:rsid w:val="00EB6721"/>
    <w:rsid w:val="00EB6723"/>
    <w:rsid w:val="00EB69E1"/>
    <w:rsid w:val="00EB6E45"/>
    <w:rsid w:val="00EB6F5E"/>
    <w:rsid w:val="00EB75D4"/>
    <w:rsid w:val="00EB77AE"/>
    <w:rsid w:val="00EB78BD"/>
    <w:rsid w:val="00EB78D0"/>
    <w:rsid w:val="00EB796B"/>
    <w:rsid w:val="00EC011C"/>
    <w:rsid w:val="00EC025F"/>
    <w:rsid w:val="00EC05E8"/>
    <w:rsid w:val="00EC0726"/>
    <w:rsid w:val="00EC091F"/>
    <w:rsid w:val="00EC09EB"/>
    <w:rsid w:val="00EC0B28"/>
    <w:rsid w:val="00EC0B95"/>
    <w:rsid w:val="00EC0E29"/>
    <w:rsid w:val="00EC183F"/>
    <w:rsid w:val="00EC21C1"/>
    <w:rsid w:val="00EC2281"/>
    <w:rsid w:val="00EC2510"/>
    <w:rsid w:val="00EC2664"/>
    <w:rsid w:val="00EC27C6"/>
    <w:rsid w:val="00EC29E6"/>
    <w:rsid w:val="00EC2AC6"/>
    <w:rsid w:val="00EC2B0F"/>
    <w:rsid w:val="00EC2D4A"/>
    <w:rsid w:val="00EC2EF5"/>
    <w:rsid w:val="00EC3157"/>
    <w:rsid w:val="00EC31B5"/>
    <w:rsid w:val="00EC33E2"/>
    <w:rsid w:val="00EC3527"/>
    <w:rsid w:val="00EC3600"/>
    <w:rsid w:val="00EC379B"/>
    <w:rsid w:val="00EC3973"/>
    <w:rsid w:val="00EC39AA"/>
    <w:rsid w:val="00EC3AE1"/>
    <w:rsid w:val="00EC3D2B"/>
    <w:rsid w:val="00EC3FA0"/>
    <w:rsid w:val="00EC4145"/>
    <w:rsid w:val="00EC41C4"/>
    <w:rsid w:val="00EC44BE"/>
    <w:rsid w:val="00EC4546"/>
    <w:rsid w:val="00EC4A43"/>
    <w:rsid w:val="00EC532F"/>
    <w:rsid w:val="00EC53B6"/>
    <w:rsid w:val="00EC557F"/>
    <w:rsid w:val="00EC5641"/>
    <w:rsid w:val="00EC56A3"/>
    <w:rsid w:val="00EC59A9"/>
    <w:rsid w:val="00EC5C3E"/>
    <w:rsid w:val="00EC5CEB"/>
    <w:rsid w:val="00EC5D2E"/>
    <w:rsid w:val="00EC5F1F"/>
    <w:rsid w:val="00EC609C"/>
    <w:rsid w:val="00EC6168"/>
    <w:rsid w:val="00EC625E"/>
    <w:rsid w:val="00EC668E"/>
    <w:rsid w:val="00EC670F"/>
    <w:rsid w:val="00EC6769"/>
    <w:rsid w:val="00EC67E2"/>
    <w:rsid w:val="00EC694D"/>
    <w:rsid w:val="00EC6A37"/>
    <w:rsid w:val="00EC6C72"/>
    <w:rsid w:val="00EC7191"/>
    <w:rsid w:val="00EC75CF"/>
    <w:rsid w:val="00EC75F0"/>
    <w:rsid w:val="00EC75FB"/>
    <w:rsid w:val="00EC7939"/>
    <w:rsid w:val="00EC7C5F"/>
    <w:rsid w:val="00ED0024"/>
    <w:rsid w:val="00ED03C1"/>
    <w:rsid w:val="00ED0942"/>
    <w:rsid w:val="00ED09AD"/>
    <w:rsid w:val="00ED09EB"/>
    <w:rsid w:val="00ED0BE8"/>
    <w:rsid w:val="00ED116F"/>
    <w:rsid w:val="00ED1370"/>
    <w:rsid w:val="00ED19DB"/>
    <w:rsid w:val="00ED1A63"/>
    <w:rsid w:val="00ED1A7C"/>
    <w:rsid w:val="00ED1BAE"/>
    <w:rsid w:val="00ED1E8A"/>
    <w:rsid w:val="00ED22F9"/>
    <w:rsid w:val="00ED24A6"/>
    <w:rsid w:val="00ED2518"/>
    <w:rsid w:val="00ED255B"/>
    <w:rsid w:val="00ED2D23"/>
    <w:rsid w:val="00ED313D"/>
    <w:rsid w:val="00ED31D1"/>
    <w:rsid w:val="00ED336F"/>
    <w:rsid w:val="00ED341D"/>
    <w:rsid w:val="00ED361F"/>
    <w:rsid w:val="00ED3622"/>
    <w:rsid w:val="00ED3802"/>
    <w:rsid w:val="00ED3ADB"/>
    <w:rsid w:val="00ED477B"/>
    <w:rsid w:val="00ED4898"/>
    <w:rsid w:val="00ED4B71"/>
    <w:rsid w:val="00ED4D40"/>
    <w:rsid w:val="00ED4D7C"/>
    <w:rsid w:val="00ED50BF"/>
    <w:rsid w:val="00ED50FD"/>
    <w:rsid w:val="00ED52A4"/>
    <w:rsid w:val="00ED566F"/>
    <w:rsid w:val="00ED57D7"/>
    <w:rsid w:val="00ED5B2D"/>
    <w:rsid w:val="00ED5D5F"/>
    <w:rsid w:val="00ED5E46"/>
    <w:rsid w:val="00ED5FB7"/>
    <w:rsid w:val="00ED62BA"/>
    <w:rsid w:val="00ED655B"/>
    <w:rsid w:val="00ED673B"/>
    <w:rsid w:val="00ED69BC"/>
    <w:rsid w:val="00ED6A87"/>
    <w:rsid w:val="00ED6D2D"/>
    <w:rsid w:val="00ED7146"/>
    <w:rsid w:val="00ED7190"/>
    <w:rsid w:val="00ED748F"/>
    <w:rsid w:val="00ED74EB"/>
    <w:rsid w:val="00ED7F8E"/>
    <w:rsid w:val="00EE0060"/>
    <w:rsid w:val="00EE0211"/>
    <w:rsid w:val="00EE0380"/>
    <w:rsid w:val="00EE0A28"/>
    <w:rsid w:val="00EE0A3D"/>
    <w:rsid w:val="00EE0A6A"/>
    <w:rsid w:val="00EE0AAE"/>
    <w:rsid w:val="00EE0DD7"/>
    <w:rsid w:val="00EE10D4"/>
    <w:rsid w:val="00EE1272"/>
    <w:rsid w:val="00EE12DF"/>
    <w:rsid w:val="00EE1551"/>
    <w:rsid w:val="00EE1568"/>
    <w:rsid w:val="00EE1628"/>
    <w:rsid w:val="00EE163F"/>
    <w:rsid w:val="00EE1767"/>
    <w:rsid w:val="00EE182D"/>
    <w:rsid w:val="00EE207D"/>
    <w:rsid w:val="00EE22FA"/>
    <w:rsid w:val="00EE2351"/>
    <w:rsid w:val="00EE2457"/>
    <w:rsid w:val="00EE250F"/>
    <w:rsid w:val="00EE2A63"/>
    <w:rsid w:val="00EE2AAB"/>
    <w:rsid w:val="00EE2B87"/>
    <w:rsid w:val="00EE2E3C"/>
    <w:rsid w:val="00EE2FFE"/>
    <w:rsid w:val="00EE327F"/>
    <w:rsid w:val="00EE32DA"/>
    <w:rsid w:val="00EE3450"/>
    <w:rsid w:val="00EE346A"/>
    <w:rsid w:val="00EE3839"/>
    <w:rsid w:val="00EE399B"/>
    <w:rsid w:val="00EE39CD"/>
    <w:rsid w:val="00EE3DCE"/>
    <w:rsid w:val="00EE3E3B"/>
    <w:rsid w:val="00EE426B"/>
    <w:rsid w:val="00EE435C"/>
    <w:rsid w:val="00EE49D5"/>
    <w:rsid w:val="00EE4BE5"/>
    <w:rsid w:val="00EE4DF5"/>
    <w:rsid w:val="00EE4E02"/>
    <w:rsid w:val="00EE4EB2"/>
    <w:rsid w:val="00EE4F99"/>
    <w:rsid w:val="00EE516E"/>
    <w:rsid w:val="00EE545A"/>
    <w:rsid w:val="00EE5726"/>
    <w:rsid w:val="00EE5840"/>
    <w:rsid w:val="00EE59AD"/>
    <w:rsid w:val="00EE5ACE"/>
    <w:rsid w:val="00EE5BF9"/>
    <w:rsid w:val="00EE5C2E"/>
    <w:rsid w:val="00EE5CD0"/>
    <w:rsid w:val="00EE5D0C"/>
    <w:rsid w:val="00EE5ECA"/>
    <w:rsid w:val="00EE63C8"/>
    <w:rsid w:val="00EE6694"/>
    <w:rsid w:val="00EE6714"/>
    <w:rsid w:val="00EE6D14"/>
    <w:rsid w:val="00EE7522"/>
    <w:rsid w:val="00EE76C6"/>
    <w:rsid w:val="00EE7A9E"/>
    <w:rsid w:val="00EF0271"/>
    <w:rsid w:val="00EF0389"/>
    <w:rsid w:val="00EF03D5"/>
    <w:rsid w:val="00EF09A6"/>
    <w:rsid w:val="00EF0F30"/>
    <w:rsid w:val="00EF11D3"/>
    <w:rsid w:val="00EF128B"/>
    <w:rsid w:val="00EF16FB"/>
    <w:rsid w:val="00EF1BF2"/>
    <w:rsid w:val="00EF1CFF"/>
    <w:rsid w:val="00EF1D59"/>
    <w:rsid w:val="00EF1DDD"/>
    <w:rsid w:val="00EF263B"/>
    <w:rsid w:val="00EF272D"/>
    <w:rsid w:val="00EF283C"/>
    <w:rsid w:val="00EF2CDD"/>
    <w:rsid w:val="00EF2FB3"/>
    <w:rsid w:val="00EF3008"/>
    <w:rsid w:val="00EF3039"/>
    <w:rsid w:val="00EF3091"/>
    <w:rsid w:val="00EF313A"/>
    <w:rsid w:val="00EF3305"/>
    <w:rsid w:val="00EF33FD"/>
    <w:rsid w:val="00EF3496"/>
    <w:rsid w:val="00EF3626"/>
    <w:rsid w:val="00EF38DB"/>
    <w:rsid w:val="00EF3993"/>
    <w:rsid w:val="00EF3A0E"/>
    <w:rsid w:val="00EF3A53"/>
    <w:rsid w:val="00EF3A62"/>
    <w:rsid w:val="00EF3BD3"/>
    <w:rsid w:val="00EF3BF1"/>
    <w:rsid w:val="00EF3C70"/>
    <w:rsid w:val="00EF3C90"/>
    <w:rsid w:val="00EF3E53"/>
    <w:rsid w:val="00EF3FF5"/>
    <w:rsid w:val="00EF4334"/>
    <w:rsid w:val="00EF44B8"/>
    <w:rsid w:val="00EF4525"/>
    <w:rsid w:val="00EF4C79"/>
    <w:rsid w:val="00EF4D99"/>
    <w:rsid w:val="00EF4FDB"/>
    <w:rsid w:val="00EF50F9"/>
    <w:rsid w:val="00EF55C7"/>
    <w:rsid w:val="00EF55CA"/>
    <w:rsid w:val="00EF5609"/>
    <w:rsid w:val="00EF5636"/>
    <w:rsid w:val="00EF5880"/>
    <w:rsid w:val="00EF5B10"/>
    <w:rsid w:val="00EF5BD4"/>
    <w:rsid w:val="00EF5F90"/>
    <w:rsid w:val="00EF5F9F"/>
    <w:rsid w:val="00EF618F"/>
    <w:rsid w:val="00EF6308"/>
    <w:rsid w:val="00EF6368"/>
    <w:rsid w:val="00EF655B"/>
    <w:rsid w:val="00EF6607"/>
    <w:rsid w:val="00EF666A"/>
    <w:rsid w:val="00EF6914"/>
    <w:rsid w:val="00EF691D"/>
    <w:rsid w:val="00EF6F1C"/>
    <w:rsid w:val="00EF70F4"/>
    <w:rsid w:val="00EF714F"/>
    <w:rsid w:val="00EF7713"/>
    <w:rsid w:val="00F00263"/>
    <w:rsid w:val="00F00560"/>
    <w:rsid w:val="00F005A3"/>
    <w:rsid w:val="00F00928"/>
    <w:rsid w:val="00F010E6"/>
    <w:rsid w:val="00F010FA"/>
    <w:rsid w:val="00F01123"/>
    <w:rsid w:val="00F014A4"/>
    <w:rsid w:val="00F0170C"/>
    <w:rsid w:val="00F01826"/>
    <w:rsid w:val="00F01990"/>
    <w:rsid w:val="00F01A7E"/>
    <w:rsid w:val="00F01DBB"/>
    <w:rsid w:val="00F01EC3"/>
    <w:rsid w:val="00F01FD9"/>
    <w:rsid w:val="00F02079"/>
    <w:rsid w:val="00F02335"/>
    <w:rsid w:val="00F0233C"/>
    <w:rsid w:val="00F02346"/>
    <w:rsid w:val="00F02D4D"/>
    <w:rsid w:val="00F02E58"/>
    <w:rsid w:val="00F02EC0"/>
    <w:rsid w:val="00F02FD5"/>
    <w:rsid w:val="00F03250"/>
    <w:rsid w:val="00F033D5"/>
    <w:rsid w:val="00F0340E"/>
    <w:rsid w:val="00F0348F"/>
    <w:rsid w:val="00F036C3"/>
    <w:rsid w:val="00F037A9"/>
    <w:rsid w:val="00F03C92"/>
    <w:rsid w:val="00F03FC7"/>
    <w:rsid w:val="00F04052"/>
    <w:rsid w:val="00F0432E"/>
    <w:rsid w:val="00F0495D"/>
    <w:rsid w:val="00F04A50"/>
    <w:rsid w:val="00F04D79"/>
    <w:rsid w:val="00F04FCB"/>
    <w:rsid w:val="00F055B8"/>
    <w:rsid w:val="00F05775"/>
    <w:rsid w:val="00F05BBC"/>
    <w:rsid w:val="00F05C9F"/>
    <w:rsid w:val="00F05E68"/>
    <w:rsid w:val="00F06581"/>
    <w:rsid w:val="00F068B7"/>
    <w:rsid w:val="00F069A0"/>
    <w:rsid w:val="00F06A67"/>
    <w:rsid w:val="00F06AA2"/>
    <w:rsid w:val="00F06C25"/>
    <w:rsid w:val="00F07053"/>
    <w:rsid w:val="00F071DF"/>
    <w:rsid w:val="00F072BB"/>
    <w:rsid w:val="00F07486"/>
    <w:rsid w:val="00F0789D"/>
    <w:rsid w:val="00F07ADE"/>
    <w:rsid w:val="00F07D61"/>
    <w:rsid w:val="00F07EBB"/>
    <w:rsid w:val="00F07F0B"/>
    <w:rsid w:val="00F07FE9"/>
    <w:rsid w:val="00F10112"/>
    <w:rsid w:val="00F10152"/>
    <w:rsid w:val="00F102FE"/>
    <w:rsid w:val="00F106B7"/>
    <w:rsid w:val="00F10B16"/>
    <w:rsid w:val="00F10B80"/>
    <w:rsid w:val="00F10C4C"/>
    <w:rsid w:val="00F10CEA"/>
    <w:rsid w:val="00F10D71"/>
    <w:rsid w:val="00F10DA8"/>
    <w:rsid w:val="00F10E46"/>
    <w:rsid w:val="00F11060"/>
    <w:rsid w:val="00F111AE"/>
    <w:rsid w:val="00F113B4"/>
    <w:rsid w:val="00F11625"/>
    <w:rsid w:val="00F11A3F"/>
    <w:rsid w:val="00F11B58"/>
    <w:rsid w:val="00F11B5D"/>
    <w:rsid w:val="00F12021"/>
    <w:rsid w:val="00F12323"/>
    <w:rsid w:val="00F1267A"/>
    <w:rsid w:val="00F12B99"/>
    <w:rsid w:val="00F12C38"/>
    <w:rsid w:val="00F12D91"/>
    <w:rsid w:val="00F12E58"/>
    <w:rsid w:val="00F13072"/>
    <w:rsid w:val="00F13494"/>
    <w:rsid w:val="00F135F5"/>
    <w:rsid w:val="00F1396B"/>
    <w:rsid w:val="00F13D62"/>
    <w:rsid w:val="00F1415D"/>
    <w:rsid w:val="00F1427A"/>
    <w:rsid w:val="00F1459F"/>
    <w:rsid w:val="00F14669"/>
    <w:rsid w:val="00F147E0"/>
    <w:rsid w:val="00F147F1"/>
    <w:rsid w:val="00F14EBB"/>
    <w:rsid w:val="00F151D6"/>
    <w:rsid w:val="00F15298"/>
    <w:rsid w:val="00F153DE"/>
    <w:rsid w:val="00F15427"/>
    <w:rsid w:val="00F15612"/>
    <w:rsid w:val="00F159E7"/>
    <w:rsid w:val="00F15E5A"/>
    <w:rsid w:val="00F15F21"/>
    <w:rsid w:val="00F160CA"/>
    <w:rsid w:val="00F1619C"/>
    <w:rsid w:val="00F164AD"/>
    <w:rsid w:val="00F16660"/>
    <w:rsid w:val="00F16C78"/>
    <w:rsid w:val="00F16ED8"/>
    <w:rsid w:val="00F1702C"/>
    <w:rsid w:val="00F173BF"/>
    <w:rsid w:val="00F17468"/>
    <w:rsid w:val="00F17574"/>
    <w:rsid w:val="00F17B12"/>
    <w:rsid w:val="00F17F19"/>
    <w:rsid w:val="00F2001C"/>
    <w:rsid w:val="00F20028"/>
    <w:rsid w:val="00F201AA"/>
    <w:rsid w:val="00F201EB"/>
    <w:rsid w:val="00F206FA"/>
    <w:rsid w:val="00F208E4"/>
    <w:rsid w:val="00F20A6E"/>
    <w:rsid w:val="00F20A8F"/>
    <w:rsid w:val="00F20FFC"/>
    <w:rsid w:val="00F21095"/>
    <w:rsid w:val="00F214C6"/>
    <w:rsid w:val="00F21A7C"/>
    <w:rsid w:val="00F21AC6"/>
    <w:rsid w:val="00F21D49"/>
    <w:rsid w:val="00F22537"/>
    <w:rsid w:val="00F22726"/>
    <w:rsid w:val="00F22766"/>
    <w:rsid w:val="00F2288B"/>
    <w:rsid w:val="00F22CD3"/>
    <w:rsid w:val="00F22D2E"/>
    <w:rsid w:val="00F22D99"/>
    <w:rsid w:val="00F2336B"/>
    <w:rsid w:val="00F233DF"/>
    <w:rsid w:val="00F236D7"/>
    <w:rsid w:val="00F240B2"/>
    <w:rsid w:val="00F24292"/>
    <w:rsid w:val="00F2433D"/>
    <w:rsid w:val="00F244CC"/>
    <w:rsid w:val="00F24580"/>
    <w:rsid w:val="00F245F6"/>
    <w:rsid w:val="00F24A82"/>
    <w:rsid w:val="00F24E61"/>
    <w:rsid w:val="00F24FF3"/>
    <w:rsid w:val="00F2508E"/>
    <w:rsid w:val="00F2558E"/>
    <w:rsid w:val="00F255E7"/>
    <w:rsid w:val="00F25743"/>
    <w:rsid w:val="00F263C5"/>
    <w:rsid w:val="00F26B7C"/>
    <w:rsid w:val="00F276A9"/>
    <w:rsid w:val="00F277AE"/>
    <w:rsid w:val="00F277E2"/>
    <w:rsid w:val="00F27C83"/>
    <w:rsid w:val="00F30248"/>
    <w:rsid w:val="00F30685"/>
    <w:rsid w:val="00F30B17"/>
    <w:rsid w:val="00F31274"/>
    <w:rsid w:val="00F31407"/>
    <w:rsid w:val="00F314E1"/>
    <w:rsid w:val="00F315B8"/>
    <w:rsid w:val="00F315C2"/>
    <w:rsid w:val="00F315EA"/>
    <w:rsid w:val="00F31628"/>
    <w:rsid w:val="00F317AD"/>
    <w:rsid w:val="00F31F04"/>
    <w:rsid w:val="00F3202A"/>
    <w:rsid w:val="00F32147"/>
    <w:rsid w:val="00F322ED"/>
    <w:rsid w:val="00F32876"/>
    <w:rsid w:val="00F32A03"/>
    <w:rsid w:val="00F32B82"/>
    <w:rsid w:val="00F32B9B"/>
    <w:rsid w:val="00F32C64"/>
    <w:rsid w:val="00F32D11"/>
    <w:rsid w:val="00F32F62"/>
    <w:rsid w:val="00F330F6"/>
    <w:rsid w:val="00F33194"/>
    <w:rsid w:val="00F33521"/>
    <w:rsid w:val="00F3387C"/>
    <w:rsid w:val="00F3400F"/>
    <w:rsid w:val="00F343CA"/>
    <w:rsid w:val="00F343E3"/>
    <w:rsid w:val="00F345E9"/>
    <w:rsid w:val="00F34688"/>
    <w:rsid w:val="00F34882"/>
    <w:rsid w:val="00F348DE"/>
    <w:rsid w:val="00F34C86"/>
    <w:rsid w:val="00F34D57"/>
    <w:rsid w:val="00F34DFE"/>
    <w:rsid w:val="00F34E49"/>
    <w:rsid w:val="00F34F4D"/>
    <w:rsid w:val="00F3537B"/>
    <w:rsid w:val="00F355C0"/>
    <w:rsid w:val="00F35681"/>
    <w:rsid w:val="00F359DB"/>
    <w:rsid w:val="00F35BDE"/>
    <w:rsid w:val="00F35E3D"/>
    <w:rsid w:val="00F35F3C"/>
    <w:rsid w:val="00F36266"/>
    <w:rsid w:val="00F3640A"/>
    <w:rsid w:val="00F36762"/>
    <w:rsid w:val="00F36828"/>
    <w:rsid w:val="00F36977"/>
    <w:rsid w:val="00F369AB"/>
    <w:rsid w:val="00F369CF"/>
    <w:rsid w:val="00F371A6"/>
    <w:rsid w:val="00F374E3"/>
    <w:rsid w:val="00F37825"/>
    <w:rsid w:val="00F37BDE"/>
    <w:rsid w:val="00F37CEE"/>
    <w:rsid w:val="00F40876"/>
    <w:rsid w:val="00F40889"/>
    <w:rsid w:val="00F40B82"/>
    <w:rsid w:val="00F40BAB"/>
    <w:rsid w:val="00F40D9B"/>
    <w:rsid w:val="00F40E97"/>
    <w:rsid w:val="00F4119A"/>
    <w:rsid w:val="00F41415"/>
    <w:rsid w:val="00F4151C"/>
    <w:rsid w:val="00F4157C"/>
    <w:rsid w:val="00F417E4"/>
    <w:rsid w:val="00F417ED"/>
    <w:rsid w:val="00F417F2"/>
    <w:rsid w:val="00F4189C"/>
    <w:rsid w:val="00F41ACE"/>
    <w:rsid w:val="00F41C8F"/>
    <w:rsid w:val="00F41DDE"/>
    <w:rsid w:val="00F41DDF"/>
    <w:rsid w:val="00F420A3"/>
    <w:rsid w:val="00F425BE"/>
    <w:rsid w:val="00F426F1"/>
    <w:rsid w:val="00F42943"/>
    <w:rsid w:val="00F42AC0"/>
    <w:rsid w:val="00F42E63"/>
    <w:rsid w:val="00F4302D"/>
    <w:rsid w:val="00F4325D"/>
    <w:rsid w:val="00F43339"/>
    <w:rsid w:val="00F433DF"/>
    <w:rsid w:val="00F43D03"/>
    <w:rsid w:val="00F441EB"/>
    <w:rsid w:val="00F442A0"/>
    <w:rsid w:val="00F44318"/>
    <w:rsid w:val="00F4443F"/>
    <w:rsid w:val="00F44460"/>
    <w:rsid w:val="00F444A4"/>
    <w:rsid w:val="00F44C5C"/>
    <w:rsid w:val="00F45638"/>
    <w:rsid w:val="00F456F2"/>
    <w:rsid w:val="00F457F8"/>
    <w:rsid w:val="00F457FC"/>
    <w:rsid w:val="00F45A5D"/>
    <w:rsid w:val="00F45AAB"/>
    <w:rsid w:val="00F45B68"/>
    <w:rsid w:val="00F45BBB"/>
    <w:rsid w:val="00F45C36"/>
    <w:rsid w:val="00F462B4"/>
    <w:rsid w:val="00F4633C"/>
    <w:rsid w:val="00F46583"/>
    <w:rsid w:val="00F467B9"/>
    <w:rsid w:val="00F468C6"/>
    <w:rsid w:val="00F4691F"/>
    <w:rsid w:val="00F46AF7"/>
    <w:rsid w:val="00F46F5A"/>
    <w:rsid w:val="00F4724D"/>
    <w:rsid w:val="00F472D4"/>
    <w:rsid w:val="00F47523"/>
    <w:rsid w:val="00F503CE"/>
    <w:rsid w:val="00F504EE"/>
    <w:rsid w:val="00F50599"/>
    <w:rsid w:val="00F50A08"/>
    <w:rsid w:val="00F50B97"/>
    <w:rsid w:val="00F50D36"/>
    <w:rsid w:val="00F50E88"/>
    <w:rsid w:val="00F51001"/>
    <w:rsid w:val="00F51029"/>
    <w:rsid w:val="00F51296"/>
    <w:rsid w:val="00F51497"/>
    <w:rsid w:val="00F514C5"/>
    <w:rsid w:val="00F5175D"/>
    <w:rsid w:val="00F51CC3"/>
    <w:rsid w:val="00F51DC5"/>
    <w:rsid w:val="00F520FA"/>
    <w:rsid w:val="00F522F6"/>
    <w:rsid w:val="00F523C4"/>
    <w:rsid w:val="00F52651"/>
    <w:rsid w:val="00F5267A"/>
    <w:rsid w:val="00F527AB"/>
    <w:rsid w:val="00F52A46"/>
    <w:rsid w:val="00F52E63"/>
    <w:rsid w:val="00F52F18"/>
    <w:rsid w:val="00F5334A"/>
    <w:rsid w:val="00F536F1"/>
    <w:rsid w:val="00F53743"/>
    <w:rsid w:val="00F537E8"/>
    <w:rsid w:val="00F53BC1"/>
    <w:rsid w:val="00F53CA7"/>
    <w:rsid w:val="00F54A6D"/>
    <w:rsid w:val="00F54EC3"/>
    <w:rsid w:val="00F550C1"/>
    <w:rsid w:val="00F55239"/>
    <w:rsid w:val="00F55468"/>
    <w:rsid w:val="00F5576F"/>
    <w:rsid w:val="00F558E2"/>
    <w:rsid w:val="00F55A09"/>
    <w:rsid w:val="00F55C3B"/>
    <w:rsid w:val="00F55C66"/>
    <w:rsid w:val="00F55C91"/>
    <w:rsid w:val="00F55D97"/>
    <w:rsid w:val="00F55E8F"/>
    <w:rsid w:val="00F5609A"/>
    <w:rsid w:val="00F56127"/>
    <w:rsid w:val="00F561DE"/>
    <w:rsid w:val="00F5640B"/>
    <w:rsid w:val="00F564DF"/>
    <w:rsid w:val="00F56C8C"/>
    <w:rsid w:val="00F56FB8"/>
    <w:rsid w:val="00F570F2"/>
    <w:rsid w:val="00F571FB"/>
    <w:rsid w:val="00F57526"/>
    <w:rsid w:val="00F57D6F"/>
    <w:rsid w:val="00F600B3"/>
    <w:rsid w:val="00F609A3"/>
    <w:rsid w:val="00F60C8A"/>
    <w:rsid w:val="00F61153"/>
    <w:rsid w:val="00F6158E"/>
    <w:rsid w:val="00F61922"/>
    <w:rsid w:val="00F619D2"/>
    <w:rsid w:val="00F61A9D"/>
    <w:rsid w:val="00F62262"/>
    <w:rsid w:val="00F622E4"/>
    <w:rsid w:val="00F6244D"/>
    <w:rsid w:val="00F6269A"/>
    <w:rsid w:val="00F6287E"/>
    <w:rsid w:val="00F62CA7"/>
    <w:rsid w:val="00F62D56"/>
    <w:rsid w:val="00F62EDE"/>
    <w:rsid w:val="00F62F8F"/>
    <w:rsid w:val="00F630D3"/>
    <w:rsid w:val="00F632D3"/>
    <w:rsid w:val="00F6349A"/>
    <w:rsid w:val="00F63579"/>
    <w:rsid w:val="00F637DD"/>
    <w:rsid w:val="00F6382C"/>
    <w:rsid w:val="00F639A8"/>
    <w:rsid w:val="00F63B1F"/>
    <w:rsid w:val="00F640F8"/>
    <w:rsid w:val="00F64171"/>
    <w:rsid w:val="00F6417E"/>
    <w:rsid w:val="00F6419C"/>
    <w:rsid w:val="00F64405"/>
    <w:rsid w:val="00F647B7"/>
    <w:rsid w:val="00F64B4E"/>
    <w:rsid w:val="00F64BFE"/>
    <w:rsid w:val="00F64C09"/>
    <w:rsid w:val="00F65165"/>
    <w:rsid w:val="00F651B7"/>
    <w:rsid w:val="00F657F4"/>
    <w:rsid w:val="00F659E7"/>
    <w:rsid w:val="00F659E9"/>
    <w:rsid w:val="00F65DF3"/>
    <w:rsid w:val="00F65FAC"/>
    <w:rsid w:val="00F66205"/>
    <w:rsid w:val="00F66216"/>
    <w:rsid w:val="00F6625D"/>
    <w:rsid w:val="00F66438"/>
    <w:rsid w:val="00F66B12"/>
    <w:rsid w:val="00F66D4C"/>
    <w:rsid w:val="00F66F40"/>
    <w:rsid w:val="00F671D0"/>
    <w:rsid w:val="00F67A85"/>
    <w:rsid w:val="00F67E3E"/>
    <w:rsid w:val="00F70433"/>
    <w:rsid w:val="00F70446"/>
    <w:rsid w:val="00F70487"/>
    <w:rsid w:val="00F70833"/>
    <w:rsid w:val="00F7092E"/>
    <w:rsid w:val="00F709AF"/>
    <w:rsid w:val="00F70DC4"/>
    <w:rsid w:val="00F70FBA"/>
    <w:rsid w:val="00F7115A"/>
    <w:rsid w:val="00F7168A"/>
    <w:rsid w:val="00F71726"/>
    <w:rsid w:val="00F7174A"/>
    <w:rsid w:val="00F718E0"/>
    <w:rsid w:val="00F719D6"/>
    <w:rsid w:val="00F71BF5"/>
    <w:rsid w:val="00F71C18"/>
    <w:rsid w:val="00F721FB"/>
    <w:rsid w:val="00F72416"/>
    <w:rsid w:val="00F72916"/>
    <w:rsid w:val="00F729C4"/>
    <w:rsid w:val="00F72BF4"/>
    <w:rsid w:val="00F72D52"/>
    <w:rsid w:val="00F72F39"/>
    <w:rsid w:val="00F73219"/>
    <w:rsid w:val="00F73660"/>
    <w:rsid w:val="00F736E7"/>
    <w:rsid w:val="00F7378C"/>
    <w:rsid w:val="00F737B3"/>
    <w:rsid w:val="00F73831"/>
    <w:rsid w:val="00F73A4C"/>
    <w:rsid w:val="00F73B50"/>
    <w:rsid w:val="00F743ED"/>
    <w:rsid w:val="00F74AE8"/>
    <w:rsid w:val="00F74BCD"/>
    <w:rsid w:val="00F74D00"/>
    <w:rsid w:val="00F75043"/>
    <w:rsid w:val="00F75094"/>
    <w:rsid w:val="00F75379"/>
    <w:rsid w:val="00F75463"/>
    <w:rsid w:val="00F75EFE"/>
    <w:rsid w:val="00F76232"/>
    <w:rsid w:val="00F7638F"/>
    <w:rsid w:val="00F765FF"/>
    <w:rsid w:val="00F766CA"/>
    <w:rsid w:val="00F76790"/>
    <w:rsid w:val="00F76B53"/>
    <w:rsid w:val="00F76F1D"/>
    <w:rsid w:val="00F76FC2"/>
    <w:rsid w:val="00F77496"/>
    <w:rsid w:val="00F77697"/>
    <w:rsid w:val="00F77A29"/>
    <w:rsid w:val="00F77DE3"/>
    <w:rsid w:val="00F77F6B"/>
    <w:rsid w:val="00F80216"/>
    <w:rsid w:val="00F8043E"/>
    <w:rsid w:val="00F8087B"/>
    <w:rsid w:val="00F80FBE"/>
    <w:rsid w:val="00F80FF8"/>
    <w:rsid w:val="00F818E3"/>
    <w:rsid w:val="00F819FD"/>
    <w:rsid w:val="00F81A0F"/>
    <w:rsid w:val="00F81A42"/>
    <w:rsid w:val="00F81BDC"/>
    <w:rsid w:val="00F81DC0"/>
    <w:rsid w:val="00F81E3B"/>
    <w:rsid w:val="00F81EF9"/>
    <w:rsid w:val="00F81F60"/>
    <w:rsid w:val="00F8204B"/>
    <w:rsid w:val="00F820E7"/>
    <w:rsid w:val="00F8222B"/>
    <w:rsid w:val="00F82609"/>
    <w:rsid w:val="00F82749"/>
    <w:rsid w:val="00F8294C"/>
    <w:rsid w:val="00F83046"/>
    <w:rsid w:val="00F8316E"/>
    <w:rsid w:val="00F83910"/>
    <w:rsid w:val="00F83A32"/>
    <w:rsid w:val="00F83AC1"/>
    <w:rsid w:val="00F83D05"/>
    <w:rsid w:val="00F83E0D"/>
    <w:rsid w:val="00F83E43"/>
    <w:rsid w:val="00F8408F"/>
    <w:rsid w:val="00F84123"/>
    <w:rsid w:val="00F8426D"/>
    <w:rsid w:val="00F84392"/>
    <w:rsid w:val="00F84551"/>
    <w:rsid w:val="00F845D2"/>
    <w:rsid w:val="00F84870"/>
    <w:rsid w:val="00F84B83"/>
    <w:rsid w:val="00F84DF9"/>
    <w:rsid w:val="00F8537E"/>
    <w:rsid w:val="00F8562E"/>
    <w:rsid w:val="00F857B3"/>
    <w:rsid w:val="00F85A38"/>
    <w:rsid w:val="00F85BAA"/>
    <w:rsid w:val="00F85C9A"/>
    <w:rsid w:val="00F85F40"/>
    <w:rsid w:val="00F85F7D"/>
    <w:rsid w:val="00F85FA9"/>
    <w:rsid w:val="00F860E2"/>
    <w:rsid w:val="00F8631C"/>
    <w:rsid w:val="00F86425"/>
    <w:rsid w:val="00F864C1"/>
    <w:rsid w:val="00F864F0"/>
    <w:rsid w:val="00F865BC"/>
    <w:rsid w:val="00F866EE"/>
    <w:rsid w:val="00F87576"/>
    <w:rsid w:val="00F87987"/>
    <w:rsid w:val="00F87C2A"/>
    <w:rsid w:val="00F87CDD"/>
    <w:rsid w:val="00F9002E"/>
    <w:rsid w:val="00F90130"/>
    <w:rsid w:val="00F90184"/>
    <w:rsid w:val="00F90776"/>
    <w:rsid w:val="00F907C4"/>
    <w:rsid w:val="00F90C4E"/>
    <w:rsid w:val="00F90CEA"/>
    <w:rsid w:val="00F90F17"/>
    <w:rsid w:val="00F91163"/>
    <w:rsid w:val="00F912D9"/>
    <w:rsid w:val="00F9141B"/>
    <w:rsid w:val="00F914CB"/>
    <w:rsid w:val="00F916DC"/>
    <w:rsid w:val="00F91812"/>
    <w:rsid w:val="00F91924"/>
    <w:rsid w:val="00F9199D"/>
    <w:rsid w:val="00F919A5"/>
    <w:rsid w:val="00F91AAD"/>
    <w:rsid w:val="00F91E7B"/>
    <w:rsid w:val="00F92064"/>
    <w:rsid w:val="00F92264"/>
    <w:rsid w:val="00F92521"/>
    <w:rsid w:val="00F92694"/>
    <w:rsid w:val="00F927C4"/>
    <w:rsid w:val="00F92850"/>
    <w:rsid w:val="00F92CD6"/>
    <w:rsid w:val="00F92D9E"/>
    <w:rsid w:val="00F9344C"/>
    <w:rsid w:val="00F937DD"/>
    <w:rsid w:val="00F93A4A"/>
    <w:rsid w:val="00F93B1D"/>
    <w:rsid w:val="00F93B84"/>
    <w:rsid w:val="00F93C4D"/>
    <w:rsid w:val="00F93ED6"/>
    <w:rsid w:val="00F93FB6"/>
    <w:rsid w:val="00F940B3"/>
    <w:rsid w:val="00F94386"/>
    <w:rsid w:val="00F945FA"/>
    <w:rsid w:val="00F946E7"/>
    <w:rsid w:val="00F94847"/>
    <w:rsid w:val="00F94905"/>
    <w:rsid w:val="00F949A1"/>
    <w:rsid w:val="00F949F5"/>
    <w:rsid w:val="00F94BE9"/>
    <w:rsid w:val="00F94C34"/>
    <w:rsid w:val="00F94F08"/>
    <w:rsid w:val="00F95269"/>
    <w:rsid w:val="00F95437"/>
    <w:rsid w:val="00F954AA"/>
    <w:rsid w:val="00F95C70"/>
    <w:rsid w:val="00F95FF9"/>
    <w:rsid w:val="00F9614C"/>
    <w:rsid w:val="00F96248"/>
    <w:rsid w:val="00F963DD"/>
    <w:rsid w:val="00F96406"/>
    <w:rsid w:val="00F96944"/>
    <w:rsid w:val="00F96B43"/>
    <w:rsid w:val="00F96B86"/>
    <w:rsid w:val="00F96D5E"/>
    <w:rsid w:val="00F977C1"/>
    <w:rsid w:val="00F97866"/>
    <w:rsid w:val="00F97A80"/>
    <w:rsid w:val="00F97C7E"/>
    <w:rsid w:val="00FA027A"/>
    <w:rsid w:val="00FA06CA"/>
    <w:rsid w:val="00FA0E2C"/>
    <w:rsid w:val="00FA1210"/>
    <w:rsid w:val="00FA14A9"/>
    <w:rsid w:val="00FA18DF"/>
    <w:rsid w:val="00FA1B4A"/>
    <w:rsid w:val="00FA1BA0"/>
    <w:rsid w:val="00FA1C4A"/>
    <w:rsid w:val="00FA1E4A"/>
    <w:rsid w:val="00FA1E69"/>
    <w:rsid w:val="00FA21A0"/>
    <w:rsid w:val="00FA2740"/>
    <w:rsid w:val="00FA28B8"/>
    <w:rsid w:val="00FA2EA5"/>
    <w:rsid w:val="00FA32E0"/>
    <w:rsid w:val="00FA3445"/>
    <w:rsid w:val="00FA3B4B"/>
    <w:rsid w:val="00FA424C"/>
    <w:rsid w:val="00FA487A"/>
    <w:rsid w:val="00FA495A"/>
    <w:rsid w:val="00FA4B56"/>
    <w:rsid w:val="00FA4DAD"/>
    <w:rsid w:val="00FA532E"/>
    <w:rsid w:val="00FA53A6"/>
    <w:rsid w:val="00FA53F3"/>
    <w:rsid w:val="00FA5427"/>
    <w:rsid w:val="00FA5A45"/>
    <w:rsid w:val="00FA6154"/>
    <w:rsid w:val="00FA6178"/>
    <w:rsid w:val="00FA64F5"/>
    <w:rsid w:val="00FA65D0"/>
    <w:rsid w:val="00FA67C8"/>
    <w:rsid w:val="00FA69B3"/>
    <w:rsid w:val="00FA6A12"/>
    <w:rsid w:val="00FA6D18"/>
    <w:rsid w:val="00FA7100"/>
    <w:rsid w:val="00FA796C"/>
    <w:rsid w:val="00FA7A39"/>
    <w:rsid w:val="00FA7CA7"/>
    <w:rsid w:val="00FA7D6F"/>
    <w:rsid w:val="00FB0119"/>
    <w:rsid w:val="00FB01AE"/>
    <w:rsid w:val="00FB047F"/>
    <w:rsid w:val="00FB0485"/>
    <w:rsid w:val="00FB05DE"/>
    <w:rsid w:val="00FB07C7"/>
    <w:rsid w:val="00FB07FE"/>
    <w:rsid w:val="00FB0902"/>
    <w:rsid w:val="00FB10DC"/>
    <w:rsid w:val="00FB1313"/>
    <w:rsid w:val="00FB1384"/>
    <w:rsid w:val="00FB15FB"/>
    <w:rsid w:val="00FB174F"/>
    <w:rsid w:val="00FB188A"/>
    <w:rsid w:val="00FB188C"/>
    <w:rsid w:val="00FB1FC8"/>
    <w:rsid w:val="00FB217D"/>
    <w:rsid w:val="00FB2474"/>
    <w:rsid w:val="00FB2672"/>
    <w:rsid w:val="00FB28CA"/>
    <w:rsid w:val="00FB2F32"/>
    <w:rsid w:val="00FB3048"/>
    <w:rsid w:val="00FB3078"/>
    <w:rsid w:val="00FB33E0"/>
    <w:rsid w:val="00FB33E8"/>
    <w:rsid w:val="00FB33F0"/>
    <w:rsid w:val="00FB397E"/>
    <w:rsid w:val="00FB399C"/>
    <w:rsid w:val="00FB3A68"/>
    <w:rsid w:val="00FB3BBC"/>
    <w:rsid w:val="00FB3CB8"/>
    <w:rsid w:val="00FB3D37"/>
    <w:rsid w:val="00FB3E3F"/>
    <w:rsid w:val="00FB3FD0"/>
    <w:rsid w:val="00FB40DA"/>
    <w:rsid w:val="00FB42C3"/>
    <w:rsid w:val="00FB43B0"/>
    <w:rsid w:val="00FB46D9"/>
    <w:rsid w:val="00FB4C02"/>
    <w:rsid w:val="00FB56FE"/>
    <w:rsid w:val="00FB59D0"/>
    <w:rsid w:val="00FB5B9A"/>
    <w:rsid w:val="00FB5CC3"/>
    <w:rsid w:val="00FB6636"/>
    <w:rsid w:val="00FB6A47"/>
    <w:rsid w:val="00FB6A72"/>
    <w:rsid w:val="00FB6B10"/>
    <w:rsid w:val="00FB6C8E"/>
    <w:rsid w:val="00FB6F0B"/>
    <w:rsid w:val="00FB6F6A"/>
    <w:rsid w:val="00FB6FC0"/>
    <w:rsid w:val="00FB7068"/>
    <w:rsid w:val="00FB7269"/>
    <w:rsid w:val="00FB7341"/>
    <w:rsid w:val="00FB77B0"/>
    <w:rsid w:val="00FB7BA9"/>
    <w:rsid w:val="00FB7BC7"/>
    <w:rsid w:val="00FB7DC8"/>
    <w:rsid w:val="00FB7F19"/>
    <w:rsid w:val="00FC01EE"/>
    <w:rsid w:val="00FC02E5"/>
    <w:rsid w:val="00FC0305"/>
    <w:rsid w:val="00FC0588"/>
    <w:rsid w:val="00FC07B4"/>
    <w:rsid w:val="00FC0984"/>
    <w:rsid w:val="00FC09AC"/>
    <w:rsid w:val="00FC0AB3"/>
    <w:rsid w:val="00FC0CDA"/>
    <w:rsid w:val="00FC1392"/>
    <w:rsid w:val="00FC1697"/>
    <w:rsid w:val="00FC1919"/>
    <w:rsid w:val="00FC1B23"/>
    <w:rsid w:val="00FC1BC1"/>
    <w:rsid w:val="00FC2109"/>
    <w:rsid w:val="00FC21C3"/>
    <w:rsid w:val="00FC22B5"/>
    <w:rsid w:val="00FC2832"/>
    <w:rsid w:val="00FC2A9F"/>
    <w:rsid w:val="00FC2C4F"/>
    <w:rsid w:val="00FC2F24"/>
    <w:rsid w:val="00FC2F27"/>
    <w:rsid w:val="00FC318C"/>
    <w:rsid w:val="00FC33EC"/>
    <w:rsid w:val="00FC3858"/>
    <w:rsid w:val="00FC389E"/>
    <w:rsid w:val="00FC3AF8"/>
    <w:rsid w:val="00FC3F4F"/>
    <w:rsid w:val="00FC413C"/>
    <w:rsid w:val="00FC46FF"/>
    <w:rsid w:val="00FC4878"/>
    <w:rsid w:val="00FC57BB"/>
    <w:rsid w:val="00FC582C"/>
    <w:rsid w:val="00FC5978"/>
    <w:rsid w:val="00FC5BC9"/>
    <w:rsid w:val="00FC5C96"/>
    <w:rsid w:val="00FC5E40"/>
    <w:rsid w:val="00FC5E87"/>
    <w:rsid w:val="00FC6216"/>
    <w:rsid w:val="00FC6C5F"/>
    <w:rsid w:val="00FC7045"/>
    <w:rsid w:val="00FC7125"/>
    <w:rsid w:val="00FC727C"/>
    <w:rsid w:val="00FC763D"/>
    <w:rsid w:val="00FC786C"/>
    <w:rsid w:val="00FC787B"/>
    <w:rsid w:val="00FC794D"/>
    <w:rsid w:val="00FC7B94"/>
    <w:rsid w:val="00FC7EB9"/>
    <w:rsid w:val="00FC7EE9"/>
    <w:rsid w:val="00FD05A4"/>
    <w:rsid w:val="00FD07DF"/>
    <w:rsid w:val="00FD0937"/>
    <w:rsid w:val="00FD094A"/>
    <w:rsid w:val="00FD0970"/>
    <w:rsid w:val="00FD09A3"/>
    <w:rsid w:val="00FD0A85"/>
    <w:rsid w:val="00FD0C5D"/>
    <w:rsid w:val="00FD0DF7"/>
    <w:rsid w:val="00FD1002"/>
    <w:rsid w:val="00FD12D0"/>
    <w:rsid w:val="00FD1490"/>
    <w:rsid w:val="00FD1547"/>
    <w:rsid w:val="00FD16E0"/>
    <w:rsid w:val="00FD178A"/>
    <w:rsid w:val="00FD1A32"/>
    <w:rsid w:val="00FD1A9E"/>
    <w:rsid w:val="00FD1D93"/>
    <w:rsid w:val="00FD2115"/>
    <w:rsid w:val="00FD228A"/>
    <w:rsid w:val="00FD22BB"/>
    <w:rsid w:val="00FD2314"/>
    <w:rsid w:val="00FD24EE"/>
    <w:rsid w:val="00FD28F4"/>
    <w:rsid w:val="00FD292D"/>
    <w:rsid w:val="00FD29E2"/>
    <w:rsid w:val="00FD2B5D"/>
    <w:rsid w:val="00FD2C14"/>
    <w:rsid w:val="00FD2CEB"/>
    <w:rsid w:val="00FD348F"/>
    <w:rsid w:val="00FD39DE"/>
    <w:rsid w:val="00FD3AB3"/>
    <w:rsid w:val="00FD3F67"/>
    <w:rsid w:val="00FD4221"/>
    <w:rsid w:val="00FD466A"/>
    <w:rsid w:val="00FD49A9"/>
    <w:rsid w:val="00FD4B3F"/>
    <w:rsid w:val="00FD4D5B"/>
    <w:rsid w:val="00FD5843"/>
    <w:rsid w:val="00FD5A22"/>
    <w:rsid w:val="00FD5A45"/>
    <w:rsid w:val="00FD5A76"/>
    <w:rsid w:val="00FD5B21"/>
    <w:rsid w:val="00FD5B91"/>
    <w:rsid w:val="00FD6129"/>
    <w:rsid w:val="00FD6450"/>
    <w:rsid w:val="00FD64AC"/>
    <w:rsid w:val="00FD65BF"/>
    <w:rsid w:val="00FD698F"/>
    <w:rsid w:val="00FD6B89"/>
    <w:rsid w:val="00FD6DFF"/>
    <w:rsid w:val="00FD724E"/>
    <w:rsid w:val="00FD73EB"/>
    <w:rsid w:val="00FD73FB"/>
    <w:rsid w:val="00FD7617"/>
    <w:rsid w:val="00FD7A23"/>
    <w:rsid w:val="00FD7B48"/>
    <w:rsid w:val="00FD7B58"/>
    <w:rsid w:val="00FD7D54"/>
    <w:rsid w:val="00FE0281"/>
    <w:rsid w:val="00FE0394"/>
    <w:rsid w:val="00FE0556"/>
    <w:rsid w:val="00FE06CD"/>
    <w:rsid w:val="00FE0982"/>
    <w:rsid w:val="00FE09C1"/>
    <w:rsid w:val="00FE0ADA"/>
    <w:rsid w:val="00FE0CF2"/>
    <w:rsid w:val="00FE1039"/>
    <w:rsid w:val="00FE1337"/>
    <w:rsid w:val="00FE16A9"/>
    <w:rsid w:val="00FE195D"/>
    <w:rsid w:val="00FE1ADB"/>
    <w:rsid w:val="00FE1CDE"/>
    <w:rsid w:val="00FE1D7B"/>
    <w:rsid w:val="00FE1DCC"/>
    <w:rsid w:val="00FE21B5"/>
    <w:rsid w:val="00FE26BF"/>
    <w:rsid w:val="00FE347A"/>
    <w:rsid w:val="00FE3C07"/>
    <w:rsid w:val="00FE3D63"/>
    <w:rsid w:val="00FE3DC3"/>
    <w:rsid w:val="00FE3E6B"/>
    <w:rsid w:val="00FE4418"/>
    <w:rsid w:val="00FE4584"/>
    <w:rsid w:val="00FE4CA5"/>
    <w:rsid w:val="00FE4D15"/>
    <w:rsid w:val="00FE503F"/>
    <w:rsid w:val="00FE5280"/>
    <w:rsid w:val="00FE52DC"/>
    <w:rsid w:val="00FE574E"/>
    <w:rsid w:val="00FE5829"/>
    <w:rsid w:val="00FE586C"/>
    <w:rsid w:val="00FE58F3"/>
    <w:rsid w:val="00FE5B46"/>
    <w:rsid w:val="00FE5BC1"/>
    <w:rsid w:val="00FE5D47"/>
    <w:rsid w:val="00FE5EBB"/>
    <w:rsid w:val="00FE6289"/>
    <w:rsid w:val="00FE644E"/>
    <w:rsid w:val="00FE69F6"/>
    <w:rsid w:val="00FE6BE1"/>
    <w:rsid w:val="00FE6C33"/>
    <w:rsid w:val="00FE6DD2"/>
    <w:rsid w:val="00FE6E24"/>
    <w:rsid w:val="00FE7284"/>
    <w:rsid w:val="00FE746D"/>
    <w:rsid w:val="00FE752A"/>
    <w:rsid w:val="00FE78A5"/>
    <w:rsid w:val="00FE7B82"/>
    <w:rsid w:val="00FF001C"/>
    <w:rsid w:val="00FF059A"/>
    <w:rsid w:val="00FF0616"/>
    <w:rsid w:val="00FF06A7"/>
    <w:rsid w:val="00FF08A2"/>
    <w:rsid w:val="00FF0BB4"/>
    <w:rsid w:val="00FF1097"/>
    <w:rsid w:val="00FF1415"/>
    <w:rsid w:val="00FF14E2"/>
    <w:rsid w:val="00FF1504"/>
    <w:rsid w:val="00FF1791"/>
    <w:rsid w:val="00FF180F"/>
    <w:rsid w:val="00FF1854"/>
    <w:rsid w:val="00FF1A49"/>
    <w:rsid w:val="00FF1C60"/>
    <w:rsid w:val="00FF2001"/>
    <w:rsid w:val="00FF206E"/>
    <w:rsid w:val="00FF20D2"/>
    <w:rsid w:val="00FF23FA"/>
    <w:rsid w:val="00FF2766"/>
    <w:rsid w:val="00FF2768"/>
    <w:rsid w:val="00FF2864"/>
    <w:rsid w:val="00FF2A96"/>
    <w:rsid w:val="00FF2C41"/>
    <w:rsid w:val="00FF2ECF"/>
    <w:rsid w:val="00FF2F78"/>
    <w:rsid w:val="00FF2F96"/>
    <w:rsid w:val="00FF3062"/>
    <w:rsid w:val="00FF333D"/>
    <w:rsid w:val="00FF33B9"/>
    <w:rsid w:val="00FF340E"/>
    <w:rsid w:val="00FF37FE"/>
    <w:rsid w:val="00FF3A6D"/>
    <w:rsid w:val="00FF3B99"/>
    <w:rsid w:val="00FF3CFF"/>
    <w:rsid w:val="00FF3D17"/>
    <w:rsid w:val="00FF3EF8"/>
    <w:rsid w:val="00FF404A"/>
    <w:rsid w:val="00FF4085"/>
    <w:rsid w:val="00FF4489"/>
    <w:rsid w:val="00FF46E7"/>
    <w:rsid w:val="00FF4BB2"/>
    <w:rsid w:val="00FF4C8B"/>
    <w:rsid w:val="00FF4CA8"/>
    <w:rsid w:val="00FF4EB9"/>
    <w:rsid w:val="00FF4EBF"/>
    <w:rsid w:val="00FF525D"/>
    <w:rsid w:val="00FF538B"/>
    <w:rsid w:val="00FF5488"/>
    <w:rsid w:val="00FF5945"/>
    <w:rsid w:val="00FF5970"/>
    <w:rsid w:val="00FF5BF0"/>
    <w:rsid w:val="00FF5D6D"/>
    <w:rsid w:val="00FF6127"/>
    <w:rsid w:val="00FF6339"/>
    <w:rsid w:val="00FF643D"/>
    <w:rsid w:val="00FF6677"/>
    <w:rsid w:val="00FF6B40"/>
    <w:rsid w:val="00FF6C98"/>
    <w:rsid w:val="00FF6CFC"/>
    <w:rsid w:val="00FF6F6D"/>
    <w:rsid w:val="00FF72EC"/>
    <w:rsid w:val="00FF73BE"/>
    <w:rsid w:val="00FF74D6"/>
    <w:rsid w:val="00FF7620"/>
    <w:rsid w:val="00FF7975"/>
    <w:rsid w:val="00FF7B38"/>
    <w:rsid w:val="00FF7B5B"/>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8273"/>
    <o:shapelayout v:ext="edit">
      <o:idmap v:ext="edit" data="1"/>
    </o:shapelayout>
  </w:shapeDefaults>
  <w:decimalSymbol w:val=","/>
  <w:listSeparator w:val=";"/>
  <w14:docId w14:val="72808A3E"/>
  <w15:docId w15:val="{889DEE81-5DEF-427E-A8B6-E2FC474A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2AA"/>
    <w:rPr>
      <w:sz w:val="20"/>
      <w:szCs w:val="20"/>
    </w:rPr>
  </w:style>
  <w:style w:type="paragraph" w:styleId="Ttulo1">
    <w:name w:val="heading 1"/>
    <w:basedOn w:val="Normal"/>
    <w:next w:val="Normal"/>
    <w:link w:val="Ttulo1Char"/>
    <w:uiPriority w:val="99"/>
    <w:qFormat/>
    <w:rsid w:val="002020EC"/>
    <w:pPr>
      <w:keepNext/>
      <w:jc w:val="center"/>
      <w:outlineLvl w:val="0"/>
    </w:pPr>
    <w:rPr>
      <w:b/>
    </w:rPr>
  </w:style>
  <w:style w:type="paragraph" w:styleId="Ttulo2">
    <w:name w:val="heading 2"/>
    <w:basedOn w:val="Normal"/>
    <w:next w:val="Normal"/>
    <w:link w:val="Ttulo2Char"/>
    <w:uiPriority w:val="99"/>
    <w:qFormat/>
    <w:rsid w:val="002020EC"/>
    <w:pPr>
      <w:keepNext/>
      <w:jc w:val="both"/>
      <w:outlineLvl w:val="1"/>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2A003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2A0035"/>
    <w:rPr>
      <w:rFonts w:ascii="Cambria" w:hAnsi="Cambria" w:cs="Times New Roman"/>
      <w:b/>
      <w:bCs/>
      <w:i/>
      <w:iCs/>
      <w:sz w:val="28"/>
      <w:szCs w:val="28"/>
    </w:rPr>
  </w:style>
  <w:style w:type="paragraph" w:styleId="Rodap">
    <w:name w:val="footer"/>
    <w:basedOn w:val="Normal"/>
    <w:link w:val="RodapChar"/>
    <w:uiPriority w:val="99"/>
    <w:rsid w:val="002020EC"/>
    <w:pPr>
      <w:tabs>
        <w:tab w:val="center" w:pos="4419"/>
        <w:tab w:val="right" w:pos="8838"/>
      </w:tabs>
    </w:pPr>
  </w:style>
  <w:style w:type="character" w:customStyle="1" w:styleId="RodapChar">
    <w:name w:val="Rodapé Char"/>
    <w:basedOn w:val="Fontepargpadro"/>
    <w:link w:val="Rodap"/>
    <w:uiPriority w:val="99"/>
    <w:locked/>
    <w:rsid w:val="002A0035"/>
    <w:rPr>
      <w:rFonts w:cs="Times New Roman"/>
    </w:rPr>
  </w:style>
  <w:style w:type="character" w:styleId="Nmerodepgina">
    <w:name w:val="page number"/>
    <w:basedOn w:val="Fontepargpadro"/>
    <w:uiPriority w:val="99"/>
    <w:rsid w:val="002020EC"/>
    <w:rPr>
      <w:rFonts w:cs="Times New Roman"/>
    </w:rPr>
  </w:style>
  <w:style w:type="paragraph" w:styleId="Recuodecorpodetexto">
    <w:name w:val="Body Text Indent"/>
    <w:basedOn w:val="Normal"/>
    <w:link w:val="RecuodecorpodetextoChar"/>
    <w:uiPriority w:val="99"/>
    <w:rsid w:val="002020EC"/>
    <w:pPr>
      <w:ind w:left="1065"/>
      <w:jc w:val="both"/>
    </w:pPr>
  </w:style>
  <w:style w:type="character" w:customStyle="1" w:styleId="RecuodecorpodetextoChar">
    <w:name w:val="Recuo de corpo de texto Char"/>
    <w:basedOn w:val="Fontepargpadro"/>
    <w:link w:val="Recuodecorpodetexto"/>
    <w:uiPriority w:val="99"/>
    <w:semiHidden/>
    <w:locked/>
    <w:rsid w:val="002A0035"/>
    <w:rPr>
      <w:rFonts w:cs="Times New Roman"/>
    </w:rPr>
  </w:style>
  <w:style w:type="paragraph" w:styleId="Cabealho">
    <w:name w:val="header"/>
    <w:basedOn w:val="Normal"/>
    <w:link w:val="CabealhoChar"/>
    <w:uiPriority w:val="99"/>
    <w:rsid w:val="002020EC"/>
    <w:pPr>
      <w:tabs>
        <w:tab w:val="center" w:pos="4419"/>
        <w:tab w:val="right" w:pos="8838"/>
      </w:tabs>
    </w:pPr>
  </w:style>
  <w:style w:type="character" w:customStyle="1" w:styleId="CabealhoChar">
    <w:name w:val="Cabeçalho Char"/>
    <w:basedOn w:val="Fontepargpadro"/>
    <w:link w:val="Cabealho"/>
    <w:uiPriority w:val="99"/>
    <w:locked/>
    <w:rsid w:val="002A0035"/>
    <w:rPr>
      <w:rFonts w:cs="Times New Roman"/>
    </w:rPr>
  </w:style>
  <w:style w:type="character" w:styleId="Hyperlink">
    <w:name w:val="Hyperlink"/>
    <w:basedOn w:val="Fontepargpadro"/>
    <w:uiPriority w:val="99"/>
    <w:rsid w:val="007F1D0F"/>
    <w:rPr>
      <w:rFonts w:cs="Times New Roman"/>
      <w:color w:val="0000FF"/>
      <w:u w:val="single"/>
    </w:rPr>
  </w:style>
  <w:style w:type="paragraph" w:styleId="Textodebalo">
    <w:name w:val="Balloon Text"/>
    <w:basedOn w:val="Normal"/>
    <w:link w:val="TextodebaloChar"/>
    <w:uiPriority w:val="99"/>
    <w:semiHidden/>
    <w:rsid w:val="002020EC"/>
    <w:rPr>
      <w:rFonts w:ascii="Tahoma" w:hAnsi="Tahoma" w:cs="Tahoma"/>
      <w:sz w:val="16"/>
      <w:szCs w:val="16"/>
    </w:rPr>
  </w:style>
  <w:style w:type="character" w:customStyle="1" w:styleId="TextodebaloChar">
    <w:name w:val="Texto de balão Char"/>
    <w:basedOn w:val="Fontepargpadro"/>
    <w:link w:val="Textodebalo"/>
    <w:uiPriority w:val="99"/>
    <w:semiHidden/>
    <w:locked/>
    <w:rsid w:val="002A0035"/>
    <w:rPr>
      <w:rFonts w:cs="Times New Roman"/>
      <w:sz w:val="2"/>
    </w:rPr>
  </w:style>
  <w:style w:type="table" w:styleId="Tabelacomgrade">
    <w:name w:val="Table Grid"/>
    <w:basedOn w:val="Tabelanormal"/>
    <w:rsid w:val="004046D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009C5"/>
    <w:rPr>
      <w:sz w:val="20"/>
      <w:szCs w:val="20"/>
    </w:rPr>
  </w:style>
  <w:style w:type="character" w:styleId="Refdecomentrio">
    <w:name w:val="annotation reference"/>
    <w:basedOn w:val="Fontepargpadro"/>
    <w:uiPriority w:val="99"/>
    <w:rsid w:val="00F055B8"/>
    <w:rPr>
      <w:rFonts w:cs="Times New Roman"/>
      <w:sz w:val="16"/>
      <w:szCs w:val="16"/>
    </w:rPr>
  </w:style>
  <w:style w:type="paragraph" w:styleId="Textodecomentrio">
    <w:name w:val="annotation text"/>
    <w:basedOn w:val="Normal"/>
    <w:link w:val="TextodecomentrioChar"/>
    <w:uiPriority w:val="99"/>
    <w:rsid w:val="00F055B8"/>
  </w:style>
  <w:style w:type="character" w:customStyle="1" w:styleId="TextodecomentrioChar">
    <w:name w:val="Texto de comentário Char"/>
    <w:basedOn w:val="Fontepargpadro"/>
    <w:link w:val="Textodecomentrio"/>
    <w:uiPriority w:val="99"/>
    <w:locked/>
    <w:rsid w:val="00F055B8"/>
    <w:rPr>
      <w:rFonts w:cs="Times New Roman"/>
    </w:rPr>
  </w:style>
  <w:style w:type="paragraph" w:styleId="Assuntodocomentrio">
    <w:name w:val="annotation subject"/>
    <w:basedOn w:val="Textodecomentrio"/>
    <w:next w:val="Textodecomentrio"/>
    <w:link w:val="AssuntodocomentrioChar"/>
    <w:uiPriority w:val="99"/>
    <w:rsid w:val="00F055B8"/>
    <w:rPr>
      <w:b/>
      <w:bCs/>
    </w:rPr>
  </w:style>
  <w:style w:type="character" w:customStyle="1" w:styleId="AssuntodocomentrioChar">
    <w:name w:val="Assunto do comentário Char"/>
    <w:basedOn w:val="TextodecomentrioChar"/>
    <w:link w:val="Assuntodocomentrio"/>
    <w:uiPriority w:val="99"/>
    <w:locked/>
    <w:rsid w:val="00F055B8"/>
    <w:rPr>
      <w:rFonts w:cs="Times New Roman"/>
      <w:b/>
      <w:bCs/>
    </w:rPr>
  </w:style>
  <w:style w:type="paragraph" w:styleId="PargrafodaLista">
    <w:name w:val="List Paragraph"/>
    <w:basedOn w:val="Normal"/>
    <w:uiPriority w:val="34"/>
    <w:qFormat/>
    <w:rsid w:val="00CA6751"/>
    <w:pPr>
      <w:ind w:left="708"/>
    </w:pPr>
  </w:style>
  <w:style w:type="paragraph" w:styleId="NormalWeb">
    <w:name w:val="Normal (Web)"/>
    <w:basedOn w:val="Normal"/>
    <w:uiPriority w:val="99"/>
    <w:rsid w:val="003009C5"/>
    <w:pPr>
      <w:autoSpaceDE w:val="0"/>
      <w:autoSpaceDN w:val="0"/>
      <w:spacing w:before="100" w:after="100"/>
    </w:pPr>
    <w:rPr>
      <w:sz w:val="24"/>
      <w:szCs w:val="24"/>
      <w:lang w:val="en-GB"/>
    </w:rPr>
  </w:style>
  <w:style w:type="paragraph" w:styleId="MapadoDocumento">
    <w:name w:val="Document Map"/>
    <w:basedOn w:val="Normal"/>
    <w:link w:val="MapadoDocumentoChar"/>
    <w:uiPriority w:val="99"/>
    <w:semiHidden/>
    <w:rsid w:val="00810E25"/>
    <w:pPr>
      <w:shd w:val="clear" w:color="auto" w:fill="000080"/>
    </w:pPr>
    <w:rPr>
      <w:rFonts w:ascii="Tahoma" w:hAnsi="Tahoma" w:cs="Tahoma"/>
    </w:rPr>
  </w:style>
  <w:style w:type="character" w:customStyle="1" w:styleId="MapadoDocumentoChar">
    <w:name w:val="Mapa do Documento Char"/>
    <w:basedOn w:val="Fontepargpadro"/>
    <w:link w:val="MapadoDocumento"/>
    <w:uiPriority w:val="99"/>
    <w:semiHidden/>
    <w:locked/>
    <w:rsid w:val="002A0035"/>
    <w:rPr>
      <w:rFonts w:cs="Times New Roman"/>
      <w:sz w:val="2"/>
    </w:rPr>
  </w:style>
  <w:style w:type="character" w:styleId="Forte">
    <w:name w:val="Strong"/>
    <w:basedOn w:val="Fontepargpadro"/>
    <w:uiPriority w:val="22"/>
    <w:qFormat/>
    <w:locked/>
    <w:rsid w:val="00740490"/>
    <w:rPr>
      <w:rFonts w:cs="Times New Roman"/>
      <w:b/>
      <w:bCs/>
    </w:rPr>
  </w:style>
  <w:style w:type="paragraph" w:customStyle="1" w:styleId="EstilodireitaPadroTransparenteBranco">
    <w:name w:val="Estilo À direita Padrão: Transparente (Branco)"/>
    <w:basedOn w:val="Normal"/>
    <w:uiPriority w:val="99"/>
    <w:rsid w:val="00873779"/>
    <w:pPr>
      <w:shd w:val="clear" w:color="auto" w:fill="FFFFFF"/>
      <w:jc w:val="right"/>
    </w:pPr>
    <w:rPr>
      <w:shd w:val="clear" w:color="auto" w:fill="FFFFFF"/>
    </w:rPr>
  </w:style>
  <w:style w:type="paragraph" w:customStyle="1" w:styleId="Reviso1">
    <w:name w:val="Revisão1"/>
    <w:hidden/>
    <w:uiPriority w:val="99"/>
    <w:semiHidden/>
    <w:rsid w:val="00B20F98"/>
    <w:rPr>
      <w:sz w:val="20"/>
      <w:szCs w:val="20"/>
    </w:rPr>
  </w:style>
  <w:style w:type="paragraph" w:customStyle="1" w:styleId="PargrafodaLista1">
    <w:name w:val="Parágrafo da Lista1"/>
    <w:basedOn w:val="Normal"/>
    <w:uiPriority w:val="99"/>
    <w:qFormat/>
    <w:rsid w:val="00B20F98"/>
    <w:pPr>
      <w:ind w:left="708"/>
    </w:pPr>
  </w:style>
  <w:style w:type="paragraph" w:styleId="Textodenotaderodap">
    <w:name w:val="footnote text"/>
    <w:basedOn w:val="Normal"/>
    <w:link w:val="TextodenotaderodapChar"/>
    <w:uiPriority w:val="99"/>
    <w:semiHidden/>
    <w:rsid w:val="00196D9E"/>
    <w:rPr>
      <w:rFonts w:eastAsia="SimSun"/>
      <w:lang w:val="en-GB" w:eastAsia="zh-CN"/>
    </w:rPr>
  </w:style>
  <w:style w:type="character" w:customStyle="1" w:styleId="TextodenotaderodapChar">
    <w:name w:val="Texto de nota de rodapé Char"/>
    <w:basedOn w:val="Fontepargpadro"/>
    <w:link w:val="Textodenotaderodap"/>
    <w:uiPriority w:val="99"/>
    <w:semiHidden/>
    <w:rsid w:val="00196D9E"/>
    <w:rPr>
      <w:rFonts w:eastAsia="SimSun"/>
      <w:sz w:val="20"/>
      <w:szCs w:val="20"/>
      <w:lang w:val="en-GB" w:eastAsia="zh-CN"/>
    </w:rPr>
  </w:style>
  <w:style w:type="character" w:styleId="Refdenotaderodap">
    <w:name w:val="footnote reference"/>
    <w:basedOn w:val="Fontepargpadro"/>
    <w:uiPriority w:val="99"/>
    <w:semiHidden/>
    <w:rsid w:val="00196D9E"/>
    <w:rPr>
      <w:vertAlign w:val="superscript"/>
    </w:rPr>
  </w:style>
  <w:style w:type="character" w:styleId="nfase">
    <w:name w:val="Emphasis"/>
    <w:basedOn w:val="Fontepargpadro"/>
    <w:uiPriority w:val="20"/>
    <w:qFormat/>
    <w:locked/>
    <w:rsid w:val="00D92A4D"/>
    <w:rPr>
      <w:i/>
      <w:iCs/>
    </w:rPr>
  </w:style>
  <w:style w:type="paragraph" w:styleId="SemEspaamento">
    <w:name w:val="No Spacing"/>
    <w:link w:val="SemEspaamentoChar"/>
    <w:uiPriority w:val="1"/>
    <w:qFormat/>
    <w:rsid w:val="00766A1F"/>
    <w:rPr>
      <w:rFonts w:asciiTheme="minorHAnsi" w:eastAsiaTheme="minorEastAsia" w:hAnsiTheme="minorHAnsi" w:cstheme="minorBidi"/>
    </w:rPr>
  </w:style>
  <w:style w:type="character" w:customStyle="1" w:styleId="SemEspaamentoChar">
    <w:name w:val="Sem Espaçamento Char"/>
    <w:basedOn w:val="Fontepargpadro"/>
    <w:link w:val="SemEspaamento"/>
    <w:uiPriority w:val="1"/>
    <w:rsid w:val="00766A1F"/>
    <w:rPr>
      <w:rFonts w:asciiTheme="minorHAnsi" w:eastAsiaTheme="minorEastAsia" w:hAnsiTheme="minorHAnsi" w:cstheme="minorBidi"/>
    </w:rPr>
  </w:style>
  <w:style w:type="paragraph" w:customStyle="1" w:styleId="DSLxStyle">
    <w:name w:val="DSLxStyle"/>
    <w:basedOn w:val="Normal"/>
    <w:link w:val="DSLxStyleChar"/>
    <w:rsid w:val="00766A1F"/>
    <w:pPr>
      <w:tabs>
        <w:tab w:val="left" w:pos="2977"/>
      </w:tabs>
      <w:jc w:val="right"/>
    </w:pPr>
    <w:rPr>
      <w:rFonts w:ascii="Georgia" w:eastAsia="SimSun" w:hAnsi="Georgia" w:cs="Arial"/>
      <w:color w:val="666666"/>
      <w:sz w:val="12"/>
      <w:szCs w:val="18"/>
      <w:lang w:eastAsia="zh-CN"/>
    </w:rPr>
  </w:style>
  <w:style w:type="character" w:customStyle="1" w:styleId="DSLxStyleChar">
    <w:name w:val="DSLxStyle Char"/>
    <w:basedOn w:val="Fontepargpadro"/>
    <w:link w:val="DSLxStyle"/>
    <w:rsid w:val="00766A1F"/>
    <w:rPr>
      <w:rFonts w:ascii="Georgia" w:eastAsia="SimSun" w:hAnsi="Georgia" w:cs="Arial"/>
      <w:color w:val="666666"/>
      <w:sz w:val="12"/>
      <w:szCs w:val="18"/>
      <w:lang w:eastAsia="zh-CN"/>
    </w:rPr>
  </w:style>
  <w:style w:type="paragraph" w:styleId="Sumrio1">
    <w:name w:val="toc 1"/>
    <w:basedOn w:val="Normal"/>
    <w:next w:val="Normal"/>
    <w:autoRedefine/>
    <w:uiPriority w:val="39"/>
    <w:qFormat/>
    <w:locked/>
    <w:rsid w:val="00EF655B"/>
    <w:pPr>
      <w:tabs>
        <w:tab w:val="left" w:pos="-284"/>
        <w:tab w:val="right" w:leader="dot" w:pos="9214"/>
      </w:tabs>
      <w:spacing w:before="120"/>
      <w:ind w:left="-567"/>
    </w:pPr>
    <w:rPr>
      <w:bCs/>
      <w:caps/>
      <w:noProof/>
    </w:rPr>
  </w:style>
  <w:style w:type="paragraph" w:styleId="Sumrio2">
    <w:name w:val="toc 2"/>
    <w:basedOn w:val="Normal"/>
    <w:next w:val="Normal"/>
    <w:autoRedefine/>
    <w:uiPriority w:val="39"/>
    <w:qFormat/>
    <w:locked/>
    <w:rsid w:val="0089602D"/>
    <w:pPr>
      <w:spacing w:before="240"/>
    </w:pPr>
    <w:rPr>
      <w:rFonts w:asciiTheme="minorHAnsi" w:hAnsiTheme="minorHAnsi"/>
      <w:b/>
      <w:bCs/>
    </w:rPr>
  </w:style>
  <w:style w:type="paragraph" w:styleId="Sumrio3">
    <w:name w:val="toc 3"/>
    <w:basedOn w:val="Normal"/>
    <w:next w:val="Normal"/>
    <w:autoRedefine/>
    <w:uiPriority w:val="39"/>
    <w:qFormat/>
    <w:locked/>
    <w:rsid w:val="0089602D"/>
    <w:pPr>
      <w:ind w:left="200"/>
    </w:pPr>
    <w:rPr>
      <w:rFonts w:asciiTheme="minorHAnsi" w:hAnsiTheme="minorHAnsi"/>
    </w:rPr>
  </w:style>
  <w:style w:type="paragraph" w:styleId="Sumrio4">
    <w:name w:val="toc 4"/>
    <w:basedOn w:val="Normal"/>
    <w:next w:val="Normal"/>
    <w:autoRedefine/>
    <w:locked/>
    <w:rsid w:val="0089602D"/>
    <w:pPr>
      <w:ind w:left="400"/>
    </w:pPr>
    <w:rPr>
      <w:rFonts w:asciiTheme="minorHAnsi" w:hAnsiTheme="minorHAnsi"/>
    </w:rPr>
  </w:style>
  <w:style w:type="paragraph" w:styleId="Sumrio5">
    <w:name w:val="toc 5"/>
    <w:basedOn w:val="Normal"/>
    <w:next w:val="Normal"/>
    <w:autoRedefine/>
    <w:locked/>
    <w:rsid w:val="0089602D"/>
    <w:pPr>
      <w:ind w:left="600"/>
    </w:pPr>
    <w:rPr>
      <w:rFonts w:asciiTheme="minorHAnsi" w:hAnsiTheme="minorHAnsi"/>
    </w:rPr>
  </w:style>
  <w:style w:type="paragraph" w:styleId="Sumrio6">
    <w:name w:val="toc 6"/>
    <w:basedOn w:val="Normal"/>
    <w:next w:val="Normal"/>
    <w:autoRedefine/>
    <w:locked/>
    <w:rsid w:val="0089602D"/>
    <w:pPr>
      <w:ind w:left="800"/>
    </w:pPr>
    <w:rPr>
      <w:rFonts w:asciiTheme="minorHAnsi" w:hAnsiTheme="minorHAnsi"/>
    </w:rPr>
  </w:style>
  <w:style w:type="paragraph" w:styleId="Sumrio7">
    <w:name w:val="toc 7"/>
    <w:basedOn w:val="Normal"/>
    <w:next w:val="Normal"/>
    <w:autoRedefine/>
    <w:locked/>
    <w:rsid w:val="0089602D"/>
    <w:pPr>
      <w:ind w:left="1000"/>
    </w:pPr>
    <w:rPr>
      <w:rFonts w:asciiTheme="minorHAnsi" w:hAnsiTheme="minorHAnsi"/>
    </w:rPr>
  </w:style>
  <w:style w:type="paragraph" w:styleId="Sumrio8">
    <w:name w:val="toc 8"/>
    <w:basedOn w:val="Normal"/>
    <w:next w:val="Normal"/>
    <w:autoRedefine/>
    <w:locked/>
    <w:rsid w:val="0089602D"/>
    <w:pPr>
      <w:ind w:left="1200"/>
    </w:pPr>
    <w:rPr>
      <w:rFonts w:asciiTheme="minorHAnsi" w:hAnsiTheme="minorHAnsi"/>
    </w:rPr>
  </w:style>
  <w:style w:type="paragraph" w:styleId="Sumrio9">
    <w:name w:val="toc 9"/>
    <w:basedOn w:val="Normal"/>
    <w:next w:val="Normal"/>
    <w:autoRedefine/>
    <w:locked/>
    <w:rsid w:val="0089602D"/>
    <w:pPr>
      <w:ind w:left="1400"/>
    </w:pPr>
    <w:rPr>
      <w:rFonts w:asciiTheme="minorHAnsi" w:hAnsiTheme="minorHAnsi"/>
    </w:rPr>
  </w:style>
  <w:style w:type="paragraph" w:styleId="Ttulo">
    <w:name w:val="Title"/>
    <w:basedOn w:val="PargrafodaLista"/>
    <w:next w:val="Normal"/>
    <w:link w:val="TtuloChar"/>
    <w:qFormat/>
    <w:locked/>
    <w:rsid w:val="0089602D"/>
    <w:pPr>
      <w:widowControl w:val="0"/>
      <w:spacing w:line="230" w:lineRule="auto"/>
      <w:ind w:left="0"/>
    </w:pPr>
    <w:rPr>
      <w:b/>
    </w:rPr>
  </w:style>
  <w:style w:type="character" w:customStyle="1" w:styleId="TtuloChar">
    <w:name w:val="Título Char"/>
    <w:basedOn w:val="Fontepargpadro"/>
    <w:link w:val="Ttulo"/>
    <w:rsid w:val="0089602D"/>
    <w:rPr>
      <w:b/>
      <w:sz w:val="20"/>
      <w:szCs w:val="20"/>
    </w:rPr>
  </w:style>
  <w:style w:type="paragraph" w:styleId="Subttulo">
    <w:name w:val="Subtitle"/>
    <w:basedOn w:val="NormalWeb"/>
    <w:next w:val="Normal"/>
    <w:link w:val="SubttuloChar"/>
    <w:uiPriority w:val="99"/>
    <w:qFormat/>
    <w:locked/>
    <w:rsid w:val="0089602D"/>
    <w:pPr>
      <w:widowControl w:val="0"/>
      <w:spacing w:before="0" w:after="0" w:line="230" w:lineRule="auto"/>
      <w:ind w:hanging="709"/>
      <w:contextualSpacing/>
    </w:pPr>
    <w:rPr>
      <w:b/>
      <w:sz w:val="20"/>
      <w:szCs w:val="20"/>
      <w:lang w:val="pt-BR"/>
    </w:rPr>
  </w:style>
  <w:style w:type="character" w:customStyle="1" w:styleId="SubttuloChar">
    <w:name w:val="Subtítulo Char"/>
    <w:basedOn w:val="Fontepargpadro"/>
    <w:link w:val="Subttulo"/>
    <w:uiPriority w:val="99"/>
    <w:rsid w:val="0089602D"/>
    <w:rPr>
      <w:b/>
      <w:sz w:val="20"/>
      <w:szCs w:val="20"/>
    </w:rPr>
  </w:style>
  <w:style w:type="paragraph" w:styleId="CabealhodoSumrio">
    <w:name w:val="TOC Heading"/>
    <w:basedOn w:val="Ttulo1"/>
    <w:next w:val="Normal"/>
    <w:uiPriority w:val="39"/>
    <w:unhideWhenUsed/>
    <w:qFormat/>
    <w:rsid w:val="003C266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styleId="TtulodoLivro">
    <w:name w:val="Book Title"/>
    <w:basedOn w:val="Fontepargpadro"/>
    <w:uiPriority w:val="33"/>
    <w:qFormat/>
    <w:rsid w:val="00245B63"/>
    <w:rPr>
      <w:b/>
      <w:bCs/>
      <w:smallCaps/>
      <w:spacing w:val="5"/>
    </w:rPr>
  </w:style>
  <w:style w:type="paragraph" w:customStyle="1" w:styleId="m497993785789126286western">
    <w:name w:val="m_497993785789126286western"/>
    <w:basedOn w:val="Normal"/>
    <w:rsid w:val="00E41AE2"/>
    <w:pPr>
      <w:spacing w:before="100" w:beforeAutospacing="1" w:after="100" w:afterAutospacing="1"/>
    </w:pPr>
    <w:rPr>
      <w:sz w:val="24"/>
      <w:szCs w:val="24"/>
    </w:rPr>
  </w:style>
  <w:style w:type="paragraph" w:customStyle="1" w:styleId="Default">
    <w:name w:val="Default"/>
    <w:rsid w:val="00A73D27"/>
    <w:pPr>
      <w:autoSpaceDE w:val="0"/>
      <w:autoSpaceDN w:val="0"/>
      <w:adjustRightInd w:val="0"/>
    </w:pPr>
    <w:rPr>
      <w:color w:val="000000"/>
      <w:sz w:val="24"/>
      <w:szCs w:val="24"/>
    </w:rPr>
  </w:style>
  <w:style w:type="character" w:customStyle="1" w:styleId="TabelaChar">
    <w:name w:val="Tabela Char"/>
    <w:basedOn w:val="Fontepargpadro"/>
    <w:link w:val="Tabela"/>
    <w:locked/>
    <w:rsid w:val="00905BF4"/>
    <w:rPr>
      <w:rFonts w:ascii="Arial" w:hAnsi="Arial" w:cs="Arial"/>
      <w:b/>
      <w:sz w:val="20"/>
      <w:szCs w:val="24"/>
      <w:shd w:val="clear" w:color="auto" w:fill="FFFFFF"/>
    </w:rPr>
  </w:style>
  <w:style w:type="paragraph" w:customStyle="1" w:styleId="Tabela">
    <w:name w:val="Tabela"/>
    <w:basedOn w:val="Normal"/>
    <w:link w:val="TabelaChar"/>
    <w:qFormat/>
    <w:rsid w:val="00905BF4"/>
    <w:pPr>
      <w:numPr>
        <w:numId w:val="4"/>
      </w:numPr>
      <w:shd w:val="clear" w:color="auto" w:fill="FFFFFF"/>
      <w:tabs>
        <w:tab w:val="left" w:pos="1134"/>
      </w:tabs>
      <w:ind w:left="0" w:firstLine="0"/>
      <w:jc w:val="both"/>
    </w:pPr>
    <w:rPr>
      <w:rFonts w:ascii="Arial" w:hAnsi="Arial" w:cs="Arial"/>
      <w:b/>
      <w:szCs w:val="24"/>
    </w:rPr>
  </w:style>
  <w:style w:type="character" w:customStyle="1" w:styleId="gmaildefault">
    <w:name w:val="gmail_default"/>
    <w:basedOn w:val="Fontepargpadro"/>
    <w:rsid w:val="002E09ED"/>
  </w:style>
  <w:style w:type="paragraph" w:customStyle="1" w:styleId="cdt4ke">
    <w:name w:val="cdt4ke"/>
    <w:basedOn w:val="Normal"/>
    <w:rsid w:val="00314026"/>
    <w:pPr>
      <w:spacing w:before="100" w:beforeAutospacing="1" w:after="100" w:afterAutospacing="1"/>
    </w:pPr>
    <w:rPr>
      <w:sz w:val="24"/>
      <w:szCs w:val="24"/>
    </w:rPr>
  </w:style>
  <w:style w:type="character" w:styleId="nfaseSutil">
    <w:name w:val="Subtle Emphasis"/>
    <w:basedOn w:val="Fontepargpadro"/>
    <w:uiPriority w:val="19"/>
    <w:qFormat/>
    <w:rsid w:val="00C07681"/>
    <w:rPr>
      <w:i/>
      <w:iCs/>
      <w:color w:val="808080" w:themeColor="text1" w:themeTint="7F"/>
    </w:rPr>
  </w:style>
  <w:style w:type="character" w:customStyle="1" w:styleId="il">
    <w:name w:val="il"/>
    <w:basedOn w:val="Fontepargpadro"/>
    <w:rsid w:val="0053036D"/>
  </w:style>
  <w:style w:type="character" w:styleId="HiperlinkVisitado">
    <w:name w:val="FollowedHyperlink"/>
    <w:basedOn w:val="Fontepargpadro"/>
    <w:uiPriority w:val="99"/>
    <w:semiHidden/>
    <w:unhideWhenUsed/>
    <w:rsid w:val="009E7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827">
      <w:bodyDiv w:val="1"/>
      <w:marLeft w:val="0"/>
      <w:marRight w:val="0"/>
      <w:marTop w:val="0"/>
      <w:marBottom w:val="0"/>
      <w:divBdr>
        <w:top w:val="none" w:sz="0" w:space="0" w:color="auto"/>
        <w:left w:val="none" w:sz="0" w:space="0" w:color="auto"/>
        <w:bottom w:val="none" w:sz="0" w:space="0" w:color="auto"/>
        <w:right w:val="none" w:sz="0" w:space="0" w:color="auto"/>
      </w:divBdr>
    </w:div>
    <w:div w:id="18941364">
      <w:bodyDiv w:val="1"/>
      <w:marLeft w:val="0"/>
      <w:marRight w:val="0"/>
      <w:marTop w:val="0"/>
      <w:marBottom w:val="0"/>
      <w:divBdr>
        <w:top w:val="none" w:sz="0" w:space="0" w:color="auto"/>
        <w:left w:val="none" w:sz="0" w:space="0" w:color="auto"/>
        <w:bottom w:val="none" w:sz="0" w:space="0" w:color="auto"/>
        <w:right w:val="none" w:sz="0" w:space="0" w:color="auto"/>
      </w:divBdr>
    </w:div>
    <w:div w:id="19473591">
      <w:bodyDiv w:val="1"/>
      <w:marLeft w:val="0"/>
      <w:marRight w:val="0"/>
      <w:marTop w:val="0"/>
      <w:marBottom w:val="0"/>
      <w:divBdr>
        <w:top w:val="none" w:sz="0" w:space="0" w:color="auto"/>
        <w:left w:val="none" w:sz="0" w:space="0" w:color="auto"/>
        <w:bottom w:val="none" w:sz="0" w:space="0" w:color="auto"/>
        <w:right w:val="none" w:sz="0" w:space="0" w:color="auto"/>
      </w:divBdr>
    </w:div>
    <w:div w:id="22873239">
      <w:bodyDiv w:val="1"/>
      <w:marLeft w:val="0"/>
      <w:marRight w:val="0"/>
      <w:marTop w:val="0"/>
      <w:marBottom w:val="0"/>
      <w:divBdr>
        <w:top w:val="none" w:sz="0" w:space="0" w:color="auto"/>
        <w:left w:val="none" w:sz="0" w:space="0" w:color="auto"/>
        <w:bottom w:val="none" w:sz="0" w:space="0" w:color="auto"/>
        <w:right w:val="none" w:sz="0" w:space="0" w:color="auto"/>
      </w:divBdr>
    </w:div>
    <w:div w:id="24983514">
      <w:bodyDiv w:val="1"/>
      <w:marLeft w:val="0"/>
      <w:marRight w:val="0"/>
      <w:marTop w:val="0"/>
      <w:marBottom w:val="0"/>
      <w:divBdr>
        <w:top w:val="none" w:sz="0" w:space="0" w:color="auto"/>
        <w:left w:val="none" w:sz="0" w:space="0" w:color="auto"/>
        <w:bottom w:val="none" w:sz="0" w:space="0" w:color="auto"/>
        <w:right w:val="none" w:sz="0" w:space="0" w:color="auto"/>
      </w:divBdr>
    </w:div>
    <w:div w:id="31730931">
      <w:bodyDiv w:val="1"/>
      <w:marLeft w:val="0"/>
      <w:marRight w:val="0"/>
      <w:marTop w:val="0"/>
      <w:marBottom w:val="0"/>
      <w:divBdr>
        <w:top w:val="none" w:sz="0" w:space="0" w:color="auto"/>
        <w:left w:val="none" w:sz="0" w:space="0" w:color="auto"/>
        <w:bottom w:val="none" w:sz="0" w:space="0" w:color="auto"/>
        <w:right w:val="none" w:sz="0" w:space="0" w:color="auto"/>
      </w:divBdr>
    </w:div>
    <w:div w:id="34042518">
      <w:bodyDiv w:val="1"/>
      <w:marLeft w:val="0"/>
      <w:marRight w:val="0"/>
      <w:marTop w:val="0"/>
      <w:marBottom w:val="0"/>
      <w:divBdr>
        <w:top w:val="none" w:sz="0" w:space="0" w:color="auto"/>
        <w:left w:val="none" w:sz="0" w:space="0" w:color="auto"/>
        <w:bottom w:val="none" w:sz="0" w:space="0" w:color="auto"/>
        <w:right w:val="none" w:sz="0" w:space="0" w:color="auto"/>
      </w:divBdr>
    </w:div>
    <w:div w:id="38937897">
      <w:bodyDiv w:val="1"/>
      <w:marLeft w:val="0"/>
      <w:marRight w:val="0"/>
      <w:marTop w:val="0"/>
      <w:marBottom w:val="0"/>
      <w:divBdr>
        <w:top w:val="none" w:sz="0" w:space="0" w:color="auto"/>
        <w:left w:val="none" w:sz="0" w:space="0" w:color="auto"/>
        <w:bottom w:val="none" w:sz="0" w:space="0" w:color="auto"/>
        <w:right w:val="none" w:sz="0" w:space="0" w:color="auto"/>
      </w:divBdr>
    </w:div>
    <w:div w:id="39979621">
      <w:bodyDiv w:val="1"/>
      <w:marLeft w:val="0"/>
      <w:marRight w:val="0"/>
      <w:marTop w:val="0"/>
      <w:marBottom w:val="0"/>
      <w:divBdr>
        <w:top w:val="none" w:sz="0" w:space="0" w:color="auto"/>
        <w:left w:val="none" w:sz="0" w:space="0" w:color="auto"/>
        <w:bottom w:val="none" w:sz="0" w:space="0" w:color="auto"/>
        <w:right w:val="none" w:sz="0" w:space="0" w:color="auto"/>
      </w:divBdr>
    </w:div>
    <w:div w:id="40831879">
      <w:bodyDiv w:val="1"/>
      <w:marLeft w:val="0"/>
      <w:marRight w:val="0"/>
      <w:marTop w:val="0"/>
      <w:marBottom w:val="0"/>
      <w:divBdr>
        <w:top w:val="none" w:sz="0" w:space="0" w:color="auto"/>
        <w:left w:val="none" w:sz="0" w:space="0" w:color="auto"/>
        <w:bottom w:val="none" w:sz="0" w:space="0" w:color="auto"/>
        <w:right w:val="none" w:sz="0" w:space="0" w:color="auto"/>
      </w:divBdr>
    </w:div>
    <w:div w:id="46954256">
      <w:bodyDiv w:val="1"/>
      <w:marLeft w:val="0"/>
      <w:marRight w:val="0"/>
      <w:marTop w:val="0"/>
      <w:marBottom w:val="0"/>
      <w:divBdr>
        <w:top w:val="none" w:sz="0" w:space="0" w:color="auto"/>
        <w:left w:val="none" w:sz="0" w:space="0" w:color="auto"/>
        <w:bottom w:val="none" w:sz="0" w:space="0" w:color="auto"/>
        <w:right w:val="none" w:sz="0" w:space="0" w:color="auto"/>
      </w:divBdr>
    </w:div>
    <w:div w:id="48697739">
      <w:bodyDiv w:val="1"/>
      <w:marLeft w:val="0"/>
      <w:marRight w:val="0"/>
      <w:marTop w:val="0"/>
      <w:marBottom w:val="0"/>
      <w:divBdr>
        <w:top w:val="none" w:sz="0" w:space="0" w:color="auto"/>
        <w:left w:val="none" w:sz="0" w:space="0" w:color="auto"/>
        <w:bottom w:val="none" w:sz="0" w:space="0" w:color="auto"/>
        <w:right w:val="none" w:sz="0" w:space="0" w:color="auto"/>
      </w:divBdr>
    </w:div>
    <w:div w:id="50620766">
      <w:bodyDiv w:val="1"/>
      <w:marLeft w:val="0"/>
      <w:marRight w:val="0"/>
      <w:marTop w:val="0"/>
      <w:marBottom w:val="0"/>
      <w:divBdr>
        <w:top w:val="none" w:sz="0" w:space="0" w:color="auto"/>
        <w:left w:val="none" w:sz="0" w:space="0" w:color="auto"/>
        <w:bottom w:val="none" w:sz="0" w:space="0" w:color="auto"/>
        <w:right w:val="none" w:sz="0" w:space="0" w:color="auto"/>
      </w:divBdr>
      <w:divsChild>
        <w:div w:id="1485701811">
          <w:marLeft w:val="0"/>
          <w:marRight w:val="0"/>
          <w:marTop w:val="0"/>
          <w:marBottom w:val="0"/>
          <w:divBdr>
            <w:top w:val="none" w:sz="0" w:space="0" w:color="auto"/>
            <w:left w:val="none" w:sz="0" w:space="0" w:color="auto"/>
            <w:bottom w:val="none" w:sz="0" w:space="0" w:color="auto"/>
            <w:right w:val="none" w:sz="0" w:space="0" w:color="auto"/>
          </w:divBdr>
        </w:div>
        <w:div w:id="86200627">
          <w:marLeft w:val="0"/>
          <w:marRight w:val="0"/>
          <w:marTop w:val="0"/>
          <w:marBottom w:val="0"/>
          <w:divBdr>
            <w:top w:val="none" w:sz="0" w:space="0" w:color="auto"/>
            <w:left w:val="none" w:sz="0" w:space="0" w:color="auto"/>
            <w:bottom w:val="none" w:sz="0" w:space="0" w:color="auto"/>
            <w:right w:val="none" w:sz="0" w:space="0" w:color="auto"/>
          </w:divBdr>
        </w:div>
      </w:divsChild>
    </w:div>
    <w:div w:id="54207418">
      <w:bodyDiv w:val="1"/>
      <w:marLeft w:val="0"/>
      <w:marRight w:val="0"/>
      <w:marTop w:val="0"/>
      <w:marBottom w:val="0"/>
      <w:divBdr>
        <w:top w:val="none" w:sz="0" w:space="0" w:color="auto"/>
        <w:left w:val="none" w:sz="0" w:space="0" w:color="auto"/>
        <w:bottom w:val="none" w:sz="0" w:space="0" w:color="auto"/>
        <w:right w:val="none" w:sz="0" w:space="0" w:color="auto"/>
      </w:divBdr>
    </w:div>
    <w:div w:id="56175641">
      <w:bodyDiv w:val="1"/>
      <w:marLeft w:val="0"/>
      <w:marRight w:val="0"/>
      <w:marTop w:val="0"/>
      <w:marBottom w:val="0"/>
      <w:divBdr>
        <w:top w:val="none" w:sz="0" w:space="0" w:color="auto"/>
        <w:left w:val="none" w:sz="0" w:space="0" w:color="auto"/>
        <w:bottom w:val="none" w:sz="0" w:space="0" w:color="auto"/>
        <w:right w:val="none" w:sz="0" w:space="0" w:color="auto"/>
      </w:divBdr>
    </w:div>
    <w:div w:id="58210968">
      <w:bodyDiv w:val="1"/>
      <w:marLeft w:val="0"/>
      <w:marRight w:val="0"/>
      <w:marTop w:val="0"/>
      <w:marBottom w:val="0"/>
      <w:divBdr>
        <w:top w:val="none" w:sz="0" w:space="0" w:color="auto"/>
        <w:left w:val="none" w:sz="0" w:space="0" w:color="auto"/>
        <w:bottom w:val="none" w:sz="0" w:space="0" w:color="auto"/>
        <w:right w:val="none" w:sz="0" w:space="0" w:color="auto"/>
      </w:divBdr>
    </w:div>
    <w:div w:id="63796376">
      <w:bodyDiv w:val="1"/>
      <w:marLeft w:val="0"/>
      <w:marRight w:val="0"/>
      <w:marTop w:val="0"/>
      <w:marBottom w:val="0"/>
      <w:divBdr>
        <w:top w:val="none" w:sz="0" w:space="0" w:color="auto"/>
        <w:left w:val="none" w:sz="0" w:space="0" w:color="auto"/>
        <w:bottom w:val="none" w:sz="0" w:space="0" w:color="auto"/>
        <w:right w:val="none" w:sz="0" w:space="0" w:color="auto"/>
      </w:divBdr>
    </w:div>
    <w:div w:id="71662042">
      <w:bodyDiv w:val="1"/>
      <w:marLeft w:val="0"/>
      <w:marRight w:val="0"/>
      <w:marTop w:val="0"/>
      <w:marBottom w:val="0"/>
      <w:divBdr>
        <w:top w:val="none" w:sz="0" w:space="0" w:color="auto"/>
        <w:left w:val="none" w:sz="0" w:space="0" w:color="auto"/>
        <w:bottom w:val="none" w:sz="0" w:space="0" w:color="auto"/>
        <w:right w:val="none" w:sz="0" w:space="0" w:color="auto"/>
      </w:divBdr>
    </w:div>
    <w:div w:id="95949969">
      <w:bodyDiv w:val="1"/>
      <w:marLeft w:val="0"/>
      <w:marRight w:val="0"/>
      <w:marTop w:val="0"/>
      <w:marBottom w:val="0"/>
      <w:divBdr>
        <w:top w:val="none" w:sz="0" w:space="0" w:color="auto"/>
        <w:left w:val="none" w:sz="0" w:space="0" w:color="auto"/>
        <w:bottom w:val="none" w:sz="0" w:space="0" w:color="auto"/>
        <w:right w:val="none" w:sz="0" w:space="0" w:color="auto"/>
      </w:divBdr>
    </w:div>
    <w:div w:id="98381992">
      <w:bodyDiv w:val="1"/>
      <w:marLeft w:val="0"/>
      <w:marRight w:val="0"/>
      <w:marTop w:val="0"/>
      <w:marBottom w:val="0"/>
      <w:divBdr>
        <w:top w:val="none" w:sz="0" w:space="0" w:color="auto"/>
        <w:left w:val="none" w:sz="0" w:space="0" w:color="auto"/>
        <w:bottom w:val="none" w:sz="0" w:space="0" w:color="auto"/>
        <w:right w:val="none" w:sz="0" w:space="0" w:color="auto"/>
      </w:divBdr>
    </w:div>
    <w:div w:id="113643244">
      <w:bodyDiv w:val="1"/>
      <w:marLeft w:val="0"/>
      <w:marRight w:val="0"/>
      <w:marTop w:val="0"/>
      <w:marBottom w:val="0"/>
      <w:divBdr>
        <w:top w:val="none" w:sz="0" w:space="0" w:color="auto"/>
        <w:left w:val="none" w:sz="0" w:space="0" w:color="auto"/>
        <w:bottom w:val="none" w:sz="0" w:space="0" w:color="auto"/>
        <w:right w:val="none" w:sz="0" w:space="0" w:color="auto"/>
      </w:divBdr>
      <w:divsChild>
        <w:div w:id="1342470111">
          <w:marLeft w:val="0"/>
          <w:marRight w:val="0"/>
          <w:marTop w:val="0"/>
          <w:marBottom w:val="0"/>
          <w:divBdr>
            <w:top w:val="none" w:sz="0" w:space="0" w:color="auto"/>
            <w:left w:val="none" w:sz="0" w:space="0" w:color="auto"/>
            <w:bottom w:val="none" w:sz="0" w:space="0" w:color="auto"/>
            <w:right w:val="none" w:sz="0" w:space="0" w:color="auto"/>
          </w:divBdr>
        </w:div>
        <w:div w:id="1115254540">
          <w:marLeft w:val="0"/>
          <w:marRight w:val="0"/>
          <w:marTop w:val="0"/>
          <w:marBottom w:val="0"/>
          <w:divBdr>
            <w:top w:val="none" w:sz="0" w:space="0" w:color="auto"/>
            <w:left w:val="none" w:sz="0" w:space="0" w:color="auto"/>
            <w:bottom w:val="none" w:sz="0" w:space="0" w:color="auto"/>
            <w:right w:val="none" w:sz="0" w:space="0" w:color="auto"/>
          </w:divBdr>
        </w:div>
        <w:div w:id="1225917797">
          <w:marLeft w:val="0"/>
          <w:marRight w:val="0"/>
          <w:marTop w:val="0"/>
          <w:marBottom w:val="0"/>
          <w:divBdr>
            <w:top w:val="none" w:sz="0" w:space="0" w:color="auto"/>
            <w:left w:val="none" w:sz="0" w:space="0" w:color="auto"/>
            <w:bottom w:val="none" w:sz="0" w:space="0" w:color="auto"/>
            <w:right w:val="none" w:sz="0" w:space="0" w:color="auto"/>
          </w:divBdr>
        </w:div>
      </w:divsChild>
    </w:div>
    <w:div w:id="116992397">
      <w:bodyDiv w:val="1"/>
      <w:marLeft w:val="0"/>
      <w:marRight w:val="0"/>
      <w:marTop w:val="0"/>
      <w:marBottom w:val="0"/>
      <w:divBdr>
        <w:top w:val="none" w:sz="0" w:space="0" w:color="auto"/>
        <w:left w:val="none" w:sz="0" w:space="0" w:color="auto"/>
        <w:bottom w:val="none" w:sz="0" w:space="0" w:color="auto"/>
        <w:right w:val="none" w:sz="0" w:space="0" w:color="auto"/>
      </w:divBdr>
    </w:div>
    <w:div w:id="118766419">
      <w:bodyDiv w:val="1"/>
      <w:marLeft w:val="0"/>
      <w:marRight w:val="0"/>
      <w:marTop w:val="0"/>
      <w:marBottom w:val="0"/>
      <w:divBdr>
        <w:top w:val="none" w:sz="0" w:space="0" w:color="auto"/>
        <w:left w:val="none" w:sz="0" w:space="0" w:color="auto"/>
        <w:bottom w:val="none" w:sz="0" w:space="0" w:color="auto"/>
        <w:right w:val="none" w:sz="0" w:space="0" w:color="auto"/>
      </w:divBdr>
    </w:div>
    <w:div w:id="123086339">
      <w:bodyDiv w:val="1"/>
      <w:marLeft w:val="0"/>
      <w:marRight w:val="0"/>
      <w:marTop w:val="0"/>
      <w:marBottom w:val="0"/>
      <w:divBdr>
        <w:top w:val="none" w:sz="0" w:space="0" w:color="auto"/>
        <w:left w:val="none" w:sz="0" w:space="0" w:color="auto"/>
        <w:bottom w:val="none" w:sz="0" w:space="0" w:color="auto"/>
        <w:right w:val="none" w:sz="0" w:space="0" w:color="auto"/>
      </w:divBdr>
    </w:div>
    <w:div w:id="126944275">
      <w:bodyDiv w:val="1"/>
      <w:marLeft w:val="0"/>
      <w:marRight w:val="0"/>
      <w:marTop w:val="0"/>
      <w:marBottom w:val="0"/>
      <w:divBdr>
        <w:top w:val="none" w:sz="0" w:space="0" w:color="auto"/>
        <w:left w:val="none" w:sz="0" w:space="0" w:color="auto"/>
        <w:bottom w:val="none" w:sz="0" w:space="0" w:color="auto"/>
        <w:right w:val="none" w:sz="0" w:space="0" w:color="auto"/>
      </w:divBdr>
    </w:div>
    <w:div w:id="128940908">
      <w:bodyDiv w:val="1"/>
      <w:marLeft w:val="0"/>
      <w:marRight w:val="0"/>
      <w:marTop w:val="0"/>
      <w:marBottom w:val="0"/>
      <w:divBdr>
        <w:top w:val="none" w:sz="0" w:space="0" w:color="auto"/>
        <w:left w:val="none" w:sz="0" w:space="0" w:color="auto"/>
        <w:bottom w:val="none" w:sz="0" w:space="0" w:color="auto"/>
        <w:right w:val="none" w:sz="0" w:space="0" w:color="auto"/>
      </w:divBdr>
    </w:div>
    <w:div w:id="130758466">
      <w:bodyDiv w:val="1"/>
      <w:marLeft w:val="0"/>
      <w:marRight w:val="0"/>
      <w:marTop w:val="0"/>
      <w:marBottom w:val="0"/>
      <w:divBdr>
        <w:top w:val="none" w:sz="0" w:space="0" w:color="auto"/>
        <w:left w:val="none" w:sz="0" w:space="0" w:color="auto"/>
        <w:bottom w:val="none" w:sz="0" w:space="0" w:color="auto"/>
        <w:right w:val="none" w:sz="0" w:space="0" w:color="auto"/>
      </w:divBdr>
    </w:div>
    <w:div w:id="135071821">
      <w:bodyDiv w:val="1"/>
      <w:marLeft w:val="0"/>
      <w:marRight w:val="0"/>
      <w:marTop w:val="0"/>
      <w:marBottom w:val="0"/>
      <w:divBdr>
        <w:top w:val="none" w:sz="0" w:space="0" w:color="auto"/>
        <w:left w:val="none" w:sz="0" w:space="0" w:color="auto"/>
        <w:bottom w:val="none" w:sz="0" w:space="0" w:color="auto"/>
        <w:right w:val="none" w:sz="0" w:space="0" w:color="auto"/>
      </w:divBdr>
    </w:div>
    <w:div w:id="136191949">
      <w:bodyDiv w:val="1"/>
      <w:marLeft w:val="0"/>
      <w:marRight w:val="0"/>
      <w:marTop w:val="0"/>
      <w:marBottom w:val="0"/>
      <w:divBdr>
        <w:top w:val="none" w:sz="0" w:space="0" w:color="auto"/>
        <w:left w:val="none" w:sz="0" w:space="0" w:color="auto"/>
        <w:bottom w:val="none" w:sz="0" w:space="0" w:color="auto"/>
        <w:right w:val="none" w:sz="0" w:space="0" w:color="auto"/>
      </w:divBdr>
    </w:div>
    <w:div w:id="143206126">
      <w:bodyDiv w:val="1"/>
      <w:marLeft w:val="0"/>
      <w:marRight w:val="0"/>
      <w:marTop w:val="0"/>
      <w:marBottom w:val="0"/>
      <w:divBdr>
        <w:top w:val="none" w:sz="0" w:space="0" w:color="auto"/>
        <w:left w:val="none" w:sz="0" w:space="0" w:color="auto"/>
        <w:bottom w:val="none" w:sz="0" w:space="0" w:color="auto"/>
        <w:right w:val="none" w:sz="0" w:space="0" w:color="auto"/>
      </w:divBdr>
    </w:div>
    <w:div w:id="144705333">
      <w:bodyDiv w:val="1"/>
      <w:marLeft w:val="0"/>
      <w:marRight w:val="0"/>
      <w:marTop w:val="0"/>
      <w:marBottom w:val="0"/>
      <w:divBdr>
        <w:top w:val="none" w:sz="0" w:space="0" w:color="auto"/>
        <w:left w:val="none" w:sz="0" w:space="0" w:color="auto"/>
        <w:bottom w:val="none" w:sz="0" w:space="0" w:color="auto"/>
        <w:right w:val="none" w:sz="0" w:space="0" w:color="auto"/>
      </w:divBdr>
    </w:div>
    <w:div w:id="145560137">
      <w:bodyDiv w:val="1"/>
      <w:marLeft w:val="0"/>
      <w:marRight w:val="0"/>
      <w:marTop w:val="0"/>
      <w:marBottom w:val="0"/>
      <w:divBdr>
        <w:top w:val="none" w:sz="0" w:space="0" w:color="auto"/>
        <w:left w:val="none" w:sz="0" w:space="0" w:color="auto"/>
        <w:bottom w:val="none" w:sz="0" w:space="0" w:color="auto"/>
        <w:right w:val="none" w:sz="0" w:space="0" w:color="auto"/>
      </w:divBdr>
    </w:div>
    <w:div w:id="169490743">
      <w:bodyDiv w:val="1"/>
      <w:marLeft w:val="0"/>
      <w:marRight w:val="0"/>
      <w:marTop w:val="0"/>
      <w:marBottom w:val="0"/>
      <w:divBdr>
        <w:top w:val="none" w:sz="0" w:space="0" w:color="auto"/>
        <w:left w:val="none" w:sz="0" w:space="0" w:color="auto"/>
        <w:bottom w:val="none" w:sz="0" w:space="0" w:color="auto"/>
        <w:right w:val="none" w:sz="0" w:space="0" w:color="auto"/>
      </w:divBdr>
    </w:div>
    <w:div w:id="169567159">
      <w:bodyDiv w:val="1"/>
      <w:marLeft w:val="0"/>
      <w:marRight w:val="0"/>
      <w:marTop w:val="0"/>
      <w:marBottom w:val="0"/>
      <w:divBdr>
        <w:top w:val="none" w:sz="0" w:space="0" w:color="auto"/>
        <w:left w:val="none" w:sz="0" w:space="0" w:color="auto"/>
        <w:bottom w:val="none" w:sz="0" w:space="0" w:color="auto"/>
        <w:right w:val="none" w:sz="0" w:space="0" w:color="auto"/>
      </w:divBdr>
    </w:div>
    <w:div w:id="186524659">
      <w:bodyDiv w:val="1"/>
      <w:marLeft w:val="0"/>
      <w:marRight w:val="0"/>
      <w:marTop w:val="0"/>
      <w:marBottom w:val="0"/>
      <w:divBdr>
        <w:top w:val="none" w:sz="0" w:space="0" w:color="auto"/>
        <w:left w:val="none" w:sz="0" w:space="0" w:color="auto"/>
        <w:bottom w:val="none" w:sz="0" w:space="0" w:color="auto"/>
        <w:right w:val="none" w:sz="0" w:space="0" w:color="auto"/>
      </w:divBdr>
    </w:div>
    <w:div w:id="189034301">
      <w:bodyDiv w:val="1"/>
      <w:marLeft w:val="0"/>
      <w:marRight w:val="0"/>
      <w:marTop w:val="0"/>
      <w:marBottom w:val="0"/>
      <w:divBdr>
        <w:top w:val="none" w:sz="0" w:space="0" w:color="auto"/>
        <w:left w:val="none" w:sz="0" w:space="0" w:color="auto"/>
        <w:bottom w:val="none" w:sz="0" w:space="0" w:color="auto"/>
        <w:right w:val="none" w:sz="0" w:space="0" w:color="auto"/>
      </w:divBdr>
    </w:div>
    <w:div w:id="197395459">
      <w:bodyDiv w:val="1"/>
      <w:marLeft w:val="0"/>
      <w:marRight w:val="0"/>
      <w:marTop w:val="0"/>
      <w:marBottom w:val="0"/>
      <w:divBdr>
        <w:top w:val="none" w:sz="0" w:space="0" w:color="auto"/>
        <w:left w:val="none" w:sz="0" w:space="0" w:color="auto"/>
        <w:bottom w:val="none" w:sz="0" w:space="0" w:color="auto"/>
        <w:right w:val="none" w:sz="0" w:space="0" w:color="auto"/>
      </w:divBdr>
    </w:div>
    <w:div w:id="199243516">
      <w:bodyDiv w:val="1"/>
      <w:marLeft w:val="0"/>
      <w:marRight w:val="0"/>
      <w:marTop w:val="0"/>
      <w:marBottom w:val="0"/>
      <w:divBdr>
        <w:top w:val="none" w:sz="0" w:space="0" w:color="auto"/>
        <w:left w:val="none" w:sz="0" w:space="0" w:color="auto"/>
        <w:bottom w:val="none" w:sz="0" w:space="0" w:color="auto"/>
        <w:right w:val="none" w:sz="0" w:space="0" w:color="auto"/>
      </w:divBdr>
    </w:div>
    <w:div w:id="201674674">
      <w:bodyDiv w:val="1"/>
      <w:marLeft w:val="0"/>
      <w:marRight w:val="0"/>
      <w:marTop w:val="0"/>
      <w:marBottom w:val="0"/>
      <w:divBdr>
        <w:top w:val="none" w:sz="0" w:space="0" w:color="auto"/>
        <w:left w:val="none" w:sz="0" w:space="0" w:color="auto"/>
        <w:bottom w:val="none" w:sz="0" w:space="0" w:color="auto"/>
        <w:right w:val="none" w:sz="0" w:space="0" w:color="auto"/>
      </w:divBdr>
    </w:div>
    <w:div w:id="210193209">
      <w:bodyDiv w:val="1"/>
      <w:marLeft w:val="0"/>
      <w:marRight w:val="0"/>
      <w:marTop w:val="0"/>
      <w:marBottom w:val="0"/>
      <w:divBdr>
        <w:top w:val="none" w:sz="0" w:space="0" w:color="auto"/>
        <w:left w:val="none" w:sz="0" w:space="0" w:color="auto"/>
        <w:bottom w:val="none" w:sz="0" w:space="0" w:color="auto"/>
        <w:right w:val="none" w:sz="0" w:space="0" w:color="auto"/>
      </w:divBdr>
    </w:div>
    <w:div w:id="226456975">
      <w:bodyDiv w:val="1"/>
      <w:marLeft w:val="0"/>
      <w:marRight w:val="0"/>
      <w:marTop w:val="0"/>
      <w:marBottom w:val="0"/>
      <w:divBdr>
        <w:top w:val="none" w:sz="0" w:space="0" w:color="auto"/>
        <w:left w:val="none" w:sz="0" w:space="0" w:color="auto"/>
        <w:bottom w:val="none" w:sz="0" w:space="0" w:color="auto"/>
        <w:right w:val="none" w:sz="0" w:space="0" w:color="auto"/>
      </w:divBdr>
    </w:div>
    <w:div w:id="227569527">
      <w:bodyDiv w:val="1"/>
      <w:marLeft w:val="0"/>
      <w:marRight w:val="0"/>
      <w:marTop w:val="0"/>
      <w:marBottom w:val="0"/>
      <w:divBdr>
        <w:top w:val="none" w:sz="0" w:space="0" w:color="auto"/>
        <w:left w:val="none" w:sz="0" w:space="0" w:color="auto"/>
        <w:bottom w:val="none" w:sz="0" w:space="0" w:color="auto"/>
        <w:right w:val="none" w:sz="0" w:space="0" w:color="auto"/>
      </w:divBdr>
      <w:divsChild>
        <w:div w:id="574972544">
          <w:marLeft w:val="0"/>
          <w:marRight w:val="0"/>
          <w:marTop w:val="0"/>
          <w:marBottom w:val="0"/>
          <w:divBdr>
            <w:top w:val="none" w:sz="0" w:space="0" w:color="auto"/>
            <w:left w:val="none" w:sz="0" w:space="0" w:color="auto"/>
            <w:bottom w:val="none" w:sz="0" w:space="0" w:color="auto"/>
            <w:right w:val="none" w:sz="0" w:space="0" w:color="auto"/>
          </w:divBdr>
        </w:div>
      </w:divsChild>
    </w:div>
    <w:div w:id="232812205">
      <w:bodyDiv w:val="1"/>
      <w:marLeft w:val="0"/>
      <w:marRight w:val="0"/>
      <w:marTop w:val="0"/>
      <w:marBottom w:val="0"/>
      <w:divBdr>
        <w:top w:val="none" w:sz="0" w:space="0" w:color="auto"/>
        <w:left w:val="none" w:sz="0" w:space="0" w:color="auto"/>
        <w:bottom w:val="none" w:sz="0" w:space="0" w:color="auto"/>
        <w:right w:val="none" w:sz="0" w:space="0" w:color="auto"/>
      </w:divBdr>
    </w:div>
    <w:div w:id="235088035">
      <w:bodyDiv w:val="1"/>
      <w:marLeft w:val="0"/>
      <w:marRight w:val="0"/>
      <w:marTop w:val="0"/>
      <w:marBottom w:val="0"/>
      <w:divBdr>
        <w:top w:val="none" w:sz="0" w:space="0" w:color="auto"/>
        <w:left w:val="none" w:sz="0" w:space="0" w:color="auto"/>
        <w:bottom w:val="none" w:sz="0" w:space="0" w:color="auto"/>
        <w:right w:val="none" w:sz="0" w:space="0" w:color="auto"/>
      </w:divBdr>
    </w:div>
    <w:div w:id="237442258">
      <w:bodyDiv w:val="1"/>
      <w:marLeft w:val="0"/>
      <w:marRight w:val="0"/>
      <w:marTop w:val="0"/>
      <w:marBottom w:val="0"/>
      <w:divBdr>
        <w:top w:val="none" w:sz="0" w:space="0" w:color="auto"/>
        <w:left w:val="none" w:sz="0" w:space="0" w:color="auto"/>
        <w:bottom w:val="none" w:sz="0" w:space="0" w:color="auto"/>
        <w:right w:val="none" w:sz="0" w:space="0" w:color="auto"/>
      </w:divBdr>
    </w:div>
    <w:div w:id="238491156">
      <w:bodyDiv w:val="1"/>
      <w:marLeft w:val="0"/>
      <w:marRight w:val="0"/>
      <w:marTop w:val="0"/>
      <w:marBottom w:val="0"/>
      <w:divBdr>
        <w:top w:val="none" w:sz="0" w:space="0" w:color="auto"/>
        <w:left w:val="none" w:sz="0" w:space="0" w:color="auto"/>
        <w:bottom w:val="none" w:sz="0" w:space="0" w:color="auto"/>
        <w:right w:val="none" w:sz="0" w:space="0" w:color="auto"/>
      </w:divBdr>
    </w:div>
    <w:div w:id="240674729">
      <w:bodyDiv w:val="1"/>
      <w:marLeft w:val="0"/>
      <w:marRight w:val="0"/>
      <w:marTop w:val="0"/>
      <w:marBottom w:val="0"/>
      <w:divBdr>
        <w:top w:val="none" w:sz="0" w:space="0" w:color="auto"/>
        <w:left w:val="none" w:sz="0" w:space="0" w:color="auto"/>
        <w:bottom w:val="none" w:sz="0" w:space="0" w:color="auto"/>
        <w:right w:val="none" w:sz="0" w:space="0" w:color="auto"/>
      </w:divBdr>
    </w:div>
    <w:div w:id="268776282">
      <w:bodyDiv w:val="1"/>
      <w:marLeft w:val="0"/>
      <w:marRight w:val="0"/>
      <w:marTop w:val="0"/>
      <w:marBottom w:val="0"/>
      <w:divBdr>
        <w:top w:val="none" w:sz="0" w:space="0" w:color="auto"/>
        <w:left w:val="none" w:sz="0" w:space="0" w:color="auto"/>
        <w:bottom w:val="none" w:sz="0" w:space="0" w:color="auto"/>
        <w:right w:val="none" w:sz="0" w:space="0" w:color="auto"/>
      </w:divBdr>
    </w:div>
    <w:div w:id="268894360">
      <w:bodyDiv w:val="1"/>
      <w:marLeft w:val="0"/>
      <w:marRight w:val="0"/>
      <w:marTop w:val="0"/>
      <w:marBottom w:val="0"/>
      <w:divBdr>
        <w:top w:val="none" w:sz="0" w:space="0" w:color="auto"/>
        <w:left w:val="none" w:sz="0" w:space="0" w:color="auto"/>
        <w:bottom w:val="none" w:sz="0" w:space="0" w:color="auto"/>
        <w:right w:val="none" w:sz="0" w:space="0" w:color="auto"/>
      </w:divBdr>
    </w:div>
    <w:div w:id="271665155">
      <w:bodyDiv w:val="1"/>
      <w:marLeft w:val="0"/>
      <w:marRight w:val="0"/>
      <w:marTop w:val="0"/>
      <w:marBottom w:val="0"/>
      <w:divBdr>
        <w:top w:val="none" w:sz="0" w:space="0" w:color="auto"/>
        <w:left w:val="none" w:sz="0" w:space="0" w:color="auto"/>
        <w:bottom w:val="none" w:sz="0" w:space="0" w:color="auto"/>
        <w:right w:val="none" w:sz="0" w:space="0" w:color="auto"/>
      </w:divBdr>
    </w:div>
    <w:div w:id="276062024">
      <w:bodyDiv w:val="1"/>
      <w:marLeft w:val="0"/>
      <w:marRight w:val="0"/>
      <w:marTop w:val="0"/>
      <w:marBottom w:val="0"/>
      <w:divBdr>
        <w:top w:val="none" w:sz="0" w:space="0" w:color="auto"/>
        <w:left w:val="none" w:sz="0" w:space="0" w:color="auto"/>
        <w:bottom w:val="none" w:sz="0" w:space="0" w:color="auto"/>
        <w:right w:val="none" w:sz="0" w:space="0" w:color="auto"/>
      </w:divBdr>
    </w:div>
    <w:div w:id="279994291">
      <w:bodyDiv w:val="1"/>
      <w:marLeft w:val="0"/>
      <w:marRight w:val="0"/>
      <w:marTop w:val="0"/>
      <w:marBottom w:val="0"/>
      <w:divBdr>
        <w:top w:val="none" w:sz="0" w:space="0" w:color="auto"/>
        <w:left w:val="none" w:sz="0" w:space="0" w:color="auto"/>
        <w:bottom w:val="none" w:sz="0" w:space="0" w:color="auto"/>
        <w:right w:val="none" w:sz="0" w:space="0" w:color="auto"/>
      </w:divBdr>
    </w:div>
    <w:div w:id="287668728">
      <w:bodyDiv w:val="1"/>
      <w:marLeft w:val="0"/>
      <w:marRight w:val="0"/>
      <w:marTop w:val="0"/>
      <w:marBottom w:val="0"/>
      <w:divBdr>
        <w:top w:val="none" w:sz="0" w:space="0" w:color="auto"/>
        <w:left w:val="none" w:sz="0" w:space="0" w:color="auto"/>
        <w:bottom w:val="none" w:sz="0" w:space="0" w:color="auto"/>
        <w:right w:val="none" w:sz="0" w:space="0" w:color="auto"/>
      </w:divBdr>
    </w:div>
    <w:div w:id="289171585">
      <w:bodyDiv w:val="1"/>
      <w:marLeft w:val="0"/>
      <w:marRight w:val="0"/>
      <w:marTop w:val="0"/>
      <w:marBottom w:val="0"/>
      <w:divBdr>
        <w:top w:val="none" w:sz="0" w:space="0" w:color="auto"/>
        <w:left w:val="none" w:sz="0" w:space="0" w:color="auto"/>
        <w:bottom w:val="none" w:sz="0" w:space="0" w:color="auto"/>
        <w:right w:val="none" w:sz="0" w:space="0" w:color="auto"/>
      </w:divBdr>
    </w:div>
    <w:div w:id="291788592">
      <w:bodyDiv w:val="1"/>
      <w:marLeft w:val="0"/>
      <w:marRight w:val="0"/>
      <w:marTop w:val="0"/>
      <w:marBottom w:val="0"/>
      <w:divBdr>
        <w:top w:val="none" w:sz="0" w:space="0" w:color="auto"/>
        <w:left w:val="none" w:sz="0" w:space="0" w:color="auto"/>
        <w:bottom w:val="none" w:sz="0" w:space="0" w:color="auto"/>
        <w:right w:val="none" w:sz="0" w:space="0" w:color="auto"/>
      </w:divBdr>
    </w:div>
    <w:div w:id="299845187">
      <w:bodyDiv w:val="1"/>
      <w:marLeft w:val="0"/>
      <w:marRight w:val="0"/>
      <w:marTop w:val="0"/>
      <w:marBottom w:val="0"/>
      <w:divBdr>
        <w:top w:val="none" w:sz="0" w:space="0" w:color="auto"/>
        <w:left w:val="none" w:sz="0" w:space="0" w:color="auto"/>
        <w:bottom w:val="none" w:sz="0" w:space="0" w:color="auto"/>
        <w:right w:val="none" w:sz="0" w:space="0" w:color="auto"/>
      </w:divBdr>
    </w:div>
    <w:div w:id="311327826">
      <w:bodyDiv w:val="1"/>
      <w:marLeft w:val="0"/>
      <w:marRight w:val="0"/>
      <w:marTop w:val="0"/>
      <w:marBottom w:val="0"/>
      <w:divBdr>
        <w:top w:val="none" w:sz="0" w:space="0" w:color="auto"/>
        <w:left w:val="none" w:sz="0" w:space="0" w:color="auto"/>
        <w:bottom w:val="none" w:sz="0" w:space="0" w:color="auto"/>
        <w:right w:val="none" w:sz="0" w:space="0" w:color="auto"/>
      </w:divBdr>
    </w:div>
    <w:div w:id="321082991">
      <w:bodyDiv w:val="1"/>
      <w:marLeft w:val="0"/>
      <w:marRight w:val="0"/>
      <w:marTop w:val="0"/>
      <w:marBottom w:val="0"/>
      <w:divBdr>
        <w:top w:val="none" w:sz="0" w:space="0" w:color="auto"/>
        <w:left w:val="none" w:sz="0" w:space="0" w:color="auto"/>
        <w:bottom w:val="none" w:sz="0" w:space="0" w:color="auto"/>
        <w:right w:val="none" w:sz="0" w:space="0" w:color="auto"/>
      </w:divBdr>
    </w:div>
    <w:div w:id="330060435">
      <w:bodyDiv w:val="1"/>
      <w:marLeft w:val="0"/>
      <w:marRight w:val="0"/>
      <w:marTop w:val="0"/>
      <w:marBottom w:val="0"/>
      <w:divBdr>
        <w:top w:val="none" w:sz="0" w:space="0" w:color="auto"/>
        <w:left w:val="none" w:sz="0" w:space="0" w:color="auto"/>
        <w:bottom w:val="none" w:sz="0" w:space="0" w:color="auto"/>
        <w:right w:val="none" w:sz="0" w:space="0" w:color="auto"/>
      </w:divBdr>
    </w:div>
    <w:div w:id="333143103">
      <w:bodyDiv w:val="1"/>
      <w:marLeft w:val="0"/>
      <w:marRight w:val="0"/>
      <w:marTop w:val="0"/>
      <w:marBottom w:val="0"/>
      <w:divBdr>
        <w:top w:val="none" w:sz="0" w:space="0" w:color="auto"/>
        <w:left w:val="none" w:sz="0" w:space="0" w:color="auto"/>
        <w:bottom w:val="none" w:sz="0" w:space="0" w:color="auto"/>
        <w:right w:val="none" w:sz="0" w:space="0" w:color="auto"/>
      </w:divBdr>
    </w:div>
    <w:div w:id="335424491">
      <w:bodyDiv w:val="1"/>
      <w:marLeft w:val="0"/>
      <w:marRight w:val="0"/>
      <w:marTop w:val="0"/>
      <w:marBottom w:val="0"/>
      <w:divBdr>
        <w:top w:val="none" w:sz="0" w:space="0" w:color="auto"/>
        <w:left w:val="none" w:sz="0" w:space="0" w:color="auto"/>
        <w:bottom w:val="none" w:sz="0" w:space="0" w:color="auto"/>
        <w:right w:val="none" w:sz="0" w:space="0" w:color="auto"/>
      </w:divBdr>
    </w:div>
    <w:div w:id="336008384">
      <w:bodyDiv w:val="1"/>
      <w:marLeft w:val="0"/>
      <w:marRight w:val="0"/>
      <w:marTop w:val="0"/>
      <w:marBottom w:val="0"/>
      <w:divBdr>
        <w:top w:val="none" w:sz="0" w:space="0" w:color="auto"/>
        <w:left w:val="none" w:sz="0" w:space="0" w:color="auto"/>
        <w:bottom w:val="none" w:sz="0" w:space="0" w:color="auto"/>
        <w:right w:val="none" w:sz="0" w:space="0" w:color="auto"/>
      </w:divBdr>
    </w:div>
    <w:div w:id="338626647">
      <w:bodyDiv w:val="1"/>
      <w:marLeft w:val="0"/>
      <w:marRight w:val="0"/>
      <w:marTop w:val="0"/>
      <w:marBottom w:val="0"/>
      <w:divBdr>
        <w:top w:val="none" w:sz="0" w:space="0" w:color="auto"/>
        <w:left w:val="none" w:sz="0" w:space="0" w:color="auto"/>
        <w:bottom w:val="none" w:sz="0" w:space="0" w:color="auto"/>
        <w:right w:val="none" w:sz="0" w:space="0" w:color="auto"/>
      </w:divBdr>
    </w:div>
    <w:div w:id="339041190">
      <w:bodyDiv w:val="1"/>
      <w:marLeft w:val="0"/>
      <w:marRight w:val="0"/>
      <w:marTop w:val="0"/>
      <w:marBottom w:val="0"/>
      <w:divBdr>
        <w:top w:val="none" w:sz="0" w:space="0" w:color="auto"/>
        <w:left w:val="none" w:sz="0" w:space="0" w:color="auto"/>
        <w:bottom w:val="none" w:sz="0" w:space="0" w:color="auto"/>
        <w:right w:val="none" w:sz="0" w:space="0" w:color="auto"/>
      </w:divBdr>
    </w:div>
    <w:div w:id="340201393">
      <w:bodyDiv w:val="1"/>
      <w:marLeft w:val="0"/>
      <w:marRight w:val="0"/>
      <w:marTop w:val="0"/>
      <w:marBottom w:val="0"/>
      <w:divBdr>
        <w:top w:val="none" w:sz="0" w:space="0" w:color="auto"/>
        <w:left w:val="none" w:sz="0" w:space="0" w:color="auto"/>
        <w:bottom w:val="none" w:sz="0" w:space="0" w:color="auto"/>
        <w:right w:val="none" w:sz="0" w:space="0" w:color="auto"/>
      </w:divBdr>
    </w:div>
    <w:div w:id="341669856">
      <w:bodyDiv w:val="1"/>
      <w:marLeft w:val="0"/>
      <w:marRight w:val="0"/>
      <w:marTop w:val="0"/>
      <w:marBottom w:val="0"/>
      <w:divBdr>
        <w:top w:val="none" w:sz="0" w:space="0" w:color="auto"/>
        <w:left w:val="none" w:sz="0" w:space="0" w:color="auto"/>
        <w:bottom w:val="none" w:sz="0" w:space="0" w:color="auto"/>
        <w:right w:val="none" w:sz="0" w:space="0" w:color="auto"/>
      </w:divBdr>
    </w:div>
    <w:div w:id="347484111">
      <w:bodyDiv w:val="1"/>
      <w:marLeft w:val="0"/>
      <w:marRight w:val="0"/>
      <w:marTop w:val="0"/>
      <w:marBottom w:val="0"/>
      <w:divBdr>
        <w:top w:val="none" w:sz="0" w:space="0" w:color="auto"/>
        <w:left w:val="none" w:sz="0" w:space="0" w:color="auto"/>
        <w:bottom w:val="none" w:sz="0" w:space="0" w:color="auto"/>
        <w:right w:val="none" w:sz="0" w:space="0" w:color="auto"/>
      </w:divBdr>
    </w:div>
    <w:div w:id="347680900">
      <w:bodyDiv w:val="1"/>
      <w:marLeft w:val="0"/>
      <w:marRight w:val="0"/>
      <w:marTop w:val="0"/>
      <w:marBottom w:val="0"/>
      <w:divBdr>
        <w:top w:val="none" w:sz="0" w:space="0" w:color="auto"/>
        <w:left w:val="none" w:sz="0" w:space="0" w:color="auto"/>
        <w:bottom w:val="none" w:sz="0" w:space="0" w:color="auto"/>
        <w:right w:val="none" w:sz="0" w:space="0" w:color="auto"/>
      </w:divBdr>
    </w:div>
    <w:div w:id="350835229">
      <w:bodyDiv w:val="1"/>
      <w:marLeft w:val="0"/>
      <w:marRight w:val="0"/>
      <w:marTop w:val="0"/>
      <w:marBottom w:val="0"/>
      <w:divBdr>
        <w:top w:val="none" w:sz="0" w:space="0" w:color="auto"/>
        <w:left w:val="none" w:sz="0" w:space="0" w:color="auto"/>
        <w:bottom w:val="none" w:sz="0" w:space="0" w:color="auto"/>
        <w:right w:val="none" w:sz="0" w:space="0" w:color="auto"/>
      </w:divBdr>
    </w:div>
    <w:div w:id="355348610">
      <w:bodyDiv w:val="1"/>
      <w:marLeft w:val="0"/>
      <w:marRight w:val="0"/>
      <w:marTop w:val="0"/>
      <w:marBottom w:val="0"/>
      <w:divBdr>
        <w:top w:val="none" w:sz="0" w:space="0" w:color="auto"/>
        <w:left w:val="none" w:sz="0" w:space="0" w:color="auto"/>
        <w:bottom w:val="none" w:sz="0" w:space="0" w:color="auto"/>
        <w:right w:val="none" w:sz="0" w:space="0" w:color="auto"/>
      </w:divBdr>
    </w:div>
    <w:div w:id="357586126">
      <w:bodyDiv w:val="1"/>
      <w:marLeft w:val="0"/>
      <w:marRight w:val="0"/>
      <w:marTop w:val="0"/>
      <w:marBottom w:val="0"/>
      <w:divBdr>
        <w:top w:val="none" w:sz="0" w:space="0" w:color="auto"/>
        <w:left w:val="none" w:sz="0" w:space="0" w:color="auto"/>
        <w:bottom w:val="none" w:sz="0" w:space="0" w:color="auto"/>
        <w:right w:val="none" w:sz="0" w:space="0" w:color="auto"/>
      </w:divBdr>
    </w:div>
    <w:div w:id="361437357">
      <w:bodyDiv w:val="1"/>
      <w:marLeft w:val="0"/>
      <w:marRight w:val="0"/>
      <w:marTop w:val="0"/>
      <w:marBottom w:val="0"/>
      <w:divBdr>
        <w:top w:val="none" w:sz="0" w:space="0" w:color="auto"/>
        <w:left w:val="none" w:sz="0" w:space="0" w:color="auto"/>
        <w:bottom w:val="none" w:sz="0" w:space="0" w:color="auto"/>
        <w:right w:val="none" w:sz="0" w:space="0" w:color="auto"/>
      </w:divBdr>
    </w:div>
    <w:div w:id="366763268">
      <w:bodyDiv w:val="1"/>
      <w:marLeft w:val="0"/>
      <w:marRight w:val="0"/>
      <w:marTop w:val="0"/>
      <w:marBottom w:val="0"/>
      <w:divBdr>
        <w:top w:val="none" w:sz="0" w:space="0" w:color="auto"/>
        <w:left w:val="none" w:sz="0" w:space="0" w:color="auto"/>
        <w:bottom w:val="none" w:sz="0" w:space="0" w:color="auto"/>
        <w:right w:val="none" w:sz="0" w:space="0" w:color="auto"/>
      </w:divBdr>
    </w:div>
    <w:div w:id="371198380">
      <w:bodyDiv w:val="1"/>
      <w:marLeft w:val="0"/>
      <w:marRight w:val="0"/>
      <w:marTop w:val="0"/>
      <w:marBottom w:val="0"/>
      <w:divBdr>
        <w:top w:val="none" w:sz="0" w:space="0" w:color="auto"/>
        <w:left w:val="none" w:sz="0" w:space="0" w:color="auto"/>
        <w:bottom w:val="none" w:sz="0" w:space="0" w:color="auto"/>
        <w:right w:val="none" w:sz="0" w:space="0" w:color="auto"/>
      </w:divBdr>
    </w:div>
    <w:div w:id="399139110">
      <w:bodyDiv w:val="1"/>
      <w:marLeft w:val="0"/>
      <w:marRight w:val="0"/>
      <w:marTop w:val="0"/>
      <w:marBottom w:val="0"/>
      <w:divBdr>
        <w:top w:val="none" w:sz="0" w:space="0" w:color="auto"/>
        <w:left w:val="none" w:sz="0" w:space="0" w:color="auto"/>
        <w:bottom w:val="none" w:sz="0" w:space="0" w:color="auto"/>
        <w:right w:val="none" w:sz="0" w:space="0" w:color="auto"/>
      </w:divBdr>
    </w:div>
    <w:div w:id="400568735">
      <w:bodyDiv w:val="1"/>
      <w:marLeft w:val="0"/>
      <w:marRight w:val="0"/>
      <w:marTop w:val="0"/>
      <w:marBottom w:val="0"/>
      <w:divBdr>
        <w:top w:val="none" w:sz="0" w:space="0" w:color="auto"/>
        <w:left w:val="none" w:sz="0" w:space="0" w:color="auto"/>
        <w:bottom w:val="none" w:sz="0" w:space="0" w:color="auto"/>
        <w:right w:val="none" w:sz="0" w:space="0" w:color="auto"/>
      </w:divBdr>
    </w:div>
    <w:div w:id="405538931">
      <w:bodyDiv w:val="1"/>
      <w:marLeft w:val="0"/>
      <w:marRight w:val="0"/>
      <w:marTop w:val="0"/>
      <w:marBottom w:val="0"/>
      <w:divBdr>
        <w:top w:val="none" w:sz="0" w:space="0" w:color="auto"/>
        <w:left w:val="none" w:sz="0" w:space="0" w:color="auto"/>
        <w:bottom w:val="none" w:sz="0" w:space="0" w:color="auto"/>
        <w:right w:val="none" w:sz="0" w:space="0" w:color="auto"/>
      </w:divBdr>
    </w:div>
    <w:div w:id="405611104">
      <w:bodyDiv w:val="1"/>
      <w:marLeft w:val="0"/>
      <w:marRight w:val="0"/>
      <w:marTop w:val="0"/>
      <w:marBottom w:val="0"/>
      <w:divBdr>
        <w:top w:val="none" w:sz="0" w:space="0" w:color="auto"/>
        <w:left w:val="none" w:sz="0" w:space="0" w:color="auto"/>
        <w:bottom w:val="none" w:sz="0" w:space="0" w:color="auto"/>
        <w:right w:val="none" w:sz="0" w:space="0" w:color="auto"/>
      </w:divBdr>
    </w:div>
    <w:div w:id="406999364">
      <w:bodyDiv w:val="1"/>
      <w:marLeft w:val="0"/>
      <w:marRight w:val="0"/>
      <w:marTop w:val="0"/>
      <w:marBottom w:val="0"/>
      <w:divBdr>
        <w:top w:val="none" w:sz="0" w:space="0" w:color="auto"/>
        <w:left w:val="none" w:sz="0" w:space="0" w:color="auto"/>
        <w:bottom w:val="none" w:sz="0" w:space="0" w:color="auto"/>
        <w:right w:val="none" w:sz="0" w:space="0" w:color="auto"/>
      </w:divBdr>
    </w:div>
    <w:div w:id="413671692">
      <w:bodyDiv w:val="1"/>
      <w:marLeft w:val="0"/>
      <w:marRight w:val="0"/>
      <w:marTop w:val="0"/>
      <w:marBottom w:val="0"/>
      <w:divBdr>
        <w:top w:val="none" w:sz="0" w:space="0" w:color="auto"/>
        <w:left w:val="none" w:sz="0" w:space="0" w:color="auto"/>
        <w:bottom w:val="none" w:sz="0" w:space="0" w:color="auto"/>
        <w:right w:val="none" w:sz="0" w:space="0" w:color="auto"/>
      </w:divBdr>
    </w:div>
    <w:div w:id="415397034">
      <w:bodyDiv w:val="1"/>
      <w:marLeft w:val="0"/>
      <w:marRight w:val="0"/>
      <w:marTop w:val="0"/>
      <w:marBottom w:val="0"/>
      <w:divBdr>
        <w:top w:val="none" w:sz="0" w:space="0" w:color="auto"/>
        <w:left w:val="none" w:sz="0" w:space="0" w:color="auto"/>
        <w:bottom w:val="none" w:sz="0" w:space="0" w:color="auto"/>
        <w:right w:val="none" w:sz="0" w:space="0" w:color="auto"/>
      </w:divBdr>
      <w:divsChild>
        <w:div w:id="1661695701">
          <w:marLeft w:val="0"/>
          <w:marRight w:val="0"/>
          <w:marTop w:val="0"/>
          <w:marBottom w:val="0"/>
          <w:divBdr>
            <w:top w:val="none" w:sz="0" w:space="0" w:color="auto"/>
            <w:left w:val="none" w:sz="0" w:space="0" w:color="auto"/>
            <w:bottom w:val="none" w:sz="0" w:space="0" w:color="auto"/>
            <w:right w:val="none" w:sz="0" w:space="0" w:color="auto"/>
          </w:divBdr>
        </w:div>
        <w:div w:id="2006473163">
          <w:marLeft w:val="0"/>
          <w:marRight w:val="0"/>
          <w:marTop w:val="0"/>
          <w:marBottom w:val="0"/>
          <w:divBdr>
            <w:top w:val="none" w:sz="0" w:space="0" w:color="auto"/>
            <w:left w:val="none" w:sz="0" w:space="0" w:color="auto"/>
            <w:bottom w:val="none" w:sz="0" w:space="0" w:color="auto"/>
            <w:right w:val="none" w:sz="0" w:space="0" w:color="auto"/>
          </w:divBdr>
        </w:div>
        <w:div w:id="1882284326">
          <w:marLeft w:val="0"/>
          <w:marRight w:val="0"/>
          <w:marTop w:val="0"/>
          <w:marBottom w:val="0"/>
          <w:divBdr>
            <w:top w:val="none" w:sz="0" w:space="0" w:color="auto"/>
            <w:left w:val="none" w:sz="0" w:space="0" w:color="auto"/>
            <w:bottom w:val="none" w:sz="0" w:space="0" w:color="auto"/>
            <w:right w:val="none" w:sz="0" w:space="0" w:color="auto"/>
          </w:divBdr>
        </w:div>
      </w:divsChild>
    </w:div>
    <w:div w:id="417212578">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36489300">
      <w:bodyDiv w:val="1"/>
      <w:marLeft w:val="0"/>
      <w:marRight w:val="0"/>
      <w:marTop w:val="0"/>
      <w:marBottom w:val="0"/>
      <w:divBdr>
        <w:top w:val="none" w:sz="0" w:space="0" w:color="auto"/>
        <w:left w:val="none" w:sz="0" w:space="0" w:color="auto"/>
        <w:bottom w:val="none" w:sz="0" w:space="0" w:color="auto"/>
        <w:right w:val="none" w:sz="0" w:space="0" w:color="auto"/>
      </w:divBdr>
    </w:div>
    <w:div w:id="437256293">
      <w:bodyDiv w:val="1"/>
      <w:marLeft w:val="0"/>
      <w:marRight w:val="0"/>
      <w:marTop w:val="0"/>
      <w:marBottom w:val="0"/>
      <w:divBdr>
        <w:top w:val="none" w:sz="0" w:space="0" w:color="auto"/>
        <w:left w:val="none" w:sz="0" w:space="0" w:color="auto"/>
        <w:bottom w:val="none" w:sz="0" w:space="0" w:color="auto"/>
        <w:right w:val="none" w:sz="0" w:space="0" w:color="auto"/>
      </w:divBdr>
    </w:div>
    <w:div w:id="441847642">
      <w:bodyDiv w:val="1"/>
      <w:marLeft w:val="0"/>
      <w:marRight w:val="0"/>
      <w:marTop w:val="0"/>
      <w:marBottom w:val="0"/>
      <w:divBdr>
        <w:top w:val="none" w:sz="0" w:space="0" w:color="auto"/>
        <w:left w:val="none" w:sz="0" w:space="0" w:color="auto"/>
        <w:bottom w:val="none" w:sz="0" w:space="0" w:color="auto"/>
        <w:right w:val="none" w:sz="0" w:space="0" w:color="auto"/>
      </w:divBdr>
    </w:div>
    <w:div w:id="442841928">
      <w:bodyDiv w:val="1"/>
      <w:marLeft w:val="0"/>
      <w:marRight w:val="0"/>
      <w:marTop w:val="0"/>
      <w:marBottom w:val="0"/>
      <w:divBdr>
        <w:top w:val="none" w:sz="0" w:space="0" w:color="auto"/>
        <w:left w:val="none" w:sz="0" w:space="0" w:color="auto"/>
        <w:bottom w:val="none" w:sz="0" w:space="0" w:color="auto"/>
        <w:right w:val="none" w:sz="0" w:space="0" w:color="auto"/>
      </w:divBdr>
    </w:div>
    <w:div w:id="444078478">
      <w:bodyDiv w:val="1"/>
      <w:marLeft w:val="0"/>
      <w:marRight w:val="0"/>
      <w:marTop w:val="0"/>
      <w:marBottom w:val="0"/>
      <w:divBdr>
        <w:top w:val="none" w:sz="0" w:space="0" w:color="auto"/>
        <w:left w:val="none" w:sz="0" w:space="0" w:color="auto"/>
        <w:bottom w:val="none" w:sz="0" w:space="0" w:color="auto"/>
        <w:right w:val="none" w:sz="0" w:space="0" w:color="auto"/>
      </w:divBdr>
    </w:div>
    <w:div w:id="449281128">
      <w:bodyDiv w:val="1"/>
      <w:marLeft w:val="0"/>
      <w:marRight w:val="0"/>
      <w:marTop w:val="0"/>
      <w:marBottom w:val="0"/>
      <w:divBdr>
        <w:top w:val="none" w:sz="0" w:space="0" w:color="auto"/>
        <w:left w:val="none" w:sz="0" w:space="0" w:color="auto"/>
        <w:bottom w:val="none" w:sz="0" w:space="0" w:color="auto"/>
        <w:right w:val="none" w:sz="0" w:space="0" w:color="auto"/>
      </w:divBdr>
    </w:div>
    <w:div w:id="459611447">
      <w:bodyDiv w:val="1"/>
      <w:marLeft w:val="0"/>
      <w:marRight w:val="0"/>
      <w:marTop w:val="0"/>
      <w:marBottom w:val="0"/>
      <w:divBdr>
        <w:top w:val="none" w:sz="0" w:space="0" w:color="auto"/>
        <w:left w:val="none" w:sz="0" w:space="0" w:color="auto"/>
        <w:bottom w:val="none" w:sz="0" w:space="0" w:color="auto"/>
        <w:right w:val="none" w:sz="0" w:space="0" w:color="auto"/>
      </w:divBdr>
    </w:div>
    <w:div w:id="461851825">
      <w:bodyDiv w:val="1"/>
      <w:marLeft w:val="0"/>
      <w:marRight w:val="0"/>
      <w:marTop w:val="0"/>
      <w:marBottom w:val="0"/>
      <w:divBdr>
        <w:top w:val="none" w:sz="0" w:space="0" w:color="auto"/>
        <w:left w:val="none" w:sz="0" w:space="0" w:color="auto"/>
        <w:bottom w:val="none" w:sz="0" w:space="0" w:color="auto"/>
        <w:right w:val="none" w:sz="0" w:space="0" w:color="auto"/>
      </w:divBdr>
    </w:div>
    <w:div w:id="463737943">
      <w:bodyDiv w:val="1"/>
      <w:marLeft w:val="0"/>
      <w:marRight w:val="0"/>
      <w:marTop w:val="0"/>
      <w:marBottom w:val="0"/>
      <w:divBdr>
        <w:top w:val="none" w:sz="0" w:space="0" w:color="auto"/>
        <w:left w:val="none" w:sz="0" w:space="0" w:color="auto"/>
        <w:bottom w:val="none" w:sz="0" w:space="0" w:color="auto"/>
        <w:right w:val="none" w:sz="0" w:space="0" w:color="auto"/>
      </w:divBdr>
    </w:div>
    <w:div w:id="473645254">
      <w:bodyDiv w:val="1"/>
      <w:marLeft w:val="0"/>
      <w:marRight w:val="0"/>
      <w:marTop w:val="0"/>
      <w:marBottom w:val="0"/>
      <w:divBdr>
        <w:top w:val="none" w:sz="0" w:space="0" w:color="auto"/>
        <w:left w:val="none" w:sz="0" w:space="0" w:color="auto"/>
        <w:bottom w:val="none" w:sz="0" w:space="0" w:color="auto"/>
        <w:right w:val="none" w:sz="0" w:space="0" w:color="auto"/>
      </w:divBdr>
    </w:div>
    <w:div w:id="474761071">
      <w:bodyDiv w:val="1"/>
      <w:marLeft w:val="0"/>
      <w:marRight w:val="0"/>
      <w:marTop w:val="0"/>
      <w:marBottom w:val="0"/>
      <w:divBdr>
        <w:top w:val="none" w:sz="0" w:space="0" w:color="auto"/>
        <w:left w:val="none" w:sz="0" w:space="0" w:color="auto"/>
        <w:bottom w:val="none" w:sz="0" w:space="0" w:color="auto"/>
        <w:right w:val="none" w:sz="0" w:space="0" w:color="auto"/>
      </w:divBdr>
    </w:div>
    <w:div w:id="486749963">
      <w:bodyDiv w:val="1"/>
      <w:marLeft w:val="0"/>
      <w:marRight w:val="0"/>
      <w:marTop w:val="0"/>
      <w:marBottom w:val="0"/>
      <w:divBdr>
        <w:top w:val="none" w:sz="0" w:space="0" w:color="auto"/>
        <w:left w:val="none" w:sz="0" w:space="0" w:color="auto"/>
        <w:bottom w:val="none" w:sz="0" w:space="0" w:color="auto"/>
        <w:right w:val="none" w:sz="0" w:space="0" w:color="auto"/>
      </w:divBdr>
    </w:div>
    <w:div w:id="492649731">
      <w:bodyDiv w:val="1"/>
      <w:marLeft w:val="0"/>
      <w:marRight w:val="0"/>
      <w:marTop w:val="0"/>
      <w:marBottom w:val="0"/>
      <w:divBdr>
        <w:top w:val="none" w:sz="0" w:space="0" w:color="auto"/>
        <w:left w:val="none" w:sz="0" w:space="0" w:color="auto"/>
        <w:bottom w:val="none" w:sz="0" w:space="0" w:color="auto"/>
        <w:right w:val="none" w:sz="0" w:space="0" w:color="auto"/>
      </w:divBdr>
    </w:div>
    <w:div w:id="492987684">
      <w:bodyDiv w:val="1"/>
      <w:marLeft w:val="0"/>
      <w:marRight w:val="0"/>
      <w:marTop w:val="0"/>
      <w:marBottom w:val="0"/>
      <w:divBdr>
        <w:top w:val="none" w:sz="0" w:space="0" w:color="auto"/>
        <w:left w:val="none" w:sz="0" w:space="0" w:color="auto"/>
        <w:bottom w:val="none" w:sz="0" w:space="0" w:color="auto"/>
        <w:right w:val="none" w:sz="0" w:space="0" w:color="auto"/>
      </w:divBdr>
    </w:div>
    <w:div w:id="493838303">
      <w:bodyDiv w:val="1"/>
      <w:marLeft w:val="0"/>
      <w:marRight w:val="0"/>
      <w:marTop w:val="0"/>
      <w:marBottom w:val="0"/>
      <w:divBdr>
        <w:top w:val="none" w:sz="0" w:space="0" w:color="auto"/>
        <w:left w:val="none" w:sz="0" w:space="0" w:color="auto"/>
        <w:bottom w:val="none" w:sz="0" w:space="0" w:color="auto"/>
        <w:right w:val="none" w:sz="0" w:space="0" w:color="auto"/>
      </w:divBdr>
    </w:div>
    <w:div w:id="497841216">
      <w:bodyDiv w:val="1"/>
      <w:marLeft w:val="0"/>
      <w:marRight w:val="0"/>
      <w:marTop w:val="0"/>
      <w:marBottom w:val="0"/>
      <w:divBdr>
        <w:top w:val="none" w:sz="0" w:space="0" w:color="auto"/>
        <w:left w:val="none" w:sz="0" w:space="0" w:color="auto"/>
        <w:bottom w:val="none" w:sz="0" w:space="0" w:color="auto"/>
        <w:right w:val="none" w:sz="0" w:space="0" w:color="auto"/>
      </w:divBdr>
    </w:div>
    <w:div w:id="500656818">
      <w:bodyDiv w:val="1"/>
      <w:marLeft w:val="0"/>
      <w:marRight w:val="0"/>
      <w:marTop w:val="0"/>
      <w:marBottom w:val="0"/>
      <w:divBdr>
        <w:top w:val="none" w:sz="0" w:space="0" w:color="auto"/>
        <w:left w:val="none" w:sz="0" w:space="0" w:color="auto"/>
        <w:bottom w:val="none" w:sz="0" w:space="0" w:color="auto"/>
        <w:right w:val="none" w:sz="0" w:space="0" w:color="auto"/>
      </w:divBdr>
    </w:div>
    <w:div w:id="506094481">
      <w:bodyDiv w:val="1"/>
      <w:marLeft w:val="0"/>
      <w:marRight w:val="0"/>
      <w:marTop w:val="0"/>
      <w:marBottom w:val="0"/>
      <w:divBdr>
        <w:top w:val="none" w:sz="0" w:space="0" w:color="auto"/>
        <w:left w:val="none" w:sz="0" w:space="0" w:color="auto"/>
        <w:bottom w:val="none" w:sz="0" w:space="0" w:color="auto"/>
        <w:right w:val="none" w:sz="0" w:space="0" w:color="auto"/>
      </w:divBdr>
    </w:div>
    <w:div w:id="509487261">
      <w:bodyDiv w:val="1"/>
      <w:marLeft w:val="0"/>
      <w:marRight w:val="0"/>
      <w:marTop w:val="0"/>
      <w:marBottom w:val="0"/>
      <w:divBdr>
        <w:top w:val="none" w:sz="0" w:space="0" w:color="auto"/>
        <w:left w:val="none" w:sz="0" w:space="0" w:color="auto"/>
        <w:bottom w:val="none" w:sz="0" w:space="0" w:color="auto"/>
        <w:right w:val="none" w:sz="0" w:space="0" w:color="auto"/>
      </w:divBdr>
    </w:div>
    <w:div w:id="513107251">
      <w:bodyDiv w:val="1"/>
      <w:marLeft w:val="0"/>
      <w:marRight w:val="0"/>
      <w:marTop w:val="0"/>
      <w:marBottom w:val="0"/>
      <w:divBdr>
        <w:top w:val="none" w:sz="0" w:space="0" w:color="auto"/>
        <w:left w:val="none" w:sz="0" w:space="0" w:color="auto"/>
        <w:bottom w:val="none" w:sz="0" w:space="0" w:color="auto"/>
        <w:right w:val="none" w:sz="0" w:space="0" w:color="auto"/>
      </w:divBdr>
    </w:div>
    <w:div w:id="529032570">
      <w:bodyDiv w:val="1"/>
      <w:marLeft w:val="0"/>
      <w:marRight w:val="0"/>
      <w:marTop w:val="0"/>
      <w:marBottom w:val="0"/>
      <w:divBdr>
        <w:top w:val="none" w:sz="0" w:space="0" w:color="auto"/>
        <w:left w:val="none" w:sz="0" w:space="0" w:color="auto"/>
        <w:bottom w:val="none" w:sz="0" w:space="0" w:color="auto"/>
        <w:right w:val="none" w:sz="0" w:space="0" w:color="auto"/>
      </w:divBdr>
    </w:div>
    <w:div w:id="537473455">
      <w:bodyDiv w:val="1"/>
      <w:marLeft w:val="0"/>
      <w:marRight w:val="0"/>
      <w:marTop w:val="0"/>
      <w:marBottom w:val="0"/>
      <w:divBdr>
        <w:top w:val="none" w:sz="0" w:space="0" w:color="auto"/>
        <w:left w:val="none" w:sz="0" w:space="0" w:color="auto"/>
        <w:bottom w:val="none" w:sz="0" w:space="0" w:color="auto"/>
        <w:right w:val="none" w:sz="0" w:space="0" w:color="auto"/>
      </w:divBdr>
    </w:div>
    <w:div w:id="541402674">
      <w:bodyDiv w:val="1"/>
      <w:marLeft w:val="0"/>
      <w:marRight w:val="0"/>
      <w:marTop w:val="0"/>
      <w:marBottom w:val="0"/>
      <w:divBdr>
        <w:top w:val="none" w:sz="0" w:space="0" w:color="auto"/>
        <w:left w:val="none" w:sz="0" w:space="0" w:color="auto"/>
        <w:bottom w:val="none" w:sz="0" w:space="0" w:color="auto"/>
        <w:right w:val="none" w:sz="0" w:space="0" w:color="auto"/>
      </w:divBdr>
      <w:divsChild>
        <w:div w:id="646979301">
          <w:marLeft w:val="0"/>
          <w:marRight w:val="0"/>
          <w:marTop w:val="0"/>
          <w:marBottom w:val="0"/>
          <w:divBdr>
            <w:top w:val="none" w:sz="0" w:space="0" w:color="auto"/>
            <w:left w:val="none" w:sz="0" w:space="0" w:color="auto"/>
            <w:bottom w:val="none" w:sz="0" w:space="0" w:color="auto"/>
            <w:right w:val="none" w:sz="0" w:space="0" w:color="auto"/>
          </w:divBdr>
          <w:divsChild>
            <w:div w:id="944848540">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343557028">
              <w:marLeft w:val="0"/>
              <w:marRight w:val="0"/>
              <w:marTop w:val="0"/>
              <w:marBottom w:val="0"/>
              <w:divBdr>
                <w:top w:val="none" w:sz="0" w:space="0" w:color="auto"/>
                <w:left w:val="none" w:sz="0" w:space="0" w:color="auto"/>
                <w:bottom w:val="none" w:sz="0" w:space="0" w:color="auto"/>
                <w:right w:val="none" w:sz="0" w:space="0" w:color="auto"/>
              </w:divBdr>
            </w:div>
            <w:div w:id="1949240588">
              <w:marLeft w:val="0"/>
              <w:marRight w:val="0"/>
              <w:marTop w:val="0"/>
              <w:marBottom w:val="0"/>
              <w:divBdr>
                <w:top w:val="none" w:sz="0" w:space="0" w:color="auto"/>
                <w:left w:val="none" w:sz="0" w:space="0" w:color="auto"/>
                <w:bottom w:val="none" w:sz="0" w:space="0" w:color="auto"/>
                <w:right w:val="none" w:sz="0" w:space="0" w:color="auto"/>
              </w:divBdr>
            </w:div>
            <w:div w:id="155734428">
              <w:marLeft w:val="0"/>
              <w:marRight w:val="0"/>
              <w:marTop w:val="0"/>
              <w:marBottom w:val="0"/>
              <w:divBdr>
                <w:top w:val="none" w:sz="0" w:space="0" w:color="auto"/>
                <w:left w:val="none" w:sz="0" w:space="0" w:color="auto"/>
                <w:bottom w:val="none" w:sz="0" w:space="0" w:color="auto"/>
                <w:right w:val="none" w:sz="0" w:space="0" w:color="auto"/>
              </w:divBdr>
            </w:div>
            <w:div w:id="2051877408">
              <w:marLeft w:val="0"/>
              <w:marRight w:val="0"/>
              <w:marTop w:val="0"/>
              <w:marBottom w:val="0"/>
              <w:divBdr>
                <w:top w:val="none" w:sz="0" w:space="0" w:color="auto"/>
                <w:left w:val="none" w:sz="0" w:space="0" w:color="auto"/>
                <w:bottom w:val="none" w:sz="0" w:space="0" w:color="auto"/>
                <w:right w:val="none" w:sz="0" w:space="0" w:color="auto"/>
              </w:divBdr>
            </w:div>
            <w:div w:id="737047227">
              <w:marLeft w:val="0"/>
              <w:marRight w:val="0"/>
              <w:marTop w:val="0"/>
              <w:marBottom w:val="0"/>
              <w:divBdr>
                <w:top w:val="none" w:sz="0" w:space="0" w:color="auto"/>
                <w:left w:val="none" w:sz="0" w:space="0" w:color="auto"/>
                <w:bottom w:val="none" w:sz="0" w:space="0" w:color="auto"/>
                <w:right w:val="none" w:sz="0" w:space="0" w:color="auto"/>
              </w:divBdr>
            </w:div>
          </w:divsChild>
        </w:div>
        <w:div w:id="1268848135">
          <w:marLeft w:val="0"/>
          <w:marRight w:val="0"/>
          <w:marTop w:val="0"/>
          <w:marBottom w:val="0"/>
          <w:divBdr>
            <w:top w:val="none" w:sz="0" w:space="0" w:color="auto"/>
            <w:left w:val="none" w:sz="0" w:space="0" w:color="auto"/>
            <w:bottom w:val="none" w:sz="0" w:space="0" w:color="auto"/>
            <w:right w:val="none" w:sz="0" w:space="0" w:color="auto"/>
          </w:divBdr>
        </w:div>
      </w:divsChild>
    </w:div>
    <w:div w:id="545876207">
      <w:bodyDiv w:val="1"/>
      <w:marLeft w:val="0"/>
      <w:marRight w:val="0"/>
      <w:marTop w:val="0"/>
      <w:marBottom w:val="0"/>
      <w:divBdr>
        <w:top w:val="none" w:sz="0" w:space="0" w:color="auto"/>
        <w:left w:val="none" w:sz="0" w:space="0" w:color="auto"/>
        <w:bottom w:val="none" w:sz="0" w:space="0" w:color="auto"/>
        <w:right w:val="none" w:sz="0" w:space="0" w:color="auto"/>
      </w:divBdr>
    </w:div>
    <w:div w:id="548109822">
      <w:bodyDiv w:val="1"/>
      <w:marLeft w:val="0"/>
      <w:marRight w:val="0"/>
      <w:marTop w:val="0"/>
      <w:marBottom w:val="0"/>
      <w:divBdr>
        <w:top w:val="single" w:sz="18" w:space="15" w:color="39633D"/>
        <w:left w:val="none" w:sz="0" w:space="0" w:color="auto"/>
        <w:bottom w:val="none" w:sz="0" w:space="0" w:color="auto"/>
        <w:right w:val="none" w:sz="0" w:space="0" w:color="auto"/>
      </w:divBdr>
      <w:divsChild>
        <w:div w:id="1803033886">
          <w:marLeft w:val="0"/>
          <w:marRight w:val="0"/>
          <w:marTop w:val="0"/>
          <w:marBottom w:val="0"/>
          <w:divBdr>
            <w:top w:val="none" w:sz="0" w:space="0" w:color="auto"/>
            <w:left w:val="none" w:sz="0" w:space="0" w:color="auto"/>
            <w:bottom w:val="none" w:sz="0" w:space="0" w:color="auto"/>
            <w:right w:val="none" w:sz="0" w:space="0" w:color="auto"/>
          </w:divBdr>
          <w:divsChild>
            <w:div w:id="1322738868">
              <w:marLeft w:val="0"/>
              <w:marRight w:val="0"/>
              <w:marTop w:val="0"/>
              <w:marBottom w:val="0"/>
              <w:divBdr>
                <w:top w:val="none" w:sz="0" w:space="0" w:color="auto"/>
                <w:left w:val="none" w:sz="0" w:space="0" w:color="auto"/>
                <w:bottom w:val="none" w:sz="0" w:space="0" w:color="auto"/>
                <w:right w:val="none" w:sz="0" w:space="0" w:color="auto"/>
              </w:divBdr>
              <w:divsChild>
                <w:div w:id="55589827">
                  <w:marLeft w:val="0"/>
                  <w:marRight w:val="0"/>
                  <w:marTop w:val="0"/>
                  <w:marBottom w:val="0"/>
                  <w:divBdr>
                    <w:top w:val="none" w:sz="0" w:space="0" w:color="auto"/>
                    <w:left w:val="none" w:sz="0" w:space="0" w:color="auto"/>
                    <w:bottom w:val="none" w:sz="0" w:space="0" w:color="auto"/>
                    <w:right w:val="none" w:sz="0" w:space="0" w:color="auto"/>
                  </w:divBdr>
                  <w:divsChild>
                    <w:div w:id="165294644">
                      <w:marLeft w:val="0"/>
                      <w:marRight w:val="0"/>
                      <w:marTop w:val="0"/>
                      <w:marBottom w:val="0"/>
                      <w:divBdr>
                        <w:top w:val="none" w:sz="0" w:space="0" w:color="auto"/>
                        <w:left w:val="none" w:sz="0" w:space="0" w:color="auto"/>
                        <w:bottom w:val="none" w:sz="0" w:space="0" w:color="auto"/>
                        <w:right w:val="none" w:sz="0" w:space="0" w:color="auto"/>
                      </w:divBdr>
                      <w:divsChild>
                        <w:div w:id="813064552">
                          <w:marLeft w:val="0"/>
                          <w:marRight w:val="0"/>
                          <w:marTop w:val="0"/>
                          <w:marBottom w:val="0"/>
                          <w:divBdr>
                            <w:top w:val="none" w:sz="0" w:space="0" w:color="auto"/>
                            <w:left w:val="none" w:sz="0" w:space="0" w:color="auto"/>
                            <w:bottom w:val="none" w:sz="0" w:space="0" w:color="auto"/>
                            <w:right w:val="none" w:sz="0" w:space="0" w:color="auto"/>
                          </w:divBdr>
                          <w:divsChild>
                            <w:div w:id="652218857">
                              <w:marLeft w:val="0"/>
                              <w:marRight w:val="0"/>
                              <w:marTop w:val="0"/>
                              <w:marBottom w:val="0"/>
                              <w:divBdr>
                                <w:top w:val="none" w:sz="0" w:space="0" w:color="auto"/>
                                <w:left w:val="none" w:sz="0" w:space="0" w:color="auto"/>
                                <w:bottom w:val="none" w:sz="0" w:space="0" w:color="auto"/>
                                <w:right w:val="none" w:sz="0" w:space="0" w:color="auto"/>
                              </w:divBdr>
                              <w:divsChild>
                                <w:div w:id="1747996161">
                                  <w:marLeft w:val="0"/>
                                  <w:marRight w:val="0"/>
                                  <w:marTop w:val="0"/>
                                  <w:marBottom w:val="0"/>
                                  <w:divBdr>
                                    <w:top w:val="none" w:sz="0" w:space="0" w:color="auto"/>
                                    <w:left w:val="none" w:sz="0" w:space="0" w:color="auto"/>
                                    <w:bottom w:val="none" w:sz="0" w:space="0" w:color="auto"/>
                                    <w:right w:val="none" w:sz="0" w:space="0" w:color="auto"/>
                                  </w:divBdr>
                                  <w:divsChild>
                                    <w:div w:id="879437402">
                                      <w:marLeft w:val="0"/>
                                      <w:marRight w:val="0"/>
                                      <w:marTop w:val="0"/>
                                      <w:marBottom w:val="0"/>
                                      <w:divBdr>
                                        <w:top w:val="none" w:sz="0" w:space="0" w:color="auto"/>
                                        <w:left w:val="none" w:sz="0" w:space="0" w:color="auto"/>
                                        <w:bottom w:val="none" w:sz="0" w:space="0" w:color="auto"/>
                                        <w:right w:val="none" w:sz="0" w:space="0" w:color="auto"/>
                                      </w:divBdr>
                                      <w:divsChild>
                                        <w:div w:id="62726074">
                                          <w:marLeft w:val="0"/>
                                          <w:marRight w:val="0"/>
                                          <w:marTop w:val="0"/>
                                          <w:marBottom w:val="0"/>
                                          <w:divBdr>
                                            <w:top w:val="none" w:sz="0" w:space="0" w:color="auto"/>
                                            <w:left w:val="none" w:sz="0" w:space="0" w:color="auto"/>
                                            <w:bottom w:val="none" w:sz="0" w:space="0" w:color="auto"/>
                                            <w:right w:val="none" w:sz="0" w:space="0" w:color="auto"/>
                                          </w:divBdr>
                                          <w:divsChild>
                                            <w:div w:id="138691916">
                                              <w:marLeft w:val="0"/>
                                              <w:marRight w:val="0"/>
                                              <w:marTop w:val="0"/>
                                              <w:marBottom w:val="0"/>
                                              <w:divBdr>
                                                <w:top w:val="none" w:sz="0" w:space="0" w:color="auto"/>
                                                <w:left w:val="none" w:sz="0" w:space="0" w:color="auto"/>
                                                <w:bottom w:val="none" w:sz="0" w:space="0" w:color="auto"/>
                                                <w:right w:val="none" w:sz="0" w:space="0" w:color="auto"/>
                                              </w:divBdr>
                                              <w:divsChild>
                                                <w:div w:id="1699772021">
                                                  <w:marLeft w:val="0"/>
                                                  <w:marRight w:val="0"/>
                                                  <w:marTop w:val="0"/>
                                                  <w:marBottom w:val="0"/>
                                                  <w:divBdr>
                                                    <w:top w:val="none" w:sz="0" w:space="0" w:color="auto"/>
                                                    <w:left w:val="none" w:sz="0" w:space="0" w:color="auto"/>
                                                    <w:bottom w:val="none" w:sz="0" w:space="0" w:color="auto"/>
                                                    <w:right w:val="none" w:sz="0" w:space="0" w:color="auto"/>
                                                  </w:divBdr>
                                                  <w:divsChild>
                                                    <w:div w:id="4737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430194">
      <w:bodyDiv w:val="1"/>
      <w:marLeft w:val="0"/>
      <w:marRight w:val="0"/>
      <w:marTop w:val="0"/>
      <w:marBottom w:val="0"/>
      <w:divBdr>
        <w:top w:val="none" w:sz="0" w:space="0" w:color="auto"/>
        <w:left w:val="none" w:sz="0" w:space="0" w:color="auto"/>
        <w:bottom w:val="none" w:sz="0" w:space="0" w:color="auto"/>
        <w:right w:val="none" w:sz="0" w:space="0" w:color="auto"/>
      </w:divBdr>
    </w:div>
    <w:div w:id="558903270">
      <w:bodyDiv w:val="1"/>
      <w:marLeft w:val="0"/>
      <w:marRight w:val="0"/>
      <w:marTop w:val="0"/>
      <w:marBottom w:val="0"/>
      <w:divBdr>
        <w:top w:val="none" w:sz="0" w:space="0" w:color="auto"/>
        <w:left w:val="none" w:sz="0" w:space="0" w:color="auto"/>
        <w:bottom w:val="none" w:sz="0" w:space="0" w:color="auto"/>
        <w:right w:val="none" w:sz="0" w:space="0" w:color="auto"/>
      </w:divBdr>
    </w:div>
    <w:div w:id="563372158">
      <w:bodyDiv w:val="1"/>
      <w:marLeft w:val="0"/>
      <w:marRight w:val="0"/>
      <w:marTop w:val="0"/>
      <w:marBottom w:val="0"/>
      <w:divBdr>
        <w:top w:val="none" w:sz="0" w:space="0" w:color="auto"/>
        <w:left w:val="none" w:sz="0" w:space="0" w:color="auto"/>
        <w:bottom w:val="none" w:sz="0" w:space="0" w:color="auto"/>
        <w:right w:val="none" w:sz="0" w:space="0" w:color="auto"/>
      </w:divBdr>
    </w:div>
    <w:div w:id="574583947">
      <w:bodyDiv w:val="1"/>
      <w:marLeft w:val="0"/>
      <w:marRight w:val="0"/>
      <w:marTop w:val="0"/>
      <w:marBottom w:val="0"/>
      <w:divBdr>
        <w:top w:val="none" w:sz="0" w:space="0" w:color="auto"/>
        <w:left w:val="none" w:sz="0" w:space="0" w:color="auto"/>
        <w:bottom w:val="none" w:sz="0" w:space="0" w:color="auto"/>
        <w:right w:val="none" w:sz="0" w:space="0" w:color="auto"/>
      </w:divBdr>
    </w:div>
    <w:div w:id="578442541">
      <w:bodyDiv w:val="1"/>
      <w:marLeft w:val="0"/>
      <w:marRight w:val="0"/>
      <w:marTop w:val="0"/>
      <w:marBottom w:val="0"/>
      <w:divBdr>
        <w:top w:val="none" w:sz="0" w:space="0" w:color="auto"/>
        <w:left w:val="none" w:sz="0" w:space="0" w:color="auto"/>
        <w:bottom w:val="none" w:sz="0" w:space="0" w:color="auto"/>
        <w:right w:val="none" w:sz="0" w:space="0" w:color="auto"/>
      </w:divBdr>
    </w:div>
    <w:div w:id="583494053">
      <w:bodyDiv w:val="1"/>
      <w:marLeft w:val="0"/>
      <w:marRight w:val="0"/>
      <w:marTop w:val="0"/>
      <w:marBottom w:val="0"/>
      <w:divBdr>
        <w:top w:val="none" w:sz="0" w:space="0" w:color="auto"/>
        <w:left w:val="none" w:sz="0" w:space="0" w:color="auto"/>
        <w:bottom w:val="none" w:sz="0" w:space="0" w:color="auto"/>
        <w:right w:val="none" w:sz="0" w:space="0" w:color="auto"/>
      </w:divBdr>
    </w:div>
    <w:div w:id="584610696">
      <w:bodyDiv w:val="1"/>
      <w:marLeft w:val="0"/>
      <w:marRight w:val="0"/>
      <w:marTop w:val="0"/>
      <w:marBottom w:val="0"/>
      <w:divBdr>
        <w:top w:val="none" w:sz="0" w:space="0" w:color="auto"/>
        <w:left w:val="none" w:sz="0" w:space="0" w:color="auto"/>
        <w:bottom w:val="none" w:sz="0" w:space="0" w:color="auto"/>
        <w:right w:val="none" w:sz="0" w:space="0" w:color="auto"/>
      </w:divBdr>
    </w:div>
    <w:div w:id="585844832">
      <w:bodyDiv w:val="1"/>
      <w:marLeft w:val="0"/>
      <w:marRight w:val="0"/>
      <w:marTop w:val="0"/>
      <w:marBottom w:val="0"/>
      <w:divBdr>
        <w:top w:val="none" w:sz="0" w:space="0" w:color="auto"/>
        <w:left w:val="none" w:sz="0" w:space="0" w:color="auto"/>
        <w:bottom w:val="none" w:sz="0" w:space="0" w:color="auto"/>
        <w:right w:val="none" w:sz="0" w:space="0" w:color="auto"/>
      </w:divBdr>
    </w:div>
    <w:div w:id="587541773">
      <w:bodyDiv w:val="1"/>
      <w:marLeft w:val="0"/>
      <w:marRight w:val="0"/>
      <w:marTop w:val="0"/>
      <w:marBottom w:val="0"/>
      <w:divBdr>
        <w:top w:val="none" w:sz="0" w:space="0" w:color="auto"/>
        <w:left w:val="none" w:sz="0" w:space="0" w:color="auto"/>
        <w:bottom w:val="none" w:sz="0" w:space="0" w:color="auto"/>
        <w:right w:val="none" w:sz="0" w:space="0" w:color="auto"/>
      </w:divBdr>
    </w:div>
    <w:div w:id="592275434">
      <w:bodyDiv w:val="1"/>
      <w:marLeft w:val="0"/>
      <w:marRight w:val="0"/>
      <w:marTop w:val="0"/>
      <w:marBottom w:val="0"/>
      <w:divBdr>
        <w:top w:val="none" w:sz="0" w:space="0" w:color="auto"/>
        <w:left w:val="none" w:sz="0" w:space="0" w:color="auto"/>
        <w:bottom w:val="none" w:sz="0" w:space="0" w:color="auto"/>
        <w:right w:val="none" w:sz="0" w:space="0" w:color="auto"/>
      </w:divBdr>
    </w:div>
    <w:div w:id="595018124">
      <w:bodyDiv w:val="1"/>
      <w:marLeft w:val="0"/>
      <w:marRight w:val="0"/>
      <w:marTop w:val="0"/>
      <w:marBottom w:val="0"/>
      <w:divBdr>
        <w:top w:val="none" w:sz="0" w:space="0" w:color="auto"/>
        <w:left w:val="none" w:sz="0" w:space="0" w:color="auto"/>
        <w:bottom w:val="none" w:sz="0" w:space="0" w:color="auto"/>
        <w:right w:val="none" w:sz="0" w:space="0" w:color="auto"/>
      </w:divBdr>
    </w:div>
    <w:div w:id="596447039">
      <w:bodyDiv w:val="1"/>
      <w:marLeft w:val="0"/>
      <w:marRight w:val="0"/>
      <w:marTop w:val="0"/>
      <w:marBottom w:val="0"/>
      <w:divBdr>
        <w:top w:val="none" w:sz="0" w:space="0" w:color="auto"/>
        <w:left w:val="none" w:sz="0" w:space="0" w:color="auto"/>
        <w:bottom w:val="none" w:sz="0" w:space="0" w:color="auto"/>
        <w:right w:val="none" w:sz="0" w:space="0" w:color="auto"/>
      </w:divBdr>
    </w:div>
    <w:div w:id="604387748">
      <w:bodyDiv w:val="1"/>
      <w:marLeft w:val="0"/>
      <w:marRight w:val="0"/>
      <w:marTop w:val="0"/>
      <w:marBottom w:val="0"/>
      <w:divBdr>
        <w:top w:val="none" w:sz="0" w:space="0" w:color="auto"/>
        <w:left w:val="none" w:sz="0" w:space="0" w:color="auto"/>
        <w:bottom w:val="none" w:sz="0" w:space="0" w:color="auto"/>
        <w:right w:val="none" w:sz="0" w:space="0" w:color="auto"/>
      </w:divBdr>
    </w:div>
    <w:div w:id="639960791">
      <w:bodyDiv w:val="1"/>
      <w:marLeft w:val="0"/>
      <w:marRight w:val="0"/>
      <w:marTop w:val="0"/>
      <w:marBottom w:val="0"/>
      <w:divBdr>
        <w:top w:val="none" w:sz="0" w:space="0" w:color="auto"/>
        <w:left w:val="none" w:sz="0" w:space="0" w:color="auto"/>
        <w:bottom w:val="none" w:sz="0" w:space="0" w:color="auto"/>
        <w:right w:val="none" w:sz="0" w:space="0" w:color="auto"/>
      </w:divBdr>
    </w:div>
    <w:div w:id="642929257">
      <w:bodyDiv w:val="1"/>
      <w:marLeft w:val="0"/>
      <w:marRight w:val="0"/>
      <w:marTop w:val="0"/>
      <w:marBottom w:val="0"/>
      <w:divBdr>
        <w:top w:val="none" w:sz="0" w:space="0" w:color="auto"/>
        <w:left w:val="none" w:sz="0" w:space="0" w:color="auto"/>
        <w:bottom w:val="none" w:sz="0" w:space="0" w:color="auto"/>
        <w:right w:val="none" w:sz="0" w:space="0" w:color="auto"/>
      </w:divBdr>
    </w:div>
    <w:div w:id="642931411">
      <w:bodyDiv w:val="1"/>
      <w:marLeft w:val="0"/>
      <w:marRight w:val="0"/>
      <w:marTop w:val="0"/>
      <w:marBottom w:val="0"/>
      <w:divBdr>
        <w:top w:val="none" w:sz="0" w:space="0" w:color="auto"/>
        <w:left w:val="none" w:sz="0" w:space="0" w:color="auto"/>
        <w:bottom w:val="none" w:sz="0" w:space="0" w:color="auto"/>
        <w:right w:val="none" w:sz="0" w:space="0" w:color="auto"/>
      </w:divBdr>
    </w:div>
    <w:div w:id="644555586">
      <w:bodyDiv w:val="1"/>
      <w:marLeft w:val="0"/>
      <w:marRight w:val="0"/>
      <w:marTop w:val="0"/>
      <w:marBottom w:val="0"/>
      <w:divBdr>
        <w:top w:val="none" w:sz="0" w:space="0" w:color="auto"/>
        <w:left w:val="none" w:sz="0" w:space="0" w:color="auto"/>
        <w:bottom w:val="none" w:sz="0" w:space="0" w:color="auto"/>
        <w:right w:val="none" w:sz="0" w:space="0" w:color="auto"/>
      </w:divBdr>
    </w:div>
    <w:div w:id="661664105">
      <w:bodyDiv w:val="1"/>
      <w:marLeft w:val="0"/>
      <w:marRight w:val="0"/>
      <w:marTop w:val="0"/>
      <w:marBottom w:val="0"/>
      <w:divBdr>
        <w:top w:val="none" w:sz="0" w:space="0" w:color="auto"/>
        <w:left w:val="none" w:sz="0" w:space="0" w:color="auto"/>
        <w:bottom w:val="none" w:sz="0" w:space="0" w:color="auto"/>
        <w:right w:val="none" w:sz="0" w:space="0" w:color="auto"/>
      </w:divBdr>
    </w:div>
    <w:div w:id="665791689">
      <w:bodyDiv w:val="1"/>
      <w:marLeft w:val="0"/>
      <w:marRight w:val="0"/>
      <w:marTop w:val="0"/>
      <w:marBottom w:val="0"/>
      <w:divBdr>
        <w:top w:val="none" w:sz="0" w:space="0" w:color="auto"/>
        <w:left w:val="none" w:sz="0" w:space="0" w:color="auto"/>
        <w:bottom w:val="none" w:sz="0" w:space="0" w:color="auto"/>
        <w:right w:val="none" w:sz="0" w:space="0" w:color="auto"/>
      </w:divBdr>
    </w:div>
    <w:div w:id="665979012">
      <w:bodyDiv w:val="1"/>
      <w:marLeft w:val="0"/>
      <w:marRight w:val="0"/>
      <w:marTop w:val="0"/>
      <w:marBottom w:val="0"/>
      <w:divBdr>
        <w:top w:val="none" w:sz="0" w:space="0" w:color="auto"/>
        <w:left w:val="none" w:sz="0" w:space="0" w:color="auto"/>
        <w:bottom w:val="none" w:sz="0" w:space="0" w:color="auto"/>
        <w:right w:val="none" w:sz="0" w:space="0" w:color="auto"/>
      </w:divBdr>
    </w:div>
    <w:div w:id="669601560">
      <w:bodyDiv w:val="1"/>
      <w:marLeft w:val="0"/>
      <w:marRight w:val="0"/>
      <w:marTop w:val="0"/>
      <w:marBottom w:val="0"/>
      <w:divBdr>
        <w:top w:val="none" w:sz="0" w:space="0" w:color="auto"/>
        <w:left w:val="none" w:sz="0" w:space="0" w:color="auto"/>
        <w:bottom w:val="none" w:sz="0" w:space="0" w:color="auto"/>
        <w:right w:val="none" w:sz="0" w:space="0" w:color="auto"/>
      </w:divBdr>
    </w:div>
    <w:div w:id="675420636">
      <w:bodyDiv w:val="1"/>
      <w:marLeft w:val="0"/>
      <w:marRight w:val="0"/>
      <w:marTop w:val="0"/>
      <w:marBottom w:val="0"/>
      <w:divBdr>
        <w:top w:val="none" w:sz="0" w:space="0" w:color="auto"/>
        <w:left w:val="none" w:sz="0" w:space="0" w:color="auto"/>
        <w:bottom w:val="none" w:sz="0" w:space="0" w:color="auto"/>
        <w:right w:val="none" w:sz="0" w:space="0" w:color="auto"/>
      </w:divBdr>
      <w:divsChild>
        <w:div w:id="193344247">
          <w:marLeft w:val="0"/>
          <w:marRight w:val="0"/>
          <w:marTop w:val="0"/>
          <w:marBottom w:val="0"/>
          <w:divBdr>
            <w:top w:val="none" w:sz="0" w:space="0" w:color="auto"/>
            <w:left w:val="none" w:sz="0" w:space="0" w:color="auto"/>
            <w:bottom w:val="none" w:sz="0" w:space="0" w:color="auto"/>
            <w:right w:val="none" w:sz="0" w:space="0" w:color="auto"/>
          </w:divBdr>
        </w:div>
        <w:div w:id="1461151324">
          <w:marLeft w:val="0"/>
          <w:marRight w:val="0"/>
          <w:marTop w:val="0"/>
          <w:marBottom w:val="0"/>
          <w:divBdr>
            <w:top w:val="none" w:sz="0" w:space="0" w:color="auto"/>
            <w:left w:val="none" w:sz="0" w:space="0" w:color="auto"/>
            <w:bottom w:val="none" w:sz="0" w:space="0" w:color="auto"/>
            <w:right w:val="none" w:sz="0" w:space="0" w:color="auto"/>
          </w:divBdr>
        </w:div>
        <w:div w:id="2084404133">
          <w:marLeft w:val="0"/>
          <w:marRight w:val="0"/>
          <w:marTop w:val="0"/>
          <w:marBottom w:val="0"/>
          <w:divBdr>
            <w:top w:val="none" w:sz="0" w:space="0" w:color="auto"/>
            <w:left w:val="none" w:sz="0" w:space="0" w:color="auto"/>
            <w:bottom w:val="none" w:sz="0" w:space="0" w:color="auto"/>
            <w:right w:val="none" w:sz="0" w:space="0" w:color="auto"/>
          </w:divBdr>
        </w:div>
      </w:divsChild>
    </w:div>
    <w:div w:id="676035462">
      <w:bodyDiv w:val="1"/>
      <w:marLeft w:val="0"/>
      <w:marRight w:val="0"/>
      <w:marTop w:val="0"/>
      <w:marBottom w:val="0"/>
      <w:divBdr>
        <w:top w:val="none" w:sz="0" w:space="0" w:color="auto"/>
        <w:left w:val="none" w:sz="0" w:space="0" w:color="auto"/>
        <w:bottom w:val="none" w:sz="0" w:space="0" w:color="auto"/>
        <w:right w:val="none" w:sz="0" w:space="0" w:color="auto"/>
      </w:divBdr>
    </w:div>
    <w:div w:id="683484214">
      <w:bodyDiv w:val="1"/>
      <w:marLeft w:val="0"/>
      <w:marRight w:val="0"/>
      <w:marTop w:val="0"/>
      <w:marBottom w:val="0"/>
      <w:divBdr>
        <w:top w:val="none" w:sz="0" w:space="0" w:color="auto"/>
        <w:left w:val="none" w:sz="0" w:space="0" w:color="auto"/>
        <w:bottom w:val="none" w:sz="0" w:space="0" w:color="auto"/>
        <w:right w:val="none" w:sz="0" w:space="0" w:color="auto"/>
      </w:divBdr>
    </w:div>
    <w:div w:id="686564374">
      <w:bodyDiv w:val="1"/>
      <w:marLeft w:val="0"/>
      <w:marRight w:val="0"/>
      <w:marTop w:val="0"/>
      <w:marBottom w:val="0"/>
      <w:divBdr>
        <w:top w:val="none" w:sz="0" w:space="0" w:color="auto"/>
        <w:left w:val="none" w:sz="0" w:space="0" w:color="auto"/>
        <w:bottom w:val="none" w:sz="0" w:space="0" w:color="auto"/>
        <w:right w:val="none" w:sz="0" w:space="0" w:color="auto"/>
      </w:divBdr>
    </w:div>
    <w:div w:id="691225409">
      <w:bodyDiv w:val="1"/>
      <w:marLeft w:val="0"/>
      <w:marRight w:val="0"/>
      <w:marTop w:val="0"/>
      <w:marBottom w:val="0"/>
      <w:divBdr>
        <w:top w:val="none" w:sz="0" w:space="0" w:color="auto"/>
        <w:left w:val="none" w:sz="0" w:space="0" w:color="auto"/>
        <w:bottom w:val="none" w:sz="0" w:space="0" w:color="auto"/>
        <w:right w:val="none" w:sz="0" w:space="0" w:color="auto"/>
      </w:divBdr>
    </w:div>
    <w:div w:id="707339803">
      <w:bodyDiv w:val="1"/>
      <w:marLeft w:val="0"/>
      <w:marRight w:val="0"/>
      <w:marTop w:val="0"/>
      <w:marBottom w:val="0"/>
      <w:divBdr>
        <w:top w:val="none" w:sz="0" w:space="0" w:color="auto"/>
        <w:left w:val="none" w:sz="0" w:space="0" w:color="auto"/>
        <w:bottom w:val="none" w:sz="0" w:space="0" w:color="auto"/>
        <w:right w:val="none" w:sz="0" w:space="0" w:color="auto"/>
      </w:divBdr>
    </w:div>
    <w:div w:id="710374328">
      <w:bodyDiv w:val="1"/>
      <w:marLeft w:val="0"/>
      <w:marRight w:val="0"/>
      <w:marTop w:val="0"/>
      <w:marBottom w:val="0"/>
      <w:divBdr>
        <w:top w:val="none" w:sz="0" w:space="0" w:color="auto"/>
        <w:left w:val="none" w:sz="0" w:space="0" w:color="auto"/>
        <w:bottom w:val="none" w:sz="0" w:space="0" w:color="auto"/>
        <w:right w:val="none" w:sz="0" w:space="0" w:color="auto"/>
      </w:divBdr>
    </w:div>
    <w:div w:id="714895142">
      <w:bodyDiv w:val="1"/>
      <w:marLeft w:val="0"/>
      <w:marRight w:val="0"/>
      <w:marTop w:val="0"/>
      <w:marBottom w:val="0"/>
      <w:divBdr>
        <w:top w:val="none" w:sz="0" w:space="0" w:color="auto"/>
        <w:left w:val="none" w:sz="0" w:space="0" w:color="auto"/>
        <w:bottom w:val="none" w:sz="0" w:space="0" w:color="auto"/>
        <w:right w:val="none" w:sz="0" w:space="0" w:color="auto"/>
      </w:divBdr>
    </w:div>
    <w:div w:id="715852695">
      <w:bodyDiv w:val="1"/>
      <w:marLeft w:val="0"/>
      <w:marRight w:val="0"/>
      <w:marTop w:val="0"/>
      <w:marBottom w:val="0"/>
      <w:divBdr>
        <w:top w:val="none" w:sz="0" w:space="0" w:color="auto"/>
        <w:left w:val="none" w:sz="0" w:space="0" w:color="auto"/>
        <w:bottom w:val="none" w:sz="0" w:space="0" w:color="auto"/>
        <w:right w:val="none" w:sz="0" w:space="0" w:color="auto"/>
      </w:divBdr>
    </w:div>
    <w:div w:id="719087088">
      <w:bodyDiv w:val="1"/>
      <w:marLeft w:val="0"/>
      <w:marRight w:val="0"/>
      <w:marTop w:val="0"/>
      <w:marBottom w:val="0"/>
      <w:divBdr>
        <w:top w:val="none" w:sz="0" w:space="0" w:color="auto"/>
        <w:left w:val="none" w:sz="0" w:space="0" w:color="auto"/>
        <w:bottom w:val="none" w:sz="0" w:space="0" w:color="auto"/>
        <w:right w:val="none" w:sz="0" w:space="0" w:color="auto"/>
      </w:divBdr>
    </w:div>
    <w:div w:id="725836919">
      <w:bodyDiv w:val="1"/>
      <w:marLeft w:val="0"/>
      <w:marRight w:val="0"/>
      <w:marTop w:val="0"/>
      <w:marBottom w:val="0"/>
      <w:divBdr>
        <w:top w:val="none" w:sz="0" w:space="0" w:color="auto"/>
        <w:left w:val="none" w:sz="0" w:space="0" w:color="auto"/>
        <w:bottom w:val="none" w:sz="0" w:space="0" w:color="auto"/>
        <w:right w:val="none" w:sz="0" w:space="0" w:color="auto"/>
      </w:divBdr>
    </w:div>
    <w:div w:id="731270018">
      <w:bodyDiv w:val="1"/>
      <w:marLeft w:val="0"/>
      <w:marRight w:val="0"/>
      <w:marTop w:val="0"/>
      <w:marBottom w:val="0"/>
      <w:divBdr>
        <w:top w:val="none" w:sz="0" w:space="0" w:color="auto"/>
        <w:left w:val="none" w:sz="0" w:space="0" w:color="auto"/>
        <w:bottom w:val="none" w:sz="0" w:space="0" w:color="auto"/>
        <w:right w:val="none" w:sz="0" w:space="0" w:color="auto"/>
      </w:divBdr>
    </w:div>
    <w:div w:id="736443509">
      <w:bodyDiv w:val="1"/>
      <w:marLeft w:val="0"/>
      <w:marRight w:val="0"/>
      <w:marTop w:val="0"/>
      <w:marBottom w:val="0"/>
      <w:divBdr>
        <w:top w:val="none" w:sz="0" w:space="0" w:color="auto"/>
        <w:left w:val="none" w:sz="0" w:space="0" w:color="auto"/>
        <w:bottom w:val="none" w:sz="0" w:space="0" w:color="auto"/>
        <w:right w:val="none" w:sz="0" w:space="0" w:color="auto"/>
      </w:divBdr>
    </w:div>
    <w:div w:id="736779064">
      <w:bodyDiv w:val="1"/>
      <w:marLeft w:val="0"/>
      <w:marRight w:val="0"/>
      <w:marTop w:val="0"/>
      <w:marBottom w:val="0"/>
      <w:divBdr>
        <w:top w:val="none" w:sz="0" w:space="0" w:color="auto"/>
        <w:left w:val="none" w:sz="0" w:space="0" w:color="auto"/>
        <w:bottom w:val="none" w:sz="0" w:space="0" w:color="auto"/>
        <w:right w:val="none" w:sz="0" w:space="0" w:color="auto"/>
      </w:divBdr>
    </w:div>
    <w:div w:id="737362325">
      <w:bodyDiv w:val="1"/>
      <w:marLeft w:val="0"/>
      <w:marRight w:val="0"/>
      <w:marTop w:val="0"/>
      <w:marBottom w:val="0"/>
      <w:divBdr>
        <w:top w:val="none" w:sz="0" w:space="0" w:color="auto"/>
        <w:left w:val="none" w:sz="0" w:space="0" w:color="auto"/>
        <w:bottom w:val="none" w:sz="0" w:space="0" w:color="auto"/>
        <w:right w:val="none" w:sz="0" w:space="0" w:color="auto"/>
      </w:divBdr>
    </w:div>
    <w:div w:id="737825156">
      <w:bodyDiv w:val="1"/>
      <w:marLeft w:val="0"/>
      <w:marRight w:val="0"/>
      <w:marTop w:val="0"/>
      <w:marBottom w:val="0"/>
      <w:divBdr>
        <w:top w:val="none" w:sz="0" w:space="0" w:color="auto"/>
        <w:left w:val="none" w:sz="0" w:space="0" w:color="auto"/>
        <w:bottom w:val="none" w:sz="0" w:space="0" w:color="auto"/>
        <w:right w:val="none" w:sz="0" w:space="0" w:color="auto"/>
      </w:divBdr>
    </w:div>
    <w:div w:id="739064010">
      <w:bodyDiv w:val="1"/>
      <w:marLeft w:val="0"/>
      <w:marRight w:val="0"/>
      <w:marTop w:val="0"/>
      <w:marBottom w:val="0"/>
      <w:divBdr>
        <w:top w:val="none" w:sz="0" w:space="0" w:color="auto"/>
        <w:left w:val="none" w:sz="0" w:space="0" w:color="auto"/>
        <w:bottom w:val="none" w:sz="0" w:space="0" w:color="auto"/>
        <w:right w:val="none" w:sz="0" w:space="0" w:color="auto"/>
      </w:divBdr>
    </w:div>
    <w:div w:id="739212395">
      <w:bodyDiv w:val="1"/>
      <w:marLeft w:val="0"/>
      <w:marRight w:val="0"/>
      <w:marTop w:val="0"/>
      <w:marBottom w:val="0"/>
      <w:divBdr>
        <w:top w:val="none" w:sz="0" w:space="0" w:color="auto"/>
        <w:left w:val="none" w:sz="0" w:space="0" w:color="auto"/>
        <w:bottom w:val="none" w:sz="0" w:space="0" w:color="auto"/>
        <w:right w:val="none" w:sz="0" w:space="0" w:color="auto"/>
      </w:divBdr>
    </w:div>
    <w:div w:id="751976400">
      <w:bodyDiv w:val="1"/>
      <w:marLeft w:val="0"/>
      <w:marRight w:val="0"/>
      <w:marTop w:val="0"/>
      <w:marBottom w:val="0"/>
      <w:divBdr>
        <w:top w:val="none" w:sz="0" w:space="0" w:color="auto"/>
        <w:left w:val="none" w:sz="0" w:space="0" w:color="auto"/>
        <w:bottom w:val="none" w:sz="0" w:space="0" w:color="auto"/>
        <w:right w:val="none" w:sz="0" w:space="0" w:color="auto"/>
      </w:divBdr>
    </w:div>
    <w:div w:id="760030892">
      <w:bodyDiv w:val="1"/>
      <w:marLeft w:val="0"/>
      <w:marRight w:val="0"/>
      <w:marTop w:val="0"/>
      <w:marBottom w:val="0"/>
      <w:divBdr>
        <w:top w:val="none" w:sz="0" w:space="0" w:color="auto"/>
        <w:left w:val="none" w:sz="0" w:space="0" w:color="auto"/>
        <w:bottom w:val="none" w:sz="0" w:space="0" w:color="auto"/>
        <w:right w:val="none" w:sz="0" w:space="0" w:color="auto"/>
      </w:divBdr>
    </w:div>
    <w:div w:id="776483074">
      <w:bodyDiv w:val="1"/>
      <w:marLeft w:val="0"/>
      <w:marRight w:val="0"/>
      <w:marTop w:val="0"/>
      <w:marBottom w:val="0"/>
      <w:divBdr>
        <w:top w:val="none" w:sz="0" w:space="0" w:color="auto"/>
        <w:left w:val="none" w:sz="0" w:space="0" w:color="auto"/>
        <w:bottom w:val="none" w:sz="0" w:space="0" w:color="auto"/>
        <w:right w:val="none" w:sz="0" w:space="0" w:color="auto"/>
      </w:divBdr>
    </w:div>
    <w:div w:id="777796121">
      <w:bodyDiv w:val="1"/>
      <w:marLeft w:val="0"/>
      <w:marRight w:val="0"/>
      <w:marTop w:val="0"/>
      <w:marBottom w:val="0"/>
      <w:divBdr>
        <w:top w:val="none" w:sz="0" w:space="0" w:color="auto"/>
        <w:left w:val="none" w:sz="0" w:space="0" w:color="auto"/>
        <w:bottom w:val="none" w:sz="0" w:space="0" w:color="auto"/>
        <w:right w:val="none" w:sz="0" w:space="0" w:color="auto"/>
      </w:divBdr>
    </w:div>
    <w:div w:id="797338054">
      <w:bodyDiv w:val="1"/>
      <w:marLeft w:val="0"/>
      <w:marRight w:val="0"/>
      <w:marTop w:val="0"/>
      <w:marBottom w:val="0"/>
      <w:divBdr>
        <w:top w:val="none" w:sz="0" w:space="0" w:color="auto"/>
        <w:left w:val="none" w:sz="0" w:space="0" w:color="auto"/>
        <w:bottom w:val="none" w:sz="0" w:space="0" w:color="auto"/>
        <w:right w:val="none" w:sz="0" w:space="0" w:color="auto"/>
      </w:divBdr>
    </w:div>
    <w:div w:id="801848542">
      <w:bodyDiv w:val="1"/>
      <w:marLeft w:val="0"/>
      <w:marRight w:val="0"/>
      <w:marTop w:val="0"/>
      <w:marBottom w:val="0"/>
      <w:divBdr>
        <w:top w:val="none" w:sz="0" w:space="0" w:color="auto"/>
        <w:left w:val="none" w:sz="0" w:space="0" w:color="auto"/>
        <w:bottom w:val="none" w:sz="0" w:space="0" w:color="auto"/>
        <w:right w:val="none" w:sz="0" w:space="0" w:color="auto"/>
      </w:divBdr>
    </w:div>
    <w:div w:id="805048107">
      <w:bodyDiv w:val="1"/>
      <w:marLeft w:val="0"/>
      <w:marRight w:val="0"/>
      <w:marTop w:val="0"/>
      <w:marBottom w:val="0"/>
      <w:divBdr>
        <w:top w:val="none" w:sz="0" w:space="0" w:color="auto"/>
        <w:left w:val="none" w:sz="0" w:space="0" w:color="auto"/>
        <w:bottom w:val="none" w:sz="0" w:space="0" w:color="auto"/>
        <w:right w:val="none" w:sz="0" w:space="0" w:color="auto"/>
      </w:divBdr>
    </w:div>
    <w:div w:id="806363473">
      <w:bodyDiv w:val="1"/>
      <w:marLeft w:val="0"/>
      <w:marRight w:val="0"/>
      <w:marTop w:val="0"/>
      <w:marBottom w:val="0"/>
      <w:divBdr>
        <w:top w:val="none" w:sz="0" w:space="0" w:color="auto"/>
        <w:left w:val="none" w:sz="0" w:space="0" w:color="auto"/>
        <w:bottom w:val="none" w:sz="0" w:space="0" w:color="auto"/>
        <w:right w:val="none" w:sz="0" w:space="0" w:color="auto"/>
      </w:divBdr>
    </w:div>
    <w:div w:id="806969967">
      <w:bodyDiv w:val="1"/>
      <w:marLeft w:val="0"/>
      <w:marRight w:val="0"/>
      <w:marTop w:val="0"/>
      <w:marBottom w:val="0"/>
      <w:divBdr>
        <w:top w:val="none" w:sz="0" w:space="0" w:color="auto"/>
        <w:left w:val="none" w:sz="0" w:space="0" w:color="auto"/>
        <w:bottom w:val="none" w:sz="0" w:space="0" w:color="auto"/>
        <w:right w:val="none" w:sz="0" w:space="0" w:color="auto"/>
      </w:divBdr>
    </w:div>
    <w:div w:id="810175550">
      <w:bodyDiv w:val="1"/>
      <w:marLeft w:val="0"/>
      <w:marRight w:val="0"/>
      <w:marTop w:val="0"/>
      <w:marBottom w:val="0"/>
      <w:divBdr>
        <w:top w:val="none" w:sz="0" w:space="0" w:color="auto"/>
        <w:left w:val="none" w:sz="0" w:space="0" w:color="auto"/>
        <w:bottom w:val="none" w:sz="0" w:space="0" w:color="auto"/>
        <w:right w:val="none" w:sz="0" w:space="0" w:color="auto"/>
      </w:divBdr>
    </w:div>
    <w:div w:id="830603869">
      <w:bodyDiv w:val="1"/>
      <w:marLeft w:val="0"/>
      <w:marRight w:val="0"/>
      <w:marTop w:val="0"/>
      <w:marBottom w:val="0"/>
      <w:divBdr>
        <w:top w:val="none" w:sz="0" w:space="0" w:color="auto"/>
        <w:left w:val="none" w:sz="0" w:space="0" w:color="auto"/>
        <w:bottom w:val="none" w:sz="0" w:space="0" w:color="auto"/>
        <w:right w:val="none" w:sz="0" w:space="0" w:color="auto"/>
      </w:divBdr>
    </w:div>
    <w:div w:id="830872694">
      <w:bodyDiv w:val="1"/>
      <w:marLeft w:val="0"/>
      <w:marRight w:val="0"/>
      <w:marTop w:val="0"/>
      <w:marBottom w:val="0"/>
      <w:divBdr>
        <w:top w:val="none" w:sz="0" w:space="0" w:color="auto"/>
        <w:left w:val="none" w:sz="0" w:space="0" w:color="auto"/>
        <w:bottom w:val="none" w:sz="0" w:space="0" w:color="auto"/>
        <w:right w:val="none" w:sz="0" w:space="0" w:color="auto"/>
      </w:divBdr>
    </w:div>
    <w:div w:id="832767798">
      <w:bodyDiv w:val="1"/>
      <w:marLeft w:val="0"/>
      <w:marRight w:val="0"/>
      <w:marTop w:val="0"/>
      <w:marBottom w:val="0"/>
      <w:divBdr>
        <w:top w:val="none" w:sz="0" w:space="0" w:color="auto"/>
        <w:left w:val="none" w:sz="0" w:space="0" w:color="auto"/>
        <w:bottom w:val="none" w:sz="0" w:space="0" w:color="auto"/>
        <w:right w:val="none" w:sz="0" w:space="0" w:color="auto"/>
      </w:divBdr>
    </w:div>
    <w:div w:id="835801299">
      <w:bodyDiv w:val="1"/>
      <w:marLeft w:val="0"/>
      <w:marRight w:val="0"/>
      <w:marTop w:val="0"/>
      <w:marBottom w:val="0"/>
      <w:divBdr>
        <w:top w:val="none" w:sz="0" w:space="0" w:color="auto"/>
        <w:left w:val="none" w:sz="0" w:space="0" w:color="auto"/>
        <w:bottom w:val="none" w:sz="0" w:space="0" w:color="auto"/>
        <w:right w:val="none" w:sz="0" w:space="0" w:color="auto"/>
      </w:divBdr>
    </w:div>
    <w:div w:id="836924793">
      <w:bodyDiv w:val="1"/>
      <w:marLeft w:val="0"/>
      <w:marRight w:val="0"/>
      <w:marTop w:val="0"/>
      <w:marBottom w:val="0"/>
      <w:divBdr>
        <w:top w:val="none" w:sz="0" w:space="0" w:color="auto"/>
        <w:left w:val="none" w:sz="0" w:space="0" w:color="auto"/>
        <w:bottom w:val="none" w:sz="0" w:space="0" w:color="auto"/>
        <w:right w:val="none" w:sz="0" w:space="0" w:color="auto"/>
      </w:divBdr>
    </w:div>
    <w:div w:id="842472671">
      <w:bodyDiv w:val="1"/>
      <w:marLeft w:val="0"/>
      <w:marRight w:val="0"/>
      <w:marTop w:val="0"/>
      <w:marBottom w:val="0"/>
      <w:divBdr>
        <w:top w:val="none" w:sz="0" w:space="0" w:color="auto"/>
        <w:left w:val="none" w:sz="0" w:space="0" w:color="auto"/>
        <w:bottom w:val="none" w:sz="0" w:space="0" w:color="auto"/>
        <w:right w:val="none" w:sz="0" w:space="0" w:color="auto"/>
      </w:divBdr>
    </w:div>
    <w:div w:id="874319170">
      <w:bodyDiv w:val="1"/>
      <w:marLeft w:val="0"/>
      <w:marRight w:val="0"/>
      <w:marTop w:val="0"/>
      <w:marBottom w:val="0"/>
      <w:divBdr>
        <w:top w:val="none" w:sz="0" w:space="0" w:color="auto"/>
        <w:left w:val="none" w:sz="0" w:space="0" w:color="auto"/>
        <w:bottom w:val="none" w:sz="0" w:space="0" w:color="auto"/>
        <w:right w:val="none" w:sz="0" w:space="0" w:color="auto"/>
      </w:divBdr>
    </w:div>
    <w:div w:id="876353065">
      <w:bodyDiv w:val="1"/>
      <w:marLeft w:val="0"/>
      <w:marRight w:val="0"/>
      <w:marTop w:val="0"/>
      <w:marBottom w:val="0"/>
      <w:divBdr>
        <w:top w:val="none" w:sz="0" w:space="0" w:color="auto"/>
        <w:left w:val="none" w:sz="0" w:space="0" w:color="auto"/>
        <w:bottom w:val="none" w:sz="0" w:space="0" w:color="auto"/>
        <w:right w:val="none" w:sz="0" w:space="0" w:color="auto"/>
      </w:divBdr>
    </w:div>
    <w:div w:id="886994128">
      <w:bodyDiv w:val="1"/>
      <w:marLeft w:val="0"/>
      <w:marRight w:val="0"/>
      <w:marTop w:val="0"/>
      <w:marBottom w:val="0"/>
      <w:divBdr>
        <w:top w:val="none" w:sz="0" w:space="0" w:color="auto"/>
        <w:left w:val="none" w:sz="0" w:space="0" w:color="auto"/>
        <w:bottom w:val="none" w:sz="0" w:space="0" w:color="auto"/>
        <w:right w:val="none" w:sz="0" w:space="0" w:color="auto"/>
      </w:divBdr>
    </w:div>
    <w:div w:id="893809560">
      <w:bodyDiv w:val="1"/>
      <w:marLeft w:val="0"/>
      <w:marRight w:val="0"/>
      <w:marTop w:val="0"/>
      <w:marBottom w:val="0"/>
      <w:divBdr>
        <w:top w:val="none" w:sz="0" w:space="0" w:color="auto"/>
        <w:left w:val="none" w:sz="0" w:space="0" w:color="auto"/>
        <w:bottom w:val="none" w:sz="0" w:space="0" w:color="auto"/>
        <w:right w:val="none" w:sz="0" w:space="0" w:color="auto"/>
      </w:divBdr>
    </w:div>
    <w:div w:id="895746432">
      <w:bodyDiv w:val="1"/>
      <w:marLeft w:val="0"/>
      <w:marRight w:val="0"/>
      <w:marTop w:val="0"/>
      <w:marBottom w:val="0"/>
      <w:divBdr>
        <w:top w:val="none" w:sz="0" w:space="0" w:color="auto"/>
        <w:left w:val="none" w:sz="0" w:space="0" w:color="auto"/>
        <w:bottom w:val="none" w:sz="0" w:space="0" w:color="auto"/>
        <w:right w:val="none" w:sz="0" w:space="0" w:color="auto"/>
      </w:divBdr>
    </w:div>
    <w:div w:id="896286491">
      <w:bodyDiv w:val="1"/>
      <w:marLeft w:val="0"/>
      <w:marRight w:val="0"/>
      <w:marTop w:val="0"/>
      <w:marBottom w:val="0"/>
      <w:divBdr>
        <w:top w:val="none" w:sz="0" w:space="0" w:color="auto"/>
        <w:left w:val="none" w:sz="0" w:space="0" w:color="auto"/>
        <w:bottom w:val="none" w:sz="0" w:space="0" w:color="auto"/>
        <w:right w:val="none" w:sz="0" w:space="0" w:color="auto"/>
      </w:divBdr>
    </w:div>
    <w:div w:id="907882509">
      <w:bodyDiv w:val="1"/>
      <w:marLeft w:val="0"/>
      <w:marRight w:val="0"/>
      <w:marTop w:val="0"/>
      <w:marBottom w:val="0"/>
      <w:divBdr>
        <w:top w:val="none" w:sz="0" w:space="0" w:color="auto"/>
        <w:left w:val="none" w:sz="0" w:space="0" w:color="auto"/>
        <w:bottom w:val="none" w:sz="0" w:space="0" w:color="auto"/>
        <w:right w:val="none" w:sz="0" w:space="0" w:color="auto"/>
      </w:divBdr>
    </w:div>
    <w:div w:id="918443908">
      <w:bodyDiv w:val="1"/>
      <w:marLeft w:val="0"/>
      <w:marRight w:val="0"/>
      <w:marTop w:val="0"/>
      <w:marBottom w:val="0"/>
      <w:divBdr>
        <w:top w:val="none" w:sz="0" w:space="0" w:color="auto"/>
        <w:left w:val="none" w:sz="0" w:space="0" w:color="auto"/>
        <w:bottom w:val="none" w:sz="0" w:space="0" w:color="auto"/>
        <w:right w:val="none" w:sz="0" w:space="0" w:color="auto"/>
      </w:divBdr>
    </w:div>
    <w:div w:id="921446882">
      <w:bodyDiv w:val="1"/>
      <w:marLeft w:val="0"/>
      <w:marRight w:val="0"/>
      <w:marTop w:val="0"/>
      <w:marBottom w:val="0"/>
      <w:divBdr>
        <w:top w:val="none" w:sz="0" w:space="0" w:color="auto"/>
        <w:left w:val="none" w:sz="0" w:space="0" w:color="auto"/>
        <w:bottom w:val="none" w:sz="0" w:space="0" w:color="auto"/>
        <w:right w:val="none" w:sz="0" w:space="0" w:color="auto"/>
      </w:divBdr>
    </w:div>
    <w:div w:id="925265562">
      <w:bodyDiv w:val="1"/>
      <w:marLeft w:val="0"/>
      <w:marRight w:val="0"/>
      <w:marTop w:val="0"/>
      <w:marBottom w:val="0"/>
      <w:divBdr>
        <w:top w:val="none" w:sz="0" w:space="0" w:color="auto"/>
        <w:left w:val="none" w:sz="0" w:space="0" w:color="auto"/>
        <w:bottom w:val="none" w:sz="0" w:space="0" w:color="auto"/>
        <w:right w:val="none" w:sz="0" w:space="0" w:color="auto"/>
      </w:divBdr>
    </w:div>
    <w:div w:id="925839994">
      <w:bodyDiv w:val="1"/>
      <w:marLeft w:val="0"/>
      <w:marRight w:val="0"/>
      <w:marTop w:val="0"/>
      <w:marBottom w:val="0"/>
      <w:divBdr>
        <w:top w:val="none" w:sz="0" w:space="0" w:color="auto"/>
        <w:left w:val="none" w:sz="0" w:space="0" w:color="auto"/>
        <w:bottom w:val="none" w:sz="0" w:space="0" w:color="auto"/>
        <w:right w:val="none" w:sz="0" w:space="0" w:color="auto"/>
      </w:divBdr>
    </w:div>
    <w:div w:id="928662039">
      <w:bodyDiv w:val="1"/>
      <w:marLeft w:val="0"/>
      <w:marRight w:val="0"/>
      <w:marTop w:val="0"/>
      <w:marBottom w:val="0"/>
      <w:divBdr>
        <w:top w:val="none" w:sz="0" w:space="0" w:color="auto"/>
        <w:left w:val="none" w:sz="0" w:space="0" w:color="auto"/>
        <w:bottom w:val="none" w:sz="0" w:space="0" w:color="auto"/>
        <w:right w:val="none" w:sz="0" w:space="0" w:color="auto"/>
      </w:divBdr>
    </w:div>
    <w:div w:id="936598431">
      <w:bodyDiv w:val="1"/>
      <w:marLeft w:val="0"/>
      <w:marRight w:val="0"/>
      <w:marTop w:val="0"/>
      <w:marBottom w:val="0"/>
      <w:divBdr>
        <w:top w:val="none" w:sz="0" w:space="0" w:color="auto"/>
        <w:left w:val="none" w:sz="0" w:space="0" w:color="auto"/>
        <w:bottom w:val="none" w:sz="0" w:space="0" w:color="auto"/>
        <w:right w:val="none" w:sz="0" w:space="0" w:color="auto"/>
      </w:divBdr>
    </w:div>
    <w:div w:id="941692617">
      <w:bodyDiv w:val="1"/>
      <w:marLeft w:val="0"/>
      <w:marRight w:val="0"/>
      <w:marTop w:val="0"/>
      <w:marBottom w:val="0"/>
      <w:divBdr>
        <w:top w:val="none" w:sz="0" w:space="0" w:color="auto"/>
        <w:left w:val="none" w:sz="0" w:space="0" w:color="auto"/>
        <w:bottom w:val="none" w:sz="0" w:space="0" w:color="auto"/>
        <w:right w:val="none" w:sz="0" w:space="0" w:color="auto"/>
      </w:divBdr>
    </w:div>
    <w:div w:id="943147432">
      <w:bodyDiv w:val="1"/>
      <w:marLeft w:val="0"/>
      <w:marRight w:val="0"/>
      <w:marTop w:val="0"/>
      <w:marBottom w:val="0"/>
      <w:divBdr>
        <w:top w:val="none" w:sz="0" w:space="0" w:color="auto"/>
        <w:left w:val="none" w:sz="0" w:space="0" w:color="auto"/>
        <w:bottom w:val="none" w:sz="0" w:space="0" w:color="auto"/>
        <w:right w:val="none" w:sz="0" w:space="0" w:color="auto"/>
      </w:divBdr>
    </w:div>
    <w:div w:id="946229658">
      <w:bodyDiv w:val="1"/>
      <w:marLeft w:val="0"/>
      <w:marRight w:val="0"/>
      <w:marTop w:val="0"/>
      <w:marBottom w:val="0"/>
      <w:divBdr>
        <w:top w:val="none" w:sz="0" w:space="0" w:color="auto"/>
        <w:left w:val="none" w:sz="0" w:space="0" w:color="auto"/>
        <w:bottom w:val="none" w:sz="0" w:space="0" w:color="auto"/>
        <w:right w:val="none" w:sz="0" w:space="0" w:color="auto"/>
      </w:divBdr>
    </w:div>
    <w:div w:id="946279448">
      <w:bodyDiv w:val="1"/>
      <w:marLeft w:val="0"/>
      <w:marRight w:val="0"/>
      <w:marTop w:val="0"/>
      <w:marBottom w:val="0"/>
      <w:divBdr>
        <w:top w:val="none" w:sz="0" w:space="0" w:color="auto"/>
        <w:left w:val="none" w:sz="0" w:space="0" w:color="auto"/>
        <w:bottom w:val="none" w:sz="0" w:space="0" w:color="auto"/>
        <w:right w:val="none" w:sz="0" w:space="0" w:color="auto"/>
      </w:divBdr>
    </w:div>
    <w:div w:id="952370345">
      <w:bodyDiv w:val="1"/>
      <w:marLeft w:val="0"/>
      <w:marRight w:val="0"/>
      <w:marTop w:val="0"/>
      <w:marBottom w:val="0"/>
      <w:divBdr>
        <w:top w:val="none" w:sz="0" w:space="0" w:color="auto"/>
        <w:left w:val="none" w:sz="0" w:space="0" w:color="auto"/>
        <w:bottom w:val="none" w:sz="0" w:space="0" w:color="auto"/>
        <w:right w:val="none" w:sz="0" w:space="0" w:color="auto"/>
      </w:divBdr>
    </w:div>
    <w:div w:id="958880442">
      <w:bodyDiv w:val="1"/>
      <w:marLeft w:val="0"/>
      <w:marRight w:val="0"/>
      <w:marTop w:val="0"/>
      <w:marBottom w:val="0"/>
      <w:divBdr>
        <w:top w:val="none" w:sz="0" w:space="0" w:color="auto"/>
        <w:left w:val="none" w:sz="0" w:space="0" w:color="auto"/>
        <w:bottom w:val="none" w:sz="0" w:space="0" w:color="auto"/>
        <w:right w:val="none" w:sz="0" w:space="0" w:color="auto"/>
      </w:divBdr>
    </w:div>
    <w:div w:id="963539453">
      <w:bodyDiv w:val="1"/>
      <w:marLeft w:val="0"/>
      <w:marRight w:val="0"/>
      <w:marTop w:val="0"/>
      <w:marBottom w:val="0"/>
      <w:divBdr>
        <w:top w:val="none" w:sz="0" w:space="0" w:color="auto"/>
        <w:left w:val="none" w:sz="0" w:space="0" w:color="auto"/>
        <w:bottom w:val="none" w:sz="0" w:space="0" w:color="auto"/>
        <w:right w:val="none" w:sz="0" w:space="0" w:color="auto"/>
      </w:divBdr>
    </w:div>
    <w:div w:id="964965485">
      <w:bodyDiv w:val="1"/>
      <w:marLeft w:val="0"/>
      <w:marRight w:val="0"/>
      <w:marTop w:val="0"/>
      <w:marBottom w:val="0"/>
      <w:divBdr>
        <w:top w:val="none" w:sz="0" w:space="0" w:color="auto"/>
        <w:left w:val="none" w:sz="0" w:space="0" w:color="auto"/>
        <w:bottom w:val="none" w:sz="0" w:space="0" w:color="auto"/>
        <w:right w:val="none" w:sz="0" w:space="0" w:color="auto"/>
      </w:divBdr>
    </w:div>
    <w:div w:id="979111042">
      <w:bodyDiv w:val="1"/>
      <w:marLeft w:val="0"/>
      <w:marRight w:val="0"/>
      <w:marTop w:val="0"/>
      <w:marBottom w:val="0"/>
      <w:divBdr>
        <w:top w:val="none" w:sz="0" w:space="0" w:color="auto"/>
        <w:left w:val="none" w:sz="0" w:space="0" w:color="auto"/>
        <w:bottom w:val="none" w:sz="0" w:space="0" w:color="auto"/>
        <w:right w:val="none" w:sz="0" w:space="0" w:color="auto"/>
      </w:divBdr>
    </w:div>
    <w:div w:id="980116940">
      <w:bodyDiv w:val="1"/>
      <w:marLeft w:val="0"/>
      <w:marRight w:val="0"/>
      <w:marTop w:val="0"/>
      <w:marBottom w:val="0"/>
      <w:divBdr>
        <w:top w:val="none" w:sz="0" w:space="0" w:color="auto"/>
        <w:left w:val="none" w:sz="0" w:space="0" w:color="auto"/>
        <w:bottom w:val="none" w:sz="0" w:space="0" w:color="auto"/>
        <w:right w:val="none" w:sz="0" w:space="0" w:color="auto"/>
      </w:divBdr>
    </w:div>
    <w:div w:id="985549020">
      <w:bodyDiv w:val="1"/>
      <w:marLeft w:val="0"/>
      <w:marRight w:val="0"/>
      <w:marTop w:val="0"/>
      <w:marBottom w:val="0"/>
      <w:divBdr>
        <w:top w:val="none" w:sz="0" w:space="0" w:color="auto"/>
        <w:left w:val="none" w:sz="0" w:space="0" w:color="auto"/>
        <w:bottom w:val="none" w:sz="0" w:space="0" w:color="auto"/>
        <w:right w:val="none" w:sz="0" w:space="0" w:color="auto"/>
      </w:divBdr>
    </w:div>
    <w:div w:id="990057354">
      <w:bodyDiv w:val="1"/>
      <w:marLeft w:val="0"/>
      <w:marRight w:val="0"/>
      <w:marTop w:val="0"/>
      <w:marBottom w:val="0"/>
      <w:divBdr>
        <w:top w:val="none" w:sz="0" w:space="0" w:color="auto"/>
        <w:left w:val="none" w:sz="0" w:space="0" w:color="auto"/>
        <w:bottom w:val="none" w:sz="0" w:space="0" w:color="auto"/>
        <w:right w:val="none" w:sz="0" w:space="0" w:color="auto"/>
      </w:divBdr>
    </w:div>
    <w:div w:id="990328629">
      <w:bodyDiv w:val="1"/>
      <w:marLeft w:val="0"/>
      <w:marRight w:val="0"/>
      <w:marTop w:val="0"/>
      <w:marBottom w:val="0"/>
      <w:divBdr>
        <w:top w:val="none" w:sz="0" w:space="0" w:color="auto"/>
        <w:left w:val="none" w:sz="0" w:space="0" w:color="auto"/>
        <w:bottom w:val="none" w:sz="0" w:space="0" w:color="auto"/>
        <w:right w:val="none" w:sz="0" w:space="0" w:color="auto"/>
      </w:divBdr>
    </w:div>
    <w:div w:id="992879310">
      <w:bodyDiv w:val="1"/>
      <w:marLeft w:val="0"/>
      <w:marRight w:val="0"/>
      <w:marTop w:val="0"/>
      <w:marBottom w:val="0"/>
      <w:divBdr>
        <w:top w:val="none" w:sz="0" w:space="0" w:color="auto"/>
        <w:left w:val="none" w:sz="0" w:space="0" w:color="auto"/>
        <w:bottom w:val="none" w:sz="0" w:space="0" w:color="auto"/>
        <w:right w:val="none" w:sz="0" w:space="0" w:color="auto"/>
      </w:divBdr>
    </w:div>
    <w:div w:id="1002582966">
      <w:bodyDiv w:val="1"/>
      <w:marLeft w:val="0"/>
      <w:marRight w:val="0"/>
      <w:marTop w:val="0"/>
      <w:marBottom w:val="0"/>
      <w:divBdr>
        <w:top w:val="none" w:sz="0" w:space="0" w:color="auto"/>
        <w:left w:val="none" w:sz="0" w:space="0" w:color="auto"/>
        <w:bottom w:val="none" w:sz="0" w:space="0" w:color="auto"/>
        <w:right w:val="none" w:sz="0" w:space="0" w:color="auto"/>
      </w:divBdr>
    </w:div>
    <w:div w:id="1002705583">
      <w:bodyDiv w:val="1"/>
      <w:marLeft w:val="0"/>
      <w:marRight w:val="0"/>
      <w:marTop w:val="0"/>
      <w:marBottom w:val="0"/>
      <w:divBdr>
        <w:top w:val="none" w:sz="0" w:space="0" w:color="auto"/>
        <w:left w:val="none" w:sz="0" w:space="0" w:color="auto"/>
        <w:bottom w:val="none" w:sz="0" w:space="0" w:color="auto"/>
        <w:right w:val="none" w:sz="0" w:space="0" w:color="auto"/>
      </w:divBdr>
    </w:div>
    <w:div w:id="1005279148">
      <w:bodyDiv w:val="1"/>
      <w:marLeft w:val="0"/>
      <w:marRight w:val="0"/>
      <w:marTop w:val="0"/>
      <w:marBottom w:val="0"/>
      <w:divBdr>
        <w:top w:val="none" w:sz="0" w:space="0" w:color="auto"/>
        <w:left w:val="none" w:sz="0" w:space="0" w:color="auto"/>
        <w:bottom w:val="none" w:sz="0" w:space="0" w:color="auto"/>
        <w:right w:val="none" w:sz="0" w:space="0" w:color="auto"/>
      </w:divBdr>
    </w:div>
    <w:div w:id="1011224049">
      <w:bodyDiv w:val="1"/>
      <w:marLeft w:val="0"/>
      <w:marRight w:val="0"/>
      <w:marTop w:val="0"/>
      <w:marBottom w:val="0"/>
      <w:divBdr>
        <w:top w:val="none" w:sz="0" w:space="0" w:color="auto"/>
        <w:left w:val="none" w:sz="0" w:space="0" w:color="auto"/>
        <w:bottom w:val="none" w:sz="0" w:space="0" w:color="auto"/>
        <w:right w:val="none" w:sz="0" w:space="0" w:color="auto"/>
      </w:divBdr>
    </w:div>
    <w:div w:id="1019039874">
      <w:bodyDiv w:val="1"/>
      <w:marLeft w:val="0"/>
      <w:marRight w:val="0"/>
      <w:marTop w:val="0"/>
      <w:marBottom w:val="0"/>
      <w:divBdr>
        <w:top w:val="none" w:sz="0" w:space="0" w:color="auto"/>
        <w:left w:val="none" w:sz="0" w:space="0" w:color="auto"/>
        <w:bottom w:val="none" w:sz="0" w:space="0" w:color="auto"/>
        <w:right w:val="none" w:sz="0" w:space="0" w:color="auto"/>
      </w:divBdr>
    </w:div>
    <w:div w:id="1025130407">
      <w:bodyDiv w:val="1"/>
      <w:marLeft w:val="0"/>
      <w:marRight w:val="0"/>
      <w:marTop w:val="0"/>
      <w:marBottom w:val="0"/>
      <w:divBdr>
        <w:top w:val="none" w:sz="0" w:space="0" w:color="auto"/>
        <w:left w:val="none" w:sz="0" w:space="0" w:color="auto"/>
        <w:bottom w:val="none" w:sz="0" w:space="0" w:color="auto"/>
        <w:right w:val="none" w:sz="0" w:space="0" w:color="auto"/>
      </w:divBdr>
    </w:div>
    <w:div w:id="1033532278">
      <w:bodyDiv w:val="1"/>
      <w:marLeft w:val="0"/>
      <w:marRight w:val="0"/>
      <w:marTop w:val="0"/>
      <w:marBottom w:val="0"/>
      <w:divBdr>
        <w:top w:val="none" w:sz="0" w:space="0" w:color="auto"/>
        <w:left w:val="none" w:sz="0" w:space="0" w:color="auto"/>
        <w:bottom w:val="none" w:sz="0" w:space="0" w:color="auto"/>
        <w:right w:val="none" w:sz="0" w:space="0" w:color="auto"/>
      </w:divBdr>
    </w:div>
    <w:div w:id="1034961593">
      <w:bodyDiv w:val="1"/>
      <w:marLeft w:val="0"/>
      <w:marRight w:val="0"/>
      <w:marTop w:val="0"/>
      <w:marBottom w:val="0"/>
      <w:divBdr>
        <w:top w:val="none" w:sz="0" w:space="0" w:color="auto"/>
        <w:left w:val="none" w:sz="0" w:space="0" w:color="auto"/>
        <w:bottom w:val="none" w:sz="0" w:space="0" w:color="auto"/>
        <w:right w:val="none" w:sz="0" w:space="0" w:color="auto"/>
      </w:divBdr>
    </w:div>
    <w:div w:id="1041170584">
      <w:bodyDiv w:val="1"/>
      <w:marLeft w:val="0"/>
      <w:marRight w:val="0"/>
      <w:marTop w:val="0"/>
      <w:marBottom w:val="0"/>
      <w:divBdr>
        <w:top w:val="none" w:sz="0" w:space="0" w:color="auto"/>
        <w:left w:val="none" w:sz="0" w:space="0" w:color="auto"/>
        <w:bottom w:val="none" w:sz="0" w:space="0" w:color="auto"/>
        <w:right w:val="none" w:sz="0" w:space="0" w:color="auto"/>
      </w:divBdr>
    </w:div>
    <w:div w:id="1049918394">
      <w:bodyDiv w:val="1"/>
      <w:marLeft w:val="0"/>
      <w:marRight w:val="0"/>
      <w:marTop w:val="0"/>
      <w:marBottom w:val="0"/>
      <w:divBdr>
        <w:top w:val="none" w:sz="0" w:space="0" w:color="auto"/>
        <w:left w:val="none" w:sz="0" w:space="0" w:color="auto"/>
        <w:bottom w:val="none" w:sz="0" w:space="0" w:color="auto"/>
        <w:right w:val="none" w:sz="0" w:space="0" w:color="auto"/>
      </w:divBdr>
    </w:div>
    <w:div w:id="1051463436">
      <w:bodyDiv w:val="1"/>
      <w:marLeft w:val="0"/>
      <w:marRight w:val="0"/>
      <w:marTop w:val="0"/>
      <w:marBottom w:val="0"/>
      <w:divBdr>
        <w:top w:val="none" w:sz="0" w:space="0" w:color="auto"/>
        <w:left w:val="none" w:sz="0" w:space="0" w:color="auto"/>
        <w:bottom w:val="none" w:sz="0" w:space="0" w:color="auto"/>
        <w:right w:val="none" w:sz="0" w:space="0" w:color="auto"/>
      </w:divBdr>
    </w:div>
    <w:div w:id="1056321433">
      <w:bodyDiv w:val="1"/>
      <w:marLeft w:val="0"/>
      <w:marRight w:val="0"/>
      <w:marTop w:val="0"/>
      <w:marBottom w:val="0"/>
      <w:divBdr>
        <w:top w:val="none" w:sz="0" w:space="0" w:color="auto"/>
        <w:left w:val="none" w:sz="0" w:space="0" w:color="auto"/>
        <w:bottom w:val="none" w:sz="0" w:space="0" w:color="auto"/>
        <w:right w:val="none" w:sz="0" w:space="0" w:color="auto"/>
      </w:divBdr>
      <w:divsChild>
        <w:div w:id="543293475">
          <w:marLeft w:val="0"/>
          <w:marRight w:val="0"/>
          <w:marTop w:val="0"/>
          <w:marBottom w:val="0"/>
          <w:divBdr>
            <w:top w:val="none" w:sz="0" w:space="0" w:color="auto"/>
            <w:left w:val="none" w:sz="0" w:space="0" w:color="auto"/>
            <w:bottom w:val="none" w:sz="0" w:space="0" w:color="auto"/>
            <w:right w:val="none" w:sz="0" w:space="0" w:color="auto"/>
          </w:divBdr>
          <w:divsChild>
            <w:div w:id="20784772">
              <w:marLeft w:val="0"/>
              <w:marRight w:val="0"/>
              <w:marTop w:val="0"/>
              <w:marBottom w:val="0"/>
              <w:divBdr>
                <w:top w:val="none" w:sz="0" w:space="0" w:color="auto"/>
                <w:left w:val="none" w:sz="0" w:space="0" w:color="auto"/>
                <w:bottom w:val="none" w:sz="0" w:space="0" w:color="auto"/>
                <w:right w:val="none" w:sz="0" w:space="0" w:color="auto"/>
              </w:divBdr>
              <w:divsChild>
                <w:div w:id="1379621064">
                  <w:marLeft w:val="0"/>
                  <w:marRight w:val="0"/>
                  <w:marTop w:val="0"/>
                  <w:marBottom w:val="0"/>
                  <w:divBdr>
                    <w:top w:val="none" w:sz="0" w:space="0" w:color="auto"/>
                    <w:left w:val="none" w:sz="0" w:space="0" w:color="auto"/>
                    <w:bottom w:val="none" w:sz="0" w:space="0" w:color="auto"/>
                    <w:right w:val="none" w:sz="0" w:space="0" w:color="auto"/>
                  </w:divBdr>
                  <w:divsChild>
                    <w:div w:id="1329791375">
                      <w:marLeft w:val="0"/>
                      <w:marRight w:val="0"/>
                      <w:marTop w:val="0"/>
                      <w:marBottom w:val="0"/>
                      <w:divBdr>
                        <w:top w:val="none" w:sz="0" w:space="0" w:color="auto"/>
                        <w:left w:val="none" w:sz="0" w:space="0" w:color="auto"/>
                        <w:bottom w:val="none" w:sz="0" w:space="0" w:color="auto"/>
                        <w:right w:val="none" w:sz="0" w:space="0" w:color="auto"/>
                      </w:divBdr>
                      <w:divsChild>
                        <w:div w:id="488330888">
                          <w:marLeft w:val="0"/>
                          <w:marRight w:val="0"/>
                          <w:marTop w:val="0"/>
                          <w:marBottom w:val="0"/>
                          <w:divBdr>
                            <w:top w:val="none" w:sz="0" w:space="0" w:color="auto"/>
                            <w:left w:val="none" w:sz="0" w:space="0" w:color="auto"/>
                            <w:bottom w:val="none" w:sz="0" w:space="0" w:color="auto"/>
                            <w:right w:val="none" w:sz="0" w:space="0" w:color="auto"/>
                          </w:divBdr>
                          <w:divsChild>
                            <w:div w:id="765005746">
                              <w:marLeft w:val="0"/>
                              <w:marRight w:val="0"/>
                              <w:marTop w:val="0"/>
                              <w:marBottom w:val="0"/>
                              <w:divBdr>
                                <w:top w:val="none" w:sz="0" w:space="0" w:color="auto"/>
                                <w:left w:val="none" w:sz="0" w:space="0" w:color="auto"/>
                                <w:bottom w:val="none" w:sz="0" w:space="0" w:color="auto"/>
                                <w:right w:val="none" w:sz="0" w:space="0" w:color="auto"/>
                              </w:divBdr>
                              <w:divsChild>
                                <w:div w:id="637301342">
                                  <w:marLeft w:val="0"/>
                                  <w:marRight w:val="0"/>
                                  <w:marTop w:val="0"/>
                                  <w:marBottom w:val="0"/>
                                  <w:divBdr>
                                    <w:top w:val="none" w:sz="0" w:space="0" w:color="auto"/>
                                    <w:left w:val="none" w:sz="0" w:space="0" w:color="auto"/>
                                    <w:bottom w:val="none" w:sz="0" w:space="0" w:color="auto"/>
                                    <w:right w:val="none" w:sz="0" w:space="0" w:color="auto"/>
                                  </w:divBdr>
                                  <w:divsChild>
                                    <w:div w:id="452939812">
                                      <w:marLeft w:val="0"/>
                                      <w:marRight w:val="0"/>
                                      <w:marTop w:val="0"/>
                                      <w:marBottom w:val="0"/>
                                      <w:divBdr>
                                        <w:top w:val="none" w:sz="0" w:space="0" w:color="auto"/>
                                        <w:left w:val="none" w:sz="0" w:space="0" w:color="auto"/>
                                        <w:bottom w:val="none" w:sz="0" w:space="0" w:color="auto"/>
                                        <w:right w:val="none" w:sz="0" w:space="0" w:color="auto"/>
                                      </w:divBdr>
                                      <w:divsChild>
                                        <w:div w:id="776172926">
                                          <w:marLeft w:val="0"/>
                                          <w:marRight w:val="0"/>
                                          <w:marTop w:val="0"/>
                                          <w:marBottom w:val="0"/>
                                          <w:divBdr>
                                            <w:top w:val="none" w:sz="0" w:space="0" w:color="auto"/>
                                            <w:left w:val="none" w:sz="0" w:space="0" w:color="auto"/>
                                            <w:bottom w:val="none" w:sz="0" w:space="0" w:color="auto"/>
                                            <w:right w:val="none" w:sz="0" w:space="0" w:color="auto"/>
                                          </w:divBdr>
                                          <w:divsChild>
                                            <w:div w:id="2047829711">
                                              <w:marLeft w:val="0"/>
                                              <w:marRight w:val="0"/>
                                              <w:marTop w:val="0"/>
                                              <w:marBottom w:val="0"/>
                                              <w:divBdr>
                                                <w:top w:val="none" w:sz="0" w:space="0" w:color="auto"/>
                                                <w:left w:val="none" w:sz="0" w:space="0" w:color="auto"/>
                                                <w:bottom w:val="none" w:sz="0" w:space="0" w:color="auto"/>
                                                <w:right w:val="none" w:sz="0" w:space="0" w:color="auto"/>
                                              </w:divBdr>
                                              <w:divsChild>
                                                <w:div w:id="1433160078">
                                                  <w:marLeft w:val="0"/>
                                                  <w:marRight w:val="0"/>
                                                  <w:marTop w:val="0"/>
                                                  <w:marBottom w:val="0"/>
                                                  <w:divBdr>
                                                    <w:top w:val="none" w:sz="0" w:space="0" w:color="auto"/>
                                                    <w:left w:val="none" w:sz="0" w:space="0" w:color="auto"/>
                                                    <w:bottom w:val="none" w:sz="0" w:space="0" w:color="auto"/>
                                                    <w:right w:val="none" w:sz="0" w:space="0" w:color="auto"/>
                                                  </w:divBdr>
                                                  <w:divsChild>
                                                    <w:div w:id="260724511">
                                                      <w:marLeft w:val="0"/>
                                                      <w:marRight w:val="0"/>
                                                      <w:marTop w:val="0"/>
                                                      <w:marBottom w:val="0"/>
                                                      <w:divBdr>
                                                        <w:top w:val="none" w:sz="0" w:space="0" w:color="auto"/>
                                                        <w:left w:val="none" w:sz="0" w:space="0" w:color="auto"/>
                                                        <w:bottom w:val="none" w:sz="0" w:space="0" w:color="auto"/>
                                                        <w:right w:val="none" w:sz="0" w:space="0" w:color="auto"/>
                                                      </w:divBdr>
                                                      <w:divsChild>
                                                        <w:div w:id="1176309711">
                                                          <w:marLeft w:val="0"/>
                                                          <w:marRight w:val="0"/>
                                                          <w:marTop w:val="0"/>
                                                          <w:marBottom w:val="0"/>
                                                          <w:divBdr>
                                                            <w:top w:val="none" w:sz="0" w:space="0" w:color="auto"/>
                                                            <w:left w:val="none" w:sz="0" w:space="0" w:color="auto"/>
                                                            <w:bottom w:val="none" w:sz="0" w:space="0" w:color="auto"/>
                                                            <w:right w:val="none" w:sz="0" w:space="0" w:color="auto"/>
                                                          </w:divBdr>
                                                          <w:divsChild>
                                                            <w:div w:id="809057192">
                                                              <w:marLeft w:val="0"/>
                                                              <w:marRight w:val="0"/>
                                                              <w:marTop w:val="0"/>
                                                              <w:marBottom w:val="0"/>
                                                              <w:divBdr>
                                                                <w:top w:val="none" w:sz="0" w:space="0" w:color="auto"/>
                                                                <w:left w:val="none" w:sz="0" w:space="0" w:color="auto"/>
                                                                <w:bottom w:val="none" w:sz="0" w:space="0" w:color="auto"/>
                                                                <w:right w:val="none" w:sz="0" w:space="0" w:color="auto"/>
                                                              </w:divBdr>
                                                              <w:divsChild>
                                                                <w:div w:id="544752529">
                                                                  <w:marLeft w:val="0"/>
                                                                  <w:marRight w:val="0"/>
                                                                  <w:marTop w:val="0"/>
                                                                  <w:marBottom w:val="0"/>
                                                                  <w:divBdr>
                                                                    <w:top w:val="none" w:sz="0" w:space="0" w:color="auto"/>
                                                                    <w:left w:val="none" w:sz="0" w:space="0" w:color="auto"/>
                                                                    <w:bottom w:val="none" w:sz="0" w:space="0" w:color="auto"/>
                                                                    <w:right w:val="none" w:sz="0" w:space="0" w:color="auto"/>
                                                                  </w:divBdr>
                                                                  <w:divsChild>
                                                                    <w:div w:id="1799761831">
                                                                      <w:marLeft w:val="0"/>
                                                                      <w:marRight w:val="0"/>
                                                                      <w:marTop w:val="0"/>
                                                                      <w:marBottom w:val="0"/>
                                                                      <w:divBdr>
                                                                        <w:top w:val="none" w:sz="0" w:space="0" w:color="auto"/>
                                                                        <w:left w:val="none" w:sz="0" w:space="0" w:color="auto"/>
                                                                        <w:bottom w:val="none" w:sz="0" w:space="0" w:color="auto"/>
                                                                        <w:right w:val="none" w:sz="0" w:space="0" w:color="auto"/>
                                                                      </w:divBdr>
                                                                      <w:divsChild>
                                                                        <w:div w:id="18629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75639">
                                                  <w:marLeft w:val="0"/>
                                                  <w:marRight w:val="0"/>
                                                  <w:marTop w:val="0"/>
                                                  <w:marBottom w:val="0"/>
                                                  <w:divBdr>
                                                    <w:top w:val="none" w:sz="0" w:space="0" w:color="auto"/>
                                                    <w:left w:val="none" w:sz="0" w:space="0" w:color="auto"/>
                                                    <w:bottom w:val="none" w:sz="0" w:space="0" w:color="auto"/>
                                                    <w:right w:val="none" w:sz="0" w:space="0" w:color="auto"/>
                                                  </w:divBdr>
                                                  <w:divsChild>
                                                    <w:div w:id="551691452">
                                                      <w:marLeft w:val="0"/>
                                                      <w:marRight w:val="0"/>
                                                      <w:marTop w:val="0"/>
                                                      <w:marBottom w:val="0"/>
                                                      <w:divBdr>
                                                        <w:top w:val="none" w:sz="0" w:space="0" w:color="auto"/>
                                                        <w:left w:val="none" w:sz="0" w:space="0" w:color="auto"/>
                                                        <w:bottom w:val="none" w:sz="0" w:space="0" w:color="auto"/>
                                                        <w:right w:val="none" w:sz="0" w:space="0" w:color="auto"/>
                                                      </w:divBdr>
                                                      <w:divsChild>
                                                        <w:div w:id="1495301166">
                                                          <w:marLeft w:val="0"/>
                                                          <w:marRight w:val="0"/>
                                                          <w:marTop w:val="0"/>
                                                          <w:marBottom w:val="0"/>
                                                          <w:divBdr>
                                                            <w:top w:val="none" w:sz="0" w:space="0" w:color="auto"/>
                                                            <w:left w:val="none" w:sz="0" w:space="0" w:color="auto"/>
                                                            <w:bottom w:val="none" w:sz="0" w:space="0" w:color="auto"/>
                                                            <w:right w:val="none" w:sz="0" w:space="0" w:color="auto"/>
                                                          </w:divBdr>
                                                          <w:divsChild>
                                                            <w:div w:id="3913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7240582">
      <w:bodyDiv w:val="1"/>
      <w:marLeft w:val="0"/>
      <w:marRight w:val="0"/>
      <w:marTop w:val="0"/>
      <w:marBottom w:val="0"/>
      <w:divBdr>
        <w:top w:val="none" w:sz="0" w:space="0" w:color="auto"/>
        <w:left w:val="none" w:sz="0" w:space="0" w:color="auto"/>
        <w:bottom w:val="none" w:sz="0" w:space="0" w:color="auto"/>
        <w:right w:val="none" w:sz="0" w:space="0" w:color="auto"/>
      </w:divBdr>
    </w:div>
    <w:div w:id="1060131082">
      <w:bodyDiv w:val="1"/>
      <w:marLeft w:val="0"/>
      <w:marRight w:val="0"/>
      <w:marTop w:val="0"/>
      <w:marBottom w:val="0"/>
      <w:divBdr>
        <w:top w:val="none" w:sz="0" w:space="0" w:color="auto"/>
        <w:left w:val="none" w:sz="0" w:space="0" w:color="auto"/>
        <w:bottom w:val="none" w:sz="0" w:space="0" w:color="auto"/>
        <w:right w:val="none" w:sz="0" w:space="0" w:color="auto"/>
      </w:divBdr>
    </w:div>
    <w:div w:id="1068386494">
      <w:bodyDiv w:val="1"/>
      <w:marLeft w:val="0"/>
      <w:marRight w:val="0"/>
      <w:marTop w:val="0"/>
      <w:marBottom w:val="0"/>
      <w:divBdr>
        <w:top w:val="none" w:sz="0" w:space="0" w:color="auto"/>
        <w:left w:val="none" w:sz="0" w:space="0" w:color="auto"/>
        <w:bottom w:val="none" w:sz="0" w:space="0" w:color="auto"/>
        <w:right w:val="none" w:sz="0" w:space="0" w:color="auto"/>
      </w:divBdr>
    </w:div>
    <w:div w:id="1070620782">
      <w:bodyDiv w:val="1"/>
      <w:marLeft w:val="0"/>
      <w:marRight w:val="0"/>
      <w:marTop w:val="0"/>
      <w:marBottom w:val="0"/>
      <w:divBdr>
        <w:top w:val="none" w:sz="0" w:space="0" w:color="auto"/>
        <w:left w:val="none" w:sz="0" w:space="0" w:color="auto"/>
        <w:bottom w:val="none" w:sz="0" w:space="0" w:color="auto"/>
        <w:right w:val="none" w:sz="0" w:space="0" w:color="auto"/>
      </w:divBdr>
    </w:div>
    <w:div w:id="1074662299">
      <w:bodyDiv w:val="1"/>
      <w:marLeft w:val="0"/>
      <w:marRight w:val="0"/>
      <w:marTop w:val="0"/>
      <w:marBottom w:val="0"/>
      <w:divBdr>
        <w:top w:val="none" w:sz="0" w:space="0" w:color="auto"/>
        <w:left w:val="none" w:sz="0" w:space="0" w:color="auto"/>
        <w:bottom w:val="none" w:sz="0" w:space="0" w:color="auto"/>
        <w:right w:val="none" w:sz="0" w:space="0" w:color="auto"/>
      </w:divBdr>
    </w:div>
    <w:div w:id="1078331295">
      <w:bodyDiv w:val="1"/>
      <w:marLeft w:val="0"/>
      <w:marRight w:val="0"/>
      <w:marTop w:val="0"/>
      <w:marBottom w:val="0"/>
      <w:divBdr>
        <w:top w:val="none" w:sz="0" w:space="0" w:color="auto"/>
        <w:left w:val="none" w:sz="0" w:space="0" w:color="auto"/>
        <w:bottom w:val="none" w:sz="0" w:space="0" w:color="auto"/>
        <w:right w:val="none" w:sz="0" w:space="0" w:color="auto"/>
      </w:divBdr>
    </w:div>
    <w:div w:id="1090659091">
      <w:bodyDiv w:val="1"/>
      <w:marLeft w:val="0"/>
      <w:marRight w:val="0"/>
      <w:marTop w:val="0"/>
      <w:marBottom w:val="0"/>
      <w:divBdr>
        <w:top w:val="none" w:sz="0" w:space="0" w:color="auto"/>
        <w:left w:val="none" w:sz="0" w:space="0" w:color="auto"/>
        <w:bottom w:val="none" w:sz="0" w:space="0" w:color="auto"/>
        <w:right w:val="none" w:sz="0" w:space="0" w:color="auto"/>
      </w:divBdr>
    </w:div>
    <w:div w:id="1092242116">
      <w:bodyDiv w:val="1"/>
      <w:marLeft w:val="0"/>
      <w:marRight w:val="0"/>
      <w:marTop w:val="0"/>
      <w:marBottom w:val="0"/>
      <w:divBdr>
        <w:top w:val="none" w:sz="0" w:space="0" w:color="auto"/>
        <w:left w:val="none" w:sz="0" w:space="0" w:color="auto"/>
        <w:bottom w:val="none" w:sz="0" w:space="0" w:color="auto"/>
        <w:right w:val="none" w:sz="0" w:space="0" w:color="auto"/>
      </w:divBdr>
    </w:div>
    <w:div w:id="1093937571">
      <w:bodyDiv w:val="1"/>
      <w:marLeft w:val="0"/>
      <w:marRight w:val="0"/>
      <w:marTop w:val="0"/>
      <w:marBottom w:val="0"/>
      <w:divBdr>
        <w:top w:val="none" w:sz="0" w:space="0" w:color="auto"/>
        <w:left w:val="none" w:sz="0" w:space="0" w:color="auto"/>
        <w:bottom w:val="none" w:sz="0" w:space="0" w:color="auto"/>
        <w:right w:val="none" w:sz="0" w:space="0" w:color="auto"/>
      </w:divBdr>
    </w:div>
    <w:div w:id="1099327176">
      <w:bodyDiv w:val="1"/>
      <w:marLeft w:val="0"/>
      <w:marRight w:val="0"/>
      <w:marTop w:val="0"/>
      <w:marBottom w:val="0"/>
      <w:divBdr>
        <w:top w:val="none" w:sz="0" w:space="0" w:color="auto"/>
        <w:left w:val="none" w:sz="0" w:space="0" w:color="auto"/>
        <w:bottom w:val="none" w:sz="0" w:space="0" w:color="auto"/>
        <w:right w:val="none" w:sz="0" w:space="0" w:color="auto"/>
      </w:divBdr>
    </w:div>
    <w:div w:id="1100488621">
      <w:bodyDiv w:val="1"/>
      <w:marLeft w:val="0"/>
      <w:marRight w:val="0"/>
      <w:marTop w:val="0"/>
      <w:marBottom w:val="0"/>
      <w:divBdr>
        <w:top w:val="none" w:sz="0" w:space="0" w:color="auto"/>
        <w:left w:val="none" w:sz="0" w:space="0" w:color="auto"/>
        <w:bottom w:val="none" w:sz="0" w:space="0" w:color="auto"/>
        <w:right w:val="none" w:sz="0" w:space="0" w:color="auto"/>
      </w:divBdr>
    </w:div>
    <w:div w:id="1110320473">
      <w:bodyDiv w:val="1"/>
      <w:marLeft w:val="0"/>
      <w:marRight w:val="0"/>
      <w:marTop w:val="0"/>
      <w:marBottom w:val="0"/>
      <w:divBdr>
        <w:top w:val="none" w:sz="0" w:space="0" w:color="auto"/>
        <w:left w:val="none" w:sz="0" w:space="0" w:color="auto"/>
        <w:bottom w:val="none" w:sz="0" w:space="0" w:color="auto"/>
        <w:right w:val="none" w:sz="0" w:space="0" w:color="auto"/>
      </w:divBdr>
    </w:div>
    <w:div w:id="1112238384">
      <w:bodyDiv w:val="1"/>
      <w:marLeft w:val="0"/>
      <w:marRight w:val="0"/>
      <w:marTop w:val="0"/>
      <w:marBottom w:val="0"/>
      <w:divBdr>
        <w:top w:val="none" w:sz="0" w:space="0" w:color="auto"/>
        <w:left w:val="none" w:sz="0" w:space="0" w:color="auto"/>
        <w:bottom w:val="none" w:sz="0" w:space="0" w:color="auto"/>
        <w:right w:val="none" w:sz="0" w:space="0" w:color="auto"/>
      </w:divBdr>
    </w:div>
    <w:div w:id="1113943952">
      <w:bodyDiv w:val="1"/>
      <w:marLeft w:val="0"/>
      <w:marRight w:val="0"/>
      <w:marTop w:val="0"/>
      <w:marBottom w:val="0"/>
      <w:divBdr>
        <w:top w:val="none" w:sz="0" w:space="0" w:color="auto"/>
        <w:left w:val="none" w:sz="0" w:space="0" w:color="auto"/>
        <w:bottom w:val="none" w:sz="0" w:space="0" w:color="auto"/>
        <w:right w:val="none" w:sz="0" w:space="0" w:color="auto"/>
      </w:divBdr>
    </w:div>
    <w:div w:id="1120338555">
      <w:bodyDiv w:val="1"/>
      <w:marLeft w:val="0"/>
      <w:marRight w:val="0"/>
      <w:marTop w:val="0"/>
      <w:marBottom w:val="0"/>
      <w:divBdr>
        <w:top w:val="none" w:sz="0" w:space="0" w:color="auto"/>
        <w:left w:val="none" w:sz="0" w:space="0" w:color="auto"/>
        <w:bottom w:val="none" w:sz="0" w:space="0" w:color="auto"/>
        <w:right w:val="none" w:sz="0" w:space="0" w:color="auto"/>
      </w:divBdr>
    </w:div>
    <w:div w:id="1135875042">
      <w:bodyDiv w:val="1"/>
      <w:marLeft w:val="0"/>
      <w:marRight w:val="0"/>
      <w:marTop w:val="0"/>
      <w:marBottom w:val="0"/>
      <w:divBdr>
        <w:top w:val="none" w:sz="0" w:space="0" w:color="auto"/>
        <w:left w:val="none" w:sz="0" w:space="0" w:color="auto"/>
        <w:bottom w:val="none" w:sz="0" w:space="0" w:color="auto"/>
        <w:right w:val="none" w:sz="0" w:space="0" w:color="auto"/>
      </w:divBdr>
    </w:div>
    <w:div w:id="1137139012">
      <w:bodyDiv w:val="1"/>
      <w:marLeft w:val="0"/>
      <w:marRight w:val="0"/>
      <w:marTop w:val="0"/>
      <w:marBottom w:val="0"/>
      <w:divBdr>
        <w:top w:val="none" w:sz="0" w:space="0" w:color="auto"/>
        <w:left w:val="none" w:sz="0" w:space="0" w:color="auto"/>
        <w:bottom w:val="none" w:sz="0" w:space="0" w:color="auto"/>
        <w:right w:val="none" w:sz="0" w:space="0" w:color="auto"/>
      </w:divBdr>
    </w:div>
    <w:div w:id="1142314236">
      <w:bodyDiv w:val="1"/>
      <w:marLeft w:val="0"/>
      <w:marRight w:val="0"/>
      <w:marTop w:val="0"/>
      <w:marBottom w:val="0"/>
      <w:divBdr>
        <w:top w:val="none" w:sz="0" w:space="0" w:color="auto"/>
        <w:left w:val="none" w:sz="0" w:space="0" w:color="auto"/>
        <w:bottom w:val="none" w:sz="0" w:space="0" w:color="auto"/>
        <w:right w:val="none" w:sz="0" w:space="0" w:color="auto"/>
      </w:divBdr>
    </w:div>
    <w:div w:id="1144468191">
      <w:bodyDiv w:val="1"/>
      <w:marLeft w:val="0"/>
      <w:marRight w:val="0"/>
      <w:marTop w:val="0"/>
      <w:marBottom w:val="0"/>
      <w:divBdr>
        <w:top w:val="none" w:sz="0" w:space="0" w:color="auto"/>
        <w:left w:val="none" w:sz="0" w:space="0" w:color="auto"/>
        <w:bottom w:val="none" w:sz="0" w:space="0" w:color="auto"/>
        <w:right w:val="none" w:sz="0" w:space="0" w:color="auto"/>
      </w:divBdr>
    </w:div>
    <w:div w:id="1154027729">
      <w:bodyDiv w:val="1"/>
      <w:marLeft w:val="0"/>
      <w:marRight w:val="0"/>
      <w:marTop w:val="0"/>
      <w:marBottom w:val="0"/>
      <w:divBdr>
        <w:top w:val="none" w:sz="0" w:space="0" w:color="auto"/>
        <w:left w:val="none" w:sz="0" w:space="0" w:color="auto"/>
        <w:bottom w:val="none" w:sz="0" w:space="0" w:color="auto"/>
        <w:right w:val="none" w:sz="0" w:space="0" w:color="auto"/>
      </w:divBdr>
    </w:div>
    <w:div w:id="1160342145">
      <w:bodyDiv w:val="1"/>
      <w:marLeft w:val="0"/>
      <w:marRight w:val="0"/>
      <w:marTop w:val="0"/>
      <w:marBottom w:val="0"/>
      <w:divBdr>
        <w:top w:val="none" w:sz="0" w:space="0" w:color="auto"/>
        <w:left w:val="none" w:sz="0" w:space="0" w:color="auto"/>
        <w:bottom w:val="none" w:sz="0" w:space="0" w:color="auto"/>
        <w:right w:val="none" w:sz="0" w:space="0" w:color="auto"/>
      </w:divBdr>
    </w:div>
    <w:div w:id="1172254674">
      <w:bodyDiv w:val="1"/>
      <w:marLeft w:val="0"/>
      <w:marRight w:val="0"/>
      <w:marTop w:val="0"/>
      <w:marBottom w:val="0"/>
      <w:divBdr>
        <w:top w:val="none" w:sz="0" w:space="0" w:color="auto"/>
        <w:left w:val="none" w:sz="0" w:space="0" w:color="auto"/>
        <w:bottom w:val="none" w:sz="0" w:space="0" w:color="auto"/>
        <w:right w:val="none" w:sz="0" w:space="0" w:color="auto"/>
      </w:divBdr>
    </w:div>
    <w:div w:id="1172722740">
      <w:bodyDiv w:val="1"/>
      <w:marLeft w:val="0"/>
      <w:marRight w:val="0"/>
      <w:marTop w:val="0"/>
      <w:marBottom w:val="0"/>
      <w:divBdr>
        <w:top w:val="none" w:sz="0" w:space="0" w:color="auto"/>
        <w:left w:val="none" w:sz="0" w:space="0" w:color="auto"/>
        <w:bottom w:val="none" w:sz="0" w:space="0" w:color="auto"/>
        <w:right w:val="none" w:sz="0" w:space="0" w:color="auto"/>
      </w:divBdr>
    </w:div>
    <w:div w:id="1173571264">
      <w:bodyDiv w:val="1"/>
      <w:marLeft w:val="0"/>
      <w:marRight w:val="0"/>
      <w:marTop w:val="0"/>
      <w:marBottom w:val="0"/>
      <w:divBdr>
        <w:top w:val="none" w:sz="0" w:space="0" w:color="auto"/>
        <w:left w:val="none" w:sz="0" w:space="0" w:color="auto"/>
        <w:bottom w:val="none" w:sz="0" w:space="0" w:color="auto"/>
        <w:right w:val="none" w:sz="0" w:space="0" w:color="auto"/>
      </w:divBdr>
    </w:div>
    <w:div w:id="1175464480">
      <w:bodyDiv w:val="1"/>
      <w:marLeft w:val="0"/>
      <w:marRight w:val="0"/>
      <w:marTop w:val="0"/>
      <w:marBottom w:val="0"/>
      <w:divBdr>
        <w:top w:val="none" w:sz="0" w:space="0" w:color="auto"/>
        <w:left w:val="none" w:sz="0" w:space="0" w:color="auto"/>
        <w:bottom w:val="none" w:sz="0" w:space="0" w:color="auto"/>
        <w:right w:val="none" w:sz="0" w:space="0" w:color="auto"/>
      </w:divBdr>
    </w:div>
    <w:div w:id="1178881920">
      <w:bodyDiv w:val="1"/>
      <w:marLeft w:val="0"/>
      <w:marRight w:val="0"/>
      <w:marTop w:val="0"/>
      <w:marBottom w:val="0"/>
      <w:divBdr>
        <w:top w:val="none" w:sz="0" w:space="0" w:color="auto"/>
        <w:left w:val="none" w:sz="0" w:space="0" w:color="auto"/>
        <w:bottom w:val="none" w:sz="0" w:space="0" w:color="auto"/>
        <w:right w:val="none" w:sz="0" w:space="0" w:color="auto"/>
      </w:divBdr>
    </w:div>
    <w:div w:id="1186482789">
      <w:bodyDiv w:val="1"/>
      <w:marLeft w:val="0"/>
      <w:marRight w:val="0"/>
      <w:marTop w:val="0"/>
      <w:marBottom w:val="0"/>
      <w:divBdr>
        <w:top w:val="none" w:sz="0" w:space="0" w:color="auto"/>
        <w:left w:val="none" w:sz="0" w:space="0" w:color="auto"/>
        <w:bottom w:val="none" w:sz="0" w:space="0" w:color="auto"/>
        <w:right w:val="none" w:sz="0" w:space="0" w:color="auto"/>
      </w:divBdr>
    </w:div>
    <w:div w:id="1187982659">
      <w:bodyDiv w:val="1"/>
      <w:marLeft w:val="0"/>
      <w:marRight w:val="0"/>
      <w:marTop w:val="0"/>
      <w:marBottom w:val="0"/>
      <w:divBdr>
        <w:top w:val="none" w:sz="0" w:space="0" w:color="auto"/>
        <w:left w:val="none" w:sz="0" w:space="0" w:color="auto"/>
        <w:bottom w:val="none" w:sz="0" w:space="0" w:color="auto"/>
        <w:right w:val="none" w:sz="0" w:space="0" w:color="auto"/>
      </w:divBdr>
    </w:div>
    <w:div w:id="1196428065">
      <w:bodyDiv w:val="1"/>
      <w:marLeft w:val="0"/>
      <w:marRight w:val="0"/>
      <w:marTop w:val="0"/>
      <w:marBottom w:val="0"/>
      <w:divBdr>
        <w:top w:val="none" w:sz="0" w:space="0" w:color="auto"/>
        <w:left w:val="none" w:sz="0" w:space="0" w:color="auto"/>
        <w:bottom w:val="none" w:sz="0" w:space="0" w:color="auto"/>
        <w:right w:val="none" w:sz="0" w:space="0" w:color="auto"/>
      </w:divBdr>
    </w:div>
    <w:div w:id="1199393299">
      <w:bodyDiv w:val="1"/>
      <w:marLeft w:val="0"/>
      <w:marRight w:val="0"/>
      <w:marTop w:val="0"/>
      <w:marBottom w:val="0"/>
      <w:divBdr>
        <w:top w:val="none" w:sz="0" w:space="0" w:color="auto"/>
        <w:left w:val="none" w:sz="0" w:space="0" w:color="auto"/>
        <w:bottom w:val="none" w:sz="0" w:space="0" w:color="auto"/>
        <w:right w:val="none" w:sz="0" w:space="0" w:color="auto"/>
      </w:divBdr>
    </w:div>
    <w:div w:id="1204173390">
      <w:bodyDiv w:val="1"/>
      <w:marLeft w:val="0"/>
      <w:marRight w:val="0"/>
      <w:marTop w:val="0"/>
      <w:marBottom w:val="0"/>
      <w:divBdr>
        <w:top w:val="none" w:sz="0" w:space="0" w:color="auto"/>
        <w:left w:val="none" w:sz="0" w:space="0" w:color="auto"/>
        <w:bottom w:val="none" w:sz="0" w:space="0" w:color="auto"/>
        <w:right w:val="none" w:sz="0" w:space="0" w:color="auto"/>
      </w:divBdr>
    </w:div>
    <w:div w:id="1221864414">
      <w:bodyDiv w:val="1"/>
      <w:marLeft w:val="0"/>
      <w:marRight w:val="0"/>
      <w:marTop w:val="0"/>
      <w:marBottom w:val="0"/>
      <w:divBdr>
        <w:top w:val="none" w:sz="0" w:space="0" w:color="auto"/>
        <w:left w:val="none" w:sz="0" w:space="0" w:color="auto"/>
        <w:bottom w:val="none" w:sz="0" w:space="0" w:color="auto"/>
        <w:right w:val="none" w:sz="0" w:space="0" w:color="auto"/>
      </w:divBdr>
    </w:div>
    <w:div w:id="1224174317">
      <w:bodyDiv w:val="1"/>
      <w:marLeft w:val="0"/>
      <w:marRight w:val="0"/>
      <w:marTop w:val="0"/>
      <w:marBottom w:val="0"/>
      <w:divBdr>
        <w:top w:val="none" w:sz="0" w:space="0" w:color="auto"/>
        <w:left w:val="none" w:sz="0" w:space="0" w:color="auto"/>
        <w:bottom w:val="none" w:sz="0" w:space="0" w:color="auto"/>
        <w:right w:val="none" w:sz="0" w:space="0" w:color="auto"/>
      </w:divBdr>
    </w:div>
    <w:div w:id="1229613136">
      <w:bodyDiv w:val="1"/>
      <w:marLeft w:val="0"/>
      <w:marRight w:val="0"/>
      <w:marTop w:val="0"/>
      <w:marBottom w:val="0"/>
      <w:divBdr>
        <w:top w:val="none" w:sz="0" w:space="0" w:color="auto"/>
        <w:left w:val="none" w:sz="0" w:space="0" w:color="auto"/>
        <w:bottom w:val="none" w:sz="0" w:space="0" w:color="auto"/>
        <w:right w:val="none" w:sz="0" w:space="0" w:color="auto"/>
      </w:divBdr>
    </w:div>
    <w:div w:id="1230077460">
      <w:bodyDiv w:val="1"/>
      <w:marLeft w:val="0"/>
      <w:marRight w:val="0"/>
      <w:marTop w:val="0"/>
      <w:marBottom w:val="0"/>
      <w:divBdr>
        <w:top w:val="none" w:sz="0" w:space="0" w:color="auto"/>
        <w:left w:val="none" w:sz="0" w:space="0" w:color="auto"/>
        <w:bottom w:val="none" w:sz="0" w:space="0" w:color="auto"/>
        <w:right w:val="none" w:sz="0" w:space="0" w:color="auto"/>
      </w:divBdr>
    </w:div>
    <w:div w:id="1231618328">
      <w:bodyDiv w:val="1"/>
      <w:marLeft w:val="0"/>
      <w:marRight w:val="0"/>
      <w:marTop w:val="0"/>
      <w:marBottom w:val="0"/>
      <w:divBdr>
        <w:top w:val="none" w:sz="0" w:space="0" w:color="auto"/>
        <w:left w:val="none" w:sz="0" w:space="0" w:color="auto"/>
        <w:bottom w:val="none" w:sz="0" w:space="0" w:color="auto"/>
        <w:right w:val="none" w:sz="0" w:space="0" w:color="auto"/>
      </w:divBdr>
    </w:div>
    <w:div w:id="1238788845">
      <w:bodyDiv w:val="1"/>
      <w:marLeft w:val="0"/>
      <w:marRight w:val="0"/>
      <w:marTop w:val="0"/>
      <w:marBottom w:val="0"/>
      <w:divBdr>
        <w:top w:val="none" w:sz="0" w:space="0" w:color="auto"/>
        <w:left w:val="none" w:sz="0" w:space="0" w:color="auto"/>
        <w:bottom w:val="none" w:sz="0" w:space="0" w:color="auto"/>
        <w:right w:val="none" w:sz="0" w:space="0" w:color="auto"/>
      </w:divBdr>
    </w:div>
    <w:div w:id="1244147854">
      <w:bodyDiv w:val="1"/>
      <w:marLeft w:val="0"/>
      <w:marRight w:val="0"/>
      <w:marTop w:val="0"/>
      <w:marBottom w:val="0"/>
      <w:divBdr>
        <w:top w:val="none" w:sz="0" w:space="0" w:color="auto"/>
        <w:left w:val="none" w:sz="0" w:space="0" w:color="auto"/>
        <w:bottom w:val="none" w:sz="0" w:space="0" w:color="auto"/>
        <w:right w:val="none" w:sz="0" w:space="0" w:color="auto"/>
      </w:divBdr>
    </w:div>
    <w:div w:id="1247227617">
      <w:bodyDiv w:val="1"/>
      <w:marLeft w:val="0"/>
      <w:marRight w:val="0"/>
      <w:marTop w:val="0"/>
      <w:marBottom w:val="0"/>
      <w:divBdr>
        <w:top w:val="none" w:sz="0" w:space="0" w:color="auto"/>
        <w:left w:val="none" w:sz="0" w:space="0" w:color="auto"/>
        <w:bottom w:val="none" w:sz="0" w:space="0" w:color="auto"/>
        <w:right w:val="none" w:sz="0" w:space="0" w:color="auto"/>
      </w:divBdr>
    </w:div>
    <w:div w:id="1261721171">
      <w:bodyDiv w:val="1"/>
      <w:marLeft w:val="0"/>
      <w:marRight w:val="0"/>
      <w:marTop w:val="0"/>
      <w:marBottom w:val="0"/>
      <w:divBdr>
        <w:top w:val="none" w:sz="0" w:space="0" w:color="auto"/>
        <w:left w:val="none" w:sz="0" w:space="0" w:color="auto"/>
        <w:bottom w:val="none" w:sz="0" w:space="0" w:color="auto"/>
        <w:right w:val="none" w:sz="0" w:space="0" w:color="auto"/>
      </w:divBdr>
    </w:div>
    <w:div w:id="1264991032">
      <w:bodyDiv w:val="1"/>
      <w:marLeft w:val="0"/>
      <w:marRight w:val="0"/>
      <w:marTop w:val="0"/>
      <w:marBottom w:val="0"/>
      <w:divBdr>
        <w:top w:val="none" w:sz="0" w:space="0" w:color="auto"/>
        <w:left w:val="none" w:sz="0" w:space="0" w:color="auto"/>
        <w:bottom w:val="none" w:sz="0" w:space="0" w:color="auto"/>
        <w:right w:val="none" w:sz="0" w:space="0" w:color="auto"/>
      </w:divBdr>
    </w:div>
    <w:div w:id="1275871101">
      <w:bodyDiv w:val="1"/>
      <w:marLeft w:val="0"/>
      <w:marRight w:val="0"/>
      <w:marTop w:val="0"/>
      <w:marBottom w:val="0"/>
      <w:divBdr>
        <w:top w:val="none" w:sz="0" w:space="0" w:color="auto"/>
        <w:left w:val="none" w:sz="0" w:space="0" w:color="auto"/>
        <w:bottom w:val="none" w:sz="0" w:space="0" w:color="auto"/>
        <w:right w:val="none" w:sz="0" w:space="0" w:color="auto"/>
      </w:divBdr>
    </w:div>
    <w:div w:id="1285845157">
      <w:bodyDiv w:val="1"/>
      <w:marLeft w:val="0"/>
      <w:marRight w:val="0"/>
      <w:marTop w:val="0"/>
      <w:marBottom w:val="0"/>
      <w:divBdr>
        <w:top w:val="none" w:sz="0" w:space="0" w:color="auto"/>
        <w:left w:val="none" w:sz="0" w:space="0" w:color="auto"/>
        <w:bottom w:val="none" w:sz="0" w:space="0" w:color="auto"/>
        <w:right w:val="none" w:sz="0" w:space="0" w:color="auto"/>
      </w:divBdr>
    </w:div>
    <w:div w:id="1294600059">
      <w:bodyDiv w:val="1"/>
      <w:marLeft w:val="0"/>
      <w:marRight w:val="0"/>
      <w:marTop w:val="0"/>
      <w:marBottom w:val="0"/>
      <w:divBdr>
        <w:top w:val="none" w:sz="0" w:space="0" w:color="auto"/>
        <w:left w:val="none" w:sz="0" w:space="0" w:color="auto"/>
        <w:bottom w:val="none" w:sz="0" w:space="0" w:color="auto"/>
        <w:right w:val="none" w:sz="0" w:space="0" w:color="auto"/>
      </w:divBdr>
    </w:div>
    <w:div w:id="1316378588">
      <w:bodyDiv w:val="1"/>
      <w:marLeft w:val="0"/>
      <w:marRight w:val="0"/>
      <w:marTop w:val="0"/>
      <w:marBottom w:val="0"/>
      <w:divBdr>
        <w:top w:val="none" w:sz="0" w:space="0" w:color="auto"/>
        <w:left w:val="none" w:sz="0" w:space="0" w:color="auto"/>
        <w:bottom w:val="none" w:sz="0" w:space="0" w:color="auto"/>
        <w:right w:val="none" w:sz="0" w:space="0" w:color="auto"/>
      </w:divBdr>
    </w:div>
    <w:div w:id="1317762182">
      <w:bodyDiv w:val="1"/>
      <w:marLeft w:val="0"/>
      <w:marRight w:val="0"/>
      <w:marTop w:val="0"/>
      <w:marBottom w:val="0"/>
      <w:divBdr>
        <w:top w:val="none" w:sz="0" w:space="0" w:color="auto"/>
        <w:left w:val="none" w:sz="0" w:space="0" w:color="auto"/>
        <w:bottom w:val="none" w:sz="0" w:space="0" w:color="auto"/>
        <w:right w:val="none" w:sz="0" w:space="0" w:color="auto"/>
      </w:divBdr>
    </w:div>
    <w:div w:id="1320233252">
      <w:bodyDiv w:val="1"/>
      <w:marLeft w:val="0"/>
      <w:marRight w:val="0"/>
      <w:marTop w:val="0"/>
      <w:marBottom w:val="0"/>
      <w:divBdr>
        <w:top w:val="none" w:sz="0" w:space="0" w:color="auto"/>
        <w:left w:val="none" w:sz="0" w:space="0" w:color="auto"/>
        <w:bottom w:val="none" w:sz="0" w:space="0" w:color="auto"/>
        <w:right w:val="none" w:sz="0" w:space="0" w:color="auto"/>
      </w:divBdr>
    </w:div>
    <w:div w:id="1322660349">
      <w:bodyDiv w:val="1"/>
      <w:marLeft w:val="0"/>
      <w:marRight w:val="0"/>
      <w:marTop w:val="0"/>
      <w:marBottom w:val="0"/>
      <w:divBdr>
        <w:top w:val="none" w:sz="0" w:space="0" w:color="auto"/>
        <w:left w:val="none" w:sz="0" w:space="0" w:color="auto"/>
        <w:bottom w:val="none" w:sz="0" w:space="0" w:color="auto"/>
        <w:right w:val="none" w:sz="0" w:space="0" w:color="auto"/>
      </w:divBdr>
    </w:div>
    <w:div w:id="1323655030">
      <w:bodyDiv w:val="1"/>
      <w:marLeft w:val="0"/>
      <w:marRight w:val="0"/>
      <w:marTop w:val="0"/>
      <w:marBottom w:val="0"/>
      <w:divBdr>
        <w:top w:val="none" w:sz="0" w:space="0" w:color="auto"/>
        <w:left w:val="none" w:sz="0" w:space="0" w:color="auto"/>
        <w:bottom w:val="none" w:sz="0" w:space="0" w:color="auto"/>
        <w:right w:val="none" w:sz="0" w:space="0" w:color="auto"/>
      </w:divBdr>
    </w:div>
    <w:div w:id="1327785408">
      <w:bodyDiv w:val="1"/>
      <w:marLeft w:val="0"/>
      <w:marRight w:val="0"/>
      <w:marTop w:val="0"/>
      <w:marBottom w:val="0"/>
      <w:divBdr>
        <w:top w:val="none" w:sz="0" w:space="0" w:color="auto"/>
        <w:left w:val="none" w:sz="0" w:space="0" w:color="auto"/>
        <w:bottom w:val="none" w:sz="0" w:space="0" w:color="auto"/>
        <w:right w:val="none" w:sz="0" w:space="0" w:color="auto"/>
      </w:divBdr>
    </w:div>
    <w:div w:id="1329673495">
      <w:marLeft w:val="0"/>
      <w:marRight w:val="0"/>
      <w:marTop w:val="0"/>
      <w:marBottom w:val="0"/>
      <w:divBdr>
        <w:top w:val="none" w:sz="0" w:space="0" w:color="auto"/>
        <w:left w:val="none" w:sz="0" w:space="0" w:color="auto"/>
        <w:bottom w:val="none" w:sz="0" w:space="0" w:color="auto"/>
        <w:right w:val="none" w:sz="0" w:space="0" w:color="auto"/>
      </w:divBdr>
    </w:div>
    <w:div w:id="1329673496">
      <w:marLeft w:val="0"/>
      <w:marRight w:val="0"/>
      <w:marTop w:val="0"/>
      <w:marBottom w:val="0"/>
      <w:divBdr>
        <w:top w:val="none" w:sz="0" w:space="0" w:color="auto"/>
        <w:left w:val="none" w:sz="0" w:space="0" w:color="auto"/>
        <w:bottom w:val="none" w:sz="0" w:space="0" w:color="auto"/>
        <w:right w:val="none" w:sz="0" w:space="0" w:color="auto"/>
      </w:divBdr>
    </w:div>
    <w:div w:id="1329673497">
      <w:marLeft w:val="0"/>
      <w:marRight w:val="0"/>
      <w:marTop w:val="0"/>
      <w:marBottom w:val="0"/>
      <w:divBdr>
        <w:top w:val="none" w:sz="0" w:space="0" w:color="auto"/>
        <w:left w:val="none" w:sz="0" w:space="0" w:color="auto"/>
        <w:bottom w:val="none" w:sz="0" w:space="0" w:color="auto"/>
        <w:right w:val="none" w:sz="0" w:space="0" w:color="auto"/>
      </w:divBdr>
    </w:div>
    <w:div w:id="1329673498">
      <w:marLeft w:val="0"/>
      <w:marRight w:val="0"/>
      <w:marTop w:val="0"/>
      <w:marBottom w:val="0"/>
      <w:divBdr>
        <w:top w:val="none" w:sz="0" w:space="0" w:color="auto"/>
        <w:left w:val="none" w:sz="0" w:space="0" w:color="auto"/>
        <w:bottom w:val="none" w:sz="0" w:space="0" w:color="auto"/>
        <w:right w:val="none" w:sz="0" w:space="0" w:color="auto"/>
      </w:divBdr>
    </w:div>
    <w:div w:id="1329673499">
      <w:marLeft w:val="0"/>
      <w:marRight w:val="0"/>
      <w:marTop w:val="0"/>
      <w:marBottom w:val="0"/>
      <w:divBdr>
        <w:top w:val="none" w:sz="0" w:space="0" w:color="auto"/>
        <w:left w:val="none" w:sz="0" w:space="0" w:color="auto"/>
        <w:bottom w:val="none" w:sz="0" w:space="0" w:color="auto"/>
        <w:right w:val="none" w:sz="0" w:space="0" w:color="auto"/>
      </w:divBdr>
    </w:div>
    <w:div w:id="1329673500">
      <w:marLeft w:val="0"/>
      <w:marRight w:val="0"/>
      <w:marTop w:val="0"/>
      <w:marBottom w:val="0"/>
      <w:divBdr>
        <w:top w:val="none" w:sz="0" w:space="0" w:color="auto"/>
        <w:left w:val="none" w:sz="0" w:space="0" w:color="auto"/>
        <w:bottom w:val="none" w:sz="0" w:space="0" w:color="auto"/>
        <w:right w:val="none" w:sz="0" w:space="0" w:color="auto"/>
      </w:divBdr>
    </w:div>
    <w:div w:id="1329673501">
      <w:marLeft w:val="0"/>
      <w:marRight w:val="0"/>
      <w:marTop w:val="0"/>
      <w:marBottom w:val="0"/>
      <w:divBdr>
        <w:top w:val="none" w:sz="0" w:space="0" w:color="auto"/>
        <w:left w:val="none" w:sz="0" w:space="0" w:color="auto"/>
        <w:bottom w:val="none" w:sz="0" w:space="0" w:color="auto"/>
        <w:right w:val="none" w:sz="0" w:space="0" w:color="auto"/>
      </w:divBdr>
    </w:div>
    <w:div w:id="1329673502">
      <w:marLeft w:val="0"/>
      <w:marRight w:val="0"/>
      <w:marTop w:val="0"/>
      <w:marBottom w:val="0"/>
      <w:divBdr>
        <w:top w:val="none" w:sz="0" w:space="0" w:color="auto"/>
        <w:left w:val="none" w:sz="0" w:space="0" w:color="auto"/>
        <w:bottom w:val="none" w:sz="0" w:space="0" w:color="auto"/>
        <w:right w:val="none" w:sz="0" w:space="0" w:color="auto"/>
      </w:divBdr>
    </w:div>
    <w:div w:id="1329673503">
      <w:marLeft w:val="0"/>
      <w:marRight w:val="0"/>
      <w:marTop w:val="0"/>
      <w:marBottom w:val="0"/>
      <w:divBdr>
        <w:top w:val="none" w:sz="0" w:space="0" w:color="auto"/>
        <w:left w:val="none" w:sz="0" w:space="0" w:color="auto"/>
        <w:bottom w:val="none" w:sz="0" w:space="0" w:color="auto"/>
        <w:right w:val="none" w:sz="0" w:space="0" w:color="auto"/>
      </w:divBdr>
    </w:div>
    <w:div w:id="1329673504">
      <w:marLeft w:val="0"/>
      <w:marRight w:val="0"/>
      <w:marTop w:val="0"/>
      <w:marBottom w:val="0"/>
      <w:divBdr>
        <w:top w:val="none" w:sz="0" w:space="0" w:color="auto"/>
        <w:left w:val="none" w:sz="0" w:space="0" w:color="auto"/>
        <w:bottom w:val="none" w:sz="0" w:space="0" w:color="auto"/>
        <w:right w:val="none" w:sz="0" w:space="0" w:color="auto"/>
      </w:divBdr>
    </w:div>
    <w:div w:id="1330985279">
      <w:bodyDiv w:val="1"/>
      <w:marLeft w:val="0"/>
      <w:marRight w:val="0"/>
      <w:marTop w:val="0"/>
      <w:marBottom w:val="0"/>
      <w:divBdr>
        <w:top w:val="none" w:sz="0" w:space="0" w:color="auto"/>
        <w:left w:val="none" w:sz="0" w:space="0" w:color="auto"/>
        <w:bottom w:val="none" w:sz="0" w:space="0" w:color="auto"/>
        <w:right w:val="none" w:sz="0" w:space="0" w:color="auto"/>
      </w:divBdr>
    </w:div>
    <w:div w:id="1334801262">
      <w:bodyDiv w:val="1"/>
      <w:marLeft w:val="0"/>
      <w:marRight w:val="0"/>
      <w:marTop w:val="0"/>
      <w:marBottom w:val="0"/>
      <w:divBdr>
        <w:top w:val="none" w:sz="0" w:space="0" w:color="auto"/>
        <w:left w:val="none" w:sz="0" w:space="0" w:color="auto"/>
        <w:bottom w:val="none" w:sz="0" w:space="0" w:color="auto"/>
        <w:right w:val="none" w:sz="0" w:space="0" w:color="auto"/>
      </w:divBdr>
    </w:div>
    <w:div w:id="1335645437">
      <w:bodyDiv w:val="1"/>
      <w:marLeft w:val="0"/>
      <w:marRight w:val="0"/>
      <w:marTop w:val="0"/>
      <w:marBottom w:val="0"/>
      <w:divBdr>
        <w:top w:val="none" w:sz="0" w:space="0" w:color="auto"/>
        <w:left w:val="none" w:sz="0" w:space="0" w:color="auto"/>
        <w:bottom w:val="none" w:sz="0" w:space="0" w:color="auto"/>
        <w:right w:val="none" w:sz="0" w:space="0" w:color="auto"/>
      </w:divBdr>
    </w:div>
    <w:div w:id="1340813625">
      <w:bodyDiv w:val="1"/>
      <w:marLeft w:val="0"/>
      <w:marRight w:val="0"/>
      <w:marTop w:val="0"/>
      <w:marBottom w:val="0"/>
      <w:divBdr>
        <w:top w:val="none" w:sz="0" w:space="0" w:color="auto"/>
        <w:left w:val="none" w:sz="0" w:space="0" w:color="auto"/>
        <w:bottom w:val="none" w:sz="0" w:space="0" w:color="auto"/>
        <w:right w:val="none" w:sz="0" w:space="0" w:color="auto"/>
      </w:divBdr>
    </w:div>
    <w:div w:id="1342467782">
      <w:bodyDiv w:val="1"/>
      <w:marLeft w:val="0"/>
      <w:marRight w:val="0"/>
      <w:marTop w:val="0"/>
      <w:marBottom w:val="0"/>
      <w:divBdr>
        <w:top w:val="none" w:sz="0" w:space="0" w:color="auto"/>
        <w:left w:val="none" w:sz="0" w:space="0" w:color="auto"/>
        <w:bottom w:val="none" w:sz="0" w:space="0" w:color="auto"/>
        <w:right w:val="none" w:sz="0" w:space="0" w:color="auto"/>
      </w:divBdr>
    </w:div>
    <w:div w:id="1344670389">
      <w:bodyDiv w:val="1"/>
      <w:marLeft w:val="0"/>
      <w:marRight w:val="0"/>
      <w:marTop w:val="0"/>
      <w:marBottom w:val="0"/>
      <w:divBdr>
        <w:top w:val="none" w:sz="0" w:space="0" w:color="auto"/>
        <w:left w:val="none" w:sz="0" w:space="0" w:color="auto"/>
        <w:bottom w:val="none" w:sz="0" w:space="0" w:color="auto"/>
        <w:right w:val="none" w:sz="0" w:space="0" w:color="auto"/>
      </w:divBdr>
    </w:div>
    <w:div w:id="1345748192">
      <w:bodyDiv w:val="1"/>
      <w:marLeft w:val="0"/>
      <w:marRight w:val="0"/>
      <w:marTop w:val="0"/>
      <w:marBottom w:val="0"/>
      <w:divBdr>
        <w:top w:val="none" w:sz="0" w:space="0" w:color="auto"/>
        <w:left w:val="none" w:sz="0" w:space="0" w:color="auto"/>
        <w:bottom w:val="none" w:sz="0" w:space="0" w:color="auto"/>
        <w:right w:val="none" w:sz="0" w:space="0" w:color="auto"/>
      </w:divBdr>
    </w:div>
    <w:div w:id="1360857360">
      <w:bodyDiv w:val="1"/>
      <w:marLeft w:val="0"/>
      <w:marRight w:val="0"/>
      <w:marTop w:val="0"/>
      <w:marBottom w:val="0"/>
      <w:divBdr>
        <w:top w:val="none" w:sz="0" w:space="0" w:color="auto"/>
        <w:left w:val="none" w:sz="0" w:space="0" w:color="auto"/>
        <w:bottom w:val="none" w:sz="0" w:space="0" w:color="auto"/>
        <w:right w:val="none" w:sz="0" w:space="0" w:color="auto"/>
      </w:divBdr>
    </w:div>
    <w:div w:id="1368524204">
      <w:bodyDiv w:val="1"/>
      <w:marLeft w:val="0"/>
      <w:marRight w:val="0"/>
      <w:marTop w:val="0"/>
      <w:marBottom w:val="0"/>
      <w:divBdr>
        <w:top w:val="none" w:sz="0" w:space="0" w:color="auto"/>
        <w:left w:val="none" w:sz="0" w:space="0" w:color="auto"/>
        <w:bottom w:val="none" w:sz="0" w:space="0" w:color="auto"/>
        <w:right w:val="none" w:sz="0" w:space="0" w:color="auto"/>
      </w:divBdr>
    </w:div>
    <w:div w:id="1383671469">
      <w:bodyDiv w:val="1"/>
      <w:marLeft w:val="0"/>
      <w:marRight w:val="0"/>
      <w:marTop w:val="0"/>
      <w:marBottom w:val="0"/>
      <w:divBdr>
        <w:top w:val="none" w:sz="0" w:space="0" w:color="auto"/>
        <w:left w:val="none" w:sz="0" w:space="0" w:color="auto"/>
        <w:bottom w:val="none" w:sz="0" w:space="0" w:color="auto"/>
        <w:right w:val="none" w:sz="0" w:space="0" w:color="auto"/>
      </w:divBdr>
    </w:div>
    <w:div w:id="1384258663">
      <w:bodyDiv w:val="1"/>
      <w:marLeft w:val="0"/>
      <w:marRight w:val="0"/>
      <w:marTop w:val="0"/>
      <w:marBottom w:val="0"/>
      <w:divBdr>
        <w:top w:val="none" w:sz="0" w:space="0" w:color="auto"/>
        <w:left w:val="none" w:sz="0" w:space="0" w:color="auto"/>
        <w:bottom w:val="none" w:sz="0" w:space="0" w:color="auto"/>
        <w:right w:val="none" w:sz="0" w:space="0" w:color="auto"/>
      </w:divBdr>
      <w:divsChild>
        <w:div w:id="975571253">
          <w:marLeft w:val="0"/>
          <w:marRight w:val="0"/>
          <w:marTop w:val="0"/>
          <w:marBottom w:val="0"/>
          <w:divBdr>
            <w:top w:val="none" w:sz="0" w:space="0" w:color="auto"/>
            <w:left w:val="none" w:sz="0" w:space="0" w:color="auto"/>
            <w:bottom w:val="none" w:sz="0" w:space="0" w:color="auto"/>
            <w:right w:val="none" w:sz="0" w:space="0" w:color="auto"/>
          </w:divBdr>
          <w:divsChild>
            <w:div w:id="1044450623">
              <w:marLeft w:val="0"/>
              <w:marRight w:val="0"/>
              <w:marTop w:val="0"/>
              <w:marBottom w:val="0"/>
              <w:divBdr>
                <w:top w:val="none" w:sz="0" w:space="0" w:color="auto"/>
                <w:left w:val="none" w:sz="0" w:space="0" w:color="auto"/>
                <w:bottom w:val="none" w:sz="0" w:space="0" w:color="auto"/>
                <w:right w:val="none" w:sz="0" w:space="0" w:color="auto"/>
              </w:divBdr>
              <w:divsChild>
                <w:div w:id="1189105384">
                  <w:marLeft w:val="0"/>
                  <w:marRight w:val="0"/>
                  <w:marTop w:val="0"/>
                  <w:marBottom w:val="0"/>
                  <w:divBdr>
                    <w:top w:val="none" w:sz="0" w:space="0" w:color="auto"/>
                    <w:left w:val="none" w:sz="0" w:space="0" w:color="auto"/>
                    <w:bottom w:val="none" w:sz="0" w:space="0" w:color="auto"/>
                    <w:right w:val="none" w:sz="0" w:space="0" w:color="auto"/>
                  </w:divBdr>
                  <w:divsChild>
                    <w:div w:id="209533691">
                      <w:marLeft w:val="0"/>
                      <w:marRight w:val="0"/>
                      <w:marTop w:val="0"/>
                      <w:marBottom w:val="0"/>
                      <w:divBdr>
                        <w:top w:val="none" w:sz="0" w:space="0" w:color="auto"/>
                        <w:left w:val="none" w:sz="0" w:space="0" w:color="auto"/>
                        <w:bottom w:val="none" w:sz="0" w:space="0" w:color="auto"/>
                        <w:right w:val="none" w:sz="0" w:space="0" w:color="auto"/>
                      </w:divBdr>
                      <w:divsChild>
                        <w:div w:id="1323267691">
                          <w:marLeft w:val="0"/>
                          <w:marRight w:val="0"/>
                          <w:marTop w:val="0"/>
                          <w:marBottom w:val="0"/>
                          <w:divBdr>
                            <w:top w:val="none" w:sz="0" w:space="0" w:color="auto"/>
                            <w:left w:val="none" w:sz="0" w:space="0" w:color="auto"/>
                            <w:bottom w:val="none" w:sz="0" w:space="0" w:color="auto"/>
                            <w:right w:val="none" w:sz="0" w:space="0" w:color="auto"/>
                          </w:divBdr>
                          <w:divsChild>
                            <w:div w:id="1007757931">
                              <w:marLeft w:val="0"/>
                              <w:marRight w:val="0"/>
                              <w:marTop w:val="0"/>
                              <w:marBottom w:val="0"/>
                              <w:divBdr>
                                <w:top w:val="none" w:sz="0" w:space="0" w:color="auto"/>
                                <w:left w:val="none" w:sz="0" w:space="0" w:color="auto"/>
                                <w:bottom w:val="none" w:sz="0" w:space="0" w:color="auto"/>
                                <w:right w:val="none" w:sz="0" w:space="0" w:color="auto"/>
                              </w:divBdr>
                              <w:divsChild>
                                <w:div w:id="1977951029">
                                  <w:marLeft w:val="0"/>
                                  <w:marRight w:val="0"/>
                                  <w:marTop w:val="0"/>
                                  <w:marBottom w:val="0"/>
                                  <w:divBdr>
                                    <w:top w:val="none" w:sz="0" w:space="0" w:color="auto"/>
                                    <w:left w:val="none" w:sz="0" w:space="0" w:color="auto"/>
                                    <w:bottom w:val="none" w:sz="0" w:space="0" w:color="auto"/>
                                    <w:right w:val="none" w:sz="0" w:space="0" w:color="auto"/>
                                  </w:divBdr>
                                  <w:divsChild>
                                    <w:div w:id="1556041777">
                                      <w:marLeft w:val="0"/>
                                      <w:marRight w:val="0"/>
                                      <w:marTop w:val="0"/>
                                      <w:marBottom w:val="0"/>
                                      <w:divBdr>
                                        <w:top w:val="none" w:sz="0" w:space="0" w:color="auto"/>
                                        <w:left w:val="none" w:sz="0" w:space="0" w:color="auto"/>
                                        <w:bottom w:val="none" w:sz="0" w:space="0" w:color="auto"/>
                                        <w:right w:val="none" w:sz="0" w:space="0" w:color="auto"/>
                                      </w:divBdr>
                                      <w:divsChild>
                                        <w:div w:id="276570937">
                                          <w:marLeft w:val="0"/>
                                          <w:marRight w:val="0"/>
                                          <w:marTop w:val="0"/>
                                          <w:marBottom w:val="0"/>
                                          <w:divBdr>
                                            <w:top w:val="none" w:sz="0" w:space="0" w:color="auto"/>
                                            <w:left w:val="none" w:sz="0" w:space="0" w:color="auto"/>
                                            <w:bottom w:val="none" w:sz="0" w:space="0" w:color="auto"/>
                                            <w:right w:val="none" w:sz="0" w:space="0" w:color="auto"/>
                                          </w:divBdr>
                                          <w:divsChild>
                                            <w:div w:id="1710640721">
                                              <w:marLeft w:val="0"/>
                                              <w:marRight w:val="0"/>
                                              <w:marTop w:val="0"/>
                                              <w:marBottom w:val="0"/>
                                              <w:divBdr>
                                                <w:top w:val="none" w:sz="0" w:space="0" w:color="auto"/>
                                                <w:left w:val="none" w:sz="0" w:space="0" w:color="auto"/>
                                                <w:bottom w:val="none" w:sz="0" w:space="0" w:color="auto"/>
                                                <w:right w:val="none" w:sz="0" w:space="0" w:color="auto"/>
                                              </w:divBdr>
                                              <w:divsChild>
                                                <w:div w:id="590285165">
                                                  <w:marLeft w:val="0"/>
                                                  <w:marRight w:val="0"/>
                                                  <w:marTop w:val="0"/>
                                                  <w:marBottom w:val="0"/>
                                                  <w:divBdr>
                                                    <w:top w:val="none" w:sz="0" w:space="0" w:color="auto"/>
                                                    <w:left w:val="none" w:sz="0" w:space="0" w:color="auto"/>
                                                    <w:bottom w:val="none" w:sz="0" w:space="0" w:color="auto"/>
                                                    <w:right w:val="none" w:sz="0" w:space="0" w:color="auto"/>
                                                  </w:divBdr>
                                                  <w:divsChild>
                                                    <w:div w:id="779421717">
                                                      <w:marLeft w:val="0"/>
                                                      <w:marRight w:val="0"/>
                                                      <w:marTop w:val="0"/>
                                                      <w:marBottom w:val="0"/>
                                                      <w:divBdr>
                                                        <w:top w:val="none" w:sz="0" w:space="0" w:color="auto"/>
                                                        <w:left w:val="none" w:sz="0" w:space="0" w:color="auto"/>
                                                        <w:bottom w:val="none" w:sz="0" w:space="0" w:color="auto"/>
                                                        <w:right w:val="none" w:sz="0" w:space="0" w:color="auto"/>
                                                      </w:divBdr>
                                                      <w:divsChild>
                                                        <w:div w:id="1870799462">
                                                          <w:marLeft w:val="0"/>
                                                          <w:marRight w:val="0"/>
                                                          <w:marTop w:val="0"/>
                                                          <w:marBottom w:val="0"/>
                                                          <w:divBdr>
                                                            <w:top w:val="none" w:sz="0" w:space="0" w:color="auto"/>
                                                            <w:left w:val="none" w:sz="0" w:space="0" w:color="auto"/>
                                                            <w:bottom w:val="none" w:sz="0" w:space="0" w:color="auto"/>
                                                            <w:right w:val="none" w:sz="0" w:space="0" w:color="auto"/>
                                                          </w:divBdr>
                                                          <w:divsChild>
                                                            <w:div w:id="878780454">
                                                              <w:marLeft w:val="0"/>
                                                              <w:marRight w:val="0"/>
                                                              <w:marTop w:val="0"/>
                                                              <w:marBottom w:val="0"/>
                                                              <w:divBdr>
                                                                <w:top w:val="none" w:sz="0" w:space="0" w:color="auto"/>
                                                                <w:left w:val="none" w:sz="0" w:space="0" w:color="auto"/>
                                                                <w:bottom w:val="none" w:sz="0" w:space="0" w:color="auto"/>
                                                                <w:right w:val="none" w:sz="0" w:space="0" w:color="auto"/>
                                                              </w:divBdr>
                                                              <w:divsChild>
                                                                <w:div w:id="1421684183">
                                                                  <w:marLeft w:val="0"/>
                                                                  <w:marRight w:val="0"/>
                                                                  <w:marTop w:val="0"/>
                                                                  <w:marBottom w:val="0"/>
                                                                  <w:divBdr>
                                                                    <w:top w:val="none" w:sz="0" w:space="0" w:color="auto"/>
                                                                    <w:left w:val="none" w:sz="0" w:space="0" w:color="auto"/>
                                                                    <w:bottom w:val="none" w:sz="0" w:space="0" w:color="auto"/>
                                                                    <w:right w:val="none" w:sz="0" w:space="0" w:color="auto"/>
                                                                  </w:divBdr>
                                                                  <w:divsChild>
                                                                    <w:div w:id="1949847753">
                                                                      <w:marLeft w:val="0"/>
                                                                      <w:marRight w:val="0"/>
                                                                      <w:marTop w:val="0"/>
                                                                      <w:marBottom w:val="0"/>
                                                                      <w:divBdr>
                                                                        <w:top w:val="none" w:sz="0" w:space="0" w:color="auto"/>
                                                                        <w:left w:val="none" w:sz="0" w:space="0" w:color="auto"/>
                                                                        <w:bottom w:val="none" w:sz="0" w:space="0" w:color="auto"/>
                                                                        <w:right w:val="none" w:sz="0" w:space="0" w:color="auto"/>
                                                                      </w:divBdr>
                                                                      <w:divsChild>
                                                                        <w:div w:id="824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808442">
                                                  <w:marLeft w:val="0"/>
                                                  <w:marRight w:val="0"/>
                                                  <w:marTop w:val="0"/>
                                                  <w:marBottom w:val="0"/>
                                                  <w:divBdr>
                                                    <w:top w:val="none" w:sz="0" w:space="0" w:color="auto"/>
                                                    <w:left w:val="none" w:sz="0" w:space="0" w:color="auto"/>
                                                    <w:bottom w:val="none" w:sz="0" w:space="0" w:color="auto"/>
                                                    <w:right w:val="none" w:sz="0" w:space="0" w:color="auto"/>
                                                  </w:divBdr>
                                                  <w:divsChild>
                                                    <w:div w:id="2141804085">
                                                      <w:marLeft w:val="0"/>
                                                      <w:marRight w:val="0"/>
                                                      <w:marTop w:val="0"/>
                                                      <w:marBottom w:val="0"/>
                                                      <w:divBdr>
                                                        <w:top w:val="none" w:sz="0" w:space="0" w:color="auto"/>
                                                        <w:left w:val="none" w:sz="0" w:space="0" w:color="auto"/>
                                                        <w:bottom w:val="none" w:sz="0" w:space="0" w:color="auto"/>
                                                        <w:right w:val="none" w:sz="0" w:space="0" w:color="auto"/>
                                                      </w:divBdr>
                                                      <w:divsChild>
                                                        <w:div w:id="1133402548">
                                                          <w:marLeft w:val="0"/>
                                                          <w:marRight w:val="0"/>
                                                          <w:marTop w:val="0"/>
                                                          <w:marBottom w:val="0"/>
                                                          <w:divBdr>
                                                            <w:top w:val="none" w:sz="0" w:space="0" w:color="auto"/>
                                                            <w:left w:val="none" w:sz="0" w:space="0" w:color="auto"/>
                                                            <w:bottom w:val="none" w:sz="0" w:space="0" w:color="auto"/>
                                                            <w:right w:val="none" w:sz="0" w:space="0" w:color="auto"/>
                                                          </w:divBdr>
                                                          <w:divsChild>
                                                            <w:div w:id="800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5986495">
      <w:bodyDiv w:val="1"/>
      <w:marLeft w:val="0"/>
      <w:marRight w:val="0"/>
      <w:marTop w:val="0"/>
      <w:marBottom w:val="0"/>
      <w:divBdr>
        <w:top w:val="none" w:sz="0" w:space="0" w:color="auto"/>
        <w:left w:val="none" w:sz="0" w:space="0" w:color="auto"/>
        <w:bottom w:val="none" w:sz="0" w:space="0" w:color="auto"/>
        <w:right w:val="none" w:sz="0" w:space="0" w:color="auto"/>
      </w:divBdr>
    </w:div>
    <w:div w:id="1388380786">
      <w:bodyDiv w:val="1"/>
      <w:marLeft w:val="0"/>
      <w:marRight w:val="0"/>
      <w:marTop w:val="0"/>
      <w:marBottom w:val="0"/>
      <w:divBdr>
        <w:top w:val="none" w:sz="0" w:space="0" w:color="auto"/>
        <w:left w:val="none" w:sz="0" w:space="0" w:color="auto"/>
        <w:bottom w:val="none" w:sz="0" w:space="0" w:color="auto"/>
        <w:right w:val="none" w:sz="0" w:space="0" w:color="auto"/>
      </w:divBdr>
    </w:div>
    <w:div w:id="1398043944">
      <w:bodyDiv w:val="1"/>
      <w:marLeft w:val="0"/>
      <w:marRight w:val="0"/>
      <w:marTop w:val="0"/>
      <w:marBottom w:val="0"/>
      <w:divBdr>
        <w:top w:val="none" w:sz="0" w:space="0" w:color="auto"/>
        <w:left w:val="none" w:sz="0" w:space="0" w:color="auto"/>
        <w:bottom w:val="none" w:sz="0" w:space="0" w:color="auto"/>
        <w:right w:val="none" w:sz="0" w:space="0" w:color="auto"/>
      </w:divBdr>
    </w:div>
    <w:div w:id="1401445610">
      <w:bodyDiv w:val="1"/>
      <w:marLeft w:val="0"/>
      <w:marRight w:val="0"/>
      <w:marTop w:val="0"/>
      <w:marBottom w:val="0"/>
      <w:divBdr>
        <w:top w:val="none" w:sz="0" w:space="0" w:color="auto"/>
        <w:left w:val="none" w:sz="0" w:space="0" w:color="auto"/>
        <w:bottom w:val="none" w:sz="0" w:space="0" w:color="auto"/>
        <w:right w:val="none" w:sz="0" w:space="0" w:color="auto"/>
      </w:divBdr>
    </w:div>
    <w:div w:id="1408260215">
      <w:bodyDiv w:val="1"/>
      <w:marLeft w:val="0"/>
      <w:marRight w:val="0"/>
      <w:marTop w:val="0"/>
      <w:marBottom w:val="0"/>
      <w:divBdr>
        <w:top w:val="none" w:sz="0" w:space="0" w:color="auto"/>
        <w:left w:val="none" w:sz="0" w:space="0" w:color="auto"/>
        <w:bottom w:val="none" w:sz="0" w:space="0" w:color="auto"/>
        <w:right w:val="none" w:sz="0" w:space="0" w:color="auto"/>
      </w:divBdr>
      <w:divsChild>
        <w:div w:id="959456341">
          <w:marLeft w:val="-70"/>
          <w:marRight w:val="0"/>
          <w:marTop w:val="0"/>
          <w:marBottom w:val="0"/>
          <w:divBdr>
            <w:top w:val="none" w:sz="0" w:space="0" w:color="auto"/>
            <w:left w:val="none" w:sz="0" w:space="0" w:color="auto"/>
            <w:bottom w:val="none" w:sz="0" w:space="0" w:color="auto"/>
            <w:right w:val="none" w:sz="0" w:space="0" w:color="auto"/>
          </w:divBdr>
        </w:div>
      </w:divsChild>
    </w:div>
    <w:div w:id="1413042998">
      <w:bodyDiv w:val="1"/>
      <w:marLeft w:val="0"/>
      <w:marRight w:val="0"/>
      <w:marTop w:val="0"/>
      <w:marBottom w:val="0"/>
      <w:divBdr>
        <w:top w:val="none" w:sz="0" w:space="0" w:color="auto"/>
        <w:left w:val="none" w:sz="0" w:space="0" w:color="auto"/>
        <w:bottom w:val="none" w:sz="0" w:space="0" w:color="auto"/>
        <w:right w:val="none" w:sz="0" w:space="0" w:color="auto"/>
      </w:divBdr>
    </w:div>
    <w:div w:id="1417094835">
      <w:bodyDiv w:val="1"/>
      <w:marLeft w:val="0"/>
      <w:marRight w:val="0"/>
      <w:marTop w:val="0"/>
      <w:marBottom w:val="0"/>
      <w:divBdr>
        <w:top w:val="none" w:sz="0" w:space="0" w:color="auto"/>
        <w:left w:val="none" w:sz="0" w:space="0" w:color="auto"/>
        <w:bottom w:val="none" w:sz="0" w:space="0" w:color="auto"/>
        <w:right w:val="none" w:sz="0" w:space="0" w:color="auto"/>
      </w:divBdr>
    </w:div>
    <w:div w:id="1419131775">
      <w:bodyDiv w:val="1"/>
      <w:marLeft w:val="0"/>
      <w:marRight w:val="0"/>
      <w:marTop w:val="0"/>
      <w:marBottom w:val="0"/>
      <w:divBdr>
        <w:top w:val="none" w:sz="0" w:space="0" w:color="auto"/>
        <w:left w:val="none" w:sz="0" w:space="0" w:color="auto"/>
        <w:bottom w:val="none" w:sz="0" w:space="0" w:color="auto"/>
        <w:right w:val="none" w:sz="0" w:space="0" w:color="auto"/>
      </w:divBdr>
    </w:div>
    <w:div w:id="1421025065">
      <w:bodyDiv w:val="1"/>
      <w:marLeft w:val="0"/>
      <w:marRight w:val="0"/>
      <w:marTop w:val="0"/>
      <w:marBottom w:val="0"/>
      <w:divBdr>
        <w:top w:val="none" w:sz="0" w:space="0" w:color="auto"/>
        <w:left w:val="none" w:sz="0" w:space="0" w:color="auto"/>
        <w:bottom w:val="none" w:sz="0" w:space="0" w:color="auto"/>
        <w:right w:val="none" w:sz="0" w:space="0" w:color="auto"/>
      </w:divBdr>
    </w:div>
    <w:div w:id="1430275870">
      <w:bodyDiv w:val="1"/>
      <w:marLeft w:val="0"/>
      <w:marRight w:val="0"/>
      <w:marTop w:val="0"/>
      <w:marBottom w:val="0"/>
      <w:divBdr>
        <w:top w:val="single" w:sz="18" w:space="15" w:color="39633D"/>
        <w:left w:val="none" w:sz="0" w:space="0" w:color="auto"/>
        <w:bottom w:val="none" w:sz="0" w:space="0" w:color="auto"/>
        <w:right w:val="none" w:sz="0" w:space="0" w:color="auto"/>
      </w:divBdr>
      <w:divsChild>
        <w:div w:id="79328376">
          <w:marLeft w:val="0"/>
          <w:marRight w:val="0"/>
          <w:marTop w:val="0"/>
          <w:marBottom w:val="0"/>
          <w:divBdr>
            <w:top w:val="none" w:sz="0" w:space="0" w:color="auto"/>
            <w:left w:val="none" w:sz="0" w:space="0" w:color="auto"/>
            <w:bottom w:val="none" w:sz="0" w:space="0" w:color="auto"/>
            <w:right w:val="none" w:sz="0" w:space="0" w:color="auto"/>
          </w:divBdr>
          <w:divsChild>
            <w:div w:id="1095322319">
              <w:marLeft w:val="0"/>
              <w:marRight w:val="0"/>
              <w:marTop w:val="0"/>
              <w:marBottom w:val="0"/>
              <w:divBdr>
                <w:top w:val="none" w:sz="0" w:space="0" w:color="auto"/>
                <w:left w:val="none" w:sz="0" w:space="0" w:color="auto"/>
                <w:bottom w:val="none" w:sz="0" w:space="0" w:color="auto"/>
                <w:right w:val="none" w:sz="0" w:space="0" w:color="auto"/>
              </w:divBdr>
              <w:divsChild>
                <w:div w:id="1610895204">
                  <w:marLeft w:val="0"/>
                  <w:marRight w:val="0"/>
                  <w:marTop w:val="0"/>
                  <w:marBottom w:val="0"/>
                  <w:divBdr>
                    <w:top w:val="none" w:sz="0" w:space="0" w:color="auto"/>
                    <w:left w:val="none" w:sz="0" w:space="0" w:color="auto"/>
                    <w:bottom w:val="none" w:sz="0" w:space="0" w:color="auto"/>
                    <w:right w:val="none" w:sz="0" w:space="0" w:color="auto"/>
                  </w:divBdr>
                  <w:divsChild>
                    <w:div w:id="625621612">
                      <w:marLeft w:val="0"/>
                      <w:marRight w:val="0"/>
                      <w:marTop w:val="0"/>
                      <w:marBottom w:val="0"/>
                      <w:divBdr>
                        <w:top w:val="none" w:sz="0" w:space="0" w:color="auto"/>
                        <w:left w:val="none" w:sz="0" w:space="0" w:color="auto"/>
                        <w:bottom w:val="none" w:sz="0" w:space="0" w:color="auto"/>
                        <w:right w:val="none" w:sz="0" w:space="0" w:color="auto"/>
                      </w:divBdr>
                      <w:divsChild>
                        <w:div w:id="1731228441">
                          <w:marLeft w:val="0"/>
                          <w:marRight w:val="0"/>
                          <w:marTop w:val="0"/>
                          <w:marBottom w:val="0"/>
                          <w:divBdr>
                            <w:top w:val="none" w:sz="0" w:space="0" w:color="auto"/>
                            <w:left w:val="none" w:sz="0" w:space="0" w:color="auto"/>
                            <w:bottom w:val="none" w:sz="0" w:space="0" w:color="auto"/>
                            <w:right w:val="none" w:sz="0" w:space="0" w:color="auto"/>
                          </w:divBdr>
                          <w:divsChild>
                            <w:div w:id="1376001969">
                              <w:marLeft w:val="0"/>
                              <w:marRight w:val="0"/>
                              <w:marTop w:val="0"/>
                              <w:marBottom w:val="0"/>
                              <w:divBdr>
                                <w:top w:val="none" w:sz="0" w:space="0" w:color="auto"/>
                                <w:left w:val="none" w:sz="0" w:space="0" w:color="auto"/>
                                <w:bottom w:val="none" w:sz="0" w:space="0" w:color="auto"/>
                                <w:right w:val="none" w:sz="0" w:space="0" w:color="auto"/>
                              </w:divBdr>
                              <w:divsChild>
                                <w:div w:id="1163398857">
                                  <w:marLeft w:val="0"/>
                                  <w:marRight w:val="0"/>
                                  <w:marTop w:val="0"/>
                                  <w:marBottom w:val="0"/>
                                  <w:divBdr>
                                    <w:top w:val="none" w:sz="0" w:space="0" w:color="auto"/>
                                    <w:left w:val="none" w:sz="0" w:space="0" w:color="auto"/>
                                    <w:bottom w:val="none" w:sz="0" w:space="0" w:color="auto"/>
                                    <w:right w:val="none" w:sz="0" w:space="0" w:color="auto"/>
                                  </w:divBdr>
                                  <w:divsChild>
                                    <w:div w:id="1633049735">
                                      <w:marLeft w:val="0"/>
                                      <w:marRight w:val="0"/>
                                      <w:marTop w:val="0"/>
                                      <w:marBottom w:val="0"/>
                                      <w:divBdr>
                                        <w:top w:val="none" w:sz="0" w:space="0" w:color="auto"/>
                                        <w:left w:val="none" w:sz="0" w:space="0" w:color="auto"/>
                                        <w:bottom w:val="none" w:sz="0" w:space="0" w:color="auto"/>
                                        <w:right w:val="none" w:sz="0" w:space="0" w:color="auto"/>
                                      </w:divBdr>
                                      <w:divsChild>
                                        <w:div w:id="1843931468">
                                          <w:marLeft w:val="0"/>
                                          <w:marRight w:val="0"/>
                                          <w:marTop w:val="0"/>
                                          <w:marBottom w:val="0"/>
                                          <w:divBdr>
                                            <w:top w:val="none" w:sz="0" w:space="0" w:color="auto"/>
                                            <w:left w:val="none" w:sz="0" w:space="0" w:color="auto"/>
                                            <w:bottom w:val="none" w:sz="0" w:space="0" w:color="auto"/>
                                            <w:right w:val="none" w:sz="0" w:space="0" w:color="auto"/>
                                          </w:divBdr>
                                          <w:divsChild>
                                            <w:div w:id="1194919949">
                                              <w:marLeft w:val="0"/>
                                              <w:marRight w:val="0"/>
                                              <w:marTop w:val="0"/>
                                              <w:marBottom w:val="0"/>
                                              <w:divBdr>
                                                <w:top w:val="none" w:sz="0" w:space="0" w:color="auto"/>
                                                <w:left w:val="none" w:sz="0" w:space="0" w:color="auto"/>
                                                <w:bottom w:val="none" w:sz="0" w:space="0" w:color="auto"/>
                                                <w:right w:val="none" w:sz="0" w:space="0" w:color="auto"/>
                                              </w:divBdr>
                                              <w:divsChild>
                                                <w:div w:id="602734907">
                                                  <w:marLeft w:val="0"/>
                                                  <w:marRight w:val="0"/>
                                                  <w:marTop w:val="0"/>
                                                  <w:marBottom w:val="0"/>
                                                  <w:divBdr>
                                                    <w:top w:val="none" w:sz="0" w:space="0" w:color="auto"/>
                                                    <w:left w:val="none" w:sz="0" w:space="0" w:color="auto"/>
                                                    <w:bottom w:val="none" w:sz="0" w:space="0" w:color="auto"/>
                                                    <w:right w:val="none" w:sz="0" w:space="0" w:color="auto"/>
                                                  </w:divBdr>
                                                  <w:divsChild>
                                                    <w:div w:id="683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926148">
      <w:bodyDiv w:val="1"/>
      <w:marLeft w:val="0"/>
      <w:marRight w:val="0"/>
      <w:marTop w:val="0"/>
      <w:marBottom w:val="0"/>
      <w:divBdr>
        <w:top w:val="none" w:sz="0" w:space="0" w:color="auto"/>
        <w:left w:val="none" w:sz="0" w:space="0" w:color="auto"/>
        <w:bottom w:val="none" w:sz="0" w:space="0" w:color="auto"/>
        <w:right w:val="none" w:sz="0" w:space="0" w:color="auto"/>
      </w:divBdr>
    </w:div>
    <w:div w:id="1439712009">
      <w:bodyDiv w:val="1"/>
      <w:marLeft w:val="0"/>
      <w:marRight w:val="0"/>
      <w:marTop w:val="0"/>
      <w:marBottom w:val="0"/>
      <w:divBdr>
        <w:top w:val="none" w:sz="0" w:space="0" w:color="auto"/>
        <w:left w:val="none" w:sz="0" w:space="0" w:color="auto"/>
        <w:bottom w:val="none" w:sz="0" w:space="0" w:color="auto"/>
        <w:right w:val="none" w:sz="0" w:space="0" w:color="auto"/>
      </w:divBdr>
    </w:div>
    <w:div w:id="1441098196">
      <w:bodyDiv w:val="1"/>
      <w:marLeft w:val="0"/>
      <w:marRight w:val="0"/>
      <w:marTop w:val="0"/>
      <w:marBottom w:val="0"/>
      <w:divBdr>
        <w:top w:val="none" w:sz="0" w:space="0" w:color="auto"/>
        <w:left w:val="none" w:sz="0" w:space="0" w:color="auto"/>
        <w:bottom w:val="none" w:sz="0" w:space="0" w:color="auto"/>
        <w:right w:val="none" w:sz="0" w:space="0" w:color="auto"/>
      </w:divBdr>
    </w:div>
    <w:div w:id="1441339489">
      <w:bodyDiv w:val="1"/>
      <w:marLeft w:val="0"/>
      <w:marRight w:val="0"/>
      <w:marTop w:val="0"/>
      <w:marBottom w:val="0"/>
      <w:divBdr>
        <w:top w:val="none" w:sz="0" w:space="0" w:color="auto"/>
        <w:left w:val="none" w:sz="0" w:space="0" w:color="auto"/>
        <w:bottom w:val="none" w:sz="0" w:space="0" w:color="auto"/>
        <w:right w:val="none" w:sz="0" w:space="0" w:color="auto"/>
      </w:divBdr>
      <w:divsChild>
        <w:div w:id="1731879811">
          <w:marLeft w:val="0"/>
          <w:marRight w:val="0"/>
          <w:marTop w:val="0"/>
          <w:marBottom w:val="0"/>
          <w:divBdr>
            <w:top w:val="none" w:sz="0" w:space="0" w:color="auto"/>
            <w:left w:val="none" w:sz="0" w:space="0" w:color="auto"/>
            <w:bottom w:val="none" w:sz="0" w:space="0" w:color="auto"/>
            <w:right w:val="none" w:sz="0" w:space="0" w:color="auto"/>
          </w:divBdr>
        </w:div>
        <w:div w:id="967200098">
          <w:marLeft w:val="0"/>
          <w:marRight w:val="0"/>
          <w:marTop w:val="0"/>
          <w:marBottom w:val="0"/>
          <w:divBdr>
            <w:top w:val="none" w:sz="0" w:space="0" w:color="auto"/>
            <w:left w:val="none" w:sz="0" w:space="0" w:color="auto"/>
            <w:bottom w:val="none" w:sz="0" w:space="0" w:color="auto"/>
            <w:right w:val="none" w:sz="0" w:space="0" w:color="auto"/>
          </w:divBdr>
        </w:div>
      </w:divsChild>
    </w:div>
    <w:div w:id="1449275958">
      <w:bodyDiv w:val="1"/>
      <w:marLeft w:val="0"/>
      <w:marRight w:val="0"/>
      <w:marTop w:val="0"/>
      <w:marBottom w:val="0"/>
      <w:divBdr>
        <w:top w:val="none" w:sz="0" w:space="0" w:color="auto"/>
        <w:left w:val="none" w:sz="0" w:space="0" w:color="auto"/>
        <w:bottom w:val="none" w:sz="0" w:space="0" w:color="auto"/>
        <w:right w:val="none" w:sz="0" w:space="0" w:color="auto"/>
      </w:divBdr>
    </w:div>
    <w:div w:id="1452548905">
      <w:bodyDiv w:val="1"/>
      <w:marLeft w:val="0"/>
      <w:marRight w:val="0"/>
      <w:marTop w:val="0"/>
      <w:marBottom w:val="0"/>
      <w:divBdr>
        <w:top w:val="none" w:sz="0" w:space="0" w:color="auto"/>
        <w:left w:val="none" w:sz="0" w:space="0" w:color="auto"/>
        <w:bottom w:val="none" w:sz="0" w:space="0" w:color="auto"/>
        <w:right w:val="none" w:sz="0" w:space="0" w:color="auto"/>
      </w:divBdr>
    </w:div>
    <w:div w:id="1452824538">
      <w:bodyDiv w:val="1"/>
      <w:marLeft w:val="0"/>
      <w:marRight w:val="0"/>
      <w:marTop w:val="0"/>
      <w:marBottom w:val="0"/>
      <w:divBdr>
        <w:top w:val="none" w:sz="0" w:space="0" w:color="auto"/>
        <w:left w:val="none" w:sz="0" w:space="0" w:color="auto"/>
        <w:bottom w:val="none" w:sz="0" w:space="0" w:color="auto"/>
        <w:right w:val="none" w:sz="0" w:space="0" w:color="auto"/>
      </w:divBdr>
    </w:div>
    <w:div w:id="1457597572">
      <w:bodyDiv w:val="1"/>
      <w:marLeft w:val="0"/>
      <w:marRight w:val="0"/>
      <w:marTop w:val="0"/>
      <w:marBottom w:val="0"/>
      <w:divBdr>
        <w:top w:val="none" w:sz="0" w:space="0" w:color="auto"/>
        <w:left w:val="none" w:sz="0" w:space="0" w:color="auto"/>
        <w:bottom w:val="none" w:sz="0" w:space="0" w:color="auto"/>
        <w:right w:val="none" w:sz="0" w:space="0" w:color="auto"/>
      </w:divBdr>
    </w:div>
    <w:div w:id="1457992110">
      <w:bodyDiv w:val="1"/>
      <w:marLeft w:val="0"/>
      <w:marRight w:val="0"/>
      <w:marTop w:val="0"/>
      <w:marBottom w:val="0"/>
      <w:divBdr>
        <w:top w:val="none" w:sz="0" w:space="0" w:color="auto"/>
        <w:left w:val="none" w:sz="0" w:space="0" w:color="auto"/>
        <w:bottom w:val="none" w:sz="0" w:space="0" w:color="auto"/>
        <w:right w:val="none" w:sz="0" w:space="0" w:color="auto"/>
      </w:divBdr>
    </w:div>
    <w:div w:id="1458451540">
      <w:bodyDiv w:val="1"/>
      <w:marLeft w:val="0"/>
      <w:marRight w:val="0"/>
      <w:marTop w:val="0"/>
      <w:marBottom w:val="0"/>
      <w:divBdr>
        <w:top w:val="none" w:sz="0" w:space="0" w:color="auto"/>
        <w:left w:val="none" w:sz="0" w:space="0" w:color="auto"/>
        <w:bottom w:val="none" w:sz="0" w:space="0" w:color="auto"/>
        <w:right w:val="none" w:sz="0" w:space="0" w:color="auto"/>
      </w:divBdr>
    </w:div>
    <w:div w:id="1464541769">
      <w:bodyDiv w:val="1"/>
      <w:marLeft w:val="0"/>
      <w:marRight w:val="0"/>
      <w:marTop w:val="0"/>
      <w:marBottom w:val="0"/>
      <w:divBdr>
        <w:top w:val="none" w:sz="0" w:space="0" w:color="auto"/>
        <w:left w:val="none" w:sz="0" w:space="0" w:color="auto"/>
        <w:bottom w:val="none" w:sz="0" w:space="0" w:color="auto"/>
        <w:right w:val="none" w:sz="0" w:space="0" w:color="auto"/>
      </w:divBdr>
    </w:div>
    <w:div w:id="1471902312">
      <w:bodyDiv w:val="1"/>
      <w:marLeft w:val="0"/>
      <w:marRight w:val="0"/>
      <w:marTop w:val="0"/>
      <w:marBottom w:val="0"/>
      <w:divBdr>
        <w:top w:val="none" w:sz="0" w:space="0" w:color="auto"/>
        <w:left w:val="none" w:sz="0" w:space="0" w:color="auto"/>
        <w:bottom w:val="none" w:sz="0" w:space="0" w:color="auto"/>
        <w:right w:val="none" w:sz="0" w:space="0" w:color="auto"/>
      </w:divBdr>
    </w:div>
    <w:div w:id="1478523440">
      <w:bodyDiv w:val="1"/>
      <w:marLeft w:val="0"/>
      <w:marRight w:val="0"/>
      <w:marTop w:val="0"/>
      <w:marBottom w:val="0"/>
      <w:divBdr>
        <w:top w:val="none" w:sz="0" w:space="0" w:color="auto"/>
        <w:left w:val="none" w:sz="0" w:space="0" w:color="auto"/>
        <w:bottom w:val="none" w:sz="0" w:space="0" w:color="auto"/>
        <w:right w:val="none" w:sz="0" w:space="0" w:color="auto"/>
      </w:divBdr>
    </w:div>
    <w:div w:id="1480801718">
      <w:bodyDiv w:val="1"/>
      <w:marLeft w:val="0"/>
      <w:marRight w:val="0"/>
      <w:marTop w:val="0"/>
      <w:marBottom w:val="0"/>
      <w:divBdr>
        <w:top w:val="none" w:sz="0" w:space="0" w:color="auto"/>
        <w:left w:val="none" w:sz="0" w:space="0" w:color="auto"/>
        <w:bottom w:val="none" w:sz="0" w:space="0" w:color="auto"/>
        <w:right w:val="none" w:sz="0" w:space="0" w:color="auto"/>
      </w:divBdr>
    </w:div>
    <w:div w:id="1487866897">
      <w:bodyDiv w:val="1"/>
      <w:marLeft w:val="0"/>
      <w:marRight w:val="0"/>
      <w:marTop w:val="0"/>
      <w:marBottom w:val="0"/>
      <w:divBdr>
        <w:top w:val="none" w:sz="0" w:space="0" w:color="auto"/>
        <w:left w:val="none" w:sz="0" w:space="0" w:color="auto"/>
        <w:bottom w:val="none" w:sz="0" w:space="0" w:color="auto"/>
        <w:right w:val="none" w:sz="0" w:space="0" w:color="auto"/>
      </w:divBdr>
    </w:div>
    <w:div w:id="1489706116">
      <w:bodyDiv w:val="1"/>
      <w:marLeft w:val="0"/>
      <w:marRight w:val="0"/>
      <w:marTop w:val="0"/>
      <w:marBottom w:val="0"/>
      <w:divBdr>
        <w:top w:val="none" w:sz="0" w:space="0" w:color="auto"/>
        <w:left w:val="none" w:sz="0" w:space="0" w:color="auto"/>
        <w:bottom w:val="none" w:sz="0" w:space="0" w:color="auto"/>
        <w:right w:val="none" w:sz="0" w:space="0" w:color="auto"/>
      </w:divBdr>
    </w:div>
    <w:div w:id="1494755920">
      <w:bodyDiv w:val="1"/>
      <w:marLeft w:val="0"/>
      <w:marRight w:val="0"/>
      <w:marTop w:val="0"/>
      <w:marBottom w:val="0"/>
      <w:divBdr>
        <w:top w:val="none" w:sz="0" w:space="0" w:color="auto"/>
        <w:left w:val="none" w:sz="0" w:space="0" w:color="auto"/>
        <w:bottom w:val="none" w:sz="0" w:space="0" w:color="auto"/>
        <w:right w:val="none" w:sz="0" w:space="0" w:color="auto"/>
      </w:divBdr>
    </w:div>
    <w:div w:id="1500119823">
      <w:bodyDiv w:val="1"/>
      <w:marLeft w:val="0"/>
      <w:marRight w:val="0"/>
      <w:marTop w:val="0"/>
      <w:marBottom w:val="0"/>
      <w:divBdr>
        <w:top w:val="none" w:sz="0" w:space="0" w:color="auto"/>
        <w:left w:val="none" w:sz="0" w:space="0" w:color="auto"/>
        <w:bottom w:val="none" w:sz="0" w:space="0" w:color="auto"/>
        <w:right w:val="none" w:sz="0" w:space="0" w:color="auto"/>
      </w:divBdr>
    </w:div>
    <w:div w:id="1500926582">
      <w:bodyDiv w:val="1"/>
      <w:marLeft w:val="0"/>
      <w:marRight w:val="0"/>
      <w:marTop w:val="0"/>
      <w:marBottom w:val="0"/>
      <w:divBdr>
        <w:top w:val="none" w:sz="0" w:space="0" w:color="auto"/>
        <w:left w:val="none" w:sz="0" w:space="0" w:color="auto"/>
        <w:bottom w:val="none" w:sz="0" w:space="0" w:color="auto"/>
        <w:right w:val="none" w:sz="0" w:space="0" w:color="auto"/>
      </w:divBdr>
    </w:div>
    <w:div w:id="1511144778">
      <w:bodyDiv w:val="1"/>
      <w:marLeft w:val="0"/>
      <w:marRight w:val="0"/>
      <w:marTop w:val="0"/>
      <w:marBottom w:val="0"/>
      <w:divBdr>
        <w:top w:val="none" w:sz="0" w:space="0" w:color="auto"/>
        <w:left w:val="none" w:sz="0" w:space="0" w:color="auto"/>
        <w:bottom w:val="none" w:sz="0" w:space="0" w:color="auto"/>
        <w:right w:val="none" w:sz="0" w:space="0" w:color="auto"/>
      </w:divBdr>
    </w:div>
    <w:div w:id="1512599312">
      <w:bodyDiv w:val="1"/>
      <w:marLeft w:val="0"/>
      <w:marRight w:val="0"/>
      <w:marTop w:val="0"/>
      <w:marBottom w:val="0"/>
      <w:divBdr>
        <w:top w:val="none" w:sz="0" w:space="0" w:color="auto"/>
        <w:left w:val="none" w:sz="0" w:space="0" w:color="auto"/>
        <w:bottom w:val="none" w:sz="0" w:space="0" w:color="auto"/>
        <w:right w:val="none" w:sz="0" w:space="0" w:color="auto"/>
      </w:divBdr>
    </w:div>
    <w:div w:id="1513495198">
      <w:bodyDiv w:val="1"/>
      <w:marLeft w:val="0"/>
      <w:marRight w:val="0"/>
      <w:marTop w:val="0"/>
      <w:marBottom w:val="0"/>
      <w:divBdr>
        <w:top w:val="none" w:sz="0" w:space="0" w:color="auto"/>
        <w:left w:val="none" w:sz="0" w:space="0" w:color="auto"/>
        <w:bottom w:val="none" w:sz="0" w:space="0" w:color="auto"/>
        <w:right w:val="none" w:sz="0" w:space="0" w:color="auto"/>
      </w:divBdr>
    </w:div>
    <w:div w:id="1517113056">
      <w:bodyDiv w:val="1"/>
      <w:marLeft w:val="0"/>
      <w:marRight w:val="0"/>
      <w:marTop w:val="0"/>
      <w:marBottom w:val="0"/>
      <w:divBdr>
        <w:top w:val="none" w:sz="0" w:space="0" w:color="auto"/>
        <w:left w:val="none" w:sz="0" w:space="0" w:color="auto"/>
        <w:bottom w:val="none" w:sz="0" w:space="0" w:color="auto"/>
        <w:right w:val="none" w:sz="0" w:space="0" w:color="auto"/>
      </w:divBdr>
      <w:divsChild>
        <w:div w:id="2071418521">
          <w:marLeft w:val="0"/>
          <w:marRight w:val="0"/>
          <w:marTop w:val="0"/>
          <w:marBottom w:val="0"/>
          <w:divBdr>
            <w:top w:val="none" w:sz="0" w:space="0" w:color="auto"/>
            <w:left w:val="none" w:sz="0" w:space="0" w:color="auto"/>
            <w:bottom w:val="none" w:sz="0" w:space="0" w:color="auto"/>
            <w:right w:val="none" w:sz="0" w:space="0" w:color="auto"/>
          </w:divBdr>
          <w:divsChild>
            <w:div w:id="190411987">
              <w:marLeft w:val="0"/>
              <w:marRight w:val="0"/>
              <w:marTop w:val="0"/>
              <w:marBottom w:val="0"/>
              <w:divBdr>
                <w:top w:val="none" w:sz="0" w:space="0" w:color="auto"/>
                <w:left w:val="none" w:sz="0" w:space="0" w:color="auto"/>
                <w:bottom w:val="none" w:sz="0" w:space="0" w:color="auto"/>
                <w:right w:val="none" w:sz="0" w:space="0" w:color="auto"/>
              </w:divBdr>
              <w:divsChild>
                <w:div w:id="368840408">
                  <w:marLeft w:val="0"/>
                  <w:marRight w:val="0"/>
                  <w:marTop w:val="0"/>
                  <w:marBottom w:val="0"/>
                  <w:divBdr>
                    <w:top w:val="none" w:sz="0" w:space="0" w:color="auto"/>
                    <w:left w:val="none" w:sz="0" w:space="0" w:color="auto"/>
                    <w:bottom w:val="none" w:sz="0" w:space="0" w:color="auto"/>
                    <w:right w:val="none" w:sz="0" w:space="0" w:color="auto"/>
                  </w:divBdr>
                  <w:divsChild>
                    <w:div w:id="2079009949">
                      <w:marLeft w:val="0"/>
                      <w:marRight w:val="0"/>
                      <w:marTop w:val="0"/>
                      <w:marBottom w:val="0"/>
                      <w:divBdr>
                        <w:top w:val="none" w:sz="0" w:space="0" w:color="auto"/>
                        <w:left w:val="none" w:sz="0" w:space="0" w:color="auto"/>
                        <w:bottom w:val="none" w:sz="0" w:space="0" w:color="auto"/>
                        <w:right w:val="none" w:sz="0" w:space="0" w:color="auto"/>
                      </w:divBdr>
                      <w:divsChild>
                        <w:div w:id="657466961">
                          <w:marLeft w:val="0"/>
                          <w:marRight w:val="0"/>
                          <w:marTop w:val="0"/>
                          <w:marBottom w:val="0"/>
                          <w:divBdr>
                            <w:top w:val="none" w:sz="0" w:space="0" w:color="auto"/>
                            <w:left w:val="none" w:sz="0" w:space="0" w:color="auto"/>
                            <w:bottom w:val="none" w:sz="0" w:space="0" w:color="auto"/>
                            <w:right w:val="none" w:sz="0" w:space="0" w:color="auto"/>
                          </w:divBdr>
                          <w:divsChild>
                            <w:div w:id="71196349">
                              <w:marLeft w:val="0"/>
                              <w:marRight w:val="0"/>
                              <w:marTop w:val="0"/>
                              <w:marBottom w:val="0"/>
                              <w:divBdr>
                                <w:top w:val="none" w:sz="0" w:space="0" w:color="auto"/>
                                <w:left w:val="none" w:sz="0" w:space="0" w:color="auto"/>
                                <w:bottom w:val="none" w:sz="0" w:space="0" w:color="auto"/>
                                <w:right w:val="none" w:sz="0" w:space="0" w:color="auto"/>
                              </w:divBdr>
                              <w:divsChild>
                                <w:div w:id="1202549915">
                                  <w:marLeft w:val="0"/>
                                  <w:marRight w:val="0"/>
                                  <w:marTop w:val="0"/>
                                  <w:marBottom w:val="0"/>
                                  <w:divBdr>
                                    <w:top w:val="none" w:sz="0" w:space="0" w:color="auto"/>
                                    <w:left w:val="none" w:sz="0" w:space="0" w:color="auto"/>
                                    <w:bottom w:val="none" w:sz="0" w:space="0" w:color="auto"/>
                                    <w:right w:val="none" w:sz="0" w:space="0" w:color="auto"/>
                                  </w:divBdr>
                                  <w:divsChild>
                                    <w:div w:id="1771851436">
                                      <w:marLeft w:val="0"/>
                                      <w:marRight w:val="0"/>
                                      <w:marTop w:val="0"/>
                                      <w:marBottom w:val="0"/>
                                      <w:divBdr>
                                        <w:top w:val="none" w:sz="0" w:space="0" w:color="auto"/>
                                        <w:left w:val="none" w:sz="0" w:space="0" w:color="auto"/>
                                        <w:bottom w:val="none" w:sz="0" w:space="0" w:color="auto"/>
                                        <w:right w:val="none" w:sz="0" w:space="0" w:color="auto"/>
                                      </w:divBdr>
                                      <w:divsChild>
                                        <w:div w:id="1042166867">
                                          <w:marLeft w:val="0"/>
                                          <w:marRight w:val="0"/>
                                          <w:marTop w:val="0"/>
                                          <w:marBottom w:val="0"/>
                                          <w:divBdr>
                                            <w:top w:val="none" w:sz="0" w:space="0" w:color="auto"/>
                                            <w:left w:val="none" w:sz="0" w:space="0" w:color="auto"/>
                                            <w:bottom w:val="none" w:sz="0" w:space="0" w:color="auto"/>
                                            <w:right w:val="none" w:sz="0" w:space="0" w:color="auto"/>
                                          </w:divBdr>
                                          <w:divsChild>
                                            <w:div w:id="68963562">
                                              <w:marLeft w:val="0"/>
                                              <w:marRight w:val="0"/>
                                              <w:marTop w:val="0"/>
                                              <w:marBottom w:val="0"/>
                                              <w:divBdr>
                                                <w:top w:val="none" w:sz="0" w:space="0" w:color="auto"/>
                                                <w:left w:val="none" w:sz="0" w:space="0" w:color="auto"/>
                                                <w:bottom w:val="none" w:sz="0" w:space="0" w:color="auto"/>
                                                <w:right w:val="none" w:sz="0" w:space="0" w:color="auto"/>
                                              </w:divBdr>
                                              <w:divsChild>
                                                <w:div w:id="97456434">
                                                  <w:marLeft w:val="0"/>
                                                  <w:marRight w:val="0"/>
                                                  <w:marTop w:val="0"/>
                                                  <w:marBottom w:val="0"/>
                                                  <w:divBdr>
                                                    <w:top w:val="none" w:sz="0" w:space="0" w:color="auto"/>
                                                    <w:left w:val="none" w:sz="0" w:space="0" w:color="auto"/>
                                                    <w:bottom w:val="none" w:sz="0" w:space="0" w:color="auto"/>
                                                    <w:right w:val="none" w:sz="0" w:space="0" w:color="auto"/>
                                                  </w:divBdr>
                                                  <w:divsChild>
                                                    <w:div w:id="548495554">
                                                      <w:marLeft w:val="0"/>
                                                      <w:marRight w:val="0"/>
                                                      <w:marTop w:val="0"/>
                                                      <w:marBottom w:val="0"/>
                                                      <w:divBdr>
                                                        <w:top w:val="none" w:sz="0" w:space="0" w:color="auto"/>
                                                        <w:left w:val="none" w:sz="0" w:space="0" w:color="auto"/>
                                                        <w:bottom w:val="none" w:sz="0" w:space="0" w:color="auto"/>
                                                        <w:right w:val="none" w:sz="0" w:space="0" w:color="auto"/>
                                                      </w:divBdr>
                                                      <w:divsChild>
                                                        <w:div w:id="1833062673">
                                                          <w:marLeft w:val="0"/>
                                                          <w:marRight w:val="0"/>
                                                          <w:marTop w:val="0"/>
                                                          <w:marBottom w:val="0"/>
                                                          <w:divBdr>
                                                            <w:top w:val="none" w:sz="0" w:space="0" w:color="auto"/>
                                                            <w:left w:val="none" w:sz="0" w:space="0" w:color="auto"/>
                                                            <w:bottom w:val="none" w:sz="0" w:space="0" w:color="auto"/>
                                                            <w:right w:val="none" w:sz="0" w:space="0" w:color="auto"/>
                                                          </w:divBdr>
                                                          <w:divsChild>
                                                            <w:div w:id="10120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1353">
                                                  <w:marLeft w:val="0"/>
                                                  <w:marRight w:val="0"/>
                                                  <w:marTop w:val="0"/>
                                                  <w:marBottom w:val="0"/>
                                                  <w:divBdr>
                                                    <w:top w:val="none" w:sz="0" w:space="0" w:color="auto"/>
                                                    <w:left w:val="none" w:sz="0" w:space="0" w:color="auto"/>
                                                    <w:bottom w:val="none" w:sz="0" w:space="0" w:color="auto"/>
                                                    <w:right w:val="none" w:sz="0" w:space="0" w:color="auto"/>
                                                  </w:divBdr>
                                                  <w:divsChild>
                                                    <w:div w:id="1729188647">
                                                      <w:marLeft w:val="0"/>
                                                      <w:marRight w:val="0"/>
                                                      <w:marTop w:val="0"/>
                                                      <w:marBottom w:val="0"/>
                                                      <w:divBdr>
                                                        <w:top w:val="none" w:sz="0" w:space="0" w:color="auto"/>
                                                        <w:left w:val="none" w:sz="0" w:space="0" w:color="auto"/>
                                                        <w:bottom w:val="none" w:sz="0" w:space="0" w:color="auto"/>
                                                        <w:right w:val="none" w:sz="0" w:space="0" w:color="auto"/>
                                                      </w:divBdr>
                                                      <w:divsChild>
                                                        <w:div w:id="791745964">
                                                          <w:marLeft w:val="0"/>
                                                          <w:marRight w:val="0"/>
                                                          <w:marTop w:val="0"/>
                                                          <w:marBottom w:val="0"/>
                                                          <w:divBdr>
                                                            <w:top w:val="none" w:sz="0" w:space="0" w:color="auto"/>
                                                            <w:left w:val="none" w:sz="0" w:space="0" w:color="auto"/>
                                                            <w:bottom w:val="none" w:sz="0" w:space="0" w:color="auto"/>
                                                            <w:right w:val="none" w:sz="0" w:space="0" w:color="auto"/>
                                                          </w:divBdr>
                                                          <w:divsChild>
                                                            <w:div w:id="10122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8077102">
      <w:bodyDiv w:val="1"/>
      <w:marLeft w:val="0"/>
      <w:marRight w:val="0"/>
      <w:marTop w:val="0"/>
      <w:marBottom w:val="0"/>
      <w:divBdr>
        <w:top w:val="none" w:sz="0" w:space="0" w:color="auto"/>
        <w:left w:val="none" w:sz="0" w:space="0" w:color="auto"/>
        <w:bottom w:val="none" w:sz="0" w:space="0" w:color="auto"/>
        <w:right w:val="none" w:sz="0" w:space="0" w:color="auto"/>
      </w:divBdr>
    </w:div>
    <w:div w:id="1518811374">
      <w:bodyDiv w:val="1"/>
      <w:marLeft w:val="0"/>
      <w:marRight w:val="0"/>
      <w:marTop w:val="0"/>
      <w:marBottom w:val="0"/>
      <w:divBdr>
        <w:top w:val="none" w:sz="0" w:space="0" w:color="auto"/>
        <w:left w:val="none" w:sz="0" w:space="0" w:color="auto"/>
        <w:bottom w:val="none" w:sz="0" w:space="0" w:color="auto"/>
        <w:right w:val="none" w:sz="0" w:space="0" w:color="auto"/>
      </w:divBdr>
    </w:div>
    <w:div w:id="1525904988">
      <w:bodyDiv w:val="1"/>
      <w:marLeft w:val="0"/>
      <w:marRight w:val="0"/>
      <w:marTop w:val="0"/>
      <w:marBottom w:val="0"/>
      <w:divBdr>
        <w:top w:val="none" w:sz="0" w:space="0" w:color="auto"/>
        <w:left w:val="none" w:sz="0" w:space="0" w:color="auto"/>
        <w:bottom w:val="none" w:sz="0" w:space="0" w:color="auto"/>
        <w:right w:val="none" w:sz="0" w:space="0" w:color="auto"/>
      </w:divBdr>
    </w:div>
    <w:div w:id="1527594357">
      <w:bodyDiv w:val="1"/>
      <w:marLeft w:val="0"/>
      <w:marRight w:val="0"/>
      <w:marTop w:val="0"/>
      <w:marBottom w:val="0"/>
      <w:divBdr>
        <w:top w:val="none" w:sz="0" w:space="0" w:color="auto"/>
        <w:left w:val="none" w:sz="0" w:space="0" w:color="auto"/>
        <w:bottom w:val="none" w:sz="0" w:space="0" w:color="auto"/>
        <w:right w:val="none" w:sz="0" w:space="0" w:color="auto"/>
      </w:divBdr>
    </w:div>
    <w:div w:id="1528760134">
      <w:bodyDiv w:val="1"/>
      <w:marLeft w:val="0"/>
      <w:marRight w:val="0"/>
      <w:marTop w:val="0"/>
      <w:marBottom w:val="0"/>
      <w:divBdr>
        <w:top w:val="none" w:sz="0" w:space="0" w:color="auto"/>
        <w:left w:val="none" w:sz="0" w:space="0" w:color="auto"/>
        <w:bottom w:val="none" w:sz="0" w:space="0" w:color="auto"/>
        <w:right w:val="none" w:sz="0" w:space="0" w:color="auto"/>
      </w:divBdr>
    </w:div>
    <w:div w:id="1540505859">
      <w:bodyDiv w:val="1"/>
      <w:marLeft w:val="0"/>
      <w:marRight w:val="0"/>
      <w:marTop w:val="0"/>
      <w:marBottom w:val="0"/>
      <w:divBdr>
        <w:top w:val="none" w:sz="0" w:space="0" w:color="auto"/>
        <w:left w:val="none" w:sz="0" w:space="0" w:color="auto"/>
        <w:bottom w:val="none" w:sz="0" w:space="0" w:color="auto"/>
        <w:right w:val="none" w:sz="0" w:space="0" w:color="auto"/>
      </w:divBdr>
    </w:div>
    <w:div w:id="1546327344">
      <w:bodyDiv w:val="1"/>
      <w:marLeft w:val="0"/>
      <w:marRight w:val="0"/>
      <w:marTop w:val="0"/>
      <w:marBottom w:val="0"/>
      <w:divBdr>
        <w:top w:val="none" w:sz="0" w:space="0" w:color="auto"/>
        <w:left w:val="none" w:sz="0" w:space="0" w:color="auto"/>
        <w:bottom w:val="none" w:sz="0" w:space="0" w:color="auto"/>
        <w:right w:val="none" w:sz="0" w:space="0" w:color="auto"/>
      </w:divBdr>
    </w:div>
    <w:div w:id="1554151401">
      <w:bodyDiv w:val="1"/>
      <w:marLeft w:val="0"/>
      <w:marRight w:val="0"/>
      <w:marTop w:val="0"/>
      <w:marBottom w:val="0"/>
      <w:divBdr>
        <w:top w:val="none" w:sz="0" w:space="0" w:color="auto"/>
        <w:left w:val="none" w:sz="0" w:space="0" w:color="auto"/>
        <w:bottom w:val="none" w:sz="0" w:space="0" w:color="auto"/>
        <w:right w:val="none" w:sz="0" w:space="0" w:color="auto"/>
      </w:divBdr>
    </w:div>
    <w:div w:id="1561474718">
      <w:bodyDiv w:val="1"/>
      <w:marLeft w:val="0"/>
      <w:marRight w:val="0"/>
      <w:marTop w:val="0"/>
      <w:marBottom w:val="0"/>
      <w:divBdr>
        <w:top w:val="none" w:sz="0" w:space="0" w:color="auto"/>
        <w:left w:val="none" w:sz="0" w:space="0" w:color="auto"/>
        <w:bottom w:val="none" w:sz="0" w:space="0" w:color="auto"/>
        <w:right w:val="none" w:sz="0" w:space="0" w:color="auto"/>
      </w:divBdr>
    </w:div>
    <w:div w:id="1565942944">
      <w:bodyDiv w:val="1"/>
      <w:marLeft w:val="0"/>
      <w:marRight w:val="0"/>
      <w:marTop w:val="0"/>
      <w:marBottom w:val="0"/>
      <w:divBdr>
        <w:top w:val="none" w:sz="0" w:space="0" w:color="auto"/>
        <w:left w:val="none" w:sz="0" w:space="0" w:color="auto"/>
        <w:bottom w:val="none" w:sz="0" w:space="0" w:color="auto"/>
        <w:right w:val="none" w:sz="0" w:space="0" w:color="auto"/>
      </w:divBdr>
    </w:div>
    <w:div w:id="1581788633">
      <w:bodyDiv w:val="1"/>
      <w:marLeft w:val="0"/>
      <w:marRight w:val="0"/>
      <w:marTop w:val="0"/>
      <w:marBottom w:val="0"/>
      <w:divBdr>
        <w:top w:val="none" w:sz="0" w:space="0" w:color="auto"/>
        <w:left w:val="none" w:sz="0" w:space="0" w:color="auto"/>
        <w:bottom w:val="none" w:sz="0" w:space="0" w:color="auto"/>
        <w:right w:val="none" w:sz="0" w:space="0" w:color="auto"/>
      </w:divBdr>
    </w:div>
    <w:div w:id="1586303849">
      <w:bodyDiv w:val="1"/>
      <w:marLeft w:val="0"/>
      <w:marRight w:val="0"/>
      <w:marTop w:val="0"/>
      <w:marBottom w:val="0"/>
      <w:divBdr>
        <w:top w:val="none" w:sz="0" w:space="0" w:color="auto"/>
        <w:left w:val="none" w:sz="0" w:space="0" w:color="auto"/>
        <w:bottom w:val="none" w:sz="0" w:space="0" w:color="auto"/>
        <w:right w:val="none" w:sz="0" w:space="0" w:color="auto"/>
      </w:divBdr>
    </w:div>
    <w:div w:id="1586768784">
      <w:bodyDiv w:val="1"/>
      <w:marLeft w:val="0"/>
      <w:marRight w:val="0"/>
      <w:marTop w:val="0"/>
      <w:marBottom w:val="0"/>
      <w:divBdr>
        <w:top w:val="none" w:sz="0" w:space="0" w:color="auto"/>
        <w:left w:val="none" w:sz="0" w:space="0" w:color="auto"/>
        <w:bottom w:val="none" w:sz="0" w:space="0" w:color="auto"/>
        <w:right w:val="none" w:sz="0" w:space="0" w:color="auto"/>
      </w:divBdr>
    </w:div>
    <w:div w:id="1586840367">
      <w:bodyDiv w:val="1"/>
      <w:marLeft w:val="0"/>
      <w:marRight w:val="0"/>
      <w:marTop w:val="0"/>
      <w:marBottom w:val="0"/>
      <w:divBdr>
        <w:top w:val="none" w:sz="0" w:space="0" w:color="auto"/>
        <w:left w:val="none" w:sz="0" w:space="0" w:color="auto"/>
        <w:bottom w:val="none" w:sz="0" w:space="0" w:color="auto"/>
        <w:right w:val="none" w:sz="0" w:space="0" w:color="auto"/>
      </w:divBdr>
    </w:div>
    <w:div w:id="1590313479">
      <w:bodyDiv w:val="1"/>
      <w:marLeft w:val="0"/>
      <w:marRight w:val="0"/>
      <w:marTop w:val="0"/>
      <w:marBottom w:val="0"/>
      <w:divBdr>
        <w:top w:val="none" w:sz="0" w:space="0" w:color="auto"/>
        <w:left w:val="none" w:sz="0" w:space="0" w:color="auto"/>
        <w:bottom w:val="none" w:sz="0" w:space="0" w:color="auto"/>
        <w:right w:val="none" w:sz="0" w:space="0" w:color="auto"/>
      </w:divBdr>
    </w:div>
    <w:div w:id="1594624003">
      <w:bodyDiv w:val="1"/>
      <w:marLeft w:val="0"/>
      <w:marRight w:val="0"/>
      <w:marTop w:val="0"/>
      <w:marBottom w:val="0"/>
      <w:divBdr>
        <w:top w:val="none" w:sz="0" w:space="0" w:color="auto"/>
        <w:left w:val="none" w:sz="0" w:space="0" w:color="auto"/>
        <w:bottom w:val="none" w:sz="0" w:space="0" w:color="auto"/>
        <w:right w:val="none" w:sz="0" w:space="0" w:color="auto"/>
      </w:divBdr>
    </w:div>
    <w:div w:id="1597322822">
      <w:bodyDiv w:val="1"/>
      <w:marLeft w:val="0"/>
      <w:marRight w:val="0"/>
      <w:marTop w:val="0"/>
      <w:marBottom w:val="0"/>
      <w:divBdr>
        <w:top w:val="none" w:sz="0" w:space="0" w:color="auto"/>
        <w:left w:val="none" w:sz="0" w:space="0" w:color="auto"/>
        <w:bottom w:val="none" w:sz="0" w:space="0" w:color="auto"/>
        <w:right w:val="none" w:sz="0" w:space="0" w:color="auto"/>
      </w:divBdr>
    </w:div>
    <w:div w:id="1598905571">
      <w:bodyDiv w:val="1"/>
      <w:marLeft w:val="0"/>
      <w:marRight w:val="0"/>
      <w:marTop w:val="0"/>
      <w:marBottom w:val="0"/>
      <w:divBdr>
        <w:top w:val="none" w:sz="0" w:space="0" w:color="auto"/>
        <w:left w:val="none" w:sz="0" w:space="0" w:color="auto"/>
        <w:bottom w:val="none" w:sz="0" w:space="0" w:color="auto"/>
        <w:right w:val="none" w:sz="0" w:space="0" w:color="auto"/>
      </w:divBdr>
    </w:div>
    <w:div w:id="1599482631">
      <w:bodyDiv w:val="1"/>
      <w:marLeft w:val="0"/>
      <w:marRight w:val="0"/>
      <w:marTop w:val="0"/>
      <w:marBottom w:val="0"/>
      <w:divBdr>
        <w:top w:val="none" w:sz="0" w:space="0" w:color="auto"/>
        <w:left w:val="none" w:sz="0" w:space="0" w:color="auto"/>
        <w:bottom w:val="none" w:sz="0" w:space="0" w:color="auto"/>
        <w:right w:val="none" w:sz="0" w:space="0" w:color="auto"/>
      </w:divBdr>
    </w:div>
    <w:div w:id="1608460355">
      <w:bodyDiv w:val="1"/>
      <w:marLeft w:val="0"/>
      <w:marRight w:val="0"/>
      <w:marTop w:val="0"/>
      <w:marBottom w:val="0"/>
      <w:divBdr>
        <w:top w:val="none" w:sz="0" w:space="0" w:color="auto"/>
        <w:left w:val="none" w:sz="0" w:space="0" w:color="auto"/>
        <w:bottom w:val="none" w:sz="0" w:space="0" w:color="auto"/>
        <w:right w:val="none" w:sz="0" w:space="0" w:color="auto"/>
      </w:divBdr>
    </w:div>
    <w:div w:id="1609973091">
      <w:bodyDiv w:val="1"/>
      <w:marLeft w:val="0"/>
      <w:marRight w:val="0"/>
      <w:marTop w:val="0"/>
      <w:marBottom w:val="0"/>
      <w:divBdr>
        <w:top w:val="none" w:sz="0" w:space="0" w:color="auto"/>
        <w:left w:val="none" w:sz="0" w:space="0" w:color="auto"/>
        <w:bottom w:val="none" w:sz="0" w:space="0" w:color="auto"/>
        <w:right w:val="none" w:sz="0" w:space="0" w:color="auto"/>
      </w:divBdr>
    </w:div>
    <w:div w:id="1612394302">
      <w:bodyDiv w:val="1"/>
      <w:marLeft w:val="0"/>
      <w:marRight w:val="0"/>
      <w:marTop w:val="0"/>
      <w:marBottom w:val="0"/>
      <w:divBdr>
        <w:top w:val="none" w:sz="0" w:space="0" w:color="auto"/>
        <w:left w:val="none" w:sz="0" w:space="0" w:color="auto"/>
        <w:bottom w:val="none" w:sz="0" w:space="0" w:color="auto"/>
        <w:right w:val="none" w:sz="0" w:space="0" w:color="auto"/>
      </w:divBdr>
    </w:div>
    <w:div w:id="1615283838">
      <w:bodyDiv w:val="1"/>
      <w:marLeft w:val="0"/>
      <w:marRight w:val="0"/>
      <w:marTop w:val="0"/>
      <w:marBottom w:val="0"/>
      <w:divBdr>
        <w:top w:val="none" w:sz="0" w:space="0" w:color="auto"/>
        <w:left w:val="none" w:sz="0" w:space="0" w:color="auto"/>
        <w:bottom w:val="none" w:sz="0" w:space="0" w:color="auto"/>
        <w:right w:val="none" w:sz="0" w:space="0" w:color="auto"/>
      </w:divBdr>
    </w:div>
    <w:div w:id="1629894884">
      <w:bodyDiv w:val="1"/>
      <w:marLeft w:val="0"/>
      <w:marRight w:val="0"/>
      <w:marTop w:val="0"/>
      <w:marBottom w:val="0"/>
      <w:divBdr>
        <w:top w:val="none" w:sz="0" w:space="0" w:color="auto"/>
        <w:left w:val="none" w:sz="0" w:space="0" w:color="auto"/>
        <w:bottom w:val="none" w:sz="0" w:space="0" w:color="auto"/>
        <w:right w:val="none" w:sz="0" w:space="0" w:color="auto"/>
      </w:divBdr>
    </w:div>
    <w:div w:id="1640768418">
      <w:bodyDiv w:val="1"/>
      <w:marLeft w:val="0"/>
      <w:marRight w:val="0"/>
      <w:marTop w:val="0"/>
      <w:marBottom w:val="0"/>
      <w:divBdr>
        <w:top w:val="none" w:sz="0" w:space="0" w:color="auto"/>
        <w:left w:val="none" w:sz="0" w:space="0" w:color="auto"/>
        <w:bottom w:val="none" w:sz="0" w:space="0" w:color="auto"/>
        <w:right w:val="none" w:sz="0" w:space="0" w:color="auto"/>
      </w:divBdr>
    </w:div>
    <w:div w:id="1642928194">
      <w:bodyDiv w:val="1"/>
      <w:marLeft w:val="0"/>
      <w:marRight w:val="0"/>
      <w:marTop w:val="0"/>
      <w:marBottom w:val="0"/>
      <w:divBdr>
        <w:top w:val="none" w:sz="0" w:space="0" w:color="auto"/>
        <w:left w:val="none" w:sz="0" w:space="0" w:color="auto"/>
        <w:bottom w:val="none" w:sz="0" w:space="0" w:color="auto"/>
        <w:right w:val="none" w:sz="0" w:space="0" w:color="auto"/>
      </w:divBdr>
    </w:div>
    <w:div w:id="1646204521">
      <w:bodyDiv w:val="1"/>
      <w:marLeft w:val="0"/>
      <w:marRight w:val="0"/>
      <w:marTop w:val="0"/>
      <w:marBottom w:val="0"/>
      <w:divBdr>
        <w:top w:val="none" w:sz="0" w:space="0" w:color="auto"/>
        <w:left w:val="none" w:sz="0" w:space="0" w:color="auto"/>
        <w:bottom w:val="none" w:sz="0" w:space="0" w:color="auto"/>
        <w:right w:val="none" w:sz="0" w:space="0" w:color="auto"/>
      </w:divBdr>
    </w:div>
    <w:div w:id="1651473471">
      <w:bodyDiv w:val="1"/>
      <w:marLeft w:val="0"/>
      <w:marRight w:val="0"/>
      <w:marTop w:val="0"/>
      <w:marBottom w:val="0"/>
      <w:divBdr>
        <w:top w:val="none" w:sz="0" w:space="0" w:color="auto"/>
        <w:left w:val="none" w:sz="0" w:space="0" w:color="auto"/>
        <w:bottom w:val="none" w:sz="0" w:space="0" w:color="auto"/>
        <w:right w:val="none" w:sz="0" w:space="0" w:color="auto"/>
      </w:divBdr>
    </w:div>
    <w:div w:id="1663006090">
      <w:bodyDiv w:val="1"/>
      <w:marLeft w:val="0"/>
      <w:marRight w:val="0"/>
      <w:marTop w:val="0"/>
      <w:marBottom w:val="0"/>
      <w:divBdr>
        <w:top w:val="none" w:sz="0" w:space="0" w:color="auto"/>
        <w:left w:val="none" w:sz="0" w:space="0" w:color="auto"/>
        <w:bottom w:val="none" w:sz="0" w:space="0" w:color="auto"/>
        <w:right w:val="none" w:sz="0" w:space="0" w:color="auto"/>
      </w:divBdr>
    </w:div>
    <w:div w:id="1663656794">
      <w:bodyDiv w:val="1"/>
      <w:marLeft w:val="0"/>
      <w:marRight w:val="0"/>
      <w:marTop w:val="0"/>
      <w:marBottom w:val="0"/>
      <w:divBdr>
        <w:top w:val="none" w:sz="0" w:space="0" w:color="auto"/>
        <w:left w:val="none" w:sz="0" w:space="0" w:color="auto"/>
        <w:bottom w:val="none" w:sz="0" w:space="0" w:color="auto"/>
        <w:right w:val="none" w:sz="0" w:space="0" w:color="auto"/>
      </w:divBdr>
    </w:div>
    <w:div w:id="1677340988">
      <w:bodyDiv w:val="1"/>
      <w:marLeft w:val="0"/>
      <w:marRight w:val="0"/>
      <w:marTop w:val="0"/>
      <w:marBottom w:val="0"/>
      <w:divBdr>
        <w:top w:val="none" w:sz="0" w:space="0" w:color="auto"/>
        <w:left w:val="none" w:sz="0" w:space="0" w:color="auto"/>
        <w:bottom w:val="none" w:sz="0" w:space="0" w:color="auto"/>
        <w:right w:val="none" w:sz="0" w:space="0" w:color="auto"/>
      </w:divBdr>
    </w:div>
    <w:div w:id="1685130495">
      <w:bodyDiv w:val="1"/>
      <w:marLeft w:val="0"/>
      <w:marRight w:val="0"/>
      <w:marTop w:val="0"/>
      <w:marBottom w:val="0"/>
      <w:divBdr>
        <w:top w:val="none" w:sz="0" w:space="0" w:color="auto"/>
        <w:left w:val="none" w:sz="0" w:space="0" w:color="auto"/>
        <w:bottom w:val="none" w:sz="0" w:space="0" w:color="auto"/>
        <w:right w:val="none" w:sz="0" w:space="0" w:color="auto"/>
      </w:divBdr>
    </w:div>
    <w:div w:id="1686129459">
      <w:bodyDiv w:val="1"/>
      <w:marLeft w:val="0"/>
      <w:marRight w:val="0"/>
      <w:marTop w:val="0"/>
      <w:marBottom w:val="0"/>
      <w:divBdr>
        <w:top w:val="none" w:sz="0" w:space="0" w:color="auto"/>
        <w:left w:val="none" w:sz="0" w:space="0" w:color="auto"/>
        <w:bottom w:val="none" w:sz="0" w:space="0" w:color="auto"/>
        <w:right w:val="none" w:sz="0" w:space="0" w:color="auto"/>
      </w:divBdr>
    </w:div>
    <w:div w:id="1689405173">
      <w:bodyDiv w:val="1"/>
      <w:marLeft w:val="0"/>
      <w:marRight w:val="0"/>
      <w:marTop w:val="0"/>
      <w:marBottom w:val="0"/>
      <w:divBdr>
        <w:top w:val="none" w:sz="0" w:space="0" w:color="auto"/>
        <w:left w:val="none" w:sz="0" w:space="0" w:color="auto"/>
        <w:bottom w:val="none" w:sz="0" w:space="0" w:color="auto"/>
        <w:right w:val="none" w:sz="0" w:space="0" w:color="auto"/>
      </w:divBdr>
    </w:div>
    <w:div w:id="1693260678">
      <w:bodyDiv w:val="1"/>
      <w:marLeft w:val="0"/>
      <w:marRight w:val="0"/>
      <w:marTop w:val="0"/>
      <w:marBottom w:val="0"/>
      <w:divBdr>
        <w:top w:val="none" w:sz="0" w:space="0" w:color="auto"/>
        <w:left w:val="none" w:sz="0" w:space="0" w:color="auto"/>
        <w:bottom w:val="none" w:sz="0" w:space="0" w:color="auto"/>
        <w:right w:val="none" w:sz="0" w:space="0" w:color="auto"/>
      </w:divBdr>
    </w:div>
    <w:div w:id="1693455986">
      <w:bodyDiv w:val="1"/>
      <w:marLeft w:val="0"/>
      <w:marRight w:val="0"/>
      <w:marTop w:val="0"/>
      <w:marBottom w:val="0"/>
      <w:divBdr>
        <w:top w:val="none" w:sz="0" w:space="0" w:color="auto"/>
        <w:left w:val="none" w:sz="0" w:space="0" w:color="auto"/>
        <w:bottom w:val="none" w:sz="0" w:space="0" w:color="auto"/>
        <w:right w:val="none" w:sz="0" w:space="0" w:color="auto"/>
      </w:divBdr>
    </w:div>
    <w:div w:id="1706714660">
      <w:bodyDiv w:val="1"/>
      <w:marLeft w:val="0"/>
      <w:marRight w:val="0"/>
      <w:marTop w:val="0"/>
      <w:marBottom w:val="0"/>
      <w:divBdr>
        <w:top w:val="none" w:sz="0" w:space="0" w:color="auto"/>
        <w:left w:val="none" w:sz="0" w:space="0" w:color="auto"/>
        <w:bottom w:val="none" w:sz="0" w:space="0" w:color="auto"/>
        <w:right w:val="none" w:sz="0" w:space="0" w:color="auto"/>
      </w:divBdr>
    </w:div>
    <w:div w:id="1711032476">
      <w:bodyDiv w:val="1"/>
      <w:marLeft w:val="0"/>
      <w:marRight w:val="0"/>
      <w:marTop w:val="0"/>
      <w:marBottom w:val="0"/>
      <w:divBdr>
        <w:top w:val="none" w:sz="0" w:space="0" w:color="auto"/>
        <w:left w:val="none" w:sz="0" w:space="0" w:color="auto"/>
        <w:bottom w:val="none" w:sz="0" w:space="0" w:color="auto"/>
        <w:right w:val="none" w:sz="0" w:space="0" w:color="auto"/>
      </w:divBdr>
    </w:div>
    <w:div w:id="1712414333">
      <w:bodyDiv w:val="1"/>
      <w:marLeft w:val="0"/>
      <w:marRight w:val="0"/>
      <w:marTop w:val="0"/>
      <w:marBottom w:val="0"/>
      <w:divBdr>
        <w:top w:val="none" w:sz="0" w:space="0" w:color="auto"/>
        <w:left w:val="none" w:sz="0" w:space="0" w:color="auto"/>
        <w:bottom w:val="none" w:sz="0" w:space="0" w:color="auto"/>
        <w:right w:val="none" w:sz="0" w:space="0" w:color="auto"/>
      </w:divBdr>
      <w:divsChild>
        <w:div w:id="1464810986">
          <w:marLeft w:val="0"/>
          <w:marRight w:val="0"/>
          <w:marTop w:val="0"/>
          <w:marBottom w:val="0"/>
          <w:divBdr>
            <w:top w:val="none" w:sz="0" w:space="0" w:color="auto"/>
            <w:left w:val="none" w:sz="0" w:space="0" w:color="auto"/>
            <w:bottom w:val="none" w:sz="0" w:space="0" w:color="auto"/>
            <w:right w:val="none" w:sz="0" w:space="0" w:color="auto"/>
          </w:divBdr>
          <w:divsChild>
            <w:div w:id="132848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9084">
          <w:marLeft w:val="0"/>
          <w:marRight w:val="0"/>
          <w:marTop w:val="0"/>
          <w:marBottom w:val="0"/>
          <w:divBdr>
            <w:top w:val="none" w:sz="0" w:space="0" w:color="auto"/>
            <w:left w:val="none" w:sz="0" w:space="0" w:color="auto"/>
            <w:bottom w:val="none" w:sz="0" w:space="0" w:color="auto"/>
            <w:right w:val="none" w:sz="0" w:space="0" w:color="auto"/>
          </w:divBdr>
          <w:divsChild>
            <w:div w:id="11931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3744">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
    <w:div w:id="1722514866">
      <w:bodyDiv w:val="1"/>
      <w:marLeft w:val="0"/>
      <w:marRight w:val="0"/>
      <w:marTop w:val="0"/>
      <w:marBottom w:val="0"/>
      <w:divBdr>
        <w:top w:val="none" w:sz="0" w:space="0" w:color="auto"/>
        <w:left w:val="none" w:sz="0" w:space="0" w:color="auto"/>
        <w:bottom w:val="none" w:sz="0" w:space="0" w:color="auto"/>
        <w:right w:val="none" w:sz="0" w:space="0" w:color="auto"/>
      </w:divBdr>
    </w:div>
    <w:div w:id="1722705403">
      <w:bodyDiv w:val="1"/>
      <w:marLeft w:val="0"/>
      <w:marRight w:val="0"/>
      <w:marTop w:val="0"/>
      <w:marBottom w:val="0"/>
      <w:divBdr>
        <w:top w:val="none" w:sz="0" w:space="0" w:color="auto"/>
        <w:left w:val="none" w:sz="0" w:space="0" w:color="auto"/>
        <w:bottom w:val="none" w:sz="0" w:space="0" w:color="auto"/>
        <w:right w:val="none" w:sz="0" w:space="0" w:color="auto"/>
      </w:divBdr>
    </w:div>
    <w:div w:id="1729497928">
      <w:bodyDiv w:val="1"/>
      <w:marLeft w:val="0"/>
      <w:marRight w:val="0"/>
      <w:marTop w:val="0"/>
      <w:marBottom w:val="0"/>
      <w:divBdr>
        <w:top w:val="none" w:sz="0" w:space="0" w:color="auto"/>
        <w:left w:val="none" w:sz="0" w:space="0" w:color="auto"/>
        <w:bottom w:val="none" w:sz="0" w:space="0" w:color="auto"/>
        <w:right w:val="none" w:sz="0" w:space="0" w:color="auto"/>
      </w:divBdr>
    </w:div>
    <w:div w:id="1729960864">
      <w:bodyDiv w:val="1"/>
      <w:marLeft w:val="0"/>
      <w:marRight w:val="0"/>
      <w:marTop w:val="0"/>
      <w:marBottom w:val="0"/>
      <w:divBdr>
        <w:top w:val="none" w:sz="0" w:space="0" w:color="auto"/>
        <w:left w:val="none" w:sz="0" w:space="0" w:color="auto"/>
        <w:bottom w:val="none" w:sz="0" w:space="0" w:color="auto"/>
        <w:right w:val="none" w:sz="0" w:space="0" w:color="auto"/>
      </w:divBdr>
    </w:div>
    <w:div w:id="1736195955">
      <w:bodyDiv w:val="1"/>
      <w:marLeft w:val="0"/>
      <w:marRight w:val="0"/>
      <w:marTop w:val="0"/>
      <w:marBottom w:val="0"/>
      <w:divBdr>
        <w:top w:val="none" w:sz="0" w:space="0" w:color="auto"/>
        <w:left w:val="none" w:sz="0" w:space="0" w:color="auto"/>
        <w:bottom w:val="none" w:sz="0" w:space="0" w:color="auto"/>
        <w:right w:val="none" w:sz="0" w:space="0" w:color="auto"/>
      </w:divBdr>
    </w:div>
    <w:div w:id="1738280219">
      <w:bodyDiv w:val="1"/>
      <w:marLeft w:val="0"/>
      <w:marRight w:val="0"/>
      <w:marTop w:val="0"/>
      <w:marBottom w:val="0"/>
      <w:divBdr>
        <w:top w:val="none" w:sz="0" w:space="0" w:color="auto"/>
        <w:left w:val="none" w:sz="0" w:space="0" w:color="auto"/>
        <w:bottom w:val="none" w:sz="0" w:space="0" w:color="auto"/>
        <w:right w:val="none" w:sz="0" w:space="0" w:color="auto"/>
      </w:divBdr>
    </w:div>
    <w:div w:id="1739747537">
      <w:bodyDiv w:val="1"/>
      <w:marLeft w:val="0"/>
      <w:marRight w:val="0"/>
      <w:marTop w:val="0"/>
      <w:marBottom w:val="0"/>
      <w:divBdr>
        <w:top w:val="none" w:sz="0" w:space="0" w:color="auto"/>
        <w:left w:val="none" w:sz="0" w:space="0" w:color="auto"/>
        <w:bottom w:val="none" w:sz="0" w:space="0" w:color="auto"/>
        <w:right w:val="none" w:sz="0" w:space="0" w:color="auto"/>
      </w:divBdr>
    </w:div>
    <w:div w:id="1742555213">
      <w:bodyDiv w:val="1"/>
      <w:marLeft w:val="0"/>
      <w:marRight w:val="0"/>
      <w:marTop w:val="0"/>
      <w:marBottom w:val="0"/>
      <w:divBdr>
        <w:top w:val="none" w:sz="0" w:space="0" w:color="auto"/>
        <w:left w:val="none" w:sz="0" w:space="0" w:color="auto"/>
        <w:bottom w:val="none" w:sz="0" w:space="0" w:color="auto"/>
        <w:right w:val="none" w:sz="0" w:space="0" w:color="auto"/>
      </w:divBdr>
    </w:div>
    <w:div w:id="1777603133">
      <w:bodyDiv w:val="1"/>
      <w:marLeft w:val="0"/>
      <w:marRight w:val="0"/>
      <w:marTop w:val="0"/>
      <w:marBottom w:val="0"/>
      <w:divBdr>
        <w:top w:val="none" w:sz="0" w:space="0" w:color="auto"/>
        <w:left w:val="none" w:sz="0" w:space="0" w:color="auto"/>
        <w:bottom w:val="none" w:sz="0" w:space="0" w:color="auto"/>
        <w:right w:val="none" w:sz="0" w:space="0" w:color="auto"/>
      </w:divBdr>
    </w:div>
    <w:div w:id="1787263984">
      <w:bodyDiv w:val="1"/>
      <w:marLeft w:val="0"/>
      <w:marRight w:val="0"/>
      <w:marTop w:val="0"/>
      <w:marBottom w:val="0"/>
      <w:divBdr>
        <w:top w:val="none" w:sz="0" w:space="0" w:color="auto"/>
        <w:left w:val="none" w:sz="0" w:space="0" w:color="auto"/>
        <w:bottom w:val="none" w:sz="0" w:space="0" w:color="auto"/>
        <w:right w:val="none" w:sz="0" w:space="0" w:color="auto"/>
      </w:divBdr>
    </w:div>
    <w:div w:id="1792623898">
      <w:bodyDiv w:val="1"/>
      <w:marLeft w:val="0"/>
      <w:marRight w:val="0"/>
      <w:marTop w:val="0"/>
      <w:marBottom w:val="0"/>
      <w:divBdr>
        <w:top w:val="none" w:sz="0" w:space="0" w:color="auto"/>
        <w:left w:val="none" w:sz="0" w:space="0" w:color="auto"/>
        <w:bottom w:val="none" w:sz="0" w:space="0" w:color="auto"/>
        <w:right w:val="none" w:sz="0" w:space="0" w:color="auto"/>
      </w:divBdr>
    </w:div>
    <w:div w:id="1800493307">
      <w:bodyDiv w:val="1"/>
      <w:marLeft w:val="0"/>
      <w:marRight w:val="0"/>
      <w:marTop w:val="0"/>
      <w:marBottom w:val="0"/>
      <w:divBdr>
        <w:top w:val="none" w:sz="0" w:space="0" w:color="auto"/>
        <w:left w:val="none" w:sz="0" w:space="0" w:color="auto"/>
        <w:bottom w:val="none" w:sz="0" w:space="0" w:color="auto"/>
        <w:right w:val="none" w:sz="0" w:space="0" w:color="auto"/>
      </w:divBdr>
    </w:div>
    <w:div w:id="1804617947">
      <w:bodyDiv w:val="1"/>
      <w:marLeft w:val="0"/>
      <w:marRight w:val="0"/>
      <w:marTop w:val="0"/>
      <w:marBottom w:val="0"/>
      <w:divBdr>
        <w:top w:val="none" w:sz="0" w:space="0" w:color="auto"/>
        <w:left w:val="none" w:sz="0" w:space="0" w:color="auto"/>
        <w:bottom w:val="none" w:sz="0" w:space="0" w:color="auto"/>
        <w:right w:val="none" w:sz="0" w:space="0" w:color="auto"/>
      </w:divBdr>
    </w:div>
    <w:div w:id="1807434327">
      <w:bodyDiv w:val="1"/>
      <w:marLeft w:val="0"/>
      <w:marRight w:val="0"/>
      <w:marTop w:val="0"/>
      <w:marBottom w:val="0"/>
      <w:divBdr>
        <w:top w:val="none" w:sz="0" w:space="0" w:color="auto"/>
        <w:left w:val="none" w:sz="0" w:space="0" w:color="auto"/>
        <w:bottom w:val="none" w:sz="0" w:space="0" w:color="auto"/>
        <w:right w:val="none" w:sz="0" w:space="0" w:color="auto"/>
      </w:divBdr>
    </w:div>
    <w:div w:id="1810829548">
      <w:bodyDiv w:val="1"/>
      <w:marLeft w:val="0"/>
      <w:marRight w:val="0"/>
      <w:marTop w:val="0"/>
      <w:marBottom w:val="0"/>
      <w:divBdr>
        <w:top w:val="none" w:sz="0" w:space="0" w:color="auto"/>
        <w:left w:val="none" w:sz="0" w:space="0" w:color="auto"/>
        <w:bottom w:val="none" w:sz="0" w:space="0" w:color="auto"/>
        <w:right w:val="none" w:sz="0" w:space="0" w:color="auto"/>
      </w:divBdr>
      <w:divsChild>
        <w:div w:id="1138457347">
          <w:marLeft w:val="0"/>
          <w:marRight w:val="0"/>
          <w:marTop w:val="0"/>
          <w:marBottom w:val="0"/>
          <w:divBdr>
            <w:top w:val="none" w:sz="0" w:space="0" w:color="auto"/>
            <w:left w:val="none" w:sz="0" w:space="0" w:color="auto"/>
            <w:bottom w:val="none" w:sz="0" w:space="0" w:color="auto"/>
            <w:right w:val="none" w:sz="0" w:space="0" w:color="auto"/>
          </w:divBdr>
        </w:div>
        <w:div w:id="1346325098">
          <w:marLeft w:val="0"/>
          <w:marRight w:val="0"/>
          <w:marTop w:val="0"/>
          <w:marBottom w:val="0"/>
          <w:divBdr>
            <w:top w:val="none" w:sz="0" w:space="0" w:color="auto"/>
            <w:left w:val="none" w:sz="0" w:space="0" w:color="auto"/>
            <w:bottom w:val="none" w:sz="0" w:space="0" w:color="auto"/>
            <w:right w:val="none" w:sz="0" w:space="0" w:color="auto"/>
          </w:divBdr>
        </w:div>
        <w:div w:id="1050879977">
          <w:marLeft w:val="0"/>
          <w:marRight w:val="0"/>
          <w:marTop w:val="0"/>
          <w:marBottom w:val="0"/>
          <w:divBdr>
            <w:top w:val="none" w:sz="0" w:space="0" w:color="auto"/>
            <w:left w:val="none" w:sz="0" w:space="0" w:color="auto"/>
            <w:bottom w:val="none" w:sz="0" w:space="0" w:color="auto"/>
            <w:right w:val="none" w:sz="0" w:space="0" w:color="auto"/>
          </w:divBdr>
        </w:div>
        <w:div w:id="482817317">
          <w:marLeft w:val="0"/>
          <w:marRight w:val="0"/>
          <w:marTop w:val="0"/>
          <w:marBottom w:val="0"/>
          <w:divBdr>
            <w:top w:val="none" w:sz="0" w:space="0" w:color="auto"/>
            <w:left w:val="none" w:sz="0" w:space="0" w:color="auto"/>
            <w:bottom w:val="none" w:sz="0" w:space="0" w:color="auto"/>
            <w:right w:val="none" w:sz="0" w:space="0" w:color="auto"/>
          </w:divBdr>
        </w:div>
        <w:div w:id="1551070641">
          <w:marLeft w:val="0"/>
          <w:marRight w:val="0"/>
          <w:marTop w:val="0"/>
          <w:marBottom w:val="0"/>
          <w:divBdr>
            <w:top w:val="none" w:sz="0" w:space="0" w:color="auto"/>
            <w:left w:val="none" w:sz="0" w:space="0" w:color="auto"/>
            <w:bottom w:val="none" w:sz="0" w:space="0" w:color="auto"/>
            <w:right w:val="none" w:sz="0" w:space="0" w:color="auto"/>
          </w:divBdr>
        </w:div>
        <w:div w:id="381490789">
          <w:marLeft w:val="0"/>
          <w:marRight w:val="0"/>
          <w:marTop w:val="0"/>
          <w:marBottom w:val="0"/>
          <w:divBdr>
            <w:top w:val="none" w:sz="0" w:space="0" w:color="auto"/>
            <w:left w:val="none" w:sz="0" w:space="0" w:color="auto"/>
            <w:bottom w:val="none" w:sz="0" w:space="0" w:color="auto"/>
            <w:right w:val="none" w:sz="0" w:space="0" w:color="auto"/>
          </w:divBdr>
        </w:div>
      </w:divsChild>
    </w:div>
    <w:div w:id="1811628553">
      <w:bodyDiv w:val="1"/>
      <w:marLeft w:val="0"/>
      <w:marRight w:val="0"/>
      <w:marTop w:val="0"/>
      <w:marBottom w:val="0"/>
      <w:divBdr>
        <w:top w:val="none" w:sz="0" w:space="0" w:color="auto"/>
        <w:left w:val="none" w:sz="0" w:space="0" w:color="auto"/>
        <w:bottom w:val="none" w:sz="0" w:space="0" w:color="auto"/>
        <w:right w:val="none" w:sz="0" w:space="0" w:color="auto"/>
      </w:divBdr>
    </w:div>
    <w:div w:id="1813252662">
      <w:bodyDiv w:val="1"/>
      <w:marLeft w:val="0"/>
      <w:marRight w:val="0"/>
      <w:marTop w:val="0"/>
      <w:marBottom w:val="0"/>
      <w:divBdr>
        <w:top w:val="none" w:sz="0" w:space="0" w:color="auto"/>
        <w:left w:val="none" w:sz="0" w:space="0" w:color="auto"/>
        <w:bottom w:val="none" w:sz="0" w:space="0" w:color="auto"/>
        <w:right w:val="none" w:sz="0" w:space="0" w:color="auto"/>
      </w:divBdr>
    </w:div>
    <w:div w:id="1817798327">
      <w:bodyDiv w:val="1"/>
      <w:marLeft w:val="0"/>
      <w:marRight w:val="0"/>
      <w:marTop w:val="0"/>
      <w:marBottom w:val="0"/>
      <w:divBdr>
        <w:top w:val="none" w:sz="0" w:space="0" w:color="auto"/>
        <w:left w:val="none" w:sz="0" w:space="0" w:color="auto"/>
        <w:bottom w:val="none" w:sz="0" w:space="0" w:color="auto"/>
        <w:right w:val="none" w:sz="0" w:space="0" w:color="auto"/>
      </w:divBdr>
    </w:div>
    <w:div w:id="1830555472">
      <w:bodyDiv w:val="1"/>
      <w:marLeft w:val="0"/>
      <w:marRight w:val="0"/>
      <w:marTop w:val="0"/>
      <w:marBottom w:val="0"/>
      <w:divBdr>
        <w:top w:val="none" w:sz="0" w:space="0" w:color="auto"/>
        <w:left w:val="none" w:sz="0" w:space="0" w:color="auto"/>
        <w:bottom w:val="none" w:sz="0" w:space="0" w:color="auto"/>
        <w:right w:val="none" w:sz="0" w:space="0" w:color="auto"/>
      </w:divBdr>
    </w:div>
    <w:div w:id="1840457797">
      <w:bodyDiv w:val="1"/>
      <w:marLeft w:val="0"/>
      <w:marRight w:val="0"/>
      <w:marTop w:val="0"/>
      <w:marBottom w:val="0"/>
      <w:divBdr>
        <w:top w:val="none" w:sz="0" w:space="0" w:color="auto"/>
        <w:left w:val="none" w:sz="0" w:space="0" w:color="auto"/>
        <w:bottom w:val="none" w:sz="0" w:space="0" w:color="auto"/>
        <w:right w:val="none" w:sz="0" w:space="0" w:color="auto"/>
      </w:divBdr>
      <w:divsChild>
        <w:div w:id="767391745">
          <w:marLeft w:val="0"/>
          <w:marRight w:val="0"/>
          <w:marTop w:val="0"/>
          <w:marBottom w:val="0"/>
          <w:divBdr>
            <w:top w:val="none" w:sz="0" w:space="0" w:color="auto"/>
            <w:left w:val="none" w:sz="0" w:space="0" w:color="auto"/>
            <w:bottom w:val="none" w:sz="0" w:space="0" w:color="auto"/>
            <w:right w:val="none" w:sz="0" w:space="0" w:color="auto"/>
          </w:divBdr>
        </w:div>
      </w:divsChild>
    </w:div>
    <w:div w:id="1849976262">
      <w:bodyDiv w:val="1"/>
      <w:marLeft w:val="0"/>
      <w:marRight w:val="0"/>
      <w:marTop w:val="0"/>
      <w:marBottom w:val="0"/>
      <w:divBdr>
        <w:top w:val="none" w:sz="0" w:space="0" w:color="auto"/>
        <w:left w:val="none" w:sz="0" w:space="0" w:color="auto"/>
        <w:bottom w:val="none" w:sz="0" w:space="0" w:color="auto"/>
        <w:right w:val="none" w:sz="0" w:space="0" w:color="auto"/>
      </w:divBdr>
    </w:div>
    <w:div w:id="1856798115">
      <w:bodyDiv w:val="1"/>
      <w:marLeft w:val="0"/>
      <w:marRight w:val="0"/>
      <w:marTop w:val="0"/>
      <w:marBottom w:val="0"/>
      <w:divBdr>
        <w:top w:val="none" w:sz="0" w:space="0" w:color="auto"/>
        <w:left w:val="none" w:sz="0" w:space="0" w:color="auto"/>
        <w:bottom w:val="none" w:sz="0" w:space="0" w:color="auto"/>
        <w:right w:val="none" w:sz="0" w:space="0" w:color="auto"/>
      </w:divBdr>
    </w:div>
    <w:div w:id="1864593195">
      <w:bodyDiv w:val="1"/>
      <w:marLeft w:val="0"/>
      <w:marRight w:val="0"/>
      <w:marTop w:val="0"/>
      <w:marBottom w:val="0"/>
      <w:divBdr>
        <w:top w:val="none" w:sz="0" w:space="0" w:color="auto"/>
        <w:left w:val="none" w:sz="0" w:space="0" w:color="auto"/>
        <w:bottom w:val="none" w:sz="0" w:space="0" w:color="auto"/>
        <w:right w:val="none" w:sz="0" w:space="0" w:color="auto"/>
      </w:divBdr>
    </w:div>
    <w:div w:id="1883516176">
      <w:bodyDiv w:val="1"/>
      <w:marLeft w:val="0"/>
      <w:marRight w:val="0"/>
      <w:marTop w:val="0"/>
      <w:marBottom w:val="0"/>
      <w:divBdr>
        <w:top w:val="none" w:sz="0" w:space="0" w:color="auto"/>
        <w:left w:val="none" w:sz="0" w:space="0" w:color="auto"/>
        <w:bottom w:val="none" w:sz="0" w:space="0" w:color="auto"/>
        <w:right w:val="none" w:sz="0" w:space="0" w:color="auto"/>
      </w:divBdr>
    </w:div>
    <w:div w:id="1888032484">
      <w:bodyDiv w:val="1"/>
      <w:marLeft w:val="0"/>
      <w:marRight w:val="0"/>
      <w:marTop w:val="0"/>
      <w:marBottom w:val="0"/>
      <w:divBdr>
        <w:top w:val="none" w:sz="0" w:space="0" w:color="auto"/>
        <w:left w:val="none" w:sz="0" w:space="0" w:color="auto"/>
        <w:bottom w:val="none" w:sz="0" w:space="0" w:color="auto"/>
        <w:right w:val="none" w:sz="0" w:space="0" w:color="auto"/>
      </w:divBdr>
    </w:div>
    <w:div w:id="1891843472">
      <w:bodyDiv w:val="1"/>
      <w:marLeft w:val="0"/>
      <w:marRight w:val="0"/>
      <w:marTop w:val="0"/>
      <w:marBottom w:val="0"/>
      <w:divBdr>
        <w:top w:val="none" w:sz="0" w:space="0" w:color="auto"/>
        <w:left w:val="none" w:sz="0" w:space="0" w:color="auto"/>
        <w:bottom w:val="none" w:sz="0" w:space="0" w:color="auto"/>
        <w:right w:val="none" w:sz="0" w:space="0" w:color="auto"/>
      </w:divBdr>
    </w:div>
    <w:div w:id="1910339963">
      <w:bodyDiv w:val="1"/>
      <w:marLeft w:val="0"/>
      <w:marRight w:val="0"/>
      <w:marTop w:val="0"/>
      <w:marBottom w:val="0"/>
      <w:divBdr>
        <w:top w:val="none" w:sz="0" w:space="0" w:color="auto"/>
        <w:left w:val="none" w:sz="0" w:space="0" w:color="auto"/>
        <w:bottom w:val="none" w:sz="0" w:space="0" w:color="auto"/>
        <w:right w:val="none" w:sz="0" w:space="0" w:color="auto"/>
      </w:divBdr>
    </w:div>
    <w:div w:id="1911698184">
      <w:bodyDiv w:val="1"/>
      <w:marLeft w:val="0"/>
      <w:marRight w:val="0"/>
      <w:marTop w:val="0"/>
      <w:marBottom w:val="0"/>
      <w:divBdr>
        <w:top w:val="none" w:sz="0" w:space="0" w:color="auto"/>
        <w:left w:val="none" w:sz="0" w:space="0" w:color="auto"/>
        <w:bottom w:val="none" w:sz="0" w:space="0" w:color="auto"/>
        <w:right w:val="none" w:sz="0" w:space="0" w:color="auto"/>
      </w:divBdr>
    </w:div>
    <w:div w:id="1912541466">
      <w:bodyDiv w:val="1"/>
      <w:marLeft w:val="0"/>
      <w:marRight w:val="0"/>
      <w:marTop w:val="0"/>
      <w:marBottom w:val="0"/>
      <w:divBdr>
        <w:top w:val="none" w:sz="0" w:space="0" w:color="auto"/>
        <w:left w:val="none" w:sz="0" w:space="0" w:color="auto"/>
        <w:bottom w:val="none" w:sz="0" w:space="0" w:color="auto"/>
        <w:right w:val="none" w:sz="0" w:space="0" w:color="auto"/>
      </w:divBdr>
    </w:div>
    <w:div w:id="1914006684">
      <w:bodyDiv w:val="1"/>
      <w:marLeft w:val="0"/>
      <w:marRight w:val="0"/>
      <w:marTop w:val="0"/>
      <w:marBottom w:val="0"/>
      <w:divBdr>
        <w:top w:val="none" w:sz="0" w:space="0" w:color="auto"/>
        <w:left w:val="none" w:sz="0" w:space="0" w:color="auto"/>
        <w:bottom w:val="none" w:sz="0" w:space="0" w:color="auto"/>
        <w:right w:val="none" w:sz="0" w:space="0" w:color="auto"/>
      </w:divBdr>
    </w:div>
    <w:div w:id="1918975140">
      <w:bodyDiv w:val="1"/>
      <w:marLeft w:val="0"/>
      <w:marRight w:val="0"/>
      <w:marTop w:val="0"/>
      <w:marBottom w:val="0"/>
      <w:divBdr>
        <w:top w:val="none" w:sz="0" w:space="0" w:color="auto"/>
        <w:left w:val="none" w:sz="0" w:space="0" w:color="auto"/>
        <w:bottom w:val="none" w:sz="0" w:space="0" w:color="auto"/>
        <w:right w:val="none" w:sz="0" w:space="0" w:color="auto"/>
      </w:divBdr>
    </w:div>
    <w:div w:id="1932664598">
      <w:bodyDiv w:val="1"/>
      <w:marLeft w:val="0"/>
      <w:marRight w:val="0"/>
      <w:marTop w:val="0"/>
      <w:marBottom w:val="0"/>
      <w:divBdr>
        <w:top w:val="none" w:sz="0" w:space="0" w:color="auto"/>
        <w:left w:val="none" w:sz="0" w:space="0" w:color="auto"/>
        <w:bottom w:val="none" w:sz="0" w:space="0" w:color="auto"/>
        <w:right w:val="none" w:sz="0" w:space="0" w:color="auto"/>
      </w:divBdr>
    </w:div>
    <w:div w:id="1979722038">
      <w:bodyDiv w:val="1"/>
      <w:marLeft w:val="0"/>
      <w:marRight w:val="0"/>
      <w:marTop w:val="0"/>
      <w:marBottom w:val="0"/>
      <w:divBdr>
        <w:top w:val="none" w:sz="0" w:space="0" w:color="auto"/>
        <w:left w:val="none" w:sz="0" w:space="0" w:color="auto"/>
        <w:bottom w:val="none" w:sz="0" w:space="0" w:color="auto"/>
        <w:right w:val="none" w:sz="0" w:space="0" w:color="auto"/>
      </w:divBdr>
    </w:div>
    <w:div w:id="1985308377">
      <w:bodyDiv w:val="1"/>
      <w:marLeft w:val="0"/>
      <w:marRight w:val="0"/>
      <w:marTop w:val="0"/>
      <w:marBottom w:val="0"/>
      <w:divBdr>
        <w:top w:val="none" w:sz="0" w:space="0" w:color="auto"/>
        <w:left w:val="none" w:sz="0" w:space="0" w:color="auto"/>
        <w:bottom w:val="none" w:sz="0" w:space="0" w:color="auto"/>
        <w:right w:val="none" w:sz="0" w:space="0" w:color="auto"/>
      </w:divBdr>
    </w:div>
    <w:div w:id="1990137318">
      <w:bodyDiv w:val="1"/>
      <w:marLeft w:val="0"/>
      <w:marRight w:val="0"/>
      <w:marTop w:val="0"/>
      <w:marBottom w:val="0"/>
      <w:divBdr>
        <w:top w:val="none" w:sz="0" w:space="0" w:color="auto"/>
        <w:left w:val="none" w:sz="0" w:space="0" w:color="auto"/>
        <w:bottom w:val="none" w:sz="0" w:space="0" w:color="auto"/>
        <w:right w:val="none" w:sz="0" w:space="0" w:color="auto"/>
      </w:divBdr>
    </w:div>
    <w:div w:id="1992366075">
      <w:bodyDiv w:val="1"/>
      <w:marLeft w:val="0"/>
      <w:marRight w:val="0"/>
      <w:marTop w:val="0"/>
      <w:marBottom w:val="0"/>
      <w:divBdr>
        <w:top w:val="none" w:sz="0" w:space="0" w:color="auto"/>
        <w:left w:val="none" w:sz="0" w:space="0" w:color="auto"/>
        <w:bottom w:val="none" w:sz="0" w:space="0" w:color="auto"/>
        <w:right w:val="none" w:sz="0" w:space="0" w:color="auto"/>
      </w:divBdr>
    </w:div>
    <w:div w:id="2016492286">
      <w:bodyDiv w:val="1"/>
      <w:marLeft w:val="0"/>
      <w:marRight w:val="0"/>
      <w:marTop w:val="0"/>
      <w:marBottom w:val="0"/>
      <w:divBdr>
        <w:top w:val="none" w:sz="0" w:space="0" w:color="auto"/>
        <w:left w:val="none" w:sz="0" w:space="0" w:color="auto"/>
        <w:bottom w:val="none" w:sz="0" w:space="0" w:color="auto"/>
        <w:right w:val="none" w:sz="0" w:space="0" w:color="auto"/>
      </w:divBdr>
    </w:div>
    <w:div w:id="2022972751">
      <w:bodyDiv w:val="1"/>
      <w:marLeft w:val="0"/>
      <w:marRight w:val="0"/>
      <w:marTop w:val="0"/>
      <w:marBottom w:val="0"/>
      <w:divBdr>
        <w:top w:val="none" w:sz="0" w:space="0" w:color="auto"/>
        <w:left w:val="none" w:sz="0" w:space="0" w:color="auto"/>
        <w:bottom w:val="none" w:sz="0" w:space="0" w:color="auto"/>
        <w:right w:val="none" w:sz="0" w:space="0" w:color="auto"/>
      </w:divBdr>
    </w:div>
    <w:div w:id="2023630094">
      <w:bodyDiv w:val="1"/>
      <w:marLeft w:val="0"/>
      <w:marRight w:val="0"/>
      <w:marTop w:val="0"/>
      <w:marBottom w:val="0"/>
      <w:divBdr>
        <w:top w:val="none" w:sz="0" w:space="0" w:color="auto"/>
        <w:left w:val="none" w:sz="0" w:space="0" w:color="auto"/>
        <w:bottom w:val="none" w:sz="0" w:space="0" w:color="auto"/>
        <w:right w:val="none" w:sz="0" w:space="0" w:color="auto"/>
      </w:divBdr>
    </w:div>
    <w:div w:id="2032602813">
      <w:bodyDiv w:val="1"/>
      <w:marLeft w:val="0"/>
      <w:marRight w:val="0"/>
      <w:marTop w:val="0"/>
      <w:marBottom w:val="0"/>
      <w:divBdr>
        <w:top w:val="none" w:sz="0" w:space="0" w:color="auto"/>
        <w:left w:val="none" w:sz="0" w:space="0" w:color="auto"/>
        <w:bottom w:val="none" w:sz="0" w:space="0" w:color="auto"/>
        <w:right w:val="none" w:sz="0" w:space="0" w:color="auto"/>
      </w:divBdr>
    </w:div>
    <w:div w:id="2037466343">
      <w:bodyDiv w:val="1"/>
      <w:marLeft w:val="0"/>
      <w:marRight w:val="0"/>
      <w:marTop w:val="0"/>
      <w:marBottom w:val="0"/>
      <w:divBdr>
        <w:top w:val="none" w:sz="0" w:space="0" w:color="auto"/>
        <w:left w:val="none" w:sz="0" w:space="0" w:color="auto"/>
        <w:bottom w:val="none" w:sz="0" w:space="0" w:color="auto"/>
        <w:right w:val="none" w:sz="0" w:space="0" w:color="auto"/>
      </w:divBdr>
      <w:divsChild>
        <w:div w:id="2093430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54757320">
              <w:marLeft w:val="0"/>
              <w:marRight w:val="0"/>
              <w:marTop w:val="0"/>
              <w:marBottom w:val="0"/>
              <w:divBdr>
                <w:top w:val="none" w:sz="0" w:space="0" w:color="auto"/>
                <w:left w:val="none" w:sz="0" w:space="0" w:color="auto"/>
                <w:bottom w:val="none" w:sz="0" w:space="0" w:color="auto"/>
                <w:right w:val="none" w:sz="0" w:space="0" w:color="auto"/>
              </w:divBdr>
              <w:divsChild>
                <w:div w:id="5826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1004">
          <w:marLeft w:val="0"/>
          <w:marRight w:val="0"/>
          <w:marTop w:val="0"/>
          <w:marBottom w:val="0"/>
          <w:divBdr>
            <w:top w:val="none" w:sz="0" w:space="0" w:color="auto"/>
            <w:left w:val="none" w:sz="0" w:space="0" w:color="auto"/>
            <w:bottom w:val="none" w:sz="0" w:space="0" w:color="auto"/>
            <w:right w:val="none" w:sz="0" w:space="0" w:color="auto"/>
          </w:divBdr>
        </w:div>
        <w:div w:id="1769628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3126305">
              <w:marLeft w:val="0"/>
              <w:marRight w:val="0"/>
              <w:marTop w:val="0"/>
              <w:marBottom w:val="0"/>
              <w:divBdr>
                <w:top w:val="none" w:sz="0" w:space="0" w:color="auto"/>
                <w:left w:val="none" w:sz="0" w:space="0" w:color="auto"/>
                <w:bottom w:val="none" w:sz="0" w:space="0" w:color="auto"/>
                <w:right w:val="none" w:sz="0" w:space="0" w:color="auto"/>
              </w:divBdr>
              <w:divsChild>
                <w:div w:id="8532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9140">
      <w:bodyDiv w:val="1"/>
      <w:marLeft w:val="0"/>
      <w:marRight w:val="0"/>
      <w:marTop w:val="0"/>
      <w:marBottom w:val="0"/>
      <w:divBdr>
        <w:top w:val="none" w:sz="0" w:space="0" w:color="auto"/>
        <w:left w:val="none" w:sz="0" w:space="0" w:color="auto"/>
        <w:bottom w:val="none" w:sz="0" w:space="0" w:color="auto"/>
        <w:right w:val="none" w:sz="0" w:space="0" w:color="auto"/>
      </w:divBdr>
    </w:div>
    <w:div w:id="2067072094">
      <w:bodyDiv w:val="1"/>
      <w:marLeft w:val="0"/>
      <w:marRight w:val="0"/>
      <w:marTop w:val="0"/>
      <w:marBottom w:val="0"/>
      <w:divBdr>
        <w:top w:val="none" w:sz="0" w:space="0" w:color="auto"/>
        <w:left w:val="none" w:sz="0" w:space="0" w:color="auto"/>
        <w:bottom w:val="none" w:sz="0" w:space="0" w:color="auto"/>
        <w:right w:val="none" w:sz="0" w:space="0" w:color="auto"/>
      </w:divBdr>
    </w:div>
    <w:div w:id="2067292767">
      <w:bodyDiv w:val="1"/>
      <w:marLeft w:val="0"/>
      <w:marRight w:val="0"/>
      <w:marTop w:val="0"/>
      <w:marBottom w:val="0"/>
      <w:divBdr>
        <w:top w:val="none" w:sz="0" w:space="0" w:color="auto"/>
        <w:left w:val="none" w:sz="0" w:space="0" w:color="auto"/>
        <w:bottom w:val="none" w:sz="0" w:space="0" w:color="auto"/>
        <w:right w:val="none" w:sz="0" w:space="0" w:color="auto"/>
      </w:divBdr>
    </w:div>
    <w:div w:id="2069066926">
      <w:bodyDiv w:val="1"/>
      <w:marLeft w:val="0"/>
      <w:marRight w:val="0"/>
      <w:marTop w:val="0"/>
      <w:marBottom w:val="0"/>
      <w:divBdr>
        <w:top w:val="none" w:sz="0" w:space="0" w:color="auto"/>
        <w:left w:val="none" w:sz="0" w:space="0" w:color="auto"/>
        <w:bottom w:val="none" w:sz="0" w:space="0" w:color="auto"/>
        <w:right w:val="none" w:sz="0" w:space="0" w:color="auto"/>
      </w:divBdr>
    </w:div>
    <w:div w:id="2080706473">
      <w:bodyDiv w:val="1"/>
      <w:marLeft w:val="0"/>
      <w:marRight w:val="0"/>
      <w:marTop w:val="0"/>
      <w:marBottom w:val="0"/>
      <w:divBdr>
        <w:top w:val="none" w:sz="0" w:space="0" w:color="auto"/>
        <w:left w:val="none" w:sz="0" w:space="0" w:color="auto"/>
        <w:bottom w:val="none" w:sz="0" w:space="0" w:color="auto"/>
        <w:right w:val="none" w:sz="0" w:space="0" w:color="auto"/>
      </w:divBdr>
    </w:div>
    <w:div w:id="2100177182">
      <w:bodyDiv w:val="1"/>
      <w:marLeft w:val="0"/>
      <w:marRight w:val="0"/>
      <w:marTop w:val="0"/>
      <w:marBottom w:val="0"/>
      <w:divBdr>
        <w:top w:val="none" w:sz="0" w:space="0" w:color="auto"/>
        <w:left w:val="none" w:sz="0" w:space="0" w:color="auto"/>
        <w:bottom w:val="none" w:sz="0" w:space="0" w:color="auto"/>
        <w:right w:val="none" w:sz="0" w:space="0" w:color="auto"/>
      </w:divBdr>
    </w:div>
    <w:div w:id="2106460804">
      <w:bodyDiv w:val="1"/>
      <w:marLeft w:val="0"/>
      <w:marRight w:val="0"/>
      <w:marTop w:val="0"/>
      <w:marBottom w:val="0"/>
      <w:divBdr>
        <w:top w:val="none" w:sz="0" w:space="0" w:color="auto"/>
        <w:left w:val="none" w:sz="0" w:space="0" w:color="auto"/>
        <w:bottom w:val="none" w:sz="0" w:space="0" w:color="auto"/>
        <w:right w:val="none" w:sz="0" w:space="0" w:color="auto"/>
      </w:divBdr>
    </w:div>
    <w:div w:id="2109083772">
      <w:bodyDiv w:val="1"/>
      <w:marLeft w:val="0"/>
      <w:marRight w:val="0"/>
      <w:marTop w:val="0"/>
      <w:marBottom w:val="0"/>
      <w:divBdr>
        <w:top w:val="none" w:sz="0" w:space="0" w:color="auto"/>
        <w:left w:val="none" w:sz="0" w:space="0" w:color="auto"/>
        <w:bottom w:val="none" w:sz="0" w:space="0" w:color="auto"/>
        <w:right w:val="none" w:sz="0" w:space="0" w:color="auto"/>
      </w:divBdr>
    </w:div>
    <w:div w:id="2110658499">
      <w:bodyDiv w:val="1"/>
      <w:marLeft w:val="0"/>
      <w:marRight w:val="0"/>
      <w:marTop w:val="0"/>
      <w:marBottom w:val="0"/>
      <w:divBdr>
        <w:top w:val="none" w:sz="0" w:space="0" w:color="auto"/>
        <w:left w:val="none" w:sz="0" w:space="0" w:color="auto"/>
        <w:bottom w:val="none" w:sz="0" w:space="0" w:color="auto"/>
        <w:right w:val="none" w:sz="0" w:space="0" w:color="auto"/>
      </w:divBdr>
    </w:div>
    <w:div w:id="2126382556">
      <w:bodyDiv w:val="1"/>
      <w:marLeft w:val="0"/>
      <w:marRight w:val="0"/>
      <w:marTop w:val="0"/>
      <w:marBottom w:val="0"/>
      <w:divBdr>
        <w:top w:val="none" w:sz="0" w:space="0" w:color="auto"/>
        <w:left w:val="none" w:sz="0" w:space="0" w:color="auto"/>
        <w:bottom w:val="none" w:sz="0" w:space="0" w:color="auto"/>
        <w:right w:val="none" w:sz="0" w:space="0" w:color="auto"/>
      </w:divBdr>
    </w:div>
    <w:div w:id="2127188972">
      <w:bodyDiv w:val="1"/>
      <w:marLeft w:val="0"/>
      <w:marRight w:val="0"/>
      <w:marTop w:val="0"/>
      <w:marBottom w:val="0"/>
      <w:divBdr>
        <w:top w:val="none" w:sz="0" w:space="0" w:color="auto"/>
        <w:left w:val="none" w:sz="0" w:space="0" w:color="auto"/>
        <w:bottom w:val="none" w:sz="0" w:space="0" w:color="auto"/>
        <w:right w:val="none" w:sz="0" w:space="0" w:color="auto"/>
      </w:divBdr>
    </w:div>
    <w:div w:id="21434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cpa.edu.br" TargetMode="Externa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4068C-029C-4BB4-8ED7-E0E7BF37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15415</TotalTime>
  <Pages>30</Pages>
  <Words>10899</Words>
  <Characters>69567</Characters>
  <Application>Microsoft Office Word</Application>
  <DocSecurity>0</DocSecurity>
  <Lines>579</Lines>
  <Paragraphs>160</Paragraphs>
  <ScaleCrop>false</ScaleCrop>
  <HeadingPairs>
    <vt:vector size="2" baseType="variant">
      <vt:variant>
        <vt:lpstr>Título</vt:lpstr>
      </vt:variant>
      <vt:variant>
        <vt:i4>1</vt:i4>
      </vt:variant>
    </vt:vector>
  </HeadingPairs>
  <TitlesOfParts>
    <vt:vector size="1" baseType="lpstr">
      <vt:lpstr>Ethan Frome</vt:lpstr>
    </vt:vector>
  </TitlesOfParts>
  <Company>Hospital de Clinicas de POA</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Rochele Benedet Rodrigues</dc:creator>
  <cp:keywords>Ethan</cp:keywords>
  <cp:lastModifiedBy>Juliana Zwetsch</cp:lastModifiedBy>
  <cp:revision>980</cp:revision>
  <cp:lastPrinted>2026-03-06T14:30:00Z</cp:lastPrinted>
  <dcterms:created xsi:type="dcterms:W3CDTF">2024-02-05T13:42:00Z</dcterms:created>
  <dcterms:modified xsi:type="dcterms:W3CDTF">2026-03-11T12:28:00Z</dcterms:modified>
</cp:coreProperties>
</file>