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28" w:rsidRDefault="00104128">
      <w:bookmarkStart w:id="0" w:name="_GoBack"/>
      <w:bookmarkEnd w:id="0"/>
    </w:p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3C70F3" w:rsidRPr="00FD7B48">
        <w:rPr>
          <w:sz w:val="28"/>
          <w:szCs w:val="28"/>
        </w:rPr>
        <w:t>F</w:t>
      </w:r>
      <w:r w:rsidRPr="00FD7B48">
        <w:rPr>
          <w:sz w:val="28"/>
          <w:szCs w:val="28"/>
        </w:rPr>
        <w:t>inanceiras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D534D0">
        <w:rPr>
          <w:sz w:val="28"/>
          <w:szCs w:val="28"/>
        </w:rPr>
        <w:t>30</w:t>
      </w:r>
      <w:r w:rsidRPr="00FD7B48">
        <w:rPr>
          <w:sz w:val="28"/>
          <w:szCs w:val="28"/>
        </w:rPr>
        <w:t xml:space="preserve"> de </w:t>
      </w:r>
      <w:r w:rsidR="000D0348">
        <w:rPr>
          <w:sz w:val="28"/>
          <w:szCs w:val="28"/>
        </w:rPr>
        <w:t>Setembr</w:t>
      </w:r>
      <w:r w:rsidR="00D534D0">
        <w:rPr>
          <w:sz w:val="28"/>
          <w:szCs w:val="28"/>
        </w:rPr>
        <w:t>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201</w:t>
      </w:r>
      <w:r w:rsidR="00F85F40">
        <w:rPr>
          <w:sz w:val="28"/>
          <w:szCs w:val="28"/>
        </w:rPr>
        <w:t>9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A33B83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24124446" w:history="1">
            <w:r w:rsidR="00A33B83" w:rsidRPr="00F056F0">
              <w:rPr>
                <w:rStyle w:val="Hyperlink"/>
              </w:rPr>
              <w:t>Balanço Patrimonial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_Toc24124446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3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47" w:history="1">
            <w:r w:rsidR="00A33B83" w:rsidRPr="00F056F0">
              <w:rPr>
                <w:rStyle w:val="Hyperlink"/>
              </w:rPr>
              <w:t>Notas Explicativas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_Toc24124447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9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48" w:history="1">
            <w:r w:rsidR="00A33B83" w:rsidRPr="00F056F0">
              <w:rPr>
                <w:rStyle w:val="Hyperlink"/>
              </w:rPr>
              <w:t>01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Contexto Operacional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_Toc24124448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9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49" w:history="1">
            <w:r w:rsidR="00A33B83" w:rsidRPr="00F056F0">
              <w:rPr>
                <w:rStyle w:val="Hyperlink"/>
              </w:rPr>
              <w:t>02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Principais Políticas Contábeis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_Toc24124449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9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0" w:history="1">
            <w:r w:rsidR="00A33B83" w:rsidRPr="00F056F0">
              <w:rPr>
                <w:rStyle w:val="Hyperlink"/>
              </w:rPr>
              <w:t>03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Estimativas e Julgamentos Contábeis Críticos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_Toc24124450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13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1" w:history="1">
            <w:r w:rsidR="00A33B83" w:rsidRPr="00F056F0">
              <w:rPr>
                <w:rStyle w:val="Hyperlink"/>
              </w:rPr>
              <w:t>04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Gestão de Risco Financeiro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_Toc24124451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13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2" w:history="1">
            <w:r w:rsidR="00A33B83" w:rsidRPr="00F056F0">
              <w:rPr>
                <w:rStyle w:val="Hyperlink"/>
              </w:rPr>
              <w:t>05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Caixa e Equivalentes de Caixa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_Toc24124452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14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3" w:history="1">
            <w:r w:rsidR="00A33B83" w:rsidRPr="00F056F0">
              <w:rPr>
                <w:rStyle w:val="Hyperlink"/>
              </w:rPr>
              <w:t>06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Créditos de Fornecimento de Serviços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_Toc24124453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14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4" w:history="1">
            <w:r w:rsidR="00A33B83" w:rsidRPr="00F056F0">
              <w:rPr>
                <w:rStyle w:val="Hyperlink"/>
              </w:rPr>
              <w:t>07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Adiantamentos de Pessoal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_Toc24124454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15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5" w:history="1">
            <w:r w:rsidR="00A33B83" w:rsidRPr="00F056F0">
              <w:rPr>
                <w:rStyle w:val="Hyperlink"/>
              </w:rPr>
              <w:t>08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Estoques de Materiais de Consumo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_Toc24124455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15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6" w:history="1">
            <w:r w:rsidR="00A33B83" w:rsidRPr="00F056F0">
              <w:rPr>
                <w:rStyle w:val="Hyperlink"/>
              </w:rPr>
              <w:t>09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Imobilizado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_Toc24124456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15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7" w:history="1">
            <w:r w:rsidR="00A33B83" w:rsidRPr="00F056F0">
              <w:rPr>
                <w:rStyle w:val="Hyperlink"/>
              </w:rPr>
              <w:t>10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Intangível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_Toc24124457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16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8" w:history="1">
            <w:r w:rsidR="00A33B83" w:rsidRPr="00F056F0">
              <w:rPr>
                <w:rStyle w:val="Hyperlink"/>
              </w:rPr>
              <w:t>11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Fornecedores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_Toc24124458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16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59" w:history="1">
            <w:r w:rsidR="00A33B83" w:rsidRPr="00F056F0">
              <w:rPr>
                <w:rStyle w:val="Hyperlink"/>
              </w:rPr>
              <w:t>12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Obrigações Tributárias e Sociais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_Toc24124459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16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0" w:history="1">
            <w:r w:rsidR="00A33B83" w:rsidRPr="00F056F0">
              <w:rPr>
                <w:rStyle w:val="Hyperlink"/>
              </w:rPr>
              <w:t>13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Obrigações com Pessoal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_Toc24124460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17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1" w:history="1">
            <w:r w:rsidR="00A33B83" w:rsidRPr="00F056F0">
              <w:rPr>
                <w:rStyle w:val="Hyperlink"/>
              </w:rPr>
              <w:t>14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Contingências Passivas e Apropriações de Despesas de Pessoal por Competência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_Toc24124461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17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2" w:history="1">
            <w:r w:rsidR="00A33B83" w:rsidRPr="00F056F0">
              <w:rPr>
                <w:rStyle w:val="Hyperlink"/>
              </w:rPr>
              <w:t>15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Ajuste de Avaliação Patrimonial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_Toc24124462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19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3" w:history="1">
            <w:r w:rsidR="00A33B83" w:rsidRPr="00F056F0">
              <w:rPr>
                <w:rStyle w:val="Hyperlink"/>
              </w:rPr>
              <w:t>16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Receita Operacional Líquida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_Toc24124463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19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4" w:history="1">
            <w:r w:rsidR="00A33B83" w:rsidRPr="00F056F0">
              <w:rPr>
                <w:rStyle w:val="Hyperlink"/>
              </w:rPr>
              <w:t>17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Despesas de Benefícios a Empregados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_Toc24124464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19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5" w:history="1">
            <w:r w:rsidR="00A33B83" w:rsidRPr="00F056F0">
              <w:rPr>
                <w:rStyle w:val="Hyperlink"/>
              </w:rPr>
              <w:t>18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Outras Receitas e Despesas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_Toc24124465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20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6" w:history="1">
            <w:r w:rsidR="00A33B83" w:rsidRPr="00F056F0">
              <w:rPr>
                <w:rStyle w:val="Hyperlink"/>
              </w:rPr>
              <w:t>19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Resultado Financeiro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_Toc24124466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20</w:t>
            </w:r>
            <w:r w:rsidR="00A33B83">
              <w:rPr>
                <w:webHidden/>
              </w:rPr>
              <w:fldChar w:fldCharType="end"/>
            </w:r>
          </w:hyperlink>
        </w:p>
        <w:p w:rsidR="00A33B83" w:rsidRDefault="00E205E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24124467" w:history="1">
            <w:r w:rsidR="00A33B83" w:rsidRPr="00F056F0">
              <w:rPr>
                <w:rStyle w:val="Hyperlink"/>
              </w:rPr>
              <w:t>20</w:t>
            </w:r>
            <w:r w:rsidR="00A33B83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A33B83" w:rsidRPr="00F056F0">
              <w:rPr>
                <w:rStyle w:val="Hyperlink"/>
              </w:rPr>
              <w:t>Seguros de Riscos</w:t>
            </w:r>
            <w:r w:rsidR="00A33B83">
              <w:rPr>
                <w:webHidden/>
              </w:rPr>
              <w:tab/>
            </w:r>
            <w:r w:rsidR="00A33B83">
              <w:rPr>
                <w:webHidden/>
              </w:rPr>
              <w:fldChar w:fldCharType="begin"/>
            </w:r>
            <w:r w:rsidR="00A33B83">
              <w:rPr>
                <w:webHidden/>
              </w:rPr>
              <w:instrText xml:space="preserve"> PAGEREF _Toc24124467 \h </w:instrText>
            </w:r>
            <w:r w:rsidR="00A33B83">
              <w:rPr>
                <w:webHidden/>
              </w:rPr>
            </w:r>
            <w:r w:rsidR="00A33B83">
              <w:rPr>
                <w:webHidden/>
              </w:rPr>
              <w:fldChar w:fldCharType="separate"/>
            </w:r>
            <w:r w:rsidR="00C90CC5">
              <w:rPr>
                <w:webHidden/>
              </w:rPr>
              <w:t>21</w:t>
            </w:r>
            <w:r w:rsidR="00A33B83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47648D">
      <w:pPr>
        <w:pStyle w:val="Ttulo"/>
        <w:numPr>
          <w:ilvl w:val="0"/>
          <w:numId w:val="0"/>
        </w:numPr>
        <w:ind w:left="705"/>
        <w:jc w:val="center"/>
        <w:outlineLvl w:val="0"/>
        <w:rPr>
          <w:sz w:val="28"/>
          <w:szCs w:val="28"/>
        </w:rPr>
        <w:sectPr w:rsidR="00837472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A1DC1" w:rsidRDefault="00121225" w:rsidP="00CD7310">
      <w:pPr>
        <w:pStyle w:val="Ttulo1"/>
        <w:jc w:val="left"/>
      </w:pPr>
      <w:bookmarkStart w:id="1" w:name="_Toc24124446"/>
      <w:bookmarkStart w:id="2" w:name="OLE_LINK1"/>
      <w:r>
        <w:lastRenderedPageBreak/>
        <w:t>Bal</w:t>
      </w:r>
      <w:r w:rsidR="00CD7310" w:rsidRPr="00FD7B48">
        <w:t>anço Patrimonial</w:t>
      </w:r>
      <w:bookmarkEnd w:id="1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7"/>
        <w:gridCol w:w="978"/>
        <w:gridCol w:w="327"/>
        <w:gridCol w:w="1081"/>
        <w:gridCol w:w="978"/>
        <w:gridCol w:w="1081"/>
      </w:tblGrid>
      <w:tr w:rsidR="00A32AE5" w:rsidRPr="00A32AE5" w:rsidTr="00A32AE5">
        <w:trPr>
          <w:trHeight w:val="31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Nota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31/12/2018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Caixa e Equivalente de Caixa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5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92.751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127.797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Créditos a Receber Curto Prazo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Faturas e Duplicatas a Receber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233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148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Crédito de Fornecimento de Serviços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6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49.471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43.732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 Contingências e apropriações por Competência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222.876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169.945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de Pessoal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7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FD12D0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22.</w:t>
            </w:r>
            <w:r w:rsidR="00FD12D0">
              <w:rPr>
                <w:color w:val="000000"/>
              </w:rPr>
              <w:t>678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13.800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Benefícios a Receber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FD12D0" w:rsidP="00FD12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7.582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Demais Contas a Receber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298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2.659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a Fornecedores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46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Estoques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  <w:sz w:val="22"/>
                <w:szCs w:val="22"/>
              </w:rPr>
            </w:pPr>
            <w:r w:rsidRPr="00A32A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Estoques Materiais de Consumo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20.022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20.687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Importação em Andamento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31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1.830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Despesas Pagas Antecipadamente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  <w:sz w:val="22"/>
                <w:szCs w:val="22"/>
              </w:rPr>
            </w:pPr>
            <w:r w:rsidRPr="00A32AE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32AE5" w:rsidRPr="00A32AE5" w:rsidTr="00A32AE5">
        <w:trPr>
          <w:trHeight w:val="31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Prêmios de Seguro a Apropriar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130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82</w:t>
            </w:r>
          </w:p>
        </w:tc>
      </w:tr>
      <w:tr w:rsidR="00A32AE5" w:rsidRPr="00A32AE5" w:rsidTr="00A32AE5">
        <w:trPr>
          <w:trHeight w:val="31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408.492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388.308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Realizável a Longo Prazo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Depósitos Judiciais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1.605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1.504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Contingências e apropriações por Competência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14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310.982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298.152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Demais Créditos a Receber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rPr>
                <w:sz w:val="22"/>
                <w:szCs w:val="22"/>
              </w:rPr>
            </w:pPr>
            <w:r w:rsidRPr="006667D2">
              <w:rPr>
                <w:sz w:val="22"/>
                <w:szCs w:val="2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70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Imobilizado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9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905.316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869.600</w:t>
            </w:r>
          </w:p>
        </w:tc>
      </w:tr>
      <w:tr w:rsidR="00A32AE5" w:rsidRPr="00A32AE5" w:rsidTr="00A32AE5">
        <w:trPr>
          <w:trHeight w:val="31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Intangível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10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2.277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478</w:t>
            </w:r>
          </w:p>
        </w:tc>
      </w:tr>
      <w:tr w:rsidR="00A32AE5" w:rsidRPr="00A32AE5" w:rsidTr="00A32AE5">
        <w:trPr>
          <w:trHeight w:val="31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1.220.249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1.169.804</w:t>
            </w:r>
          </w:p>
        </w:tc>
      </w:tr>
      <w:tr w:rsidR="00A32AE5" w:rsidRPr="00A32AE5" w:rsidTr="00A32AE5">
        <w:trPr>
          <w:trHeight w:val="300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</w:pPr>
            <w:r w:rsidRPr="006667D2"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A32AE5">
        <w:trPr>
          <w:trHeight w:val="315"/>
        </w:trPr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 xml:space="preserve">  Total do Ativo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1.628.741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1.558.112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31/12/2018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22.432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32.243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1.715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9.985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47.527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60.196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A30D1D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222.876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169.945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A30D1D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7.950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5.891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302.499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278.260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Exigível a Longo Prazo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89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96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310.982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298.153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311.071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298.249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1.107.523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1.003.759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38.055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103.764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E6303A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52D4A" w:rsidRPr="00652D4A">
              <w:rPr>
                <w:color w:val="000000"/>
              </w:rPr>
              <w:t>15.808</w:t>
            </w:r>
            <w:r>
              <w:rPr>
                <w:color w:val="000000"/>
              </w:rPr>
              <w:t>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E6303A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52D4A" w:rsidRPr="00652D4A">
              <w:rPr>
                <w:color w:val="000000"/>
              </w:rPr>
              <w:t>15.329</w:t>
            </w:r>
            <w:r>
              <w:rPr>
                <w:color w:val="000000"/>
              </w:rPr>
              <w:t>)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E6303A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52D4A" w:rsidRPr="00652D4A">
              <w:rPr>
                <w:color w:val="000000"/>
              </w:rPr>
              <w:t>114.599</w:t>
            </w:r>
            <w:r>
              <w:rPr>
                <w:color w:val="000000"/>
              </w:rPr>
              <w:t>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E6303A" w:rsidP="00652D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652D4A" w:rsidRPr="00652D4A">
              <w:rPr>
                <w:color w:val="000000"/>
              </w:rPr>
              <w:t>110.591</w:t>
            </w:r>
            <w:r>
              <w:rPr>
                <w:color w:val="000000"/>
              </w:rPr>
              <w:t>)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1.015.171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981.603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</w:t>
            </w:r>
            <w:r w:rsidRPr="00652D4A">
              <w:rPr>
                <w:b/>
                <w:bCs/>
                <w:color w:val="000000"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1.628.741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1.558.112</w:t>
            </w:r>
          </w:p>
        </w:tc>
      </w:tr>
    </w:tbl>
    <w:p w:rsidR="00CD7AFB" w:rsidRDefault="00500AA1" w:rsidP="00CD7AFB">
      <w:pPr>
        <w:jc w:val="center"/>
      </w:pPr>
      <w:r>
        <w:br w:type="textWrapping" w:clear="all"/>
      </w: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Default="00CD7AFB" w:rsidP="00CD7AFB">
      <w:pPr>
        <w:rPr>
          <w:b/>
        </w:rPr>
      </w:pPr>
    </w:p>
    <w:p w:rsidR="002C7C23" w:rsidRPr="00FD7B48" w:rsidRDefault="002C7C23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554"/>
        <w:gridCol w:w="161"/>
        <w:gridCol w:w="1128"/>
        <w:gridCol w:w="161"/>
        <w:gridCol w:w="1136"/>
        <w:gridCol w:w="161"/>
        <w:gridCol w:w="1281"/>
        <w:gridCol w:w="161"/>
        <w:gridCol w:w="1097"/>
      </w:tblGrid>
      <w:tr w:rsidR="009B74F5" w:rsidRPr="00010B64" w:rsidTr="00861428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9B74F5">
            <w:pPr>
              <w:rPr>
                <w:b/>
                <w:bCs/>
                <w:color w:val="000000"/>
              </w:rPr>
            </w:pPr>
            <w:r w:rsidRPr="00E6303A">
              <w:rPr>
                <w:b/>
                <w:bCs/>
                <w:color w:val="000000"/>
              </w:rPr>
              <w:lastRenderedPageBreak/>
              <w:t>Demonstração de Resultado Do Exercício (DRE)</w:t>
            </w:r>
          </w:p>
        </w:tc>
      </w:tr>
      <w:tr w:rsidR="002C1740" w:rsidRPr="00010B64" w:rsidTr="00861428">
        <w:trPr>
          <w:trHeight w:val="300"/>
        </w:trPr>
        <w:tc>
          <w:tcPr>
            <w:tcW w:w="18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907FDE">
            <w:pPr>
              <w:rPr>
                <w:b/>
                <w:bCs/>
                <w:color w:val="000000"/>
              </w:rPr>
            </w:pPr>
          </w:p>
        </w:tc>
        <w:tc>
          <w:tcPr>
            <w:tcW w:w="3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right w:val="nil"/>
            </w:tcBorders>
            <w:vAlign w:val="bottom"/>
          </w:tcPr>
          <w:p w:rsidR="009B74F5" w:rsidRPr="00E6303A" w:rsidRDefault="009B74F5" w:rsidP="002C1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vAlign w:val="bottom"/>
          </w:tcPr>
          <w:p w:rsidR="009B74F5" w:rsidRPr="00E6303A" w:rsidRDefault="009B74F5" w:rsidP="002C1740">
            <w:pPr>
              <w:rPr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right w:val="nil"/>
            </w:tcBorders>
            <w:vAlign w:val="bottom"/>
          </w:tcPr>
          <w:p w:rsidR="009B74F5" w:rsidRPr="00E6303A" w:rsidRDefault="009B74F5" w:rsidP="002C174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</w:tcPr>
          <w:p w:rsidR="009B74F5" w:rsidRPr="00E6303A" w:rsidRDefault="009B74F5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010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010B64">
            <w:pPr>
              <w:rPr>
                <w:color w:val="000000"/>
              </w:rPr>
            </w:pPr>
          </w:p>
        </w:tc>
        <w:tc>
          <w:tcPr>
            <w:tcW w:w="59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B74F5" w:rsidRPr="00E6303A" w:rsidRDefault="009B74F5" w:rsidP="00010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61428" w:rsidRPr="00BB5DA9" w:rsidTr="00861428">
        <w:trPr>
          <w:trHeight w:val="300"/>
        </w:trPr>
        <w:tc>
          <w:tcPr>
            <w:tcW w:w="18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28" w:rsidRPr="00861428" w:rsidRDefault="00861428" w:rsidP="00907FD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428" w:rsidRPr="003519AF" w:rsidRDefault="00861428" w:rsidP="0001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9AF">
              <w:rPr>
                <w:b/>
                <w:bCs/>
                <w:color w:val="000000"/>
                <w:sz w:val="18"/>
                <w:szCs w:val="18"/>
              </w:rPr>
              <w:t xml:space="preserve">Nota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28" w:rsidRPr="003519AF" w:rsidRDefault="00861428" w:rsidP="00010B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1428" w:rsidRPr="003519AF" w:rsidRDefault="00861428" w:rsidP="0005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9AF">
              <w:rPr>
                <w:b/>
                <w:bCs/>
                <w:color w:val="000000"/>
                <w:sz w:val="18"/>
                <w:szCs w:val="18"/>
              </w:rPr>
              <w:t>01/07/2019 a 30/09/2019</w:t>
            </w:r>
          </w:p>
        </w:tc>
        <w:tc>
          <w:tcPr>
            <w:tcW w:w="88" w:type="pct"/>
            <w:tcBorders>
              <w:left w:val="nil"/>
              <w:right w:val="nil"/>
            </w:tcBorders>
            <w:vAlign w:val="bottom"/>
          </w:tcPr>
          <w:p w:rsidR="00861428" w:rsidRPr="003519AF" w:rsidRDefault="00861428" w:rsidP="00053B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61428" w:rsidRPr="003519AF" w:rsidRDefault="00861428" w:rsidP="0005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519AF">
              <w:rPr>
                <w:b/>
                <w:bCs/>
                <w:color w:val="000000"/>
                <w:sz w:val="18"/>
                <w:szCs w:val="18"/>
              </w:rPr>
              <w:t>01/07/2018 a 30/09/2018</w:t>
            </w:r>
          </w:p>
        </w:tc>
        <w:tc>
          <w:tcPr>
            <w:tcW w:w="88" w:type="pct"/>
            <w:tcBorders>
              <w:left w:val="nil"/>
              <w:right w:val="nil"/>
            </w:tcBorders>
          </w:tcPr>
          <w:p w:rsidR="00861428" w:rsidRPr="003519AF" w:rsidRDefault="00861428" w:rsidP="0005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428" w:rsidRPr="00BB5DA9" w:rsidRDefault="00861428" w:rsidP="0005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5DA9">
              <w:rPr>
                <w:b/>
                <w:bCs/>
                <w:color w:val="000000"/>
                <w:sz w:val="18"/>
                <w:szCs w:val="18"/>
              </w:rPr>
              <w:t>01/01/2019 a 30/09/2019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1428" w:rsidRPr="00BB5DA9" w:rsidRDefault="00861428" w:rsidP="00053B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1428" w:rsidRPr="00BB5DA9" w:rsidRDefault="00E84700" w:rsidP="00053B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B5DA9">
              <w:rPr>
                <w:b/>
                <w:bCs/>
                <w:color w:val="000000"/>
                <w:sz w:val="18"/>
                <w:szCs w:val="18"/>
              </w:rPr>
              <w:t>01/01/2018 a 30/09</w:t>
            </w:r>
            <w:r w:rsidR="00861428" w:rsidRPr="00BB5DA9">
              <w:rPr>
                <w:b/>
                <w:bCs/>
                <w:color w:val="000000"/>
                <w:sz w:val="18"/>
                <w:szCs w:val="18"/>
              </w:rPr>
              <w:t>/2018</w:t>
            </w:r>
          </w:p>
        </w:tc>
      </w:tr>
      <w:tr w:rsidR="002C1740" w:rsidRPr="00BB5DA9" w:rsidTr="00861428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4F5" w:rsidRPr="00861428" w:rsidRDefault="009B74F5" w:rsidP="00010B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4F5" w:rsidRPr="00861428" w:rsidRDefault="009B74F5" w:rsidP="00010B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4F5" w:rsidRPr="00861428" w:rsidRDefault="009B74F5" w:rsidP="00010B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4F5" w:rsidRPr="00861428" w:rsidRDefault="009B74F5" w:rsidP="002C17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vAlign w:val="bottom"/>
          </w:tcPr>
          <w:p w:rsidR="009B74F5" w:rsidRPr="00861428" w:rsidRDefault="009B74F5" w:rsidP="002C17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4F5" w:rsidRPr="00861428" w:rsidRDefault="009B74F5" w:rsidP="002C174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</w:tcPr>
          <w:p w:rsidR="009B74F5" w:rsidRPr="00861428" w:rsidRDefault="009B74F5" w:rsidP="00010B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4F5" w:rsidRPr="00BB5DA9" w:rsidRDefault="009B74F5" w:rsidP="00010B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4F5" w:rsidRPr="00BB5DA9" w:rsidRDefault="009B74F5" w:rsidP="00010B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74F5" w:rsidRPr="00BB5DA9" w:rsidRDefault="009B74F5" w:rsidP="00010B64">
            <w:pPr>
              <w:rPr>
                <w:color w:val="000000"/>
                <w:sz w:val="18"/>
                <w:szCs w:val="18"/>
              </w:rPr>
            </w:pP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380901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</w:t>
            </w:r>
            <w:r w:rsidR="002C1740" w:rsidRPr="0038392F">
              <w:rPr>
                <w:b/>
                <w:color w:val="000000"/>
                <w:sz w:val="18"/>
                <w:szCs w:val="18"/>
              </w:rPr>
              <w:t>61</w:t>
            </w:r>
            <w:r w:rsidR="009B74F5" w:rsidRPr="0038392F">
              <w:rPr>
                <w:b/>
                <w:color w:val="000000"/>
                <w:sz w:val="18"/>
                <w:szCs w:val="18"/>
              </w:rPr>
              <w:t>.</w:t>
            </w:r>
            <w:r w:rsidR="002C1740" w:rsidRPr="0038392F">
              <w:rPr>
                <w:b/>
                <w:color w:val="000000"/>
                <w:sz w:val="18"/>
                <w:szCs w:val="18"/>
              </w:rPr>
              <w:t>440</w:t>
            </w:r>
            <w:r w:rsidR="009B74F5" w:rsidRPr="0038392F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</w:t>
            </w:r>
            <w:r w:rsidR="002C1740" w:rsidRPr="0038392F">
              <w:rPr>
                <w:b/>
                <w:color w:val="000000"/>
                <w:sz w:val="18"/>
                <w:szCs w:val="18"/>
              </w:rPr>
              <w:t>56</w:t>
            </w:r>
            <w:r w:rsidRPr="0038392F">
              <w:rPr>
                <w:b/>
                <w:color w:val="000000"/>
                <w:sz w:val="18"/>
                <w:szCs w:val="18"/>
              </w:rPr>
              <w:t>.</w:t>
            </w:r>
            <w:r w:rsidR="002C1740" w:rsidRPr="0038392F">
              <w:rPr>
                <w:b/>
                <w:color w:val="000000"/>
                <w:sz w:val="18"/>
                <w:szCs w:val="18"/>
              </w:rPr>
              <w:t>372</w:t>
            </w:r>
            <w:r w:rsidRPr="0038392F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183.201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171.246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Serviços Prestados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</w:t>
            </w:r>
            <w:r w:rsidR="002C1740" w:rsidRPr="0038392F">
              <w:rPr>
                <w:color w:val="000000"/>
                <w:sz w:val="18"/>
                <w:szCs w:val="18"/>
              </w:rPr>
              <w:t xml:space="preserve">61.440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56.372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183.201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171.246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(696)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(527)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  (1.991)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(1.685)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PIS Sobre Faturamento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(124)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(94)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 </w:t>
            </w:r>
            <w:r w:rsidR="009B74F5" w:rsidRPr="0038392F">
              <w:rPr>
                <w:color w:val="000000"/>
                <w:sz w:val="18"/>
                <w:szCs w:val="18"/>
              </w:rPr>
              <w:t>(355)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(300)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COFINS Sobre Faturamento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(572)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(433)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(1.637)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(1.385)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60.744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55.846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181.210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169.561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(308.115)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(286.129)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(913.704)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(814.191)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(247.371)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(230.284)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(732.494)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4F5" w:rsidRPr="0038392F" w:rsidRDefault="009B74F5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(644.630)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57.783</w:t>
            </w:r>
            <w:r w:rsidRPr="0038392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69.355</w:t>
            </w:r>
            <w:r w:rsidRPr="0038392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(171.303)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(197.352)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Despesas Administrativas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53.198</w:t>
            </w:r>
            <w:r w:rsidRPr="0038392F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69.355</w:t>
            </w:r>
            <w:r w:rsidRPr="0038392F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(155.160)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(197.352)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Provisão para Contingencias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4.585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             - 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(16.143)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3.433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3.340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  9.231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7.976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Receitas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3.611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4.080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9.890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9.480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Despesas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155</w:t>
            </w:r>
            <w:r w:rsidRPr="0038392F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534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 (542)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(1.129)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Resultado com Baixa Bens do Imobilizado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23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207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 (116)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(375)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301.722</w:t>
            </w:r>
            <w:r w:rsidRPr="0038392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296.299</w:t>
            </w:r>
            <w:r w:rsidRPr="0038392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(894.565)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(834.006)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Resultado Financeiro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 xml:space="preserve"> 173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678</w:t>
            </w:r>
            <w:r w:rsidRPr="0038392F">
              <w:rPr>
                <w:b/>
                <w:sz w:val="18"/>
                <w:szCs w:val="18"/>
              </w:rPr>
              <w:t>)</w:t>
            </w:r>
            <w:r w:rsidR="002C1740" w:rsidRPr="003839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      (93)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(7.843)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Despesas Financeiras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424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1.262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(2.085)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(9.550)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Receitas Financeiras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597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584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1.991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1.707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8392F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301.549</w:t>
            </w:r>
            <w:r w:rsidRPr="0038392F">
              <w:rPr>
                <w:b/>
                <w:sz w:val="18"/>
                <w:szCs w:val="18"/>
              </w:rPr>
              <w:t>)</w:t>
            </w:r>
            <w:r w:rsidR="002C1740" w:rsidRPr="003839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296.977</w:t>
            </w:r>
            <w:r w:rsidRPr="0038392F">
              <w:rPr>
                <w:b/>
                <w:sz w:val="18"/>
                <w:szCs w:val="18"/>
              </w:rPr>
              <w:t>)</w:t>
            </w:r>
            <w:r w:rsidR="002C1740" w:rsidRPr="003839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(894.659)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(841.849)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308.270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 xml:space="preserve"> 324.011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928.262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932.418 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18.604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E878FD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31.789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(38.055)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(94.741)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145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E878FD" w:rsidP="00053B4F">
            <w:pPr>
              <w:jc w:val="right"/>
              <w:rPr>
                <w:sz w:val="18"/>
                <w:szCs w:val="18"/>
              </w:rPr>
            </w:pPr>
            <w:r w:rsidRPr="0038392F">
              <w:rPr>
                <w:sz w:val="18"/>
                <w:szCs w:val="18"/>
              </w:rPr>
              <w:t>(</w:t>
            </w:r>
            <w:r w:rsidR="002C1740" w:rsidRPr="0038392F">
              <w:rPr>
                <w:sz w:val="18"/>
                <w:szCs w:val="18"/>
              </w:rPr>
              <w:t>147</w:t>
            </w:r>
            <w:r w:rsidRPr="0038392F">
              <w:rPr>
                <w:sz w:val="18"/>
                <w:szCs w:val="18"/>
              </w:rPr>
              <w:t>)</w:t>
            </w:r>
            <w:r w:rsidR="002C1740" w:rsidRPr="0038392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    (307)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color w:val="000000"/>
                <w:sz w:val="18"/>
                <w:szCs w:val="18"/>
              </w:rPr>
            </w:pPr>
            <w:r w:rsidRPr="0038392F">
              <w:rPr>
                <w:color w:val="000000"/>
                <w:sz w:val="18"/>
                <w:szCs w:val="18"/>
              </w:rPr>
              <w:t xml:space="preserve">          (984)</w:t>
            </w:r>
          </w:p>
        </w:tc>
      </w:tr>
      <w:tr w:rsidR="002C1740" w:rsidRPr="0038392F" w:rsidTr="00053B4F">
        <w:trPr>
          <w:trHeight w:val="30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>Resultado Líquido do Exercício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12.029</w:t>
            </w:r>
            <w:r w:rsidRPr="0038392F">
              <w:rPr>
                <w:b/>
                <w:sz w:val="18"/>
                <w:szCs w:val="18"/>
              </w:rPr>
              <w:t>)</w:t>
            </w:r>
            <w:r w:rsidR="002C1740" w:rsidRPr="003839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380901" w:rsidP="00053B4F">
            <w:pPr>
              <w:jc w:val="right"/>
              <w:rPr>
                <w:b/>
                <w:sz w:val="18"/>
                <w:szCs w:val="18"/>
              </w:rPr>
            </w:pPr>
            <w:r w:rsidRPr="0038392F">
              <w:rPr>
                <w:b/>
                <w:sz w:val="18"/>
                <w:szCs w:val="18"/>
              </w:rPr>
              <w:t>(</w:t>
            </w:r>
            <w:r w:rsidR="002C1740" w:rsidRPr="0038392F">
              <w:rPr>
                <w:b/>
                <w:sz w:val="18"/>
                <w:szCs w:val="18"/>
              </w:rPr>
              <w:t>4.902</w:t>
            </w:r>
            <w:r w:rsidRPr="0038392F">
              <w:rPr>
                <w:b/>
                <w:sz w:val="18"/>
                <w:szCs w:val="18"/>
              </w:rPr>
              <w:t>)</w:t>
            </w:r>
            <w:r w:rsidR="002C1740" w:rsidRPr="0038392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    (4.759)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740" w:rsidRPr="0038392F" w:rsidRDefault="002C1740" w:rsidP="00053B4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8392F">
              <w:rPr>
                <w:b/>
                <w:color w:val="000000"/>
                <w:sz w:val="18"/>
                <w:szCs w:val="18"/>
              </w:rPr>
              <w:t xml:space="preserve">       (5.156)</w:t>
            </w:r>
          </w:p>
        </w:tc>
      </w:tr>
    </w:tbl>
    <w:p w:rsidR="00282794" w:rsidRDefault="00282794" w:rsidP="00B63A81">
      <w:pPr>
        <w:rPr>
          <w:sz w:val="16"/>
          <w:szCs w:val="16"/>
        </w:rPr>
      </w:pPr>
    </w:p>
    <w:p w:rsidR="00C95A7F" w:rsidRDefault="00C95A7F" w:rsidP="00B63A81">
      <w:pPr>
        <w:rPr>
          <w:sz w:val="16"/>
          <w:szCs w:val="16"/>
        </w:rPr>
      </w:pPr>
    </w:p>
    <w:tbl>
      <w:tblPr>
        <w:tblW w:w="49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3"/>
      </w:tblGrid>
      <w:tr w:rsidR="00D802AA" w:rsidRPr="00C65F56" w:rsidTr="007016DD">
        <w:trPr>
          <w:trHeight w:val="30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053B4F" w:rsidP="00053B4F">
            <w:pPr>
              <w:rPr>
                <w:b/>
                <w:bCs/>
                <w:color w:val="000000"/>
              </w:rPr>
            </w:pPr>
            <w:r w:rsidRPr="00C65F56">
              <w:rPr>
                <w:b/>
                <w:bCs/>
                <w:color w:val="000000"/>
              </w:rPr>
              <w:t>Demonstração do</w:t>
            </w:r>
            <w:r w:rsidR="00D802AA" w:rsidRPr="00C65F56">
              <w:rPr>
                <w:b/>
                <w:bCs/>
                <w:color w:val="000000"/>
              </w:rPr>
              <w:t xml:space="preserve"> Resultado </w:t>
            </w:r>
            <w:r w:rsidRPr="00C65F56">
              <w:rPr>
                <w:b/>
                <w:bCs/>
                <w:color w:val="000000"/>
              </w:rPr>
              <w:t>Abrangente</w:t>
            </w:r>
            <w:r w:rsidR="00D802AA" w:rsidRPr="00C65F56">
              <w:rPr>
                <w:b/>
                <w:bCs/>
                <w:color w:val="000000"/>
              </w:rPr>
              <w:t xml:space="preserve"> (DR</w:t>
            </w:r>
            <w:r w:rsidRPr="00C65F56">
              <w:rPr>
                <w:b/>
                <w:bCs/>
                <w:color w:val="000000"/>
              </w:rPr>
              <w:t>A</w:t>
            </w:r>
            <w:r w:rsidR="00D802AA" w:rsidRPr="00C65F56">
              <w:rPr>
                <w:b/>
                <w:bCs/>
                <w:color w:val="000000"/>
              </w:rPr>
              <w:t>)</w:t>
            </w:r>
          </w:p>
        </w:tc>
      </w:tr>
    </w:tbl>
    <w:p w:rsidR="00A32395" w:rsidRPr="00C65F56" w:rsidRDefault="00A32395" w:rsidP="00B63A81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553"/>
        <w:gridCol w:w="160"/>
        <w:gridCol w:w="1118"/>
        <w:gridCol w:w="160"/>
        <w:gridCol w:w="1128"/>
        <w:gridCol w:w="160"/>
        <w:gridCol w:w="1271"/>
        <w:gridCol w:w="160"/>
        <w:gridCol w:w="1188"/>
      </w:tblGrid>
      <w:tr w:rsidR="00D802AA" w:rsidRPr="00C65F56" w:rsidTr="00EF1D59">
        <w:trPr>
          <w:trHeight w:val="300"/>
        </w:trPr>
        <w:tc>
          <w:tcPr>
            <w:tcW w:w="17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AA" w:rsidRPr="00C65F56" w:rsidRDefault="00D802AA" w:rsidP="007016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AA" w:rsidRPr="00C65F56" w:rsidRDefault="00D802AA" w:rsidP="007016D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802AA" w:rsidRPr="00C65F56" w:rsidRDefault="00D802AA" w:rsidP="003839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F56">
              <w:rPr>
                <w:b/>
                <w:bCs/>
                <w:color w:val="000000"/>
                <w:sz w:val="18"/>
                <w:szCs w:val="18"/>
              </w:rPr>
              <w:t>01/07/2019 a 30/09/2019</w:t>
            </w:r>
          </w:p>
        </w:tc>
        <w:tc>
          <w:tcPr>
            <w:tcW w:w="87" w:type="pct"/>
            <w:tcBorders>
              <w:left w:val="nil"/>
              <w:right w:val="nil"/>
            </w:tcBorders>
            <w:vAlign w:val="bottom"/>
          </w:tcPr>
          <w:p w:rsidR="00D802AA" w:rsidRPr="00C65F56" w:rsidRDefault="00D802AA" w:rsidP="003839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802AA" w:rsidRPr="00C65F56" w:rsidRDefault="00D802AA" w:rsidP="003839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F56">
              <w:rPr>
                <w:b/>
                <w:bCs/>
                <w:color w:val="000000"/>
                <w:sz w:val="18"/>
                <w:szCs w:val="18"/>
              </w:rPr>
              <w:t>01/07/2018 a 30/09/2018</w:t>
            </w:r>
          </w:p>
        </w:tc>
        <w:tc>
          <w:tcPr>
            <w:tcW w:w="87" w:type="pct"/>
            <w:tcBorders>
              <w:left w:val="nil"/>
              <w:right w:val="nil"/>
            </w:tcBorders>
          </w:tcPr>
          <w:p w:rsidR="00D802AA" w:rsidRPr="00C65F56" w:rsidRDefault="00D802AA" w:rsidP="003839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2AA" w:rsidRPr="00C65F56" w:rsidRDefault="00D802AA" w:rsidP="003839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F56">
              <w:rPr>
                <w:b/>
                <w:bCs/>
                <w:color w:val="000000"/>
                <w:sz w:val="18"/>
                <w:szCs w:val="18"/>
              </w:rPr>
              <w:t>01/01/2019 a 30/09/2019</w:t>
            </w: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2AA" w:rsidRPr="00C65F56" w:rsidRDefault="00D802AA" w:rsidP="0038392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2AA" w:rsidRPr="00C65F56" w:rsidRDefault="00D802AA" w:rsidP="0038392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65F56">
              <w:rPr>
                <w:b/>
                <w:bCs/>
                <w:color w:val="000000"/>
                <w:sz w:val="18"/>
                <w:szCs w:val="18"/>
              </w:rPr>
              <w:t>01/01/2018 a 30/09/2018</w:t>
            </w:r>
          </w:p>
        </w:tc>
      </w:tr>
      <w:tr w:rsidR="00D802AA" w:rsidRPr="00C65F56" w:rsidTr="00EF1D59">
        <w:trPr>
          <w:trHeight w:val="300"/>
        </w:trPr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left w:val="nil"/>
              <w:bottom w:val="nil"/>
              <w:right w:val="nil"/>
            </w:tcBorders>
            <w:vAlign w:val="bottom"/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02AA" w:rsidRPr="00C65F56" w:rsidRDefault="00D802AA" w:rsidP="007016DD">
            <w:pPr>
              <w:rPr>
                <w:color w:val="000000"/>
                <w:sz w:val="18"/>
                <w:szCs w:val="18"/>
              </w:rPr>
            </w:pPr>
          </w:p>
        </w:tc>
      </w:tr>
      <w:tr w:rsidR="00B85997" w:rsidRPr="00C65F56" w:rsidTr="00B42ED3">
        <w:trPr>
          <w:trHeight w:val="300"/>
        </w:trPr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97" w:rsidRPr="00C65F56" w:rsidRDefault="00B85997" w:rsidP="0038392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5F56">
              <w:rPr>
                <w:b/>
                <w:color w:val="000000"/>
                <w:sz w:val="18"/>
                <w:szCs w:val="18"/>
              </w:rPr>
              <w:t>Resultado Líquido do Exercício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97" w:rsidRPr="00C65F56" w:rsidRDefault="00B85997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997" w:rsidRPr="00C65F56" w:rsidRDefault="00B85997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sz w:val="18"/>
                <w:szCs w:val="18"/>
              </w:rPr>
            </w:pPr>
            <w:r w:rsidRPr="00C65F56">
              <w:rPr>
                <w:b/>
                <w:sz w:val="18"/>
                <w:szCs w:val="18"/>
              </w:rPr>
              <w:t xml:space="preserve">(12.029)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sz w:val="18"/>
                <w:szCs w:val="18"/>
              </w:rPr>
            </w:pPr>
            <w:r w:rsidRPr="00C65F56">
              <w:rPr>
                <w:b/>
                <w:sz w:val="18"/>
                <w:szCs w:val="18"/>
              </w:rPr>
              <w:t xml:space="preserve">(4.902)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5F56">
              <w:rPr>
                <w:b/>
                <w:color w:val="000000"/>
                <w:sz w:val="18"/>
                <w:szCs w:val="18"/>
              </w:rPr>
              <w:t xml:space="preserve">           (4.759)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5F56">
              <w:rPr>
                <w:b/>
                <w:color w:val="000000"/>
                <w:sz w:val="18"/>
                <w:szCs w:val="18"/>
              </w:rPr>
              <w:t xml:space="preserve">       (5.156)</w:t>
            </w:r>
          </w:p>
        </w:tc>
      </w:tr>
      <w:tr w:rsidR="00B85997" w:rsidRPr="00C65F56" w:rsidTr="00B42ED3">
        <w:trPr>
          <w:trHeight w:val="300"/>
        </w:trPr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38392F">
            <w:pPr>
              <w:rPr>
                <w:sz w:val="18"/>
                <w:szCs w:val="18"/>
              </w:rPr>
            </w:pPr>
            <w:r w:rsidRPr="00C65F56">
              <w:rPr>
                <w:sz w:val="18"/>
                <w:szCs w:val="18"/>
              </w:rPr>
              <w:t>Ajuste de exercícios anteriores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053B4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-</w:t>
            </w:r>
          </w:p>
        </w:tc>
      </w:tr>
      <w:tr w:rsidR="00B85997" w:rsidRPr="00C65F56" w:rsidTr="00B42ED3">
        <w:trPr>
          <w:trHeight w:val="300"/>
        </w:trPr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38392F">
            <w:pPr>
              <w:rPr>
                <w:sz w:val="18"/>
                <w:szCs w:val="18"/>
              </w:rPr>
            </w:pPr>
            <w:r w:rsidRPr="00C65F56">
              <w:rPr>
                <w:sz w:val="18"/>
                <w:szCs w:val="18"/>
              </w:rPr>
              <w:t>Ajuste de Avaliação Patrimonial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053B4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053B4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5997" w:rsidRPr="00C65F56" w:rsidRDefault="00B85997" w:rsidP="00B42ED3">
            <w:pPr>
              <w:jc w:val="right"/>
              <w:rPr>
                <w:color w:val="000000"/>
                <w:sz w:val="18"/>
                <w:szCs w:val="18"/>
              </w:rPr>
            </w:pPr>
            <w:r w:rsidRPr="00C65F56">
              <w:rPr>
                <w:color w:val="000000"/>
                <w:sz w:val="18"/>
                <w:szCs w:val="18"/>
              </w:rPr>
              <w:t>2.11</w:t>
            </w:r>
            <w:r w:rsidR="00DF0DA8" w:rsidRPr="00C65F56">
              <w:rPr>
                <w:color w:val="000000"/>
                <w:sz w:val="18"/>
                <w:szCs w:val="18"/>
              </w:rPr>
              <w:t>9</w:t>
            </w:r>
          </w:p>
        </w:tc>
      </w:tr>
      <w:tr w:rsidR="00DF0DA8" w:rsidRPr="0038392F" w:rsidTr="00B42ED3">
        <w:trPr>
          <w:trHeight w:val="300"/>
        </w:trPr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DA8" w:rsidRPr="00C65F56" w:rsidRDefault="00DF0DA8" w:rsidP="0038392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65F56">
              <w:rPr>
                <w:b/>
                <w:color w:val="000000"/>
                <w:sz w:val="18"/>
                <w:szCs w:val="18"/>
              </w:rPr>
              <w:t>Resultado Abrangente do Exercício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DA8" w:rsidRPr="00C65F56" w:rsidRDefault="00DF0DA8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0DA8" w:rsidRPr="00C65F56" w:rsidRDefault="00DF0DA8" w:rsidP="00053B4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DA8" w:rsidRPr="00C65F56" w:rsidRDefault="00DF0DA8" w:rsidP="00B42ED3">
            <w:pPr>
              <w:jc w:val="right"/>
              <w:rPr>
                <w:b/>
                <w:sz w:val="18"/>
                <w:szCs w:val="18"/>
              </w:rPr>
            </w:pPr>
            <w:r w:rsidRPr="00C65F56">
              <w:rPr>
                <w:b/>
                <w:sz w:val="18"/>
                <w:szCs w:val="18"/>
              </w:rPr>
              <w:t xml:space="preserve">(12.029)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DA8" w:rsidRPr="00C65F56" w:rsidRDefault="00DF0DA8" w:rsidP="00B42ED3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DA8" w:rsidRPr="00C65F56" w:rsidRDefault="00DF0DA8" w:rsidP="00B42ED3">
            <w:pPr>
              <w:jc w:val="right"/>
              <w:rPr>
                <w:b/>
                <w:sz w:val="18"/>
                <w:szCs w:val="18"/>
              </w:rPr>
            </w:pPr>
            <w:r w:rsidRPr="00C65F56">
              <w:rPr>
                <w:b/>
                <w:sz w:val="18"/>
                <w:szCs w:val="18"/>
              </w:rPr>
              <w:t xml:space="preserve">(4.902) 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0DA8" w:rsidRPr="00C65F56" w:rsidRDefault="00DF0DA8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DA8" w:rsidRPr="00C65F56" w:rsidRDefault="00DF0DA8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5F56">
              <w:rPr>
                <w:b/>
                <w:color w:val="000000"/>
                <w:sz w:val="18"/>
                <w:szCs w:val="18"/>
              </w:rPr>
              <w:t xml:space="preserve">           (4.</w:t>
            </w:r>
            <w:r w:rsidR="00067454" w:rsidRPr="00C65F56">
              <w:rPr>
                <w:b/>
                <w:color w:val="000000"/>
                <w:sz w:val="18"/>
                <w:szCs w:val="18"/>
              </w:rPr>
              <w:t>486</w:t>
            </w:r>
            <w:r w:rsidRPr="00C65F56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DA8" w:rsidRPr="00C65F56" w:rsidRDefault="00DF0DA8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0DA8" w:rsidRPr="0038392F" w:rsidRDefault="00DF0DA8" w:rsidP="00B42ED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65F56">
              <w:rPr>
                <w:b/>
                <w:color w:val="000000"/>
                <w:sz w:val="18"/>
                <w:szCs w:val="18"/>
              </w:rPr>
              <w:t xml:space="preserve">       (</w:t>
            </w:r>
            <w:r w:rsidR="00067454" w:rsidRPr="00C65F56">
              <w:rPr>
                <w:b/>
                <w:color w:val="000000"/>
                <w:sz w:val="18"/>
                <w:szCs w:val="18"/>
              </w:rPr>
              <w:t>3</w:t>
            </w:r>
            <w:r w:rsidRPr="00C65F56">
              <w:rPr>
                <w:b/>
                <w:color w:val="000000"/>
                <w:sz w:val="18"/>
                <w:szCs w:val="18"/>
              </w:rPr>
              <w:t>.</w:t>
            </w:r>
            <w:r w:rsidR="00067454" w:rsidRPr="00C65F56">
              <w:rPr>
                <w:b/>
                <w:color w:val="000000"/>
                <w:sz w:val="18"/>
                <w:szCs w:val="18"/>
              </w:rPr>
              <w:t>037</w:t>
            </w:r>
            <w:r w:rsidRPr="00C65F56"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A32395" w:rsidRDefault="00A32395" w:rsidP="00B63A81">
      <w:pPr>
        <w:rPr>
          <w:sz w:val="16"/>
          <w:szCs w:val="16"/>
        </w:rPr>
      </w:pPr>
    </w:p>
    <w:p w:rsidR="00A32395" w:rsidRDefault="00A32395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CD7AFB" w:rsidRPr="00B42ED3" w:rsidRDefault="00DF06DB" w:rsidP="00606533">
      <w:r w:rsidRPr="00B42ED3">
        <w:t>A</w:t>
      </w:r>
      <w:r w:rsidR="00CD7AFB" w:rsidRPr="00B42ED3">
        <w:t>s notas explicativas são parte integran</w:t>
      </w:r>
      <w:r w:rsidR="00606533" w:rsidRPr="00B42ED3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B905C4" w:rsidRDefault="00B905C4">
      <w:pPr>
        <w:rPr>
          <w:b/>
          <w:bCs/>
          <w:color w:val="000000"/>
        </w:rPr>
        <w:sectPr w:rsidR="00B905C4" w:rsidSect="00B07FD6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Default="00C80B8A">
      <w:pPr>
        <w:rPr>
          <w:b/>
          <w:bCs/>
          <w:color w:val="000000"/>
        </w:rPr>
      </w:pPr>
    </w:p>
    <w:p w:rsidR="003D7188" w:rsidRDefault="003D7188" w:rsidP="00C80B8A">
      <w:pPr>
        <w:rPr>
          <w:b/>
          <w:bCs/>
          <w:color w:val="000000"/>
        </w:rPr>
      </w:pPr>
    </w:p>
    <w:p w:rsidR="00C80B8A" w:rsidRDefault="00C80B8A" w:rsidP="00C80B8A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4D09C8" w:rsidRDefault="004D09C8" w:rsidP="00C80B8A">
      <w:pPr>
        <w:rPr>
          <w:b/>
          <w:bCs/>
          <w:color w:val="000000"/>
        </w:rPr>
      </w:pPr>
    </w:p>
    <w:p w:rsidR="00C80B8A" w:rsidRPr="00D403A7" w:rsidRDefault="00C80B8A" w:rsidP="00C80B8A">
      <w:pPr>
        <w:rPr>
          <w:b/>
          <w:bCs/>
          <w:color w:val="000000"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1516"/>
        <w:gridCol w:w="232"/>
        <w:gridCol w:w="2172"/>
        <w:gridCol w:w="232"/>
        <w:gridCol w:w="2036"/>
        <w:gridCol w:w="232"/>
        <w:gridCol w:w="1452"/>
        <w:gridCol w:w="226"/>
        <w:gridCol w:w="1399"/>
      </w:tblGrid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both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2937F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67636F" w:rsidRDefault="0067636F" w:rsidP="000D0348">
            <w:pPr>
              <w:rPr>
                <w:color w:val="000000"/>
              </w:rPr>
            </w:pPr>
            <w:r w:rsidRPr="0067636F">
              <w:rPr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Total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31 de dezembro de 2017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376.403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      165.273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(16.600)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(101.419)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67636F" w:rsidRDefault="0067636F" w:rsidP="000D0348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423.657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Realização da Avaliação Patrimonial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(589)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589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Resultado do Período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(5.156)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(5.156)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Adiantamento </w:t>
            </w:r>
            <w:r>
              <w:t xml:space="preserve">para </w:t>
            </w:r>
            <w:r w:rsidRPr="0067636F">
              <w:t>Futuro Aumento Capital</w:t>
            </w:r>
          </w:p>
        </w:tc>
        <w:tc>
          <w:tcPr>
            <w:tcW w:w="543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627.356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(70.998)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556.358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C14C13">
            <w:r w:rsidRPr="0067636F">
              <w:t xml:space="preserve"> Ajuste da Avaliação Patrimonial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7261ED">
            <w:pPr>
              <w:jc w:val="right"/>
            </w:pPr>
            <w:r w:rsidRPr="0067636F">
              <w:t xml:space="preserve"> 2.11</w:t>
            </w:r>
            <w:r w:rsidR="007261ED">
              <w:t>9</w:t>
            </w:r>
            <w:r w:rsidRPr="0067636F">
              <w:t xml:space="preserve">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F76B53">
            <w:pPr>
              <w:jc w:val="right"/>
            </w:pPr>
            <w:r w:rsidRPr="0067636F">
              <w:t>-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7261ED" w:rsidP="00F76B53">
            <w:pPr>
              <w:jc w:val="right"/>
            </w:pPr>
            <w:r>
              <w:t xml:space="preserve"> 2.119</w:t>
            </w:r>
            <w:r w:rsidR="0067636F" w:rsidRPr="0067636F">
              <w:t xml:space="preserve">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E84700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30 de setembro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1.003.759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 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94.275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 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636F" w:rsidRPr="0067636F" w:rsidRDefault="007261ED" w:rsidP="00F76B53">
            <w:pPr>
              <w:jc w:val="right"/>
              <w:rPr>
                <w:b/>
              </w:rPr>
            </w:pPr>
            <w:r>
              <w:rPr>
                <w:b/>
              </w:rPr>
              <w:t>(15.070</w:t>
            </w:r>
            <w:r w:rsidR="0067636F" w:rsidRPr="0067636F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  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(105.986)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  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976.978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636F" w:rsidRPr="0067636F" w:rsidRDefault="0067636F" w:rsidP="00E84700">
            <w:pPr>
              <w:rPr>
                <w:color w:val="00000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456F2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456F2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F76B53">
            <w:pPr>
              <w:jc w:val="right"/>
            </w:pP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31 de dezembro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     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B5184E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  (1</w:t>
            </w:r>
            <w:r w:rsidR="00B5184E">
              <w:rPr>
                <w:b/>
                <w:bCs/>
                <w:color w:val="000000"/>
              </w:rPr>
              <w:t>5.330</w:t>
            </w:r>
            <w:r w:rsidRPr="0067636F">
              <w:rPr>
                <w:b/>
                <w:bCs/>
                <w:color w:val="000000"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67636F" w:rsidRDefault="0067636F" w:rsidP="000D0348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67636F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981.602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273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273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583E1D">
            <w:pPr>
              <w:jc w:val="right"/>
            </w:pPr>
            <w:r w:rsidRPr="0067636F">
              <w:t xml:space="preserve">(478)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583E1D">
            <w:pPr>
              <w:jc w:val="right"/>
            </w:pPr>
            <w:r w:rsidRPr="0067636F">
              <w:t xml:space="preserve"> 478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-   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(65.709)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                -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38.055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1E0DCB">
            <w:pPr>
              <w:rPr>
                <w:color w:val="000000"/>
              </w:rPr>
            </w:pPr>
            <w:r w:rsidRPr="0067636F">
              <w:rPr>
                <w:color w:val="000000"/>
              </w:rPr>
              <w:t xml:space="preserve">  Lucro do Período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(4.759)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</w:pPr>
            <w:r w:rsidRPr="0067636F">
              <w:t xml:space="preserve">(4.759) </w:t>
            </w:r>
          </w:p>
        </w:tc>
      </w:tr>
      <w:tr w:rsidR="007261ED" w:rsidRPr="0067636F" w:rsidTr="0018194B"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67636F" w:rsidRDefault="0067636F" w:rsidP="00B51EFA">
            <w:pPr>
              <w:rPr>
                <w:b/>
                <w:bCs/>
                <w:color w:val="000000"/>
              </w:rPr>
            </w:pPr>
            <w:r w:rsidRPr="0067636F">
              <w:rPr>
                <w:b/>
                <w:bCs/>
                <w:color w:val="000000"/>
              </w:rPr>
              <w:t>Saldo em 30 de setembro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38.055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B5184E" w:rsidP="00C333D2">
            <w:pPr>
              <w:jc w:val="right"/>
              <w:rPr>
                <w:b/>
              </w:rPr>
            </w:pPr>
            <w:r>
              <w:rPr>
                <w:b/>
              </w:rPr>
              <w:t>(15.808</w:t>
            </w:r>
            <w:r w:rsidR="0067636F" w:rsidRPr="0067636F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7261ED" w:rsidP="00C333D2">
            <w:pPr>
              <w:jc w:val="right"/>
              <w:rPr>
                <w:b/>
              </w:rPr>
            </w:pPr>
            <w:r>
              <w:rPr>
                <w:b/>
              </w:rPr>
              <w:t>(114.599</w:t>
            </w:r>
            <w:r w:rsidR="0067636F" w:rsidRPr="0067636F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67636F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67636F" w:rsidRDefault="0067636F" w:rsidP="00D242CC">
            <w:pPr>
              <w:jc w:val="right"/>
              <w:rPr>
                <w:b/>
              </w:rPr>
            </w:pPr>
            <w:r w:rsidRPr="0067636F">
              <w:rPr>
                <w:b/>
              </w:rPr>
              <w:t xml:space="preserve"> 1.015.171 </w:t>
            </w:r>
          </w:p>
        </w:tc>
      </w:tr>
    </w:tbl>
    <w:p w:rsidR="00C80B8A" w:rsidRDefault="00C80B8A" w:rsidP="00B63A81">
      <w:pPr>
        <w:rPr>
          <w:b/>
          <w:bCs/>
          <w:color w:val="000000"/>
        </w:rPr>
      </w:pPr>
    </w:p>
    <w:p w:rsidR="00C80B8A" w:rsidRDefault="00C80B8A" w:rsidP="00B63A81">
      <w:pPr>
        <w:rPr>
          <w:b/>
          <w:bCs/>
          <w:color w:val="000000"/>
        </w:rPr>
      </w:pPr>
    </w:p>
    <w:p w:rsidR="003D7188" w:rsidRPr="00C843EB" w:rsidRDefault="003D7188" w:rsidP="003D7188">
      <w:r>
        <w:t>A</w:t>
      </w:r>
      <w:r w:rsidRPr="00C843EB">
        <w:t>s notas explicativas são parte integran</w:t>
      </w:r>
      <w:r>
        <w:t>te das demonstrações contábeis.</w:t>
      </w:r>
    </w:p>
    <w:p w:rsidR="00B905C4" w:rsidRDefault="00B905C4">
      <w:pPr>
        <w:rPr>
          <w:b/>
          <w:bCs/>
          <w:color w:val="000000"/>
        </w:rPr>
        <w:sectPr w:rsidR="00B905C4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E20B1B" w:rsidRPr="0012132A" w:rsidTr="00AB3B75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E20B1B" w:rsidRPr="0012132A" w:rsidRDefault="008F3DD4" w:rsidP="00E20B1B">
            <w:pPr>
              <w:rPr>
                <w:b/>
                <w:bCs/>
                <w:color w:val="000000"/>
              </w:rPr>
            </w:pPr>
            <w:r w:rsidRPr="0012132A">
              <w:rPr>
                <w:b/>
                <w:bCs/>
                <w:color w:val="000000"/>
              </w:rPr>
              <w:lastRenderedPageBreak/>
              <w:t>Fluxos de Caixa</w:t>
            </w:r>
            <w:r w:rsidR="00963A3D" w:rsidRPr="0012132A">
              <w:rPr>
                <w:b/>
                <w:bCs/>
                <w:color w:val="000000"/>
              </w:rPr>
              <w:t xml:space="preserve"> das Atividades Operacionais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1B" w:rsidRPr="0012132A" w:rsidRDefault="00BD1036" w:rsidP="00E20B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30/09</w:t>
            </w:r>
            <w:r w:rsidR="00E20B1B" w:rsidRPr="0012132A">
              <w:rPr>
                <w:b/>
                <w:bCs/>
                <w:color w:val="000000"/>
                <w:sz w:val="18"/>
                <w:szCs w:val="18"/>
              </w:rPr>
              <w:t>/2019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E20B1B" w:rsidRPr="0012132A" w:rsidRDefault="00E20B1B" w:rsidP="00E20B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B1B" w:rsidRPr="0012132A" w:rsidRDefault="00BD1036" w:rsidP="00E20B1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30/09</w:t>
            </w:r>
            <w:r w:rsidR="00E20B1B" w:rsidRPr="0012132A">
              <w:rPr>
                <w:b/>
                <w:bCs/>
                <w:color w:val="000000"/>
                <w:sz w:val="18"/>
                <w:szCs w:val="18"/>
              </w:rPr>
              <w:t>/2018</w:t>
            </w:r>
          </w:p>
        </w:tc>
      </w:tr>
      <w:tr w:rsidR="00E20B1B" w:rsidRPr="0012132A" w:rsidTr="00AB3B75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E20B1B" w:rsidRPr="0012132A" w:rsidRDefault="00E20B1B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12132A" w:rsidRDefault="00E20B1B" w:rsidP="00E20B1B">
            <w:pPr>
              <w:rPr>
                <w:color w:val="000000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12132A" w:rsidRDefault="00E20B1B" w:rsidP="00E20B1B">
            <w:pPr>
              <w:rPr>
                <w:color w:val="000000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20B1B" w:rsidRPr="0012132A" w:rsidRDefault="00E20B1B" w:rsidP="00E20B1B">
            <w:pPr>
              <w:rPr>
                <w:color w:val="000000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Lucro/Prejuízo Líquido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(4.759)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(5.156)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8E4050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273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15.396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15.824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(39)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(31)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Atualização Monetária AFAC/Reversão da Subvenção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6.993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417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543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(545)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(403)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2.294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1.246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Produção de Bens Imobilizado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-   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(3)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(1.281)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(1.322)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(188)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(449)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(275)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(498)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(1.680)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(1.400)</w:t>
            </w:r>
          </w:p>
        </w:tc>
      </w:tr>
      <w:tr w:rsidR="003D7FC3" w:rsidRPr="0012132A" w:rsidTr="004C4445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14.372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20.500 </w:t>
            </w:r>
          </w:p>
        </w:tc>
      </w:tr>
      <w:tr w:rsidR="00963A3D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A3D" w:rsidRPr="0012132A" w:rsidRDefault="00963A3D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A3D" w:rsidRPr="0012132A" w:rsidRDefault="00963A3D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3A3D" w:rsidRPr="0012132A" w:rsidRDefault="00963A3D" w:rsidP="00E20B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A3D" w:rsidRPr="0012132A" w:rsidRDefault="00963A3D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628D1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12132A" w:rsidRDefault="002628D1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12132A" w:rsidRDefault="002628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12132A" w:rsidRDefault="002628D1" w:rsidP="00E20B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12132A" w:rsidRDefault="002628D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(5.636)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(12.662)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(8.788)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(7.108)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Contas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9.896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1.809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Depósitos Judiciais/Devedores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(101)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(5)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1.799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(2.275)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3.626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4.612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(47)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(13)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(9.811)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(3.607)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2.097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682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(12.669)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(1)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(7.576)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(89)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(694)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(496)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(27.904)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(19.153)</w:t>
            </w:r>
          </w:p>
        </w:tc>
      </w:tr>
      <w:tr w:rsidR="00E36A72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12132A" w:rsidRDefault="00E36A72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12132A" w:rsidRDefault="00E36A7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72" w:rsidRPr="0012132A" w:rsidRDefault="00E36A72" w:rsidP="00E20B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72" w:rsidRPr="0012132A" w:rsidRDefault="00E36A7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3D19B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(18.291)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(3.809)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(34.519)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(79.741)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(14.155)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(6.975)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(4.122)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(1.196)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(2.007)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(280)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(54.803)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(88.192)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7FC3" w:rsidRPr="0012132A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0B7021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(7)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 para Futuro Aumento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38.055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94.275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38.048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94.275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Consumido no Período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(35.046)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2.273 </w:t>
            </w:r>
          </w:p>
        </w:tc>
      </w:tr>
      <w:tr w:rsidR="003D7FC3" w:rsidRPr="0012132A" w:rsidTr="004C4445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7FC3" w:rsidRPr="0012132A" w:rsidTr="00AB3B75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127.797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58.855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92.751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61.128 </w:t>
            </w:r>
          </w:p>
        </w:tc>
      </w:tr>
      <w:tr w:rsidR="003D7FC3" w:rsidRPr="0012132A" w:rsidTr="004C4445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Redução/Aumento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(35.046)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2.273 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7FC3" w:rsidRPr="0012132A" w:rsidRDefault="003D7FC3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(275)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(498)</w:t>
            </w:r>
          </w:p>
        </w:tc>
      </w:tr>
      <w:tr w:rsidR="003D7FC3" w:rsidRPr="0012132A" w:rsidTr="004C444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(1.680)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(1.400)</w:t>
            </w:r>
          </w:p>
        </w:tc>
      </w:tr>
      <w:tr w:rsidR="003D7FC3" w:rsidRPr="000B7021" w:rsidTr="004C4445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D7FC3" w:rsidRPr="0012132A" w:rsidRDefault="003D7FC3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(1.955)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(1.898)</w:t>
            </w:r>
          </w:p>
        </w:tc>
      </w:tr>
      <w:tr w:rsidR="008160E8" w:rsidRPr="00E20B1B" w:rsidTr="00AB3B75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B33055" w:rsidRDefault="008160E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B33055" w:rsidRDefault="008160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60E8" w:rsidRPr="00B33055" w:rsidRDefault="008160E8" w:rsidP="00E20B1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160E8" w:rsidRPr="00B33055" w:rsidRDefault="008160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F46F6" w:rsidRPr="00FD7B48" w:rsidRDefault="00DF06DB">
      <w:pPr>
        <w:sectPr w:rsidR="000F46F6" w:rsidRPr="00FD7B48" w:rsidSect="00B07FD6"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  <w:r>
        <w:t>A</w:t>
      </w:r>
      <w:r w:rsidR="00D65413">
        <w:t xml:space="preserve">s notas explicativas </w:t>
      </w:r>
      <w:r w:rsidR="00F36266" w:rsidRPr="00C843EB">
        <w:t>são parte integran</w:t>
      </w:r>
      <w:r w:rsidR="00F36266">
        <w:t>te das demonstrações contábeis.</w:t>
      </w:r>
    </w:p>
    <w:p w:rsidR="00B63A81" w:rsidRPr="00FD7B48" w:rsidRDefault="00B63A8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9"/>
        <w:gridCol w:w="1712"/>
        <w:gridCol w:w="289"/>
        <w:gridCol w:w="1712"/>
      </w:tblGrid>
      <w:tr w:rsidR="00285A84" w:rsidRPr="00796206" w:rsidTr="00963A3D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Demonstração do Va</w:t>
            </w:r>
            <w:r w:rsidR="00565C79" w:rsidRPr="00796206">
              <w:rPr>
                <w:b/>
                <w:bCs/>
                <w:color w:val="000000"/>
              </w:rPr>
              <w:t>lor Adicionado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12132A">
            <w:pPr>
              <w:jc w:val="right"/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30/0</w:t>
            </w:r>
            <w:r w:rsidR="0012132A" w:rsidRPr="00796206">
              <w:rPr>
                <w:b/>
                <w:bCs/>
                <w:color w:val="000000"/>
              </w:rPr>
              <w:t>9</w:t>
            </w:r>
            <w:r w:rsidRPr="00796206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C17F70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12132A">
            <w:pPr>
              <w:jc w:val="right"/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30/0</w:t>
            </w:r>
            <w:r w:rsidR="0012132A" w:rsidRPr="00796206">
              <w:rPr>
                <w:b/>
                <w:bCs/>
                <w:color w:val="000000"/>
              </w:rPr>
              <w:t>9</w:t>
            </w:r>
            <w:r w:rsidRPr="00796206">
              <w:rPr>
                <w:b/>
                <w:bCs/>
                <w:color w:val="000000"/>
              </w:rPr>
              <w:t>/2018</w:t>
            </w:r>
          </w:p>
        </w:tc>
      </w:tr>
      <w:tr w:rsidR="00792763" w:rsidRPr="00796206" w:rsidTr="00963A3D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796206" w:rsidRDefault="0079276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796206" w:rsidRDefault="0079276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796206" w:rsidRDefault="00792763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796206" w:rsidRDefault="0079276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628D1" w:rsidRPr="00796206" w:rsidTr="00414B3C">
        <w:tc>
          <w:tcPr>
            <w:tcW w:w="29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Receitas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796206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796206" w:rsidRDefault="002628D1" w:rsidP="00285A84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796206" w:rsidRDefault="002628D1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Prestação de Serviços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  <w:r w:rsidRPr="00796206">
              <w:rPr>
                <w:color w:val="000000"/>
              </w:rPr>
              <w:t xml:space="preserve">  183.201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  <w:r w:rsidRPr="00796206">
              <w:rPr>
                <w:color w:val="000000"/>
              </w:rPr>
              <w:t xml:space="preserve">       171.246 </w:t>
            </w: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Outras Receitas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  <w:r w:rsidRPr="00796206">
              <w:rPr>
                <w:color w:val="000000"/>
              </w:rPr>
              <w:t xml:space="preserve">      8.095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  <w:r w:rsidRPr="00796206">
              <w:rPr>
                <w:color w:val="000000"/>
              </w:rPr>
              <w:t xml:space="preserve">           7.617 </w:t>
            </w: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Prov. Créd</w:t>
            </w:r>
            <w:r w:rsidR="00B42ED3"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Liq</w:t>
            </w:r>
            <w:r w:rsidR="00B42ED3"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Duv</w:t>
            </w:r>
            <w:r w:rsidR="00B42ED3">
              <w:rPr>
                <w:color w:val="000000"/>
              </w:rPr>
              <w:t xml:space="preserve">. </w:t>
            </w:r>
            <w:r w:rsidRPr="00796206">
              <w:rPr>
                <w:color w:val="000000"/>
              </w:rPr>
              <w:t>- Reversão/Constituição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  <w:r w:rsidRPr="00796206">
              <w:rPr>
                <w:color w:val="000000"/>
              </w:rPr>
              <w:t xml:space="preserve">           27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color w:val="000000"/>
              </w:rPr>
            </w:pPr>
            <w:r w:rsidRPr="00796206">
              <w:rPr>
                <w:color w:val="000000"/>
              </w:rPr>
              <w:t xml:space="preserve">              176 </w:t>
            </w:r>
          </w:p>
        </w:tc>
      </w:tr>
      <w:tr w:rsidR="0012132A" w:rsidRPr="00796206" w:rsidTr="004C4445">
        <w:tc>
          <w:tcPr>
            <w:tcW w:w="2985" w:type="pct"/>
            <w:shd w:val="clear" w:color="auto" w:fill="auto"/>
            <w:noWrap/>
            <w:vAlign w:val="bottom"/>
          </w:tcPr>
          <w:p w:rsidR="0012132A" w:rsidRPr="00796206" w:rsidRDefault="0012132A" w:rsidP="00414B3C">
            <w:pPr>
              <w:rPr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b/>
                <w:color w:val="000000"/>
              </w:rPr>
            </w:pPr>
            <w:r w:rsidRPr="00796206">
              <w:rPr>
                <w:b/>
                <w:color w:val="000000"/>
              </w:rPr>
              <w:t xml:space="preserve">  191.323 </w:t>
            </w:r>
          </w:p>
        </w:tc>
        <w:tc>
          <w:tcPr>
            <w:tcW w:w="157" w:type="pct"/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132A" w:rsidRPr="00796206" w:rsidRDefault="0012132A" w:rsidP="006D7B06">
            <w:pPr>
              <w:jc w:val="right"/>
              <w:rPr>
                <w:b/>
                <w:color w:val="000000"/>
              </w:rPr>
            </w:pPr>
            <w:r w:rsidRPr="00796206">
              <w:rPr>
                <w:b/>
                <w:color w:val="000000"/>
              </w:rPr>
              <w:t xml:space="preserve">       179.038 </w:t>
            </w:r>
          </w:p>
        </w:tc>
      </w:tr>
      <w:tr w:rsidR="00414B3C" w:rsidRPr="00796206" w:rsidTr="00414B3C">
        <w:tc>
          <w:tcPr>
            <w:tcW w:w="29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146"/>
            </w:tblGrid>
            <w:tr w:rsidR="00414B3C" w:rsidRPr="0079620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B3C" w:rsidRPr="00796206" w:rsidRDefault="00414B3C" w:rsidP="00414B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4B3C" w:rsidRPr="00796206" w:rsidRDefault="00414B3C" w:rsidP="00414B3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414B3C" w:rsidRPr="00796206" w:rsidRDefault="00414B3C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B3C" w:rsidRPr="00796206" w:rsidRDefault="00414B3C" w:rsidP="006D7B06">
            <w:pPr>
              <w:jc w:val="right"/>
              <w:rPr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14B3C" w:rsidRPr="00796206" w:rsidRDefault="00414B3C" w:rsidP="006D7B06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14B3C" w:rsidRPr="00796206" w:rsidRDefault="00414B3C" w:rsidP="006D7B06">
            <w:pPr>
              <w:jc w:val="right"/>
              <w:rPr>
                <w:color w:val="000000"/>
              </w:rPr>
            </w:pPr>
          </w:p>
        </w:tc>
      </w:tr>
      <w:tr w:rsidR="002628D1" w:rsidRPr="00796206" w:rsidTr="002C40A0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Insumos Adquiridos de Terceiros (c/ICMS e IPI)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796206" w:rsidRDefault="002628D1" w:rsidP="006D7B06">
            <w:pPr>
              <w:jc w:val="right"/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8D1" w:rsidRPr="00796206" w:rsidRDefault="002628D1" w:rsidP="006D7B06">
            <w:pPr>
              <w:jc w:val="right"/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     </w:t>
            </w: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Custos dos Serviços Prestados (Consumo)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114.188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100.919 </w:t>
            </w: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Serviços de Terceiros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112.995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104.075 </w:t>
            </w: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Perda/Recuperação de Valores Ativos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658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1.385 </w:t>
            </w: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32A" w:rsidRPr="00796206" w:rsidRDefault="0012132A" w:rsidP="00796206">
            <w:pPr>
              <w:ind w:firstLineChars="200" w:firstLine="400"/>
              <w:rPr>
                <w:b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132A" w:rsidRPr="00796206" w:rsidRDefault="0012132A" w:rsidP="006D7B06">
            <w:pPr>
              <w:jc w:val="right"/>
              <w:rPr>
                <w:b/>
              </w:rPr>
            </w:pPr>
            <w:r w:rsidRPr="00796206">
              <w:rPr>
                <w:b/>
              </w:rPr>
              <w:t xml:space="preserve"> 227.842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2132A" w:rsidRPr="00796206" w:rsidRDefault="0012132A" w:rsidP="006D7B06">
            <w:pPr>
              <w:jc w:val="right"/>
              <w:rPr>
                <w:b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2132A" w:rsidRPr="00796206" w:rsidRDefault="0012132A" w:rsidP="006D7B06">
            <w:pPr>
              <w:jc w:val="right"/>
              <w:rPr>
                <w:b/>
              </w:rPr>
            </w:pPr>
            <w:r w:rsidRPr="00796206">
              <w:rPr>
                <w:b/>
              </w:rPr>
              <w:t xml:space="preserve"> 206.379 </w:t>
            </w:r>
          </w:p>
        </w:tc>
      </w:tr>
      <w:tr w:rsidR="005C73B0" w:rsidRPr="00796206" w:rsidTr="0012132A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132A" w:rsidRPr="00796206" w:rsidTr="0012132A">
        <w:tc>
          <w:tcPr>
            <w:tcW w:w="298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Valor Adicionado Bruto </w:t>
            </w:r>
          </w:p>
        </w:tc>
        <w:tc>
          <w:tcPr>
            <w:tcW w:w="929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796206" w:rsidP="006D7B06">
            <w:pPr>
              <w:jc w:val="right"/>
              <w:rPr>
                <w:b/>
                <w:color w:val="000000"/>
              </w:rPr>
            </w:pPr>
            <w:r w:rsidRPr="00796206">
              <w:rPr>
                <w:b/>
                <w:color w:val="000000"/>
              </w:rPr>
              <w:t>(</w:t>
            </w:r>
            <w:r w:rsidR="0012132A" w:rsidRPr="00796206">
              <w:rPr>
                <w:b/>
                <w:color w:val="000000"/>
              </w:rPr>
              <w:t>36.518</w:t>
            </w:r>
            <w:r w:rsidRPr="00796206">
              <w:rPr>
                <w:b/>
                <w:color w:val="000000"/>
              </w:rPr>
              <w:t>)</w:t>
            </w:r>
            <w:r w:rsidR="0012132A" w:rsidRPr="00796206">
              <w:rPr>
                <w:b/>
                <w:color w:val="000000"/>
              </w:rPr>
              <w:t xml:space="preserve">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6D7B06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929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796206" w:rsidP="006D7B06">
            <w:pPr>
              <w:jc w:val="right"/>
              <w:rPr>
                <w:b/>
                <w:color w:val="000000"/>
              </w:rPr>
            </w:pPr>
            <w:r w:rsidRPr="00796206">
              <w:rPr>
                <w:b/>
                <w:color w:val="000000"/>
              </w:rPr>
              <w:t>(</w:t>
            </w:r>
            <w:r w:rsidR="0012132A" w:rsidRPr="00796206">
              <w:rPr>
                <w:b/>
                <w:color w:val="000000"/>
              </w:rPr>
              <w:t>27.341</w:t>
            </w:r>
            <w:r w:rsidRPr="00796206">
              <w:rPr>
                <w:b/>
                <w:color w:val="000000"/>
              </w:rPr>
              <w:t>)</w:t>
            </w:r>
            <w:r w:rsidR="0012132A" w:rsidRPr="00796206">
              <w:rPr>
                <w:b/>
                <w:color w:val="000000"/>
              </w:rPr>
              <w:t xml:space="preserve"> </w:t>
            </w:r>
          </w:p>
        </w:tc>
      </w:tr>
      <w:tr w:rsidR="005C73B0" w:rsidRPr="00796206" w:rsidTr="0012132A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12132A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32A" w:rsidRPr="00796206" w:rsidRDefault="0012132A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Despesas com Depreciação/Amortização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17.574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12132A" w:rsidRPr="00796206" w:rsidRDefault="0012132A" w:rsidP="006D7B06">
            <w:pPr>
              <w:jc w:val="right"/>
            </w:pPr>
            <w:r w:rsidRPr="00796206">
              <w:t xml:space="preserve"> 16.757 </w:t>
            </w:r>
          </w:p>
        </w:tc>
      </w:tr>
      <w:tr w:rsidR="005C73B0" w:rsidRPr="00796206" w:rsidTr="001A22E4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C73B0" w:rsidRPr="00796206" w:rsidRDefault="005C73B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Líq Produzido p/ Entidade</w:t>
            </w:r>
          </w:p>
        </w:tc>
        <w:tc>
          <w:tcPr>
            <w:tcW w:w="9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713ED2" w:rsidRDefault="003D7FC3">
            <w:pPr>
              <w:jc w:val="right"/>
              <w:rPr>
                <w:b/>
                <w:color w:val="000000"/>
              </w:rPr>
            </w:pPr>
            <w:r w:rsidRPr="00713ED2">
              <w:rPr>
                <w:b/>
                <w:color w:val="000000"/>
              </w:rPr>
              <w:t xml:space="preserve">          (54.092)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Pr="00713ED2" w:rsidRDefault="003D7FC3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Pr="00713ED2" w:rsidRDefault="003D7FC3">
            <w:pPr>
              <w:jc w:val="right"/>
              <w:rPr>
                <w:b/>
                <w:color w:val="000000"/>
              </w:rPr>
            </w:pPr>
            <w:r w:rsidRPr="00713ED2">
              <w:rPr>
                <w:b/>
                <w:color w:val="000000"/>
              </w:rPr>
              <w:t xml:space="preserve">          (44.098)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Recebido em Transferências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Financeiras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1.991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1.707 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Recebidos (-) Subvenções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890.207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837.677 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Concedidos/Diferido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(315)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(312)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de Diferido (Reversão de Subvenções)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7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(671)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de Alugueis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3.049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3.013 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894.940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841.413 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Valor Adicionado Total a Distribuir </w:t>
            </w:r>
          </w:p>
        </w:tc>
        <w:tc>
          <w:tcPr>
            <w:tcW w:w="929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840.848 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797.315 </w:t>
            </w:r>
          </w:p>
        </w:tc>
      </w:tr>
      <w:tr w:rsidR="002C40A0" w:rsidRPr="00796206" w:rsidTr="0012132A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796206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2C40A0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Distribuição do Valor Adicionado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2C40A0" w:rsidRPr="00796206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AC3DB8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</w:t>
            </w:r>
            <w:r w:rsidR="002C40A0" w:rsidRPr="00796206">
              <w:rPr>
                <w:b/>
                <w:bCs/>
                <w:color w:val="000000"/>
              </w:rPr>
              <w:t>Pessoal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Remuneração Direta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571.186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540.859 </w:t>
            </w: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Benefícios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58.937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56.126 </w:t>
            </w: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FGTS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47.995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42.926 </w:t>
            </w:r>
          </w:p>
        </w:tc>
      </w:tr>
      <w:tr w:rsidR="002C40A0" w:rsidRPr="00796206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AC3DB8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</w:t>
            </w:r>
            <w:r w:rsidR="002C40A0" w:rsidRPr="00796206">
              <w:rPr>
                <w:b/>
                <w:bCs/>
                <w:color w:val="000000"/>
              </w:rPr>
              <w:t>Impostos, Taxas e Contribuições</w:t>
            </w: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rPr>
                <w:bCs/>
                <w:color w:val="000000"/>
              </w:rPr>
            </w:pPr>
            <w:r w:rsidRPr="00796206">
              <w:rPr>
                <w:bCs/>
                <w:color w:val="000000"/>
              </w:rPr>
              <w:t xml:space="preserve">        Federais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162.819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149.993 </w:t>
            </w:r>
          </w:p>
        </w:tc>
      </w:tr>
      <w:tr w:rsidR="002C40A0" w:rsidRPr="00796206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AC3DB8" w:rsidP="00285A84">
            <w:pPr>
              <w:rPr>
                <w:bCs/>
                <w:color w:val="000000"/>
              </w:rPr>
            </w:pPr>
            <w:r w:rsidRPr="00796206">
              <w:rPr>
                <w:bCs/>
                <w:color w:val="000000"/>
              </w:rPr>
              <w:t xml:space="preserve">        </w:t>
            </w:r>
            <w:r w:rsidR="002C40A0" w:rsidRPr="00796206">
              <w:rPr>
                <w:bCs/>
                <w:color w:val="000000"/>
              </w:rPr>
              <w:t>Estaduais/Municipais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Pr="00796206" w:rsidRDefault="002C40A0" w:rsidP="006D7B06">
            <w:pPr>
              <w:jc w:val="right"/>
              <w:rPr>
                <w:bCs/>
                <w:color w:val="000000"/>
              </w:rPr>
            </w:pPr>
            <w:r w:rsidRPr="00796206">
              <w:rPr>
                <w:bCs/>
                <w:color w:val="000000"/>
              </w:rPr>
              <w:t xml:space="preserve">                  2</w:t>
            </w:r>
            <w:r w:rsidR="006D7B06" w:rsidRPr="00796206">
              <w:rPr>
                <w:bCs/>
                <w:color w:val="000000"/>
              </w:rPr>
              <w:t>9</w:t>
            </w:r>
            <w:r w:rsidRPr="00796206">
              <w:rPr>
                <w:bCs/>
                <w:color w:val="000000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2C40A0" w:rsidP="006D7B06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0A0" w:rsidRPr="00796206" w:rsidRDefault="002C40A0" w:rsidP="006D7B06">
            <w:pPr>
              <w:jc w:val="right"/>
              <w:rPr>
                <w:bCs/>
                <w:color w:val="000000"/>
              </w:rPr>
            </w:pPr>
            <w:r w:rsidRPr="00796206">
              <w:rPr>
                <w:bCs/>
                <w:color w:val="000000"/>
              </w:rPr>
              <w:t xml:space="preserve">                  </w:t>
            </w:r>
            <w:r w:rsidR="006D7B06" w:rsidRPr="00796206">
              <w:rPr>
                <w:bCs/>
                <w:color w:val="000000"/>
              </w:rPr>
              <w:t>20</w:t>
            </w:r>
            <w:r w:rsidRPr="00796206">
              <w:rPr>
                <w:bCs/>
                <w:color w:val="000000"/>
              </w:rPr>
              <w:t xml:space="preserve">3 </w:t>
            </w:r>
          </w:p>
        </w:tc>
      </w:tr>
      <w:tr w:rsidR="002C40A0" w:rsidRPr="00796206" w:rsidTr="00AC3DB8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AC3DB8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</w:t>
            </w:r>
            <w:r w:rsidR="002C40A0" w:rsidRPr="00796206">
              <w:rPr>
                <w:b/>
                <w:bCs/>
                <w:color w:val="000000"/>
              </w:rPr>
              <w:t>Remuneração de Capitais de Terceiros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Despesas Financeiras</w:t>
            </w: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2.085 </w:t>
            </w:r>
          </w:p>
        </w:tc>
        <w:tc>
          <w:tcPr>
            <w:tcW w:w="15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9.550 </w:t>
            </w: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Imóveis/Condomínio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587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751 </w:t>
            </w:r>
          </w:p>
        </w:tc>
      </w:tr>
      <w:tr w:rsidR="006D7B06" w:rsidRPr="00796206" w:rsidTr="004C4445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B06" w:rsidRPr="00796206" w:rsidRDefault="006D7B06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Máquinas e Equipamentos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1.970 </w:t>
            </w: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7B06" w:rsidRPr="00796206" w:rsidRDefault="006D7B06" w:rsidP="006D7B06">
            <w:pPr>
              <w:jc w:val="right"/>
            </w:pPr>
            <w:r w:rsidRPr="00796206">
              <w:t xml:space="preserve"> 2.064 </w:t>
            </w:r>
          </w:p>
        </w:tc>
      </w:tr>
      <w:tr w:rsidR="002C40A0" w:rsidRPr="00796206" w:rsidTr="000257E7">
        <w:tc>
          <w:tcPr>
            <w:tcW w:w="2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0A0" w:rsidRPr="00796206" w:rsidRDefault="00AC3DB8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</w:t>
            </w:r>
            <w:r w:rsidR="002C40A0" w:rsidRPr="00796206">
              <w:rPr>
                <w:b/>
                <w:bCs/>
                <w:color w:val="000000"/>
              </w:rPr>
              <w:t>Remuneração dos Capitais Próprios</w:t>
            </w: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C40A0" w:rsidRPr="00796206" w:rsidRDefault="002C40A0" w:rsidP="006D7B06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Lucros Retidos do Exercício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(4.759)</w:t>
            </w: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3D7FC3" w:rsidRDefault="003D7FC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7FC3" w:rsidRDefault="003D7F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(5.156)</w:t>
            </w:r>
          </w:p>
        </w:tc>
      </w:tr>
      <w:tr w:rsidR="003D7FC3" w:rsidRPr="00796206" w:rsidTr="004C4445">
        <w:tc>
          <w:tcPr>
            <w:tcW w:w="29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D7FC3" w:rsidRPr="00796206" w:rsidRDefault="003D7FC3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</w:rPr>
            </w:pPr>
          </w:p>
        </w:tc>
        <w:tc>
          <w:tcPr>
            <w:tcW w:w="15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D7FC3" w:rsidRDefault="003D7FC3">
            <w:pPr>
              <w:jc w:val="right"/>
              <w:rPr>
                <w:color w:val="000000"/>
              </w:rPr>
            </w:pPr>
          </w:p>
        </w:tc>
      </w:tr>
      <w:tr w:rsidR="006D7B06" w:rsidRPr="00796206" w:rsidTr="004C4445">
        <w:tc>
          <w:tcPr>
            <w:tcW w:w="2985" w:type="pct"/>
            <w:shd w:val="clear" w:color="auto" w:fill="auto"/>
            <w:noWrap/>
            <w:vAlign w:val="bottom"/>
          </w:tcPr>
          <w:p w:rsidR="006D7B06" w:rsidRPr="00796206" w:rsidRDefault="006D7B06" w:rsidP="00AC3DB8">
            <w:pPr>
              <w:rPr>
                <w:b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Distribuído</w:t>
            </w:r>
          </w:p>
        </w:tc>
        <w:tc>
          <w:tcPr>
            <w:tcW w:w="929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6D7B06" w:rsidRPr="00796206" w:rsidRDefault="006D7B06" w:rsidP="006D7B06">
            <w:pPr>
              <w:jc w:val="right"/>
              <w:rPr>
                <w:b/>
              </w:rPr>
            </w:pPr>
            <w:r w:rsidRPr="00796206">
              <w:rPr>
                <w:b/>
              </w:rPr>
              <w:t xml:space="preserve"> 840.848 </w:t>
            </w:r>
          </w:p>
        </w:tc>
        <w:tc>
          <w:tcPr>
            <w:tcW w:w="157" w:type="pct"/>
            <w:shd w:val="clear" w:color="auto" w:fill="auto"/>
            <w:noWrap/>
          </w:tcPr>
          <w:p w:rsidR="006D7B06" w:rsidRPr="00796206" w:rsidRDefault="006D7B06" w:rsidP="006D7B06">
            <w:pPr>
              <w:jc w:val="right"/>
              <w:rPr>
                <w:b/>
              </w:rPr>
            </w:pPr>
          </w:p>
        </w:tc>
        <w:tc>
          <w:tcPr>
            <w:tcW w:w="929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6D7B06" w:rsidRPr="00796206" w:rsidRDefault="006D7B06" w:rsidP="006D7B06">
            <w:pPr>
              <w:jc w:val="right"/>
              <w:rPr>
                <w:b/>
              </w:rPr>
            </w:pPr>
            <w:r w:rsidRPr="00796206">
              <w:rPr>
                <w:b/>
              </w:rPr>
              <w:t xml:space="preserve"> 797.315 </w:t>
            </w:r>
          </w:p>
        </w:tc>
      </w:tr>
    </w:tbl>
    <w:p w:rsidR="00CD7AFB" w:rsidRDefault="00CD7AFB" w:rsidP="00CD7AFB">
      <w:pPr>
        <w:jc w:val="center"/>
      </w:pPr>
    </w:p>
    <w:p w:rsidR="0018194B" w:rsidRDefault="0018194B" w:rsidP="00CD7E51"/>
    <w:p w:rsidR="00CD7AFB" w:rsidRPr="00C843E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Pr="00FD7B48" w:rsidRDefault="00955A65" w:rsidP="00B63A81">
      <w:pPr>
        <w:sectPr w:rsidR="00955A65" w:rsidRPr="00FD7B48" w:rsidSect="00540135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Default="007807EC" w:rsidP="007807EC">
      <w:pPr>
        <w:pStyle w:val="Ttulo1"/>
        <w:jc w:val="left"/>
      </w:pPr>
      <w:bookmarkStart w:id="3" w:name="_Toc24124447"/>
      <w:r w:rsidRPr="00FD7B48">
        <w:lastRenderedPageBreak/>
        <w:t>Notas Explicativas</w:t>
      </w:r>
      <w:bookmarkEnd w:id="3"/>
    </w:p>
    <w:p w:rsidR="00595A08" w:rsidRDefault="00595A08" w:rsidP="00595A08"/>
    <w:p w:rsidR="00350888" w:rsidRPr="00595A08" w:rsidRDefault="00350888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4" w:name="_Toc24124448"/>
      <w:r w:rsidRPr="00923D20">
        <w:t>Contexto Operacional</w:t>
      </w:r>
      <w:bookmarkEnd w:id="4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>
        <w:t>O HCPA é</w:t>
      </w:r>
      <w:r w:rsidR="00572C9E" w:rsidRPr="00A41070">
        <w:t xml:space="preserve"> administrado pelo Conselho de Administração (CA) </w:t>
      </w:r>
      <w:r w:rsidR="00572C9E" w:rsidRPr="00697DA8">
        <w:t xml:space="preserve">como órgão </w:t>
      </w:r>
      <w:r w:rsidR="00697DA8">
        <w:t>colegiado de deliberação estratégica e controle da gestão</w:t>
      </w:r>
      <w:r>
        <w:t xml:space="preserve"> e pela Diretoria Executiva (DE) como órgão executivo de administração e representação. O Conselho de Administração (CA) é</w:t>
      </w:r>
      <w:r w:rsidR="00572C9E" w:rsidRPr="00BA2BDE">
        <w:t xml:space="preserve"> composto por integrantes vinculados à Universidade Federal do Rio Grande do Sul (UFRGS) e membros representantes dos Ministérios da Educação (MEC), da Saúde (MS), </w:t>
      </w:r>
      <w:r w:rsidR="00FF23FA">
        <w:t>da Fazenda (MF) e do Planejamento, Desenvolvimento e Gestão (MP) (</w:t>
      </w:r>
      <w:r w:rsidR="00C51642">
        <w:t xml:space="preserve">MF e MP </w:t>
      </w:r>
      <w:r w:rsidR="00FF23FA">
        <w:t>denominado</w:t>
      </w:r>
      <w:r w:rsidR="00C51642">
        <w:t>s</w:t>
      </w:r>
      <w:r w:rsidR="00FF23FA">
        <w:t xml:space="preserve"> de Ministério da </w:t>
      </w:r>
      <w:r w:rsidR="00E914DD" w:rsidRPr="00C55C69">
        <w:t>Economia (ME)</w:t>
      </w:r>
      <w:r w:rsidR="00FF23FA">
        <w:t xml:space="preserve"> a partir de 01/01/2019)</w:t>
      </w:r>
      <w:r w:rsidR="00625608">
        <w:t xml:space="preserve"> </w:t>
      </w:r>
      <w:r>
        <w:t>e a Diretoria Executiva (DE)</w:t>
      </w:r>
      <w:r w:rsidR="00F32B9B">
        <w:t xml:space="preserve"> que</w:t>
      </w:r>
      <w:r>
        <w:t xml:space="preserve"> é</w:t>
      </w:r>
      <w:r w:rsidR="00572C9E" w:rsidRPr="00BA2BDE">
        <w:t xml:space="preserve"> composta por Diretora-Presidente, </w:t>
      </w:r>
      <w:r w:rsidR="00572C9E" w:rsidRPr="00222B2B">
        <w:t>Diretor</w:t>
      </w:r>
      <w:r w:rsidR="0082561D">
        <w:t>-</w:t>
      </w:r>
      <w:r w:rsidR="00572C9E" w:rsidRPr="00222B2B">
        <w:t>Médico e Diretor Administrativo.</w:t>
      </w:r>
    </w:p>
    <w:p w:rsidR="003E1BD4" w:rsidRDefault="003E1BD4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 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276B64">
        <w:t xml:space="preserve">Economia </w:t>
      </w:r>
      <w:r w:rsidR="00947508">
        <w:t>(M</w:t>
      </w:r>
      <w:r w:rsidR="00276B64">
        <w:t>E</w:t>
      </w:r>
      <w:r w:rsidR="00572C9E">
        <w:t>).</w:t>
      </w:r>
    </w:p>
    <w:p w:rsidR="00B369D2" w:rsidRDefault="00B369D2" w:rsidP="00572C9E">
      <w:pPr>
        <w:autoSpaceDE w:val="0"/>
        <w:autoSpaceDN w:val="0"/>
        <w:adjustRightInd w:val="0"/>
        <w:jc w:val="both"/>
      </w:pP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5" w:name="_Toc24124449"/>
      <w:r w:rsidRPr="006338C6">
        <w:t>Principais Políticas Contábeis</w:t>
      </w:r>
      <w:bookmarkEnd w:id="5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>Demonstrações Financeiras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203D" w:rsidRDefault="009657C6" w:rsidP="0096203D">
      <w:pPr>
        <w:jc w:val="both"/>
      </w:pPr>
      <w:r w:rsidRPr="00FD7B48">
        <w:t xml:space="preserve">As </w:t>
      </w:r>
      <w:r w:rsidR="00416B8B" w:rsidRPr="00FD7B48">
        <w:t>Demonstrações Financeiras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6.404/76 e alterações subsequentes</w:t>
      </w:r>
      <w:r w:rsidR="0096203D">
        <w:t>,</w:t>
      </w:r>
      <w:r w:rsidRPr="00FD7B48">
        <w:t xml:space="preserve"> incluindo a Lei nº 11.638/07), </w:t>
      </w:r>
      <w:r w:rsidR="00D922B9">
        <w:t>n</w:t>
      </w:r>
      <w:r w:rsidRPr="00FD7B48">
        <w:t xml:space="preserve">as Normas Brasileiras de Contabilidade, </w:t>
      </w:r>
      <w:r w:rsidR="00D922B9">
        <w:t>n</w:t>
      </w:r>
      <w:r w:rsidRPr="00FD7B48">
        <w:t>os p</w:t>
      </w:r>
      <w:r w:rsidR="00D922B9">
        <w:t xml:space="preserve">ronunciamentos, </w:t>
      </w:r>
      <w:r w:rsidRPr="00FD7B48">
        <w:t xml:space="preserve">orientações e </w:t>
      </w:r>
      <w:r w:rsidR="00D922B9">
        <w:t>interpretações emitido</w:t>
      </w:r>
      <w:r w:rsidRPr="00FD7B48">
        <w:t>s pelo Comitê de Pronunciamentos Contábeis (CPC)</w:t>
      </w:r>
      <w:r w:rsidR="00D922B9">
        <w:t>, aprovado</w:t>
      </w:r>
      <w:r w:rsidRPr="00FD7B48">
        <w:t>s pelo Co</w:t>
      </w:r>
      <w:r w:rsidR="0096203D">
        <w:t>nselho Federal de Contabilidade, e</w:t>
      </w:r>
      <w:r w:rsidR="0096203D" w:rsidRPr="00595A08">
        <w:t xml:space="preserve"> </w:t>
      </w:r>
      <w:r w:rsidR="00D922B9">
        <w:t>a</w:t>
      </w:r>
      <w:r w:rsidR="0096203D" w:rsidRPr="00595A08">
        <w:t>o Sistema Integrado de Administração Finance</w:t>
      </w:r>
      <w:r w:rsidR="00D922B9">
        <w:t xml:space="preserve">ira (SIAFI) </w:t>
      </w:r>
      <w:r w:rsidR="0096203D" w:rsidRPr="00595A08">
        <w:t xml:space="preserve">do Governo Federal, no qual o HCPA </w:t>
      </w:r>
      <w:r w:rsidR="0096203D">
        <w:t>aderiu em</w:t>
      </w:r>
      <w:r w:rsidR="0096203D" w:rsidRPr="00595A08">
        <w:t xml:space="preserve"> 01 de janeiro de</w:t>
      </w:r>
      <w:r w:rsidR="0096203D" w:rsidRPr="00FD7B48">
        <w:t xml:space="preserve"> 1</w:t>
      </w:r>
      <w:r w:rsidR="0096203D">
        <w:t>992, na forma da Lei n° 4.320/64.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está sendo apresentada pela Instituição como informação suplementar, sem prejuízo </w:t>
      </w:r>
      <w:r w:rsidR="00261113" w:rsidRPr="00595A08">
        <w:t>ao</w:t>
      </w:r>
      <w:r w:rsidR="007A0CE9" w:rsidRPr="00595A08">
        <w:t xml:space="preserve"> conjunto das </w:t>
      </w:r>
      <w:r w:rsidR="00416B8B" w:rsidRPr="00595A08">
        <w:t>Demonstrações Financeiras</w:t>
      </w:r>
      <w:r w:rsidRPr="00595A08">
        <w:t>.</w:t>
      </w:r>
    </w:p>
    <w:p w:rsidR="00230EA8" w:rsidRPr="00595A08" w:rsidRDefault="00230EA8" w:rsidP="009657C6">
      <w:pPr>
        <w:jc w:val="both"/>
      </w:pPr>
    </w:p>
    <w:p w:rsidR="009657C6" w:rsidRDefault="009657C6" w:rsidP="009657C6">
      <w:pPr>
        <w:jc w:val="both"/>
      </w:pPr>
      <w:r w:rsidRPr="00595A08">
        <w:lastRenderedPageBreak/>
        <w:t xml:space="preserve">As </w:t>
      </w:r>
      <w:r w:rsidR="00416B8B" w:rsidRPr="00595A08">
        <w:t>Demonstrações Financeiras</w:t>
      </w:r>
      <w:r w:rsidRPr="00595A08">
        <w:t xml:space="preserve"> foram preparadas considerando o custo histórico como base de valor e ajustadas para refletir o custo atribuído de todo o Ativo Imobilizado.</w:t>
      </w:r>
    </w:p>
    <w:p w:rsidR="00E84700" w:rsidRDefault="00E84700" w:rsidP="009657C6">
      <w:pPr>
        <w:jc w:val="both"/>
      </w:pPr>
    </w:p>
    <w:p w:rsidR="00E84700" w:rsidRDefault="00E84700" w:rsidP="009657C6">
      <w:pPr>
        <w:jc w:val="both"/>
      </w:pPr>
      <w:r w:rsidRPr="00C65F56">
        <w:t xml:space="preserve">As demonstrações foram autorizadas na reunião </w:t>
      </w:r>
      <w:r w:rsidR="00E80668" w:rsidRPr="00C65F56">
        <w:t>da Diretoria Executiva</w:t>
      </w:r>
      <w:r w:rsidRPr="00C65F56">
        <w:t xml:space="preserve"> </w:t>
      </w:r>
      <w:r w:rsidR="000C47B2" w:rsidRPr="00C65F56">
        <w:t>do dia</w:t>
      </w:r>
      <w:r w:rsidRPr="00C65F56">
        <w:t xml:space="preserve"> </w:t>
      </w:r>
      <w:r w:rsidR="00E80668" w:rsidRPr="00C65F56">
        <w:t>29</w:t>
      </w:r>
      <w:r w:rsidRPr="00C65F56">
        <w:t xml:space="preserve"> de </w:t>
      </w:r>
      <w:r w:rsidR="00E80668" w:rsidRPr="00C65F56">
        <w:t>novembro</w:t>
      </w:r>
      <w:r w:rsidRPr="00C65F56">
        <w:t xml:space="preserve"> de 2019.</w:t>
      </w:r>
    </w:p>
    <w:p w:rsidR="00350888" w:rsidRDefault="00350888" w:rsidP="009657C6">
      <w:pPr>
        <w:jc w:val="both"/>
      </w:pPr>
    </w:p>
    <w:p w:rsidR="004055B7" w:rsidRPr="00923D20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923D20">
        <w:t xml:space="preserve">Mudanças nas </w:t>
      </w:r>
      <w:r w:rsidR="00B74CEE" w:rsidRPr="00923D20">
        <w:t>P</w:t>
      </w:r>
      <w:r w:rsidRPr="00923D20">
        <w:t xml:space="preserve">olíticas </w:t>
      </w:r>
      <w:r w:rsidR="00B74CEE" w:rsidRPr="00923D20">
        <w:t>C</w:t>
      </w:r>
      <w:r w:rsidRPr="00923D20">
        <w:t xml:space="preserve">ontábeis e </w:t>
      </w:r>
      <w:r w:rsidR="00B74CEE" w:rsidRPr="00923D20">
        <w:t>D</w:t>
      </w:r>
      <w:r w:rsidRPr="00923D20">
        <w:t>ivulgações</w:t>
      </w:r>
    </w:p>
    <w:p w:rsidR="009657C6" w:rsidRPr="00595A08" w:rsidRDefault="009657C6" w:rsidP="009657C6">
      <w:pPr>
        <w:jc w:val="both"/>
        <w:rPr>
          <w:rFonts w:ascii="Arial" w:hAnsi="Arial" w:cs="Arial"/>
        </w:rPr>
      </w:pPr>
    </w:p>
    <w:p w:rsidR="001E34F1" w:rsidRPr="00DC2AED" w:rsidRDefault="001E34F1" w:rsidP="001E34F1">
      <w:pPr>
        <w:jc w:val="both"/>
      </w:pPr>
      <w:r w:rsidRPr="00DC2AED">
        <w:t xml:space="preserve">Não houve novos pronunciamentos ou interpretações vigentes a partir de 2019 que pudessem ter impacto significativo nas políticas e nas Demonstrações Financeiras. </w:t>
      </w:r>
    </w:p>
    <w:p w:rsidR="001E34F1" w:rsidRPr="00DC2AED" w:rsidRDefault="001E34F1" w:rsidP="001E34F1">
      <w:pPr>
        <w:jc w:val="both"/>
      </w:pPr>
    </w:p>
    <w:p w:rsidR="007016DD" w:rsidRPr="00DC2AED" w:rsidRDefault="001E34F1" w:rsidP="00930CC2">
      <w:pPr>
        <w:jc w:val="both"/>
      </w:pPr>
      <w:r w:rsidRPr="00C65F56">
        <w:t xml:space="preserve">Com relação à NBC TG 06, </w:t>
      </w:r>
      <w:r w:rsidR="00C03C93" w:rsidRPr="00C65F56">
        <w:t xml:space="preserve">a qual estabelece princípios para o reconhecimento, mensuração, apresentação e divulgação de arrendamentos, </w:t>
      </w:r>
      <w:r w:rsidRPr="00C65F56">
        <w:t>em vigor a partir de 01 de janeiro de 2</w:t>
      </w:r>
      <w:r w:rsidR="00C03C93" w:rsidRPr="00C65F56">
        <w:t>019, a i</w:t>
      </w:r>
      <w:r w:rsidRPr="00C65F56">
        <w:t xml:space="preserve">nstituição </w:t>
      </w:r>
      <w:r w:rsidR="007016DD" w:rsidRPr="00C65F56">
        <w:t>avaliou</w:t>
      </w:r>
      <w:r w:rsidR="00C03C93" w:rsidRPr="00C65F56">
        <w:t xml:space="preserve"> cada um dos contratos atualmente vigentes</w:t>
      </w:r>
      <w:r w:rsidR="00930CC2" w:rsidRPr="00C65F56">
        <w:t xml:space="preserve">. Optou-se </w:t>
      </w:r>
      <w:r w:rsidR="007016DD" w:rsidRPr="00C65F56">
        <w:t xml:space="preserve">pela não realização do registro contábil dos contratos caracterizados como arrendamento em função </w:t>
      </w:r>
      <w:r w:rsidR="00930CC2" w:rsidRPr="00C65F56">
        <w:t>do custo incorrido para fornecimento da informação comparado aos benefícios proporcionados, conforme prevê a Resolução CFC N.º 1.374/11.</w:t>
      </w:r>
    </w:p>
    <w:p w:rsidR="00350888" w:rsidRPr="0083077F" w:rsidRDefault="00350888" w:rsidP="00DC261B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FD7B48">
        <w:t>-BACEN</w:t>
      </w:r>
      <w:r w:rsidR="0096203D">
        <w:t xml:space="preserve"> e pela </w:t>
      </w:r>
      <w:r w:rsidRPr="00FD7B48">
        <w:t>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 e após o reconhecimento inicial</w:t>
      </w:r>
      <w:r w:rsidR="00C55C69">
        <w:t>,</w:t>
      </w:r>
      <w:r w:rsidRPr="00FD7B48">
        <w:t xml:space="preserve"> são mensuradas pelo custo amortizado com o uso do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Os recebíveis da Instituição compreendem: </w:t>
      </w:r>
      <w:r w:rsidR="00D922B9">
        <w:t>c</w:t>
      </w:r>
      <w:r w:rsidRPr="00FD7B48">
        <w:t xml:space="preserve">aixa e </w:t>
      </w:r>
      <w:r w:rsidR="00D922B9">
        <w:t>e</w:t>
      </w:r>
      <w:r w:rsidRPr="00FD7B48">
        <w:t xml:space="preserve">quivalentes de </w:t>
      </w:r>
      <w:r w:rsidR="00D922B9">
        <w:t>c</w:t>
      </w:r>
      <w:r w:rsidRPr="00FD7B48">
        <w:t xml:space="preserve">aixa, </w:t>
      </w:r>
      <w:r w:rsidR="00D922B9">
        <w:t>c</w:t>
      </w:r>
      <w:r w:rsidRPr="00FD7B48">
        <w:t xml:space="preserve">rédito de </w:t>
      </w:r>
      <w:r w:rsidR="00D922B9">
        <w:t>f</w:t>
      </w:r>
      <w:r w:rsidRPr="00FD7B48">
        <w:t xml:space="preserve">ornecimento de </w:t>
      </w:r>
      <w:r w:rsidR="00D922B9">
        <w:t>s</w:t>
      </w:r>
      <w:r w:rsidRPr="00FD7B48">
        <w:t xml:space="preserve">erviços, </w:t>
      </w:r>
      <w:r w:rsidR="00D922B9">
        <w:t>r</w:t>
      </w:r>
      <w:r w:rsidRPr="00FD7B48">
        <w:t xml:space="preserve">ecursos para </w:t>
      </w:r>
      <w:r w:rsidR="00D922B9">
        <w:t>p</w:t>
      </w:r>
      <w:r w:rsidRPr="00FD7B48">
        <w:t xml:space="preserve">rovisões de </w:t>
      </w:r>
      <w:r w:rsidR="00D922B9">
        <w:t>c</w:t>
      </w:r>
      <w:r w:rsidRPr="00FD7B48">
        <w:t>ontingências</w:t>
      </w:r>
      <w:r w:rsidR="00D922B9">
        <w:t xml:space="preserve"> e</w:t>
      </w:r>
      <w:r w:rsidRPr="00FD7B48">
        <w:t xml:space="preserve"> </w:t>
      </w:r>
      <w:r w:rsidR="00D922B9">
        <w:t>a</w:t>
      </w:r>
      <w:r w:rsidRPr="00FD7B48">
        <w:t xml:space="preserve">propriações por </w:t>
      </w:r>
      <w:r w:rsidR="00D922B9">
        <w:t>c</w:t>
      </w:r>
      <w:r w:rsidRPr="00FD7B48">
        <w:t>ompetência de</w:t>
      </w:r>
      <w:r w:rsidR="00D922B9">
        <w:t xml:space="preserve"> despesas com pessoal </w:t>
      </w:r>
      <w:r w:rsidRPr="00FD7B48">
        <w:t>e demais contas a receber.</w:t>
      </w:r>
      <w:r w:rsidR="00D922B9">
        <w:t xml:space="preserve"> </w:t>
      </w:r>
      <w:r w:rsidRPr="00FD7B48">
        <w:t>A Instituição não possui ativos financeiros mantidos para negociação, ativos disponíveis para venda e operações em derivativos.</w:t>
      </w:r>
    </w:p>
    <w:p w:rsidR="00122208" w:rsidRPr="00FD7B48" w:rsidRDefault="00122208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>
        <w:t>como</w:t>
      </w:r>
      <w:r w:rsidRPr="00FD7B48">
        <w:t xml:space="preserve"> passivos financeiros não derivativos</w:t>
      </w:r>
      <w:r w:rsidR="00D922B9">
        <w:t>:</w:t>
      </w:r>
      <w:r w:rsidRPr="00FD7B48">
        <w:t xml:space="preserve"> fornecedores e outras contas a pagar.</w:t>
      </w:r>
    </w:p>
    <w:p w:rsidR="0012220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>3</w:t>
      </w:r>
      <w:r w:rsidR="00A5531A">
        <w:t>0</w:t>
      </w:r>
      <w:r>
        <w:t xml:space="preserve"> de </w:t>
      </w:r>
      <w:r w:rsidR="000D0348">
        <w:t>setembr</w:t>
      </w:r>
      <w:r w:rsidR="00A5531A">
        <w:t>o</w:t>
      </w:r>
      <w:r w:rsidR="005D1607">
        <w:t xml:space="preserve"> </w:t>
      </w:r>
      <w:r>
        <w:t xml:space="preserve">de </w:t>
      </w:r>
      <w:r w:rsidR="004E413F">
        <w:t>201</w:t>
      </w:r>
      <w:r w:rsidR="005D1607">
        <w:t>9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>
        <w:t xml:space="preserve">io em que ocorrem. </w:t>
      </w:r>
    </w:p>
    <w:p w:rsidR="00CD7E51" w:rsidRDefault="00CD7E51" w:rsidP="009657C6">
      <w:pPr>
        <w:jc w:val="both"/>
      </w:pPr>
    </w:p>
    <w:p w:rsidR="00AF4478" w:rsidRDefault="00AF4478" w:rsidP="009657C6">
      <w:pPr>
        <w:jc w:val="both"/>
      </w:pPr>
    </w:p>
    <w:p w:rsidR="00AF4478" w:rsidRDefault="00AF4478" w:rsidP="009657C6">
      <w:pPr>
        <w:jc w:val="both"/>
      </w:pPr>
    </w:p>
    <w:p w:rsidR="001F2C40" w:rsidRPr="001F6972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lastRenderedPageBreak/>
        <w:t>Depósitos Judiciais</w:t>
      </w:r>
    </w:p>
    <w:p w:rsidR="00ED5B2D" w:rsidRPr="001F6972" w:rsidRDefault="00ED5B2D" w:rsidP="009657C6">
      <w:pPr>
        <w:jc w:val="both"/>
      </w:pPr>
    </w:p>
    <w:p w:rsidR="001870D3" w:rsidRPr="001F6972" w:rsidRDefault="009657C6" w:rsidP="001870D3">
      <w:pPr>
        <w:jc w:val="both"/>
      </w:pPr>
      <w:r w:rsidRPr="001F6972">
        <w:t xml:space="preserve">Os Depósitos Judiciais estão compostos de valores recursais vinculados a causas trabalhistas corrigidos até </w:t>
      </w:r>
      <w:r w:rsidR="00113CCA" w:rsidRPr="001F6972">
        <w:t>3</w:t>
      </w:r>
      <w:r w:rsidR="003D1FA4" w:rsidRPr="001F6972">
        <w:t>0</w:t>
      </w:r>
      <w:r w:rsidR="00113CCA" w:rsidRPr="001F6972">
        <w:t xml:space="preserve"> de </w:t>
      </w:r>
      <w:r w:rsidR="000D0348" w:rsidRPr="001F6972">
        <w:t>setembro</w:t>
      </w:r>
      <w:r w:rsidR="005D1607" w:rsidRPr="001F6972">
        <w:t xml:space="preserve"> </w:t>
      </w:r>
      <w:r w:rsidR="000D34DD" w:rsidRPr="001F6972">
        <w:t xml:space="preserve">de </w:t>
      </w:r>
      <w:r w:rsidR="004E413F" w:rsidRPr="001F6972">
        <w:t>201</w:t>
      </w:r>
      <w:r w:rsidR="005D1607" w:rsidRPr="001F6972">
        <w:t>9</w:t>
      </w:r>
      <w:r w:rsidR="00E612B7" w:rsidRPr="001F6972">
        <w:t>. Os recursos vinculados aos</w:t>
      </w:r>
      <w:r w:rsidRPr="001F6972">
        <w:t xml:space="preserve"> processos trabalhistas, depositados na Caixa Econômica Federal</w:t>
      </w:r>
      <w:r w:rsidR="00017F1D" w:rsidRPr="001F6972">
        <w:t>,</w:t>
      </w:r>
      <w:r w:rsidRPr="001F6972">
        <w:t xml:space="preserve"> são atualizados pelo coeficiente de remuneração das contas do FGTS, enquanto que o</w:t>
      </w:r>
      <w:r w:rsidR="00EB59F2" w:rsidRPr="001F6972">
        <w:t>s</w:t>
      </w:r>
      <w:r w:rsidRPr="001F6972">
        <w:t xml:space="preserve"> depositado</w:t>
      </w:r>
      <w:r w:rsidR="00EB59F2" w:rsidRPr="001F6972">
        <w:t>s</w:t>
      </w:r>
      <w:r w:rsidRPr="001F6972">
        <w:t xml:space="preserve"> no Banco do Brasil </w:t>
      </w:r>
      <w:r w:rsidR="00EB59F2" w:rsidRPr="001F6972">
        <w:t>são</w:t>
      </w:r>
      <w:r w:rsidRPr="001F6972">
        <w:t xml:space="preserve"> atualizado</w:t>
      </w:r>
      <w:r w:rsidR="00EB59F2" w:rsidRPr="001F6972">
        <w:t>s</w:t>
      </w:r>
      <w:r w:rsidRPr="001F6972">
        <w:t xml:space="preserve"> </w:t>
      </w:r>
      <w:r w:rsidR="00E612B7" w:rsidRPr="001F6972">
        <w:t>pela taxa de juros remuneratória da poupança</w:t>
      </w:r>
      <w:r w:rsidRPr="001F6972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Imobilizado e Intangível</w:t>
      </w:r>
    </w:p>
    <w:p w:rsidR="009657C6" w:rsidRPr="001F6972" w:rsidRDefault="009657C6" w:rsidP="00C46C0C">
      <w:pPr>
        <w:jc w:val="both"/>
      </w:pPr>
    </w:p>
    <w:p w:rsidR="00ED4898" w:rsidRPr="001F6972" w:rsidRDefault="009657C6" w:rsidP="00C46C0C">
      <w:pPr>
        <w:jc w:val="both"/>
      </w:pPr>
      <w:r w:rsidRPr="001F6972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1F6972">
        <w:t>Demonstrações Financeiras</w:t>
      </w:r>
      <w:r w:rsidRPr="001F6972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1F6972">
        <w:t>esses custos adicionais puderem ser mensurados com segurança e quando dos quais espera-se benefícios econômicos futuros</w:t>
      </w:r>
      <w:r w:rsidRPr="001F6972">
        <w:t xml:space="preserve">. Os valores contábeis de itens ou peças substituídas são baixados. </w:t>
      </w:r>
      <w:r w:rsidR="00D41D54" w:rsidRPr="001F6972">
        <w:t xml:space="preserve">Os gastos com </w:t>
      </w:r>
      <w:r w:rsidRPr="001F6972">
        <w:t xml:space="preserve">reparos e manutenções </w:t>
      </w:r>
      <w:r w:rsidR="00944DC2" w:rsidRPr="001F6972">
        <w:t>possuem como</w:t>
      </w:r>
      <w:r w:rsidRPr="001F6972">
        <w:t xml:space="preserve"> contrapartida o resultado do exercício, quando incorridos</w:t>
      </w:r>
      <w:r w:rsidR="00EB59F2" w:rsidRPr="001F6972">
        <w:t>.</w:t>
      </w:r>
      <w:r w:rsidRPr="001F6972">
        <w:t xml:space="preserve"> (Nota n°</w:t>
      </w:r>
      <w:r w:rsidR="00C32586" w:rsidRPr="001F6972">
        <w:fldChar w:fldCharType="begin"/>
      </w:r>
      <w:r w:rsidR="00C32586" w:rsidRPr="001F6972">
        <w:instrText xml:space="preserve"> REF _Ref476905400 \r \h  \* MERGEFORMAT </w:instrText>
      </w:r>
      <w:r w:rsidR="00C32586" w:rsidRPr="001F6972">
        <w:fldChar w:fldCharType="separate"/>
      </w:r>
      <w:r w:rsidR="00C90CC5">
        <w:t>09</w:t>
      </w:r>
      <w:r w:rsidR="00C32586" w:rsidRPr="001F6972">
        <w:fldChar w:fldCharType="end"/>
      </w:r>
      <w:r w:rsidR="00CF26DB" w:rsidRPr="001F6972">
        <w:t xml:space="preserve"> e nº 10</w:t>
      </w:r>
      <w:r w:rsidRPr="001F6972">
        <w:t>)</w:t>
      </w:r>
      <w:r w:rsidR="00017F1D" w:rsidRPr="001F6972">
        <w:t xml:space="preserve">. </w:t>
      </w:r>
    </w:p>
    <w:p w:rsidR="00ED4898" w:rsidRPr="001F6972" w:rsidRDefault="00ED4898" w:rsidP="00C46C0C">
      <w:pPr>
        <w:jc w:val="both"/>
      </w:pPr>
    </w:p>
    <w:p w:rsidR="009657C6" w:rsidRPr="001F6972" w:rsidRDefault="00017F1D" w:rsidP="00C46C0C">
      <w:pPr>
        <w:jc w:val="both"/>
      </w:pPr>
      <w:r w:rsidRPr="001F6972">
        <w:t>P</w:t>
      </w:r>
      <w:r w:rsidR="009657C6" w:rsidRPr="001F6972">
        <w:t xml:space="preserve">ara que não haja perda do custo histórico, a depreciação ou amortização nas </w:t>
      </w:r>
      <w:r w:rsidR="00416B8B" w:rsidRPr="001F6972">
        <w:t>Demonstrações Financeiras</w:t>
      </w:r>
      <w:r w:rsidR="009657C6" w:rsidRPr="001F6972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9657C6">
      <w:pPr>
        <w:jc w:val="both"/>
      </w:pPr>
      <w:r w:rsidRPr="001F6972">
        <w:t xml:space="preserve">As depreciações e amortizações são calculadas usando o método linear, considerando os seus custos durante a vida útil estimada, como </w:t>
      </w:r>
      <w:r w:rsidR="009E013F" w:rsidRPr="001F6972">
        <w:t>demonstrado a seguir</w:t>
      </w:r>
      <w:r w:rsidRPr="001F6972">
        <w:t>:</w:t>
      </w:r>
    </w:p>
    <w:p w:rsidR="00A6699D" w:rsidRPr="001F6972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1F6972" w:rsidRDefault="009657C6" w:rsidP="00C46C0C">
            <w:pPr>
              <w:jc w:val="both"/>
            </w:pPr>
            <w:r w:rsidRPr="001F6972">
              <w:t>VIDA ÚTIL ESTIMADA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C46C0C">
            <w:pPr>
              <w:jc w:val="both"/>
            </w:pPr>
            <w:r w:rsidRPr="001F6972">
              <w:t xml:space="preserve">Edificações (Prédios)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40 anos a 100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Máquinas e Equipamentos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04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>Móveis, Utensílios Diversos.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Veículos </w:t>
            </w:r>
          </w:p>
        </w:tc>
        <w:tc>
          <w:tcPr>
            <w:tcW w:w="2379" w:type="dxa"/>
          </w:tcPr>
          <w:p w:rsidR="009657C6" w:rsidRPr="001F6972" w:rsidRDefault="007B715B" w:rsidP="00512FE5">
            <w:pPr>
              <w:jc w:val="right"/>
            </w:pPr>
            <w:r w:rsidRPr="001F6972">
              <w:t xml:space="preserve">De </w:t>
            </w:r>
            <w:r w:rsidR="009657C6" w:rsidRPr="001F6972">
              <w:t>03 anos a 10 anos</w:t>
            </w:r>
          </w:p>
        </w:tc>
      </w:tr>
      <w:tr w:rsidR="009657C6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Intangível – Software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05 anos</w:t>
            </w:r>
          </w:p>
        </w:tc>
      </w:tr>
    </w:tbl>
    <w:p w:rsidR="009657C6" w:rsidRPr="001F6972" w:rsidRDefault="009657C6" w:rsidP="009657C6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/>
          <w:iCs/>
        </w:rPr>
        <w:t>I</w:t>
      </w:r>
      <w:r w:rsidRPr="001F6972">
        <w:rPr>
          <w:i/>
        </w:rPr>
        <w:t>mpairment</w:t>
      </w:r>
      <w:r w:rsidR="00A909E4" w:rsidRPr="001F6972">
        <w:rPr>
          <w:iCs/>
        </w:rPr>
        <w:t xml:space="preserve"> de A</w:t>
      </w:r>
      <w:r w:rsidRPr="001F6972">
        <w:rPr>
          <w:iCs/>
        </w:rPr>
        <w:t xml:space="preserve">tivos não </w:t>
      </w:r>
      <w:r w:rsidR="00A909E4" w:rsidRPr="001F6972">
        <w:rPr>
          <w:iCs/>
        </w:rPr>
        <w:t>F</w:t>
      </w:r>
      <w:r w:rsidRPr="001F6972">
        <w:rPr>
          <w:iCs/>
        </w:rPr>
        <w:t>inanceiros</w:t>
      </w:r>
    </w:p>
    <w:p w:rsidR="009657C6" w:rsidRPr="001F6972" w:rsidRDefault="009657C6" w:rsidP="009657C6">
      <w:pPr>
        <w:jc w:val="both"/>
      </w:pPr>
    </w:p>
    <w:p w:rsidR="004032B8" w:rsidRPr="001F6972" w:rsidRDefault="0018194B" w:rsidP="004032B8">
      <w:pPr>
        <w:jc w:val="both"/>
      </w:pPr>
      <w:r w:rsidRPr="00C65F56">
        <w:t>A A</w:t>
      </w:r>
      <w:r w:rsidR="004032B8" w:rsidRPr="00C65F56">
        <w:t xml:space="preserve">dministração do HCPA revisa </w:t>
      </w:r>
      <w:r w:rsidR="00542570" w:rsidRPr="00C65F56">
        <w:t xml:space="preserve">anualmente </w:t>
      </w:r>
      <w:r w:rsidR="004032B8" w:rsidRPr="00C65F56">
        <w:t xml:space="preserve">o valor contábil dos ativos de vida longa, principalmente o imobilizado mantido e utilizado nas operações, </w:t>
      </w:r>
      <w:r w:rsidRPr="00C65F56">
        <w:t>por meio de avaliações internas à entidade, as quais objetivam identificar</w:t>
      </w:r>
      <w:r w:rsidR="004032B8" w:rsidRPr="00C65F56">
        <w:t xml:space="preserve"> </w:t>
      </w:r>
      <w:r w:rsidRPr="00C65F56">
        <w:t>indícios de desvalorização de um ativo ou grupo de ativos, conforme fontes externas e internas de informaç</w:t>
      </w:r>
      <w:r w:rsidR="00EF44B8" w:rsidRPr="00C65F56">
        <w:t>ão</w:t>
      </w:r>
      <w:r w:rsidR="004032B8" w:rsidRPr="00C65F56">
        <w:t>.</w:t>
      </w:r>
    </w:p>
    <w:p w:rsidR="004032B8" w:rsidRPr="001F6972" w:rsidRDefault="004032B8" w:rsidP="004032B8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Fornecedores</w:t>
      </w:r>
    </w:p>
    <w:p w:rsidR="009657C6" w:rsidRPr="001F6972" w:rsidRDefault="009657C6" w:rsidP="009657C6">
      <w:pPr>
        <w:jc w:val="both"/>
      </w:pPr>
    </w:p>
    <w:p w:rsidR="00595A08" w:rsidRPr="001F6972" w:rsidRDefault="009657C6" w:rsidP="00595A08">
      <w:pPr>
        <w:jc w:val="both"/>
      </w:pPr>
      <w:r w:rsidRPr="001F6972">
        <w:t xml:space="preserve"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serviço prestado ou bem adquirido. </w:t>
      </w:r>
      <w:r w:rsidR="001870D3" w:rsidRPr="001F6972">
        <w:t xml:space="preserve">(Nota n° </w:t>
      </w:r>
      <w:r w:rsidR="000F35FF" w:rsidRPr="001F6972">
        <w:t>1</w:t>
      </w:r>
      <w:r w:rsidR="003E6D4E" w:rsidRPr="001F6972">
        <w:t>1</w:t>
      </w:r>
      <w:r w:rsidR="00595A08" w:rsidRPr="001F6972">
        <w:t>)</w:t>
      </w:r>
    </w:p>
    <w:p w:rsidR="00ED5B2D" w:rsidRPr="001F6972" w:rsidRDefault="00ED5B2D" w:rsidP="00595A08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Obrigações Tributárias</w:t>
      </w:r>
    </w:p>
    <w:p w:rsidR="009657C6" w:rsidRPr="001F6972" w:rsidRDefault="009657C6" w:rsidP="009657C6">
      <w:pPr>
        <w:jc w:val="both"/>
      </w:pPr>
    </w:p>
    <w:p w:rsidR="009657C6" w:rsidRDefault="009657C6" w:rsidP="009657C6">
      <w:pPr>
        <w:jc w:val="both"/>
      </w:pPr>
      <w:r w:rsidRPr="001F6972">
        <w:t xml:space="preserve">Na conta Obrigações Tributárias, são registrados os </w:t>
      </w:r>
      <w:r w:rsidR="00287034" w:rsidRPr="001F6972">
        <w:t>tributos</w:t>
      </w:r>
      <w:r w:rsidRPr="001F6972">
        <w:t xml:space="preserve"> federais PIS e COFINS </w:t>
      </w:r>
      <w:r w:rsidR="0004788E" w:rsidRPr="001F6972">
        <w:t xml:space="preserve">incidentes sobre receitas próprias </w:t>
      </w:r>
      <w:r w:rsidRPr="001F6972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1F6972">
        <w:t xml:space="preserve">Leis </w:t>
      </w:r>
      <w:r w:rsidR="00A909E4" w:rsidRPr="001F6972">
        <w:t>f</w:t>
      </w:r>
      <w:r w:rsidRPr="001F6972">
        <w:t>ederais incidentes sobre bens ou serviços fornecidos conforme IN/RFB n° 1</w:t>
      </w:r>
      <w:r w:rsidR="0004788E" w:rsidRPr="001F6972">
        <w:t>.</w:t>
      </w:r>
      <w:r w:rsidRPr="001F6972">
        <w:t>234 de 11/01/2012 e IN/RFB n° 971 de</w:t>
      </w:r>
      <w:r w:rsidRPr="00595A08">
        <w:t xml:space="preserve"> </w:t>
      </w:r>
      <w:r w:rsidRPr="00595A08">
        <w:lastRenderedPageBreak/>
        <w:t xml:space="preserve">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</w:t>
      </w:r>
      <w:r w:rsidRPr="006F24C5">
        <w:t xml:space="preserve">de 1970.  (Nota n° </w:t>
      </w:r>
      <w:r w:rsidR="00C32586" w:rsidRPr="006F24C5">
        <w:fldChar w:fldCharType="begin"/>
      </w:r>
      <w:r w:rsidR="00C32586" w:rsidRPr="006F24C5">
        <w:instrText xml:space="preserve"> REF _Ref466472218 \r \h  \* MERGEFORMAT </w:instrText>
      </w:r>
      <w:r w:rsidR="00C32586" w:rsidRPr="006F24C5">
        <w:fldChar w:fldCharType="separate"/>
      </w:r>
      <w:r w:rsidR="00C90CC5">
        <w:t>12</w:t>
      </w:r>
      <w:r w:rsidR="00C32586" w:rsidRPr="006F24C5">
        <w:fldChar w:fldCharType="end"/>
      </w:r>
      <w:r w:rsidRPr="006F24C5">
        <w:t>)</w:t>
      </w:r>
    </w:p>
    <w:p w:rsidR="001F6972" w:rsidRPr="00595A08" w:rsidRDefault="001F6972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Benefícios a Empregados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Default="009657C6" w:rsidP="009657C6">
      <w:pPr>
        <w:jc w:val="both"/>
      </w:pPr>
      <w:r w:rsidRPr="00595A08">
        <w:t xml:space="preserve">A Instituição possui diversos planos de benefícios a empregados, como </w:t>
      </w:r>
      <w:r w:rsidR="00366723">
        <w:t>aux</w:t>
      </w:r>
      <w:r w:rsidR="00017F1D">
        <w:t>í</w:t>
      </w:r>
      <w:r w:rsidR="00366723">
        <w:t xml:space="preserve">lio </w:t>
      </w:r>
      <w:r w:rsidRPr="00595A08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95A08">
        <w:t>.</w:t>
      </w:r>
      <w:r w:rsidRPr="00595A08">
        <w:t xml:space="preserve"> </w:t>
      </w:r>
    </w:p>
    <w:p w:rsidR="006874C1" w:rsidRDefault="006874C1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595A08" w:rsidRDefault="008402DA" w:rsidP="009657C6">
      <w:pPr>
        <w:jc w:val="both"/>
      </w:pPr>
    </w:p>
    <w:p w:rsidR="004E27E0" w:rsidRPr="005005D7" w:rsidRDefault="00EF0271" w:rsidP="009657C6">
      <w:pPr>
        <w:jc w:val="both"/>
      </w:pPr>
      <w:r w:rsidRPr="008D55CB">
        <w:t xml:space="preserve">O valor das ações </w:t>
      </w:r>
      <w:r w:rsidR="004E27E0" w:rsidRPr="008D55CB">
        <w:t xml:space="preserve">cuja probabilidade de perda, segundo a área jurídica do HCPA, é considerada possível </w:t>
      </w:r>
      <w:r w:rsidR="009A0680" w:rsidRPr="008D55CB">
        <w:t>é de</w:t>
      </w:r>
      <w:r w:rsidR="004E27E0" w:rsidRPr="008D55CB">
        <w:t xml:space="preserve">: </w:t>
      </w:r>
      <w:r w:rsidR="004E27E0" w:rsidRPr="0048427D">
        <w:t xml:space="preserve">R$ </w:t>
      </w:r>
      <w:r w:rsidR="0048427D" w:rsidRPr="0048427D">
        <w:t>20.305</w:t>
      </w:r>
      <w:r w:rsidR="00A954CD" w:rsidRPr="0048427D">
        <w:t xml:space="preserve"> </w:t>
      </w:r>
      <w:r w:rsidR="004E27E0" w:rsidRPr="0048427D">
        <w:t>Cíveis, R</w:t>
      </w:r>
      <w:r w:rsidR="0048427D" w:rsidRPr="0048427D">
        <w:t>$ 126.485</w:t>
      </w:r>
      <w:r w:rsidR="00A809DD" w:rsidRPr="0048427D">
        <w:t xml:space="preserve"> </w:t>
      </w:r>
      <w:r w:rsidR="004E27E0" w:rsidRPr="0048427D">
        <w:t>Trabalhistas e R</w:t>
      </w:r>
      <w:r w:rsidR="0048427D" w:rsidRPr="0048427D">
        <w:t>$ 1.221</w:t>
      </w:r>
      <w:r w:rsidR="004E27E0" w:rsidRPr="0048427D">
        <w:t xml:space="preserve"> Tributárias, totalizando R</w:t>
      </w:r>
      <w:r w:rsidR="0048427D" w:rsidRPr="0048427D">
        <w:t>$ 148.011.</w:t>
      </w:r>
    </w:p>
    <w:p w:rsidR="000B7283" w:rsidRPr="005005D7" w:rsidRDefault="000B7283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6F24C5">
        <w:t xml:space="preserve">Nacional. </w:t>
      </w:r>
    </w:p>
    <w:p w:rsidR="00DC261B" w:rsidRDefault="00DC261B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F81DC0" w:rsidRDefault="00DC261B" w:rsidP="0042479C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42479C" w:rsidRDefault="0042479C" w:rsidP="0042479C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F81DC0" w:rsidRDefault="00F81DC0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9657C6" w:rsidRDefault="009657C6" w:rsidP="009657C6">
      <w:pPr>
        <w:jc w:val="both"/>
      </w:pPr>
    </w:p>
    <w:p w:rsidR="00ED5B2D" w:rsidRDefault="00ED5B2D">
      <w:r>
        <w:rPr>
          <w:b/>
        </w:rPr>
        <w:br w:type="page"/>
      </w:r>
    </w:p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lastRenderedPageBreak/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="00867B4D">
        <w:t>contas a receber, a i</w:t>
      </w:r>
      <w:r w:rsidRPr="00FD7B48">
        <w:t>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500EEB" w:rsidRPr="00BF6941" w:rsidRDefault="009657C6" w:rsidP="00F106B7">
      <w:pPr>
        <w:jc w:val="both"/>
      </w:pPr>
      <w:r w:rsidRPr="00BF6941">
        <w:t>Os custos dos serviços e despesas administrativas f</w:t>
      </w:r>
      <w:r w:rsidR="00500EEB" w:rsidRPr="00BF6941">
        <w:t>oram apropriados de acordo com sistema de apuração de custos contábeis</w:t>
      </w:r>
      <w:r w:rsidR="00017F1D" w:rsidRPr="00BF6941">
        <w:t>,</w:t>
      </w:r>
      <w:r w:rsidR="00F106B7" w:rsidRPr="00BF6941">
        <w:t xml:space="preserve"> que considera as seguintes premissas de cálculo: a an</w:t>
      </w:r>
      <w:r w:rsidR="00017F1D" w:rsidRPr="00BF6941">
        <w:t>á</w:t>
      </w:r>
      <w:r w:rsidR="00F106B7" w:rsidRPr="00BF6941">
        <w:t>lise é feita por grupos de centros de c</w:t>
      </w:r>
      <w:r w:rsidR="00500EEB" w:rsidRPr="00BF6941">
        <w:t>ustos agrupados por áreas afins</w:t>
      </w:r>
      <w:r w:rsidR="00F106B7" w:rsidRPr="00BF6941">
        <w:t xml:space="preserve">. </w:t>
      </w:r>
    </w:p>
    <w:p w:rsidR="00500EEB" w:rsidRPr="00BF6941" w:rsidRDefault="00500EEB" w:rsidP="00F106B7">
      <w:pPr>
        <w:jc w:val="both"/>
      </w:pPr>
    </w:p>
    <w:p w:rsidR="00F106B7" w:rsidRPr="00BF6941" w:rsidRDefault="00F106B7" w:rsidP="00F106B7">
      <w:pPr>
        <w:jc w:val="both"/>
      </w:pPr>
      <w:r w:rsidRPr="00BF6941">
        <w:t>Os valores dos custos diretos são distribuídos em: pessoal, material, depreciação, serviços, água, energia e telefone. Não são considerados os grupos de centro de custos referente</w:t>
      </w:r>
      <w:r w:rsidR="00017F1D" w:rsidRPr="00BF6941">
        <w:t>s</w:t>
      </w:r>
      <w:r w:rsidRPr="00BF6941">
        <w:t xml:space="preserve"> </w:t>
      </w:r>
      <w:r w:rsidR="00017F1D" w:rsidRPr="00BF6941">
        <w:t>a</w:t>
      </w:r>
      <w:r w:rsidRPr="00BF6941">
        <w:t>os complementos patrimoniais, custos não operacionais e obras em andamento.</w:t>
      </w:r>
    </w:p>
    <w:p w:rsidR="003F102B" w:rsidRPr="00BF6941" w:rsidRDefault="003F102B" w:rsidP="00F32D11">
      <w:pPr>
        <w:jc w:val="both"/>
      </w:pPr>
    </w:p>
    <w:p w:rsidR="00595A08" w:rsidRDefault="009657C6" w:rsidP="00F32D11">
      <w:pPr>
        <w:jc w:val="both"/>
      </w:pPr>
      <w:r w:rsidRPr="00BF6941">
        <w:t>Na determinação do resultado do exercício foram computados os custos e as despesas pagos ou incorridos correspondente</w:t>
      </w:r>
      <w:r w:rsidR="006C603A" w:rsidRPr="00BF6941">
        <w:t>s</w:t>
      </w:r>
      <w:r w:rsidRPr="00BF6941">
        <w:t xml:space="preserve"> às receitas de serviços reconhecidas no exercício</w:t>
      </w:r>
      <w:r w:rsidR="00181455" w:rsidRPr="00BF6941">
        <w:t>.</w:t>
      </w:r>
      <w:r w:rsidRPr="00011BF8">
        <w:t xml:space="preserve"> </w:t>
      </w: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    </w:t>
      </w:r>
    </w:p>
    <w:p w:rsidR="009657C6" w:rsidRDefault="009657C6" w:rsidP="009657C6">
      <w:pPr>
        <w:jc w:val="both"/>
      </w:pPr>
    </w:p>
    <w:p w:rsidR="00A41C0F" w:rsidRDefault="00A41C0F" w:rsidP="009657C6">
      <w:pPr>
        <w:jc w:val="both"/>
      </w:pPr>
    </w:p>
    <w:p w:rsidR="009657C6" w:rsidRPr="006338C6" w:rsidRDefault="00E65AC5" w:rsidP="00E65AC5">
      <w:pPr>
        <w:pStyle w:val="Ttulo"/>
        <w:outlineLvl w:val="0"/>
      </w:pPr>
      <w:bookmarkStart w:id="6" w:name="_Toc24124450"/>
      <w:r w:rsidRPr="006338C6">
        <w:t>Estimativas e Julgamentos Contábeis Críticos</w:t>
      </w:r>
      <w:bookmarkEnd w:id="6"/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>) assim como d</w:t>
      </w:r>
      <w:r w:rsidR="004A1C04">
        <w:t>o</w:t>
      </w:r>
      <w:r w:rsidR="008B663F">
        <w:t xml:space="preserve"> </w:t>
      </w:r>
      <w:r w:rsidR="00497EE9">
        <w:t xml:space="preserve">Ministério da Transparência e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E2221E">
        <w:t>Financeira</w:t>
      </w:r>
      <w:r w:rsidR="00E90D05">
        <w:t xml:space="preserve"> (COFIN)</w:t>
      </w:r>
      <w:r w:rsidR="00527F6F">
        <w:t xml:space="preserve"> e pela </w:t>
      </w:r>
      <w:r w:rsidR="007B2064">
        <w:t>Diretoria Executiva</w:t>
      </w:r>
      <w:r w:rsidR="00527F6F">
        <w:t xml:space="preserve"> do HCPA</w:t>
      </w:r>
      <w:r w:rsidRPr="00E2221E">
        <w:t>.</w:t>
      </w:r>
      <w:r w:rsidRPr="00FD7B48">
        <w:t xml:space="preserve">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demonstrações financeiras incluem, portanto, várias estimativas, </w:t>
      </w:r>
      <w:r w:rsidR="00AB7073" w:rsidRPr="00FD7B48">
        <w:t>dentre elas</w:t>
      </w:r>
      <w:r w:rsidRPr="00FD7B4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FD7B48">
        <w:t>, entre outras</w:t>
      </w:r>
      <w:r w:rsidRPr="00FD7B48">
        <w:t>.</w:t>
      </w:r>
    </w:p>
    <w:p w:rsidR="00FF3CFF" w:rsidRDefault="00FF3CFF" w:rsidP="009657C6">
      <w:pPr>
        <w:jc w:val="both"/>
      </w:pPr>
    </w:p>
    <w:p w:rsidR="007D0550" w:rsidRDefault="007D0550" w:rsidP="009657C6">
      <w:pPr>
        <w:jc w:val="both"/>
      </w:pPr>
    </w:p>
    <w:p w:rsidR="009657C6" w:rsidRPr="006338C6" w:rsidRDefault="001A2A78" w:rsidP="00E65AC5">
      <w:pPr>
        <w:pStyle w:val="Ttulo"/>
        <w:outlineLvl w:val="0"/>
      </w:pPr>
      <w:bookmarkStart w:id="7" w:name="_Toc24124451"/>
      <w:r>
        <w:t>G</w:t>
      </w:r>
      <w:r w:rsidR="00E65AC5" w:rsidRPr="006338C6">
        <w:t>estão de Risco Financeiro</w:t>
      </w:r>
      <w:bookmarkEnd w:id="7"/>
    </w:p>
    <w:p w:rsidR="0000204B" w:rsidRDefault="0000204B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Liquidez</w:t>
      </w:r>
    </w:p>
    <w:p w:rsidR="009657C6" w:rsidRPr="00FD7B48" w:rsidRDefault="009657C6" w:rsidP="009657C6">
      <w:pPr>
        <w:jc w:val="both"/>
      </w:pPr>
    </w:p>
    <w:p w:rsidR="006338C6" w:rsidRDefault="009657C6" w:rsidP="009657C6">
      <w:pPr>
        <w:jc w:val="both"/>
      </w:pPr>
      <w:r w:rsidRPr="00FD7B48">
        <w:t>O risco da Instituição não dispor de recursos suficientes para honrar seus compromissos financeiros é administrado através do monitoramento das previsões de um fluxo orçamentário</w:t>
      </w:r>
      <w:r w:rsidR="003617F5">
        <w:t xml:space="preserve">/financeiro </w:t>
      </w:r>
      <w:r w:rsidRPr="00FD7B48">
        <w:t xml:space="preserve">realizado pela Coordenadoria </w:t>
      </w:r>
      <w:r w:rsidR="00AD068B">
        <w:t xml:space="preserve">de Gestão </w:t>
      </w:r>
      <w:r w:rsidRPr="00FD7B48">
        <w:t>Financeira</w:t>
      </w:r>
      <w:r w:rsidR="00AD068B">
        <w:t xml:space="preserve"> (COFIN)</w:t>
      </w:r>
      <w:r w:rsidRPr="00FD7B48">
        <w:t>. A este departamento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9E0C16" w:rsidRDefault="009E0C16">
      <w:r>
        <w:rPr>
          <w:b/>
        </w:rPr>
        <w:br w:type="page"/>
      </w: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lastRenderedPageBreak/>
        <w:t>Risco de Crédito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FB7068" w:rsidRDefault="00FB7068" w:rsidP="00FB7068">
      <w:pPr>
        <w:jc w:val="both"/>
      </w:pPr>
      <w:r>
        <w:t xml:space="preserve">No exercício de </w:t>
      </w:r>
      <w:r w:rsidR="004E413F">
        <w:t>201</w:t>
      </w:r>
      <w:r w:rsidR="004261B6">
        <w:t>9</w:t>
      </w:r>
      <w:r w:rsidR="00A909E4">
        <w:t>,</w:t>
      </w:r>
      <w:r>
        <w:t xml:space="preserve"> os recursos orçamentários foram fixados pela Lei 13.</w:t>
      </w:r>
      <w:r w:rsidR="004261B6">
        <w:t>808</w:t>
      </w:r>
      <w:r>
        <w:t>, de 1</w:t>
      </w:r>
      <w:r w:rsidR="004261B6">
        <w:t>5</w:t>
      </w:r>
      <w:r>
        <w:t xml:space="preserve"> de janeiro de </w:t>
      </w:r>
      <w:r w:rsidR="004E413F">
        <w:t>201</w:t>
      </w:r>
      <w:r w:rsidR="004261B6">
        <w:t>9</w:t>
      </w:r>
      <w:r>
        <w:t xml:space="preserve">, publicada no DOU </w:t>
      </w:r>
      <w:r w:rsidRPr="00124128">
        <w:t xml:space="preserve">em </w:t>
      </w:r>
      <w:r w:rsidR="004261B6" w:rsidRPr="00124128">
        <w:t>16</w:t>
      </w:r>
      <w:r w:rsidRPr="00124128">
        <w:t xml:space="preserve"> de janeiro de </w:t>
      </w:r>
      <w:r w:rsidR="004E413F" w:rsidRPr="00124128">
        <w:t>201</w:t>
      </w:r>
      <w:r w:rsidR="00124128" w:rsidRPr="00124128">
        <w:t>9</w:t>
      </w:r>
      <w:r w:rsidRPr="00124128">
        <w:t>.</w:t>
      </w:r>
    </w:p>
    <w:p w:rsidR="007D0550" w:rsidRPr="009E0C16" w:rsidRDefault="007D0550" w:rsidP="003839BA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FD7B48" w:rsidRDefault="009657C6" w:rsidP="009657C6">
      <w:pPr>
        <w:jc w:val="both"/>
      </w:pPr>
      <w:r w:rsidRPr="00F34882">
        <w:t xml:space="preserve">A Instituição aprovou no </w:t>
      </w:r>
      <w:r w:rsidR="005B0555">
        <w:t>Conselho de Administração</w:t>
      </w:r>
      <w:r w:rsidR="006C603A">
        <w:t>,</w:t>
      </w:r>
      <w:r w:rsidR="00214EAD">
        <w:t xml:space="preserve"> </w:t>
      </w:r>
      <w:r w:rsidR="00ED2518" w:rsidRPr="00F34882">
        <w:t>na reunião n° 4</w:t>
      </w:r>
      <w:r w:rsidR="00E87205" w:rsidRPr="00F34882">
        <w:t>1</w:t>
      </w:r>
      <w:r w:rsidR="00ED2518" w:rsidRPr="00F34882">
        <w:t xml:space="preserve">8, realizada em </w:t>
      </w:r>
      <w:r w:rsidR="00E87205" w:rsidRPr="00F34882">
        <w:t>23</w:t>
      </w:r>
      <w:r w:rsidRPr="00F34882">
        <w:t xml:space="preserve"> de </w:t>
      </w:r>
      <w:r w:rsidR="00E87205" w:rsidRPr="00F34882">
        <w:t>outubro</w:t>
      </w:r>
      <w:r w:rsidRPr="00F34882">
        <w:t xml:space="preserve"> de </w:t>
      </w:r>
      <w:r w:rsidR="004E413F">
        <w:t>2018</w:t>
      </w:r>
      <w:r w:rsidRPr="00F34882">
        <w:t>,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>) de Contas a Receber de Clientes, utilizando como critério as contas não recebidas e vencidas há pelo menos seis (6) meses</w:t>
      </w:r>
      <w:r w:rsidRPr="006C603A">
        <w:t xml:space="preserve">, </w:t>
      </w:r>
      <w:r w:rsidRPr="00FD7B48">
        <w:t>acrescido de uma análise técnica qualitativa de cada devedor</w:t>
      </w:r>
      <w:r w:rsidR="00B457E8" w:rsidRPr="00FD7B48">
        <w:t xml:space="preserve">. </w:t>
      </w:r>
    </w:p>
    <w:p w:rsidR="00ED2518" w:rsidRPr="00FD7B48" w:rsidRDefault="00ED2518" w:rsidP="009657C6">
      <w:pPr>
        <w:jc w:val="both"/>
      </w:pPr>
    </w:p>
    <w:p w:rsidR="009657C6" w:rsidRDefault="009657C6" w:rsidP="009657C6">
      <w:pPr>
        <w:jc w:val="both"/>
      </w:pPr>
      <w:r w:rsidRPr="008D55CB">
        <w:t xml:space="preserve">Os Estoques garantem </w:t>
      </w:r>
      <w:r w:rsidR="00500EEB">
        <w:t>48</w:t>
      </w:r>
      <w:r w:rsidRPr="008D55CB">
        <w:t xml:space="preserve"> dias de utilização, com os preços médios devidamente de acordo com o mercado. O</w:t>
      </w:r>
      <w:r w:rsidRPr="00FD7B48">
        <w:t xml:space="preserve"> volume dos estoques decorre muitas vezes da política governamental orçamentária de cada exercício. </w:t>
      </w:r>
    </w:p>
    <w:p w:rsidR="00011BF8" w:rsidRPr="009E0C16" w:rsidRDefault="00011BF8" w:rsidP="009657C6">
      <w:pPr>
        <w:jc w:val="both"/>
        <w:rPr>
          <w:sz w:val="18"/>
          <w:szCs w:val="18"/>
        </w:rPr>
      </w:pPr>
    </w:p>
    <w:p w:rsidR="00A41C0F" w:rsidRPr="009E0C16" w:rsidRDefault="00A41C0F" w:rsidP="009657C6">
      <w:pPr>
        <w:jc w:val="both"/>
        <w:rPr>
          <w:sz w:val="18"/>
          <w:szCs w:val="18"/>
        </w:rPr>
      </w:pPr>
    </w:p>
    <w:p w:rsidR="00196D9E" w:rsidRPr="006667D2" w:rsidRDefault="00196D9E" w:rsidP="00230EA8">
      <w:pPr>
        <w:pStyle w:val="Ttulo"/>
        <w:outlineLvl w:val="0"/>
      </w:pPr>
      <w:bookmarkStart w:id="8" w:name="_Ref457927830"/>
      <w:bookmarkStart w:id="9" w:name="_Toc24124452"/>
      <w:r w:rsidRPr="006667D2">
        <w:t>Caixa e Equivalentes de Caixa</w:t>
      </w:r>
      <w:bookmarkEnd w:id="8"/>
      <w:bookmarkEnd w:id="9"/>
    </w:p>
    <w:p w:rsidR="00BF4164" w:rsidRPr="009E0C16" w:rsidRDefault="00BF4164" w:rsidP="00BF4164">
      <w:pPr>
        <w:tabs>
          <w:tab w:val="center" w:pos="4348"/>
        </w:tabs>
        <w:jc w:val="both"/>
        <w:rPr>
          <w:b/>
          <w:sz w:val="18"/>
          <w:szCs w:val="18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850"/>
        <w:gridCol w:w="260"/>
        <w:gridCol w:w="2432"/>
      </w:tblGrid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  <w:sz w:val="22"/>
                <w:szCs w:val="22"/>
              </w:rPr>
            </w:pPr>
            <w:r w:rsidRPr="003B03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31/12/2018</w:t>
            </w:r>
          </w:p>
        </w:tc>
      </w:tr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Caixa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11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15</w:t>
            </w:r>
          </w:p>
        </w:tc>
      </w:tr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Conta Corrente/Bancos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860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691</w:t>
            </w:r>
          </w:p>
        </w:tc>
      </w:tr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Depósitos Bancários de Curto Prazo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19.992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28.550</w:t>
            </w:r>
          </w:p>
        </w:tc>
      </w:tr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Conta Limite de Saque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FF5BF0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71.88</w:t>
            </w:r>
            <w:r w:rsidR="00FF5BF0">
              <w:rPr>
                <w:color w:val="000000"/>
              </w:rPr>
              <w:t>8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color w:val="000000"/>
              </w:rPr>
            </w:pPr>
            <w:r w:rsidRPr="003B0399"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color w:val="000000"/>
              </w:rPr>
            </w:pPr>
            <w:r w:rsidRPr="003B0399">
              <w:rPr>
                <w:color w:val="000000"/>
              </w:rPr>
              <w:t>98.541</w:t>
            </w:r>
          </w:p>
        </w:tc>
      </w:tr>
      <w:tr w:rsidR="003B0399" w:rsidRPr="003B0399" w:rsidTr="003B0399">
        <w:tc>
          <w:tcPr>
            <w:tcW w:w="19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55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92.751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0399" w:rsidRPr="003B0399" w:rsidRDefault="003B0399" w:rsidP="003B0399">
            <w:pPr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0399" w:rsidRPr="003B0399" w:rsidRDefault="003B0399" w:rsidP="003B0399">
            <w:pPr>
              <w:jc w:val="right"/>
              <w:rPr>
                <w:b/>
                <w:bCs/>
                <w:color w:val="000000"/>
              </w:rPr>
            </w:pPr>
            <w:r w:rsidRPr="003B0399">
              <w:rPr>
                <w:b/>
                <w:bCs/>
                <w:color w:val="000000"/>
              </w:rPr>
              <w:t>127.797</w:t>
            </w:r>
          </w:p>
        </w:tc>
      </w:tr>
    </w:tbl>
    <w:p w:rsidR="003B0399" w:rsidRPr="009E0C16" w:rsidRDefault="003B0399" w:rsidP="00BF4164">
      <w:pPr>
        <w:tabs>
          <w:tab w:val="center" w:pos="4348"/>
        </w:tabs>
        <w:jc w:val="both"/>
        <w:rPr>
          <w:b/>
          <w:sz w:val="18"/>
          <w:szCs w:val="18"/>
        </w:rPr>
      </w:pPr>
    </w:p>
    <w:p w:rsidR="002A2DA7" w:rsidRDefault="00744C61" w:rsidP="002A2DA7">
      <w:pPr>
        <w:jc w:val="both"/>
      </w:pPr>
      <w:r w:rsidRPr="00FD7B48">
        <w:t xml:space="preserve">A conta limite de saque é composta pelo saldo dos recursos públicos vinculados a convênios ou recursos </w:t>
      </w:r>
      <w:r w:rsidRPr="00E63EC1">
        <w:t>especiais que não podem ser aplicados em Fundos de Curto Prazo. Estes recurs</w:t>
      </w:r>
      <w:r w:rsidR="00EC3FA0" w:rsidRPr="00E63EC1">
        <w:t>os estão disponíveis para pagar</w:t>
      </w:r>
      <w:r w:rsidRPr="00E63EC1">
        <w:t xml:space="preserve"> despesas de capital ou </w:t>
      </w:r>
      <w:r w:rsidR="00443B0B" w:rsidRPr="00E63EC1">
        <w:t xml:space="preserve">de </w:t>
      </w:r>
      <w:r w:rsidRPr="00E63EC1">
        <w:t>custeio.</w:t>
      </w:r>
      <w:r w:rsidR="00AF3384" w:rsidRPr="00E63EC1">
        <w:t xml:space="preserve"> </w:t>
      </w:r>
      <w:r w:rsidR="004D56CD" w:rsidRPr="00E63EC1">
        <w:t>Em 30</w:t>
      </w:r>
      <w:r w:rsidR="00AF3384" w:rsidRPr="00E63EC1">
        <w:t xml:space="preserve"> de </w:t>
      </w:r>
      <w:r w:rsidR="004D56CD" w:rsidRPr="00E63EC1">
        <w:t>setembro</w:t>
      </w:r>
      <w:r w:rsidR="00AF3384" w:rsidRPr="00E63EC1">
        <w:t xml:space="preserve"> de 201</w:t>
      </w:r>
      <w:r w:rsidR="00A41C0F" w:rsidRPr="00E63EC1">
        <w:t>9</w:t>
      </w:r>
      <w:r w:rsidR="00AF3384" w:rsidRPr="00E63EC1">
        <w:t xml:space="preserve"> compõ</w:t>
      </w:r>
      <w:r w:rsidR="001178CC" w:rsidRPr="00E63EC1">
        <w:t>em</w:t>
      </w:r>
      <w:r w:rsidR="00AF3384" w:rsidRPr="00E63EC1">
        <w:t xml:space="preserve"> o saldo da conta única</w:t>
      </w:r>
      <w:r w:rsidR="00482F3E" w:rsidRPr="00E63EC1">
        <w:t>, também,</w:t>
      </w:r>
      <w:r w:rsidR="001178CC" w:rsidRPr="00E63EC1">
        <w:t xml:space="preserve"> </w:t>
      </w:r>
      <w:r w:rsidR="002A2DA7" w:rsidRPr="00E63EC1">
        <w:t>os recursos</w:t>
      </w:r>
      <w:r w:rsidR="001178CC" w:rsidRPr="00E63EC1">
        <w:t xml:space="preserve"> </w:t>
      </w:r>
      <w:r w:rsidR="00AF3384" w:rsidRPr="00E63EC1">
        <w:t>financeiro</w:t>
      </w:r>
      <w:r w:rsidR="002A2DA7" w:rsidRPr="00E63EC1">
        <w:t>s para pagamento</w:t>
      </w:r>
      <w:r w:rsidR="00AF3384" w:rsidRPr="00E63EC1">
        <w:t xml:space="preserve"> das obrigações com pessoal do HCPA</w:t>
      </w:r>
      <w:r w:rsidR="00D34B5E" w:rsidRPr="00E63EC1">
        <w:t xml:space="preserve"> referente</w:t>
      </w:r>
      <w:r w:rsidR="00F85BAA" w:rsidRPr="00E63EC1">
        <w:t>s</w:t>
      </w:r>
      <w:r w:rsidR="00D34B5E" w:rsidRPr="00E63EC1">
        <w:t xml:space="preserve"> </w:t>
      </w:r>
      <w:r w:rsidR="00AC72B5" w:rsidRPr="00E63EC1">
        <w:t>à</w:t>
      </w:r>
      <w:r w:rsidR="00482F3E" w:rsidRPr="00E63EC1">
        <w:t xml:space="preserve"> </w:t>
      </w:r>
      <w:r w:rsidR="00D34B5E" w:rsidRPr="00E63EC1">
        <w:t xml:space="preserve">folha de </w:t>
      </w:r>
      <w:r w:rsidR="004D56CD" w:rsidRPr="00E63EC1">
        <w:t>setembro</w:t>
      </w:r>
      <w:r w:rsidR="00853AEE" w:rsidRPr="00E63EC1">
        <w:t xml:space="preserve"> de 2019</w:t>
      </w:r>
      <w:r w:rsidR="00AF3384" w:rsidRPr="00E63EC1">
        <w:t>,</w:t>
      </w:r>
      <w:r w:rsidR="002A2DA7" w:rsidRPr="00E63EC1">
        <w:t xml:space="preserve"> isso se deve</w:t>
      </w:r>
      <w:r w:rsidR="007F40AD" w:rsidRPr="00E63EC1">
        <w:t>m</w:t>
      </w:r>
      <w:r w:rsidR="002A2DA7" w:rsidRPr="00E63EC1">
        <w:t xml:space="preserve"> à mudança</w:t>
      </w:r>
      <w:r w:rsidR="00EC3FA0" w:rsidRPr="00E63EC1">
        <w:t xml:space="preserve"> de critério no Sistema Integrado de Administração Financeira -</w:t>
      </w:r>
      <w:r w:rsidR="00AC72B5" w:rsidRPr="00E63EC1">
        <w:t xml:space="preserve"> </w:t>
      </w:r>
      <w:r w:rsidR="002A2DA7" w:rsidRPr="00E63EC1">
        <w:t>SIAFI</w:t>
      </w:r>
      <w:r w:rsidR="00853AEE" w:rsidRPr="00E63EC1">
        <w:t xml:space="preserve"> data</w:t>
      </w:r>
      <w:r w:rsidR="002A2DA7" w:rsidRPr="00E63EC1">
        <w:t xml:space="preserve"> em que ocorreu a migração para o novo sistema de pagamentos.</w:t>
      </w:r>
      <w:r w:rsidR="001178CC" w:rsidRPr="00853AEE">
        <w:t xml:space="preserve"> </w:t>
      </w:r>
    </w:p>
    <w:p w:rsidR="002A2DA7" w:rsidRPr="009E0C16" w:rsidRDefault="002A2DA7" w:rsidP="00744C61">
      <w:pPr>
        <w:jc w:val="both"/>
        <w:rPr>
          <w:sz w:val="18"/>
          <w:szCs w:val="18"/>
        </w:rPr>
      </w:pPr>
    </w:p>
    <w:p w:rsidR="008F01DF" w:rsidRPr="009E0C16" w:rsidRDefault="008F01DF" w:rsidP="00744C61">
      <w:pPr>
        <w:jc w:val="both"/>
        <w:rPr>
          <w:sz w:val="18"/>
          <w:szCs w:val="18"/>
        </w:rPr>
      </w:pPr>
    </w:p>
    <w:p w:rsidR="00B20F98" w:rsidRPr="006667D2" w:rsidRDefault="005963AE" w:rsidP="00F27C83">
      <w:pPr>
        <w:pStyle w:val="Ttulo"/>
        <w:outlineLvl w:val="0"/>
      </w:pPr>
      <w:bookmarkStart w:id="10" w:name="_Ref457927885"/>
      <w:bookmarkStart w:id="11" w:name="_Toc24124453"/>
      <w:r w:rsidRPr="006667D2">
        <w:t>Créditos de Fornecimento de Serviços</w:t>
      </w:r>
      <w:bookmarkEnd w:id="10"/>
      <w:bookmarkEnd w:id="11"/>
      <w:r w:rsidRPr="006667D2">
        <w:t xml:space="preserve"> </w:t>
      </w:r>
    </w:p>
    <w:p w:rsidR="00B20F98" w:rsidRPr="009E0C16" w:rsidRDefault="00B20F98" w:rsidP="00B20F98">
      <w:pPr>
        <w:tabs>
          <w:tab w:val="center" w:pos="4348"/>
        </w:tabs>
        <w:jc w:val="both"/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31/12/2018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38.735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36.306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15.665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13.783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2.182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2.397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2.858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1.402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59.439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53.888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color w:val="000000"/>
              </w:rPr>
            </w:pPr>
            <w:r w:rsidRPr="00E63EC1">
              <w:rPr>
                <w:color w:val="000000"/>
              </w:rPr>
              <w:t>Perdas Estimadas Créditos Liquid. Duvidosa – PECLD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6667D2" w:rsidP="00E63E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63EC1" w:rsidRPr="00E63EC1">
              <w:rPr>
                <w:color w:val="000000"/>
              </w:rPr>
              <w:t>9.968</w:t>
            </w:r>
            <w:r>
              <w:rPr>
                <w:color w:val="000000"/>
              </w:rP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color w:val="000000"/>
              </w:rPr>
            </w:pPr>
            <w:r w:rsidRPr="00E63EC1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6667D2" w:rsidP="00E63E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63EC1" w:rsidRPr="00E63EC1">
              <w:rPr>
                <w:color w:val="000000"/>
              </w:rPr>
              <w:t>10.156</w:t>
            </w:r>
            <w:r>
              <w:rPr>
                <w:color w:val="000000"/>
              </w:rPr>
              <w:t>)</w:t>
            </w:r>
          </w:p>
        </w:tc>
      </w:tr>
      <w:tr w:rsidR="00E63EC1" w:rsidRPr="00E63EC1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Valor Líquido a Receber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6667D2" w:rsidP="00E63EC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49.471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E63EC1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E63EC1">
              <w:rPr>
                <w:b/>
                <w:bCs/>
                <w:color w:val="000000"/>
              </w:rPr>
              <w:t>43.732</w:t>
            </w:r>
          </w:p>
        </w:tc>
      </w:tr>
    </w:tbl>
    <w:p w:rsidR="005641A2" w:rsidRPr="00FD7B48" w:rsidRDefault="00ED5B2D" w:rsidP="008B0DEB">
      <w:pPr>
        <w:jc w:val="both"/>
      </w:pPr>
      <w:r>
        <w:lastRenderedPageBreak/>
        <w:t>Estes créditos</w:t>
      </w:r>
      <w:r w:rsidR="00B20F98" w:rsidRPr="00FD7B48">
        <w:t xml:space="preserve"> correspondem aos valores a receber de clientes pela prestação de serviços no curso normal das atividades da Instituição.</w:t>
      </w:r>
      <w:r>
        <w:t xml:space="preserve"> </w:t>
      </w:r>
      <w:r w:rsidR="008B0DEB"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="008B0DEB" w:rsidRPr="00FD7B48">
        <w:t xml:space="preserve"> </w:t>
      </w:r>
      <w:r w:rsidR="00B73948" w:rsidRPr="00FD7B48">
        <w:t xml:space="preserve">Perdas Estimadas para </w:t>
      </w:r>
      <w:r w:rsidR="008B0DEB" w:rsidRPr="00FD7B48">
        <w:t>Créditos de Liquidação Duvidosa (“P</w:t>
      </w:r>
      <w:r w:rsidR="00B73948" w:rsidRPr="00FD7B48">
        <w:t>E</w:t>
      </w:r>
      <w:r w:rsidR="008B0DEB" w:rsidRPr="00FD7B48">
        <w:t>CLD” ou “</w:t>
      </w:r>
      <w:r w:rsidR="008B0DEB" w:rsidRPr="00FD7B48">
        <w:rPr>
          <w:i/>
        </w:rPr>
        <w:t>Impairment</w:t>
      </w:r>
      <w:r w:rsidR="008B0DEB" w:rsidRPr="00FD7B48">
        <w:t>”).</w:t>
      </w:r>
    </w:p>
    <w:p w:rsidR="00095C30" w:rsidRPr="00ED5B2D" w:rsidRDefault="00095C30" w:rsidP="008B0DEB">
      <w:pPr>
        <w:jc w:val="both"/>
        <w:rPr>
          <w:sz w:val="18"/>
          <w:szCs w:val="18"/>
        </w:rPr>
      </w:pPr>
    </w:p>
    <w:p w:rsidR="008B0DEB" w:rsidRPr="00ED5B2D" w:rsidRDefault="008B0DEB" w:rsidP="008B0DEB">
      <w:pPr>
        <w:jc w:val="both"/>
        <w:rPr>
          <w:sz w:val="18"/>
          <w:szCs w:val="18"/>
        </w:rPr>
      </w:pPr>
    </w:p>
    <w:p w:rsidR="00B20F98" w:rsidRPr="006667D2" w:rsidRDefault="008D5A89" w:rsidP="00F27C83">
      <w:pPr>
        <w:pStyle w:val="Ttulo"/>
        <w:outlineLvl w:val="0"/>
      </w:pPr>
      <w:bookmarkStart w:id="12" w:name="_Ref457927920"/>
      <w:bookmarkStart w:id="13" w:name="_Toc24124454"/>
      <w:r w:rsidRPr="006667D2">
        <w:t xml:space="preserve">Adiantamentos </w:t>
      </w:r>
      <w:r w:rsidR="005641A2" w:rsidRPr="006667D2">
        <w:t>de</w:t>
      </w:r>
      <w:r w:rsidRPr="006667D2">
        <w:t xml:space="preserve"> Pessoal</w:t>
      </w:r>
      <w:bookmarkEnd w:id="12"/>
      <w:bookmarkEnd w:id="13"/>
      <w:r w:rsidRPr="006667D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2186"/>
        <w:gridCol w:w="216"/>
        <w:gridCol w:w="2524"/>
      </w:tblGrid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31/12/2018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19.971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6.852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2.609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6.936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color w:val="000000"/>
              </w:rPr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98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color w:val="000000"/>
              </w:rPr>
            </w:pPr>
            <w:r w:rsidRPr="003C6B20">
              <w:rPr>
                <w:color w:val="000000"/>
              </w:rPr>
              <w:t>12</w:t>
            </w:r>
          </w:p>
        </w:tc>
      </w:tr>
      <w:tr w:rsidR="003C6B20" w:rsidRPr="003C6B20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3C6B20" w:rsidRDefault="003C6B20" w:rsidP="003C6B20">
            <w:pPr>
              <w:rPr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22.678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3C6B20" w:rsidRDefault="003C6B20" w:rsidP="003C6B20">
            <w:pPr>
              <w:jc w:val="right"/>
              <w:rPr>
                <w:b/>
                <w:bCs/>
                <w:color w:val="000000"/>
              </w:rPr>
            </w:pPr>
            <w:r w:rsidRPr="003C6B20">
              <w:rPr>
                <w:b/>
                <w:bCs/>
                <w:color w:val="000000"/>
              </w:rPr>
              <w:t>13.800</w:t>
            </w:r>
          </w:p>
        </w:tc>
      </w:tr>
    </w:tbl>
    <w:p w:rsidR="00E96EF1" w:rsidRPr="00ED5B2D" w:rsidRDefault="00E96EF1" w:rsidP="00B20F98">
      <w:pPr>
        <w:tabs>
          <w:tab w:val="left" w:pos="993"/>
        </w:tabs>
        <w:jc w:val="both"/>
        <w:rPr>
          <w:sz w:val="18"/>
          <w:szCs w:val="18"/>
        </w:rPr>
      </w:pPr>
    </w:p>
    <w:p w:rsidR="00B20F98" w:rsidRPr="00FD7B48" w:rsidRDefault="00B20F98" w:rsidP="00B20F98">
      <w:pPr>
        <w:tabs>
          <w:tab w:val="left" w:pos="993"/>
        </w:tabs>
        <w:jc w:val="both"/>
        <w:rPr>
          <w:b/>
        </w:rPr>
      </w:pPr>
      <w:r w:rsidRPr="00FD7B48">
        <w:t>Por ocasião do pagamento das férias de pessoal</w:t>
      </w:r>
      <w:r w:rsidR="00250EE3">
        <w:t xml:space="preserve">, é norma da Instituição </w:t>
      </w:r>
      <w:r w:rsidRPr="00FD7B48">
        <w:t xml:space="preserve">adiantar 50% do </w:t>
      </w:r>
      <w:r w:rsidR="00886BBB" w:rsidRPr="00FD7B48">
        <w:t xml:space="preserve">décimo terceiro salário </w:t>
      </w:r>
      <w:r w:rsidRPr="00FD7B48">
        <w:t xml:space="preserve">do exercício de competência. O </w:t>
      </w:r>
      <w:r w:rsidR="00886BBB" w:rsidRPr="00FD7B48">
        <w:t>saldo</w:t>
      </w:r>
      <w:r w:rsidRPr="00FD7B48">
        <w:t xml:space="preserve"> do adiantamento de </w:t>
      </w:r>
      <w:r w:rsidR="00886BBB" w:rsidRPr="00FD7B48">
        <w:t>décimo terceiro</w:t>
      </w:r>
      <w:r w:rsidRPr="00FD7B48">
        <w:t xml:space="preserve"> salário refere-se </w:t>
      </w:r>
      <w:r w:rsidR="00886BBB" w:rsidRPr="00FD7B48">
        <w:t xml:space="preserve">ao exercício de </w:t>
      </w:r>
      <w:r w:rsidR="00C96BA3">
        <w:t>201</w:t>
      </w:r>
      <w:r w:rsidR="00F010E6">
        <w:t>9</w:t>
      </w:r>
      <w:r w:rsidR="006C603A">
        <w:t>,</w:t>
      </w:r>
      <w:r w:rsidR="00886BBB" w:rsidRPr="00FD7B48">
        <w:t xml:space="preserve"> enquanto que o saldo de férias refere-se ao pagamento em </w:t>
      </w:r>
      <w:r w:rsidR="00A364DF">
        <w:t>setembro</w:t>
      </w:r>
      <w:r w:rsidR="00AF2D0D" w:rsidRPr="00FD7B48">
        <w:t xml:space="preserve"> relativo à competência</w:t>
      </w:r>
      <w:r w:rsidR="00CB5C00" w:rsidRPr="00FD7B48">
        <w:t xml:space="preserve"> </w:t>
      </w:r>
      <w:r w:rsidR="00A364DF">
        <w:t>outubro</w:t>
      </w:r>
      <w:r w:rsidR="003612EF" w:rsidRPr="00FD7B48">
        <w:t xml:space="preserve"> </w:t>
      </w:r>
      <w:r w:rsidRPr="00FD7B48">
        <w:t>de 201</w:t>
      </w:r>
      <w:r w:rsidR="000945C6">
        <w:t>9</w:t>
      </w:r>
      <w:r w:rsidRPr="00FD7B48">
        <w:t>.</w:t>
      </w:r>
    </w:p>
    <w:p w:rsidR="00B20F98" w:rsidRPr="00ED5B2D" w:rsidRDefault="00B20F98" w:rsidP="00B20F98">
      <w:pPr>
        <w:tabs>
          <w:tab w:val="left" w:pos="993"/>
        </w:tabs>
        <w:jc w:val="both"/>
        <w:rPr>
          <w:b/>
          <w:sz w:val="18"/>
          <w:szCs w:val="18"/>
        </w:rPr>
      </w:pPr>
    </w:p>
    <w:p w:rsidR="00BC6580" w:rsidRPr="00ED5B2D" w:rsidRDefault="00BC6580" w:rsidP="00B20F98">
      <w:pPr>
        <w:tabs>
          <w:tab w:val="left" w:pos="993"/>
        </w:tabs>
        <w:jc w:val="both"/>
        <w:rPr>
          <w:b/>
          <w:sz w:val="18"/>
          <w:szCs w:val="18"/>
        </w:rPr>
      </w:pPr>
    </w:p>
    <w:p w:rsidR="00E96EF1" w:rsidRPr="001F5825" w:rsidRDefault="00E96EF1" w:rsidP="00F27C83">
      <w:pPr>
        <w:pStyle w:val="Ttulo"/>
        <w:outlineLvl w:val="0"/>
      </w:pPr>
      <w:bookmarkStart w:id="14" w:name="_Ref457927938"/>
      <w:bookmarkStart w:id="15" w:name="_Toc24124455"/>
      <w:r w:rsidRPr="001F5825">
        <w:t xml:space="preserve">Estoques </w:t>
      </w:r>
      <w:r w:rsidR="002010E3" w:rsidRPr="001F5825">
        <w:t>de Materiais</w:t>
      </w:r>
      <w:r w:rsidRPr="001F5825">
        <w:t xml:space="preserve"> de Consumo</w:t>
      </w:r>
      <w:bookmarkEnd w:id="14"/>
      <w:bookmarkEnd w:id="15"/>
      <w:r w:rsidRPr="001F5825">
        <w:t xml:space="preserve">    </w:t>
      </w:r>
      <w:r w:rsidR="00DD2977" w:rsidRPr="001F58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  <w:sz w:val="22"/>
                <w:szCs w:val="22"/>
              </w:rPr>
            </w:pPr>
            <w:r w:rsidRPr="0032046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31/12/2018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Medicamentos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6.370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6.524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Material Médico, Hospitalar e Laboratorial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7.770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8.314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Material de Órtese e Prótese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1.745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1.832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Materiais e Utensílios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308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424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Rouparia (uniformes)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1.239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1.043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Higiene, Limpeza, Segurança, Proteção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271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350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Material Expediente/Informática/Gráfica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320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344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Combustíveis, Lubrificantes, Gases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78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82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color w:val="000000"/>
              </w:rPr>
            </w:pPr>
            <w:r w:rsidRPr="0032046D">
              <w:rPr>
                <w:color w:val="000000"/>
              </w:rPr>
              <w:t>Materiais Engenharia/Ferramentas/Elétrico/Predial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1.921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color w:val="000000"/>
              </w:rPr>
            </w:pPr>
            <w:r w:rsidRPr="0032046D">
              <w:rPr>
                <w:color w:val="000000"/>
              </w:rPr>
              <w:t>1.774</w:t>
            </w:r>
          </w:p>
        </w:tc>
      </w:tr>
      <w:tr w:rsidR="0032046D" w:rsidRPr="0032046D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20.022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32046D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32046D">
              <w:rPr>
                <w:b/>
                <w:bCs/>
                <w:color w:val="000000"/>
              </w:rPr>
              <w:t>20.687</w:t>
            </w:r>
          </w:p>
        </w:tc>
      </w:tr>
    </w:tbl>
    <w:p w:rsidR="00093A03" w:rsidRPr="00ED5B2D" w:rsidRDefault="00093A03" w:rsidP="008602D8">
      <w:pPr>
        <w:tabs>
          <w:tab w:val="left" w:pos="993"/>
        </w:tabs>
        <w:jc w:val="both"/>
        <w:rPr>
          <w:color w:val="FF0000"/>
          <w:sz w:val="18"/>
          <w:szCs w:val="18"/>
        </w:rPr>
      </w:pPr>
    </w:p>
    <w:p w:rsidR="00E14EFC" w:rsidRDefault="008602D8" w:rsidP="00081C72">
      <w:pPr>
        <w:tabs>
          <w:tab w:val="left" w:pos="993"/>
        </w:tabs>
        <w:jc w:val="both"/>
      </w:pPr>
      <w:r w:rsidRPr="00397F82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>
        <w:t>valor de mercado.</w:t>
      </w:r>
    </w:p>
    <w:p w:rsidR="00BF6941" w:rsidRPr="00ED5B2D" w:rsidRDefault="00BF6941" w:rsidP="00081C72">
      <w:pPr>
        <w:tabs>
          <w:tab w:val="left" w:pos="993"/>
        </w:tabs>
        <w:jc w:val="both"/>
        <w:rPr>
          <w:sz w:val="18"/>
          <w:szCs w:val="18"/>
        </w:rPr>
      </w:pPr>
    </w:p>
    <w:p w:rsidR="000B743D" w:rsidRPr="00ED5B2D" w:rsidRDefault="000B743D" w:rsidP="00081C72">
      <w:pPr>
        <w:tabs>
          <w:tab w:val="left" w:pos="993"/>
        </w:tabs>
        <w:jc w:val="both"/>
        <w:rPr>
          <w:sz w:val="18"/>
          <w:szCs w:val="18"/>
        </w:rPr>
      </w:pPr>
    </w:p>
    <w:p w:rsidR="00D92A4D" w:rsidRPr="001F5825" w:rsidRDefault="00D92A4D" w:rsidP="00F27C83">
      <w:pPr>
        <w:pStyle w:val="Ttulo"/>
        <w:outlineLvl w:val="0"/>
      </w:pPr>
      <w:bookmarkStart w:id="18" w:name="_Ref476905400"/>
      <w:bookmarkStart w:id="19" w:name="_Toc24124456"/>
      <w:r w:rsidRPr="001F5825">
        <w:t>Imobilizado</w:t>
      </w:r>
      <w:bookmarkEnd w:id="16"/>
      <w:bookmarkEnd w:id="17"/>
      <w:bookmarkEnd w:id="18"/>
      <w:bookmarkEnd w:id="19"/>
      <w:r w:rsidRPr="001F5825">
        <w:t xml:space="preserve"> </w:t>
      </w:r>
    </w:p>
    <w:p w:rsidR="0066161E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85"/>
        <w:gridCol w:w="1265"/>
        <w:gridCol w:w="242"/>
        <w:gridCol w:w="1159"/>
        <w:gridCol w:w="184"/>
        <w:gridCol w:w="1163"/>
        <w:gridCol w:w="184"/>
        <w:gridCol w:w="1286"/>
        <w:gridCol w:w="184"/>
        <w:gridCol w:w="1179"/>
      </w:tblGrid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1F5825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Tx.%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Custo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Depreciação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30/09/2019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31/12/2018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Edifícios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210.169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(60.044)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150.126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153.497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Terrenos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68.786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-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68.786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68.786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Obras em Andamento [1]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600.365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(8.265)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592.101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558.397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Bens Móveis e Imóveis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10 a 20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214.159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(136.644)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77.516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77.617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Informática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26.308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(17.061)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  9.246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7.949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Veículos Diversos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10 a 20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1.031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(842)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    189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251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Subtotal Imobilizado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1.120.819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(222.855)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897.964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866.498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Bens Móveis em Andamento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7.353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7.353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3.102 </w:t>
            </w:r>
          </w:p>
        </w:tc>
      </w:tr>
      <w:tr w:rsidR="00E26437" w:rsidRPr="00E26437" w:rsidTr="00E26437">
        <w:tc>
          <w:tcPr>
            <w:tcW w:w="1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Saldo Contábil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1.128.171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   (222.855)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         905.316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E26437" w:rsidRDefault="00E26437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       869.600 </w:t>
            </w:r>
          </w:p>
        </w:tc>
      </w:tr>
    </w:tbl>
    <w:p w:rsidR="00E14EFC" w:rsidRDefault="00E14EFC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D74DC0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="00D74DC0"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razão pelo qual há depreciação.</w:t>
      </w:r>
    </w:p>
    <w:p w:rsidR="00D74DC0" w:rsidRPr="00ED5B2D" w:rsidRDefault="00D74DC0" w:rsidP="00534053">
      <w:pPr>
        <w:tabs>
          <w:tab w:val="left" w:pos="851"/>
        </w:tabs>
        <w:jc w:val="both"/>
        <w:rPr>
          <w:sz w:val="18"/>
          <w:szCs w:val="18"/>
        </w:rPr>
      </w:pPr>
    </w:p>
    <w:p w:rsidR="00534053" w:rsidRPr="00FD7B48" w:rsidRDefault="00534053" w:rsidP="00534053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</w:p>
    <w:p w:rsidR="00534053" w:rsidRPr="00FD7B48" w:rsidRDefault="00232EA0" w:rsidP="00C00515">
      <w:pPr>
        <w:tabs>
          <w:tab w:val="left" w:pos="851"/>
        </w:tabs>
        <w:jc w:val="both"/>
      </w:pPr>
      <w:r>
        <w:t>A depreciação</w:t>
      </w:r>
      <w:r w:rsidR="00534053" w:rsidRPr="00FD7B48">
        <w:t xml:space="preserve"> está demonstrada pelo valor acumulado da data do início d</w:t>
      </w:r>
      <w:r w:rsidR="00C762F4">
        <w:t>a</w:t>
      </w:r>
      <w:r w:rsidR="00534053" w:rsidRPr="00FD7B48">
        <w:t xml:space="preserve"> operação na Instituição</w:t>
      </w:r>
      <w:r w:rsidR="00655B1A">
        <w:t>,</w:t>
      </w:r>
      <w:r w:rsidR="00534053" w:rsidRPr="00FD7B48">
        <w:t xml:space="preserve"> acrescido da depreciação do custo atribuído a partir do exercício de 2010. </w:t>
      </w:r>
      <w:r w:rsidR="00C00515" w:rsidRPr="00FD7B48"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B85ECC" w:rsidRPr="001F5825" w:rsidRDefault="00B85ECC" w:rsidP="00BF21BA">
      <w:pPr>
        <w:pStyle w:val="Subttulo"/>
        <w:numPr>
          <w:ilvl w:val="0"/>
          <w:numId w:val="2"/>
        </w:numPr>
      </w:pPr>
      <w:r w:rsidRPr="00FD7B48">
        <w:lastRenderedPageBreak/>
        <w:tab/>
      </w:r>
      <w:r w:rsidRPr="001F5825">
        <w:t>Movimentação do Ativo Imobilizado</w:t>
      </w:r>
    </w:p>
    <w:p w:rsidR="00B85ECC" w:rsidRPr="00FD7B48" w:rsidRDefault="00B85ECC" w:rsidP="00B20F9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206"/>
        <w:gridCol w:w="1454"/>
        <w:gridCol w:w="278"/>
        <w:gridCol w:w="1330"/>
        <w:gridCol w:w="206"/>
        <w:gridCol w:w="206"/>
        <w:gridCol w:w="1465"/>
        <w:gridCol w:w="206"/>
        <w:gridCol w:w="1354"/>
      </w:tblGrid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825" w:rsidRPr="00E26437" w:rsidRDefault="001F5825" w:rsidP="00954A0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5825" w:rsidRPr="00E26437" w:rsidRDefault="001F5825" w:rsidP="00954A03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Custo 01/01/2019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Aquisições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Baixas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954A03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Custo 30/09/2019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Edifícios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210.169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BF6941" w:rsidP="00E26437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          - 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210.169 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Terrenos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 68.786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BF6941" w:rsidP="00E26437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    - 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68.786 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Obras em Andamento</w:t>
            </w:r>
            <w:r w:rsidRPr="00E26437">
              <w:rPr>
                <w:color w:val="000000"/>
                <w:sz w:val="16"/>
                <w:vertAlign w:val="superscript"/>
              </w:rPr>
              <w:t>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565.847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34.573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(54)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600.365 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Bens Móveis e Imóveis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204.351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11.520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(1.712)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214.159 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Informática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23.980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2.856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(528)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26.308 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Veículos Diversos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1.031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            - 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color w:val="000000"/>
                <w:sz w:val="16"/>
              </w:rPr>
            </w:pPr>
            <w:r w:rsidRPr="00E26437">
              <w:rPr>
                <w:color w:val="000000"/>
                <w:sz w:val="16"/>
              </w:rPr>
              <w:t xml:space="preserve">        1.031 </w:t>
            </w:r>
          </w:p>
        </w:tc>
      </w:tr>
      <w:tr w:rsidR="001F5825" w:rsidRPr="00E26437" w:rsidTr="001F5825"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Total Imobilizado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1.074.164 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    48.949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         (2.294)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F5825" w:rsidRPr="00E26437" w:rsidRDefault="001F5825" w:rsidP="00E26437">
            <w:pPr>
              <w:jc w:val="right"/>
              <w:rPr>
                <w:b/>
                <w:bCs/>
                <w:color w:val="000000"/>
                <w:sz w:val="16"/>
              </w:rPr>
            </w:pPr>
            <w:r w:rsidRPr="00E26437">
              <w:rPr>
                <w:b/>
                <w:bCs/>
                <w:color w:val="000000"/>
                <w:sz w:val="16"/>
              </w:rPr>
              <w:t xml:space="preserve">      1.120.819 </w:t>
            </w:r>
          </w:p>
        </w:tc>
      </w:tr>
    </w:tbl>
    <w:p w:rsidR="00B85AF2" w:rsidRPr="00ED5B2D" w:rsidRDefault="00B85AF2" w:rsidP="005F51DD">
      <w:pPr>
        <w:rPr>
          <w:sz w:val="18"/>
          <w:szCs w:val="18"/>
        </w:rPr>
      </w:pPr>
    </w:p>
    <w:p w:rsidR="00D66EF8" w:rsidRPr="00ED5B2D" w:rsidRDefault="00D66EF8" w:rsidP="005F51DD">
      <w:pPr>
        <w:rPr>
          <w:sz w:val="18"/>
          <w:szCs w:val="18"/>
        </w:rPr>
      </w:pPr>
    </w:p>
    <w:p w:rsidR="00534053" w:rsidRPr="001F5825" w:rsidRDefault="00520BE9" w:rsidP="00F27C83">
      <w:pPr>
        <w:pStyle w:val="Ttulo"/>
        <w:outlineLvl w:val="0"/>
      </w:pPr>
      <w:bookmarkStart w:id="20" w:name="_Ref466465941"/>
      <w:bookmarkStart w:id="21" w:name="_Toc24124457"/>
      <w:r w:rsidRPr="001F5825">
        <w:t>Intangível</w:t>
      </w:r>
      <w:bookmarkEnd w:id="20"/>
      <w:bookmarkEnd w:id="21"/>
    </w:p>
    <w:p w:rsidR="00E26437" w:rsidRPr="00ED5B2D" w:rsidRDefault="00E26437" w:rsidP="00BC6580">
      <w:pPr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8"/>
        <w:gridCol w:w="241"/>
        <w:gridCol w:w="1159"/>
        <w:gridCol w:w="190"/>
        <w:gridCol w:w="1161"/>
        <w:gridCol w:w="190"/>
        <w:gridCol w:w="1288"/>
        <w:gridCol w:w="190"/>
        <w:gridCol w:w="1175"/>
      </w:tblGrid>
      <w:tr w:rsidR="00E26437" w:rsidRPr="00954A03" w:rsidTr="00E26437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center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center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Tx %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center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center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31/12/2018</w:t>
            </w:r>
          </w:p>
        </w:tc>
      </w:tr>
      <w:tr w:rsidR="00E26437" w:rsidRPr="00954A03" w:rsidTr="00E26437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rPr>
                <w:color w:val="000000"/>
              </w:rPr>
            </w:pPr>
            <w:r w:rsidRPr="00954A03">
              <w:rPr>
                <w:color w:val="000000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center"/>
              <w:rPr>
                <w:color w:val="000000"/>
              </w:rPr>
            </w:pPr>
            <w:r w:rsidRPr="00954A03">
              <w:rPr>
                <w:color w:val="000000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 xml:space="preserve"> 8.492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 xml:space="preserve">        (6.215)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 xml:space="preserve">       2.277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color w:val="000000"/>
              </w:rPr>
            </w:pPr>
            <w:r w:rsidRPr="00954A03">
              <w:rPr>
                <w:color w:val="000000"/>
              </w:rPr>
              <w:t xml:space="preserve">    478 </w:t>
            </w:r>
          </w:p>
        </w:tc>
      </w:tr>
      <w:tr w:rsidR="00E26437" w:rsidRPr="00954A03" w:rsidTr="00E26437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center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 xml:space="preserve">      8.492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 xml:space="preserve">   (6.215)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 xml:space="preserve">           2.277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26437" w:rsidRPr="00954A03" w:rsidRDefault="00E26437" w:rsidP="00E26437">
            <w:pPr>
              <w:jc w:val="right"/>
              <w:rPr>
                <w:b/>
                <w:bCs/>
                <w:color w:val="000000"/>
              </w:rPr>
            </w:pPr>
            <w:r w:rsidRPr="00954A03">
              <w:rPr>
                <w:b/>
                <w:bCs/>
                <w:color w:val="000000"/>
              </w:rPr>
              <w:t xml:space="preserve">             478 </w:t>
            </w:r>
          </w:p>
        </w:tc>
      </w:tr>
    </w:tbl>
    <w:p w:rsidR="002A48C7" w:rsidRDefault="000027A4" w:rsidP="00BC6580">
      <w:r>
        <w:rPr>
          <w:b/>
        </w:rPr>
        <w:br w:type="textWrapping" w:clear="all"/>
      </w:r>
      <w:r w:rsidR="002A48C7" w:rsidRPr="00FD7B48">
        <w:t xml:space="preserve">O Intangível é mensurado pelo seu custo histórico, menos a amortização acumulada. </w:t>
      </w:r>
    </w:p>
    <w:p w:rsidR="00C00515" w:rsidRPr="00FD7B48" w:rsidRDefault="00C00515" w:rsidP="00C00515">
      <w:pPr>
        <w:tabs>
          <w:tab w:val="left" w:pos="851"/>
        </w:tabs>
        <w:jc w:val="both"/>
      </w:pPr>
      <w:r w:rsidRPr="00FD7B48">
        <w:t xml:space="preserve">A </w:t>
      </w:r>
      <w:r w:rsidR="0043623E" w:rsidRPr="00FD7B48">
        <w:t>amortizaç</w:t>
      </w:r>
      <w:r w:rsidR="00021E44">
        <w:t xml:space="preserve">ão </w:t>
      </w:r>
      <w:r w:rsidRPr="00FD7B48">
        <w:t>está demonstrada pelo valor acumulado desde a data do início de operação na Instituição</w:t>
      </w:r>
      <w:r w:rsidR="003349E3">
        <w:t>,</w:t>
      </w:r>
      <w:r w:rsidRPr="00FD7B48">
        <w:t xml:space="preserve"> acrescido da </w:t>
      </w:r>
      <w:r w:rsidR="0043623E" w:rsidRPr="00FD7B48">
        <w:t>amortiza</w:t>
      </w:r>
      <w:r w:rsidRPr="00FD7B48">
        <w:t xml:space="preserve">ção do custo atribuído a partir do exercício de 2010. As </w:t>
      </w:r>
      <w:r w:rsidR="0043623E" w:rsidRPr="00FD7B48">
        <w:t>amortiza</w:t>
      </w:r>
      <w:r w:rsidRPr="00FD7B48">
        <w:t xml:space="preserve">ções são calculadas usando o método linear, considerando os custos </w:t>
      </w:r>
      <w:r w:rsidR="002010E3" w:rsidRPr="00FD7B48">
        <w:t xml:space="preserve">dos ativos </w:t>
      </w:r>
      <w:r w:rsidRPr="00FD7B48">
        <w:t>durante a vida útil estimada</w:t>
      </w:r>
      <w:r w:rsidR="002010E3" w:rsidRPr="00FD7B48">
        <w:t xml:space="preserve"> dos mesmos</w:t>
      </w:r>
      <w:r w:rsidRPr="00FD7B48">
        <w:t>.</w:t>
      </w:r>
    </w:p>
    <w:p w:rsidR="001E1D04" w:rsidRPr="00ED5B2D" w:rsidRDefault="001E1D04" w:rsidP="00F27C83">
      <w:pPr>
        <w:rPr>
          <w:b/>
          <w:sz w:val="18"/>
          <w:szCs w:val="18"/>
        </w:rPr>
      </w:pPr>
    </w:p>
    <w:p w:rsidR="00995E86" w:rsidRPr="00ED5B2D" w:rsidRDefault="00995E86" w:rsidP="00F27C83">
      <w:pPr>
        <w:rPr>
          <w:b/>
          <w:sz w:val="18"/>
          <w:szCs w:val="18"/>
        </w:rPr>
      </w:pPr>
    </w:p>
    <w:p w:rsidR="00D10B2E" w:rsidRPr="001F5825" w:rsidRDefault="00D10B2E" w:rsidP="00D10B2E">
      <w:pPr>
        <w:pStyle w:val="Ttulo"/>
        <w:outlineLvl w:val="0"/>
      </w:pPr>
      <w:bookmarkStart w:id="22" w:name="_Ref466465953"/>
      <w:bookmarkStart w:id="23" w:name="_Toc24124458"/>
      <w:r w:rsidRPr="001F5825">
        <w:t>Fornecedores</w:t>
      </w:r>
      <w:bookmarkEnd w:id="22"/>
      <w:bookmarkEnd w:id="23"/>
      <w:r w:rsidR="00B44009" w:rsidRPr="001F5825">
        <w:t xml:space="preserve"> </w:t>
      </w:r>
    </w:p>
    <w:p w:rsidR="000E6EBD" w:rsidRDefault="000E6EBD" w:rsidP="00E00498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31/12/2018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Barrfab Indústria Comércio Imp e Exp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1.542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-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Unimed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767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3</w:t>
            </w:r>
            <w:r w:rsidR="00BF6941">
              <w:rPr>
                <w:color w:val="000000"/>
              </w:rPr>
              <w:t>.</w:t>
            </w:r>
            <w:r w:rsidRPr="002876F4">
              <w:rPr>
                <w:color w:val="000000"/>
              </w:rPr>
              <w:t>028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E" w:rsidRPr="002876F4" w:rsidRDefault="00E45A7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Capgemini Brasil S/A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576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559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E" w:rsidRPr="002876F4" w:rsidRDefault="00E45A7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RBG Produtos Therapêuticos S/A</w:t>
            </w:r>
            <w:r w:rsidR="00B6649E" w:rsidRPr="002876F4">
              <w:rPr>
                <w:color w:val="000000"/>
              </w:rPr>
              <w:t>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463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364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Roche Diagnóstica Brasil Ltda.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433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491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 </w:t>
            </w:r>
          </w:p>
        </w:tc>
        <w:tc>
          <w:tcPr>
            <w:tcW w:w="116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3.781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4.442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Demais Fornecedores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18.651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color w:val="000000"/>
              </w:rPr>
            </w:pPr>
            <w:r w:rsidRPr="002876F4">
              <w:rPr>
                <w:color w:val="000000"/>
              </w:rPr>
              <w:t>27.801</w:t>
            </w:r>
          </w:p>
        </w:tc>
      </w:tr>
      <w:tr w:rsidR="00B6649E" w:rsidRPr="002876F4" w:rsidTr="00B6649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22.432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rPr>
                <w:color w:val="000000"/>
              </w:rPr>
            </w:pPr>
            <w:r w:rsidRPr="002876F4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6649E" w:rsidRPr="002876F4" w:rsidRDefault="00B6649E" w:rsidP="00B6649E">
            <w:pPr>
              <w:jc w:val="right"/>
              <w:rPr>
                <w:b/>
                <w:bCs/>
                <w:color w:val="000000"/>
              </w:rPr>
            </w:pPr>
            <w:r w:rsidRPr="002876F4">
              <w:rPr>
                <w:b/>
                <w:bCs/>
                <w:color w:val="000000"/>
              </w:rPr>
              <w:t>32.243</w:t>
            </w:r>
          </w:p>
        </w:tc>
      </w:tr>
    </w:tbl>
    <w:p w:rsidR="000E6EBD" w:rsidRDefault="000E6EBD" w:rsidP="00E00498">
      <w:pPr>
        <w:tabs>
          <w:tab w:val="left" w:pos="851"/>
        </w:tabs>
        <w:jc w:val="both"/>
      </w:pPr>
    </w:p>
    <w:p w:rsidR="001F5825" w:rsidRDefault="002876F4" w:rsidP="00E00498">
      <w:pPr>
        <w:tabs>
          <w:tab w:val="left" w:pos="851"/>
        </w:tabs>
        <w:jc w:val="both"/>
      </w:pPr>
      <w:r w:rsidRPr="00BF6941">
        <w:t>O fornecedor Barrfab Indústria Comércio possui contrato conforme autorização de fornecimento 139.852/1 e fornece diversos materiais médico hospitalares, entre eles mesas cirúrgicas e acessórios para cirurgias.</w:t>
      </w:r>
    </w:p>
    <w:p w:rsidR="001F5825" w:rsidRPr="00ED5B2D" w:rsidRDefault="001F5825" w:rsidP="00E00498">
      <w:pPr>
        <w:tabs>
          <w:tab w:val="left" w:pos="851"/>
        </w:tabs>
        <w:jc w:val="both"/>
        <w:rPr>
          <w:sz w:val="18"/>
          <w:szCs w:val="18"/>
        </w:rPr>
      </w:pPr>
    </w:p>
    <w:p w:rsidR="00866EA1" w:rsidRPr="00ED5B2D" w:rsidRDefault="00866EA1" w:rsidP="00C1272D">
      <w:pPr>
        <w:rPr>
          <w:sz w:val="18"/>
          <w:szCs w:val="18"/>
        </w:rPr>
      </w:pPr>
    </w:p>
    <w:p w:rsidR="00B20F98" w:rsidRPr="001F5825" w:rsidRDefault="00FE0281" w:rsidP="00F27C83">
      <w:pPr>
        <w:pStyle w:val="Ttulo"/>
        <w:outlineLvl w:val="0"/>
      </w:pPr>
      <w:bookmarkStart w:id="24" w:name="_Ref466465991"/>
      <w:bookmarkStart w:id="25" w:name="_Ref466472218"/>
      <w:bookmarkStart w:id="26" w:name="_Toc24124459"/>
      <w:r w:rsidRPr="001F5825">
        <w:t>Obrigações Tributárias e Sociais</w:t>
      </w:r>
      <w:bookmarkEnd w:id="24"/>
      <w:bookmarkEnd w:id="25"/>
      <w:bookmarkEnd w:id="26"/>
      <w:r w:rsidR="00A35EF4" w:rsidRPr="001F5825">
        <w:t xml:space="preserve"> </w:t>
      </w:r>
    </w:p>
    <w:p w:rsidR="00AA303E" w:rsidRDefault="00AA303E" w:rsidP="00AA303E">
      <w:pPr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1F5825" w:rsidP="00F848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 xml:space="preserve">        31/12/2018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Tributos Federais e Municipais retidos de Fornecedores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1F5825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1.</w:t>
            </w:r>
            <w:r w:rsidR="001F5825">
              <w:rPr>
                <w:color w:val="000000"/>
              </w:rPr>
              <w:t>358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2.058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PIS sobre Faturamento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35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37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COFINS sobre Faturamento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180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173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Obrigações Tributárias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1F5825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1.</w:t>
            </w:r>
            <w:r w:rsidR="001F5825">
              <w:rPr>
                <w:b/>
                <w:bCs/>
                <w:color w:val="000000"/>
              </w:rPr>
              <w:t>573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2.268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Obrigações Sociais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1F5825" w:rsidP="00F848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color w:val="000000"/>
              </w:rPr>
            </w:pPr>
            <w:r w:rsidRPr="00F84870">
              <w:rPr>
                <w:color w:val="000000"/>
              </w:rPr>
              <w:t>7.717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Obrigações Sociais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1F5825" w:rsidP="00F8487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7.717</w:t>
            </w:r>
          </w:p>
        </w:tc>
      </w:tr>
      <w:tr w:rsidR="00F84870" w:rsidRPr="00F84870" w:rsidTr="00F84870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1F5825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1.</w:t>
            </w:r>
            <w:r w:rsidR="001F5825">
              <w:rPr>
                <w:b/>
                <w:bCs/>
                <w:color w:val="000000"/>
              </w:rPr>
              <w:t>715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9.985</w:t>
            </w:r>
          </w:p>
        </w:tc>
      </w:tr>
    </w:tbl>
    <w:p w:rsidR="009A289D" w:rsidRDefault="009A289D" w:rsidP="00AA303E">
      <w:pPr>
        <w:rPr>
          <w:b/>
        </w:rPr>
      </w:pPr>
    </w:p>
    <w:p w:rsidR="00D56E5A" w:rsidRDefault="00ED5B2D" w:rsidP="00116BD5">
      <w:pPr>
        <w:tabs>
          <w:tab w:val="left" w:pos="851"/>
        </w:tabs>
        <w:jc w:val="both"/>
      </w:pPr>
      <w:r>
        <w:t>Na conta Obrigações Tributárias</w:t>
      </w:r>
      <w:r w:rsidR="00B20F98" w:rsidRPr="00FF46E7">
        <w:t xml:space="preserve"> são registrados os impostos federais PIS e</w:t>
      </w:r>
      <w:r w:rsidR="00B72E90" w:rsidRPr="00FF46E7">
        <w:t xml:space="preserve"> COFINS e os valores retidos de</w:t>
      </w:r>
      <w:r w:rsidR="00B20F98" w:rsidRPr="00FF46E7">
        <w:t xml:space="preserve"> fornecedores, conforme Lei Complementar Municipal n° 306/93 e 07/73 e </w:t>
      </w:r>
      <w:r w:rsidR="00B72E90" w:rsidRPr="00FF46E7">
        <w:t>IN/RFB n° 1</w:t>
      </w:r>
      <w:r w:rsidR="00916468">
        <w:t>.</w:t>
      </w:r>
      <w:r w:rsidR="00B72E90" w:rsidRPr="00FF46E7">
        <w:t>23</w:t>
      </w:r>
      <w:r w:rsidR="00B20F98" w:rsidRPr="00FF46E7">
        <w:t>4</w:t>
      </w:r>
      <w:r w:rsidR="003349E3">
        <w:t xml:space="preserve"> ou</w:t>
      </w:r>
      <w:r w:rsidR="00B20F98" w:rsidRPr="00FF46E7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FF46E7">
        <w:t>impostos</w:t>
      </w:r>
      <w:r w:rsidR="00B20F98" w:rsidRPr="00FF46E7">
        <w:t xml:space="preserve"> federais conforme artigo n° 15 da Lei 5.604 de 02 de setembro de 1970</w:t>
      </w:r>
      <w:r w:rsidR="00116BD5" w:rsidRPr="00FF46E7">
        <w:t>.</w:t>
      </w:r>
      <w:r w:rsidR="00D10B2E" w:rsidRPr="00FF46E7">
        <w:t xml:space="preserve"> </w:t>
      </w:r>
    </w:p>
    <w:p w:rsidR="00ED5B2D" w:rsidRDefault="00ED5B2D">
      <w:pPr>
        <w:rPr>
          <w:b/>
        </w:rPr>
      </w:pPr>
      <w:bookmarkStart w:id="27" w:name="_Toc24124460"/>
    </w:p>
    <w:p w:rsidR="00B85AF2" w:rsidRPr="00BF6941" w:rsidRDefault="006110E4" w:rsidP="006110E4">
      <w:pPr>
        <w:pStyle w:val="Ttulo"/>
        <w:outlineLvl w:val="0"/>
      </w:pPr>
      <w:r w:rsidRPr="00BF6941">
        <w:t>Obrigações com Pessoal</w:t>
      </w:r>
      <w:bookmarkEnd w:id="27"/>
      <w:r w:rsidRPr="00BF6941">
        <w:t xml:space="preserve"> </w:t>
      </w:r>
    </w:p>
    <w:p w:rsidR="006110E4" w:rsidRPr="00BF6941" w:rsidRDefault="006110E4" w:rsidP="00B20F9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5D29A2" w:rsidRPr="00BF6941" w:rsidTr="005D29A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  <w:sz w:val="22"/>
                <w:szCs w:val="22"/>
              </w:rPr>
            </w:pPr>
            <w:r w:rsidRPr="00BF694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31/12/2018</w:t>
            </w:r>
          </w:p>
        </w:tc>
      </w:tr>
      <w:tr w:rsidR="005D29A2" w:rsidRPr="00BF6941" w:rsidTr="00BF6941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 xml:space="preserve">Salários, Remuneração e </w:t>
            </w:r>
            <w:r w:rsidR="00417DF5" w:rsidRPr="00BF6941">
              <w:rPr>
                <w:color w:val="000000"/>
              </w:rPr>
              <w:t>Benefícios.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color w:val="000000"/>
              </w:rPr>
              <w:t>35.480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bCs/>
                <w:color w:val="000000"/>
              </w:rPr>
              <w:t>48.620</w:t>
            </w:r>
          </w:p>
        </w:tc>
      </w:tr>
      <w:tr w:rsidR="005D29A2" w:rsidRPr="00BF6941" w:rsidTr="00BF6941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color w:val="000000"/>
              </w:rPr>
              <w:t>3.994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bCs/>
                <w:color w:val="000000"/>
              </w:rPr>
              <w:t>4.497</w:t>
            </w:r>
          </w:p>
        </w:tc>
      </w:tr>
      <w:tr w:rsidR="005D29A2" w:rsidRPr="00BF6941" w:rsidTr="00BF6941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color w:val="000000"/>
              </w:rPr>
              <w:t>2.567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bCs/>
                <w:color w:val="000000"/>
              </w:rPr>
              <w:t>3.014</w:t>
            </w:r>
          </w:p>
        </w:tc>
      </w:tr>
      <w:tr w:rsidR="005D29A2" w:rsidRPr="00BF6941" w:rsidTr="00BF6941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rPr>
                <w:color w:val="000000"/>
              </w:rPr>
            </w:pPr>
            <w:r w:rsidRPr="00BF6941">
              <w:rPr>
                <w:color w:val="000000"/>
              </w:rPr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417DF5" w:rsidP="005D29A2">
            <w:pPr>
              <w:jc w:val="right"/>
              <w:rPr>
                <w:color w:val="000000"/>
              </w:rPr>
            </w:pPr>
            <w:r w:rsidRPr="00BF6941">
              <w:rPr>
                <w:color w:val="000000"/>
              </w:rPr>
              <w:t>5.486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color w:val="000000"/>
              </w:rPr>
            </w:pPr>
            <w:r w:rsidRPr="00BF6941">
              <w:rPr>
                <w:bCs/>
                <w:color w:val="000000"/>
              </w:rPr>
              <w:t>4.065</w:t>
            </w:r>
          </w:p>
        </w:tc>
      </w:tr>
      <w:tr w:rsidR="005D29A2" w:rsidRPr="005D29A2" w:rsidTr="00BF6941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D29A2" w:rsidRPr="00BF6941" w:rsidRDefault="005D29A2" w:rsidP="005D29A2">
            <w:pPr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417DF5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47.527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BF6941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BF6941">
              <w:rPr>
                <w:b/>
                <w:bCs/>
                <w:color w:val="000000"/>
              </w:rPr>
              <w:t>60.196</w:t>
            </w:r>
          </w:p>
        </w:tc>
      </w:tr>
    </w:tbl>
    <w:p w:rsidR="005D29A2" w:rsidRDefault="005D29A2" w:rsidP="00B20F98">
      <w:pPr>
        <w:jc w:val="both"/>
      </w:pPr>
    </w:p>
    <w:p w:rsidR="00162BC0" w:rsidRDefault="00CF1F80" w:rsidP="00B20F98">
      <w:pPr>
        <w:jc w:val="both"/>
      </w:pPr>
      <w:r>
        <w:t>C</w:t>
      </w:r>
      <w:r w:rsidR="00385F14">
        <w:t>ompõe o saldo</w:t>
      </w:r>
      <w:r>
        <w:t xml:space="preserve"> de obrigações</w:t>
      </w:r>
      <w:r w:rsidR="002A2DA7">
        <w:t xml:space="preserve"> com pessoal o valor referente à</w:t>
      </w:r>
      <w:r>
        <w:t xml:space="preserve"> folha de pagamento de </w:t>
      </w:r>
      <w:r w:rsidR="008E6842">
        <w:t>setembro</w:t>
      </w:r>
      <w:r>
        <w:t xml:space="preserve"> de 201</w:t>
      </w:r>
      <w:r w:rsidR="00A41C0F">
        <w:t>9</w:t>
      </w:r>
      <w:r>
        <w:t>. Em contrapartida</w:t>
      </w:r>
      <w:r w:rsidR="003349E3">
        <w:t>,</w:t>
      </w:r>
      <w:r>
        <w:t xml:space="preserve"> encontram-se depositados na c</w:t>
      </w:r>
      <w:r w:rsidR="00385F14">
        <w:t xml:space="preserve">onta única os </w:t>
      </w:r>
      <w:r w:rsidR="00D27736">
        <w:t>recurso</w:t>
      </w:r>
      <w:r w:rsidR="00385F14">
        <w:t>s</w:t>
      </w:r>
      <w:r w:rsidR="00D27736">
        <w:t xml:space="preserve"> financeiro</w:t>
      </w:r>
      <w:r w:rsidR="00385F14">
        <w:t xml:space="preserve">s para </w:t>
      </w:r>
      <w:r>
        <w:t>o seu pagamento. Isso se deve à</w:t>
      </w:r>
      <w:r w:rsidR="00DE00EF">
        <w:t xml:space="preserve"> mudança de critério nos pagamentos via SIAFI, </w:t>
      </w:r>
      <w:r w:rsidR="003349E3">
        <w:t>uma vez</w:t>
      </w:r>
      <w:r w:rsidR="00DE00EF">
        <w:t xml:space="preserve"> que ocorreu </w:t>
      </w:r>
      <w:r w:rsidR="00D27736">
        <w:t xml:space="preserve">a migração para o novo sistema </w:t>
      </w:r>
      <w:r w:rsidR="00DE00EF">
        <w:t>em que as</w:t>
      </w:r>
      <w:r w:rsidR="00D27736">
        <w:t xml:space="preserve"> Ordens Bancárias</w:t>
      </w:r>
      <w:r w:rsidR="00DE00EF">
        <w:t xml:space="preserve"> são efetivadas quando </w:t>
      </w:r>
      <w:r w:rsidR="00DE00EF" w:rsidRPr="00360EFC">
        <w:t xml:space="preserve">da sua assinatura pelo ordenador de despesa, ou seja, </w:t>
      </w:r>
      <w:r w:rsidR="006343BA" w:rsidRPr="00360EFC">
        <w:t xml:space="preserve">a </w:t>
      </w:r>
      <w:r w:rsidR="0000094D" w:rsidRPr="00360EFC">
        <w:t>compensação</w:t>
      </w:r>
      <w:r w:rsidR="006343BA" w:rsidRPr="00360EFC">
        <w:t xml:space="preserve"> ocorreu no primeiro dia útil de </w:t>
      </w:r>
      <w:r w:rsidR="008E6842">
        <w:t>outubro</w:t>
      </w:r>
      <w:r w:rsidR="006343BA" w:rsidRPr="00360EFC">
        <w:t xml:space="preserve"> </w:t>
      </w:r>
      <w:r w:rsidR="006343BA" w:rsidRPr="006F24C5">
        <w:t>de 2019</w:t>
      </w:r>
      <w:r w:rsidR="00DE00EF" w:rsidRPr="006F24C5">
        <w:t>.</w:t>
      </w:r>
    </w:p>
    <w:p w:rsidR="006110E4" w:rsidRDefault="006110E4" w:rsidP="00B20F98">
      <w:pPr>
        <w:jc w:val="both"/>
      </w:pPr>
    </w:p>
    <w:p w:rsidR="000B743D" w:rsidRDefault="000B743D" w:rsidP="00B20F98">
      <w:pPr>
        <w:jc w:val="both"/>
      </w:pPr>
    </w:p>
    <w:p w:rsidR="00F12C38" w:rsidRPr="00692C3A" w:rsidRDefault="00494A9A" w:rsidP="00F12C38">
      <w:pPr>
        <w:pStyle w:val="Ttulo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24124461"/>
      <w:r w:rsidRPr="00692C3A">
        <w:t>Contingências</w:t>
      </w:r>
      <w:r w:rsidR="008F18D9" w:rsidRPr="00692C3A">
        <w:t xml:space="preserve"> Passivas</w:t>
      </w:r>
      <w:r w:rsidR="00116BD5" w:rsidRPr="00692C3A">
        <w:t xml:space="preserve"> e Apropriações</w:t>
      </w:r>
      <w:r w:rsidR="00162BC0" w:rsidRPr="00692C3A">
        <w:t xml:space="preserve"> </w:t>
      </w:r>
      <w:r w:rsidR="00A309D3" w:rsidRPr="00692C3A">
        <w:t xml:space="preserve">de Despesas de Pessoal </w:t>
      </w:r>
      <w:r w:rsidR="00116BD5" w:rsidRPr="00692C3A">
        <w:t>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8A3B7E" w:rsidRPr="00692C3A" w:rsidRDefault="008A3B7E" w:rsidP="008A3B7E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1654"/>
        <w:gridCol w:w="175"/>
        <w:gridCol w:w="1623"/>
        <w:gridCol w:w="271"/>
        <w:gridCol w:w="1129"/>
        <w:gridCol w:w="240"/>
        <w:gridCol w:w="1319"/>
      </w:tblGrid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34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30/09/2019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Curto Prazo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Longo Prazo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Contingências (a)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15.579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298.001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313.580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297.465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Férias a Pagar (b)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96.677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 xml:space="preserve">           - 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96.677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97.499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Décimo Terceiro a Pagar (c)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50.887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50.887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-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Licença Especial (c)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55.738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 xml:space="preserve">           -   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55.738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52.514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Tempo de Serviço Passado TSP (e)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3.994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12.981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16.975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  <w:sz w:val="18"/>
                <w:szCs w:val="18"/>
              </w:rPr>
            </w:pPr>
            <w:r w:rsidRPr="00692C3A">
              <w:rPr>
                <w:color w:val="000000"/>
                <w:sz w:val="18"/>
                <w:szCs w:val="18"/>
              </w:rPr>
              <w:t>20.620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8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222.876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310.982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533.857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92C3A">
              <w:rPr>
                <w:b/>
                <w:bCs/>
                <w:color w:val="000000"/>
                <w:sz w:val="18"/>
                <w:szCs w:val="18"/>
              </w:rPr>
              <w:t>468.098</w:t>
            </w:r>
          </w:p>
        </w:tc>
      </w:tr>
    </w:tbl>
    <w:p w:rsidR="008A3B7E" w:rsidRPr="00692C3A" w:rsidRDefault="008A3B7E" w:rsidP="008A3B7E">
      <w:pPr>
        <w:rPr>
          <w:b/>
        </w:rPr>
      </w:pPr>
    </w:p>
    <w:p w:rsidR="005006A5" w:rsidRPr="00692C3A" w:rsidRDefault="00095C30" w:rsidP="00095C30">
      <w:pPr>
        <w:jc w:val="both"/>
      </w:pPr>
      <w:r w:rsidRPr="00692C3A">
        <w:t>A Instituição registra</w:t>
      </w:r>
      <w:r w:rsidR="005006A5" w:rsidRPr="00692C3A">
        <w:t xml:space="preserve"> </w:t>
      </w:r>
      <w:r w:rsidR="007E750D" w:rsidRPr="00692C3A">
        <w:t>no ativo</w:t>
      </w:r>
      <w:r w:rsidR="005006A5" w:rsidRPr="00692C3A">
        <w:t xml:space="preserve"> o direito a receber </w:t>
      </w:r>
      <w:r w:rsidRPr="00692C3A">
        <w:t xml:space="preserve">relativo </w:t>
      </w:r>
      <w:r w:rsidR="005006A5" w:rsidRPr="00692C3A">
        <w:t>aos recurso</w:t>
      </w:r>
      <w:r w:rsidR="00626764" w:rsidRPr="00692C3A">
        <w:t>s</w:t>
      </w:r>
      <w:r w:rsidR="005006A5" w:rsidRPr="00692C3A">
        <w:t xml:space="preserve"> </w:t>
      </w:r>
      <w:r w:rsidR="00AD7CC3" w:rsidRPr="00692C3A">
        <w:t>para cobertura da</w:t>
      </w:r>
      <w:r w:rsidRPr="00692C3A">
        <w:t xml:space="preserve">s provisões </w:t>
      </w:r>
      <w:r w:rsidR="005006A5" w:rsidRPr="00692C3A">
        <w:t>de despesas com pessoal e contingências passivas,</w:t>
      </w:r>
      <w:r w:rsidR="00560ADA" w:rsidRPr="00692C3A">
        <w:t xml:space="preserve"> recursos que</w:t>
      </w:r>
      <w:r w:rsidR="005006A5" w:rsidRPr="00692C3A">
        <w:t xml:space="preserve"> provêm do Tesouro Nacional.</w:t>
      </w:r>
    </w:p>
    <w:p w:rsidR="005006A5" w:rsidRPr="00692C3A" w:rsidRDefault="005006A5" w:rsidP="00095C30">
      <w:pPr>
        <w:jc w:val="both"/>
      </w:pPr>
    </w:p>
    <w:p w:rsidR="00095C30" w:rsidRPr="00692C3A" w:rsidRDefault="00095C30" w:rsidP="00095C30">
      <w:pPr>
        <w:jc w:val="both"/>
      </w:pPr>
      <w:r w:rsidRPr="00692C3A">
        <w:t>Os recursos a receber, bem como os valores a pagar e provisões relacionadas estão mensurados pelo valor presente dos gastos</w:t>
      </w:r>
      <w:r w:rsidR="007E750D" w:rsidRPr="00692C3A">
        <w:t>, conforme segue:</w:t>
      </w:r>
    </w:p>
    <w:p w:rsidR="006874C1" w:rsidRPr="00692C3A" w:rsidRDefault="006874C1" w:rsidP="00095C30">
      <w:pPr>
        <w:jc w:val="both"/>
      </w:pPr>
    </w:p>
    <w:p w:rsidR="00494A9A" w:rsidRPr="00692C3A" w:rsidRDefault="00116BD5" w:rsidP="00494A9A">
      <w:pPr>
        <w:pStyle w:val="Subttulo"/>
        <w:numPr>
          <w:ilvl w:val="0"/>
          <w:numId w:val="6"/>
        </w:numPr>
        <w:jc w:val="both"/>
      </w:pPr>
      <w:r w:rsidRPr="00692C3A">
        <w:rPr>
          <w:color w:val="0070C0"/>
        </w:rPr>
        <w:tab/>
      </w:r>
      <w:bookmarkStart w:id="36" w:name="_Ref466467861"/>
      <w:r w:rsidR="00494A9A" w:rsidRPr="00692C3A">
        <w:t>Contingências</w:t>
      </w:r>
      <w:bookmarkEnd w:id="36"/>
      <w:r w:rsidR="00494A9A" w:rsidRPr="00692C3A">
        <w:t xml:space="preserve"> </w:t>
      </w:r>
    </w:p>
    <w:p w:rsidR="00454BD8" w:rsidRPr="00692C3A" w:rsidRDefault="00454BD8" w:rsidP="00454BD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1"/>
        <w:gridCol w:w="1654"/>
        <w:gridCol w:w="175"/>
        <w:gridCol w:w="1623"/>
        <w:gridCol w:w="271"/>
        <w:gridCol w:w="1129"/>
        <w:gridCol w:w="240"/>
        <w:gridCol w:w="1319"/>
      </w:tblGrid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</w:rPr>
            </w:pPr>
            <w:r w:rsidRPr="00692C3A">
              <w:rPr>
                <w:color w:val="000000"/>
              </w:rPr>
              <w:t>Contingências Trabalhistas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14.271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277.687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291.958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276.143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</w:rPr>
            </w:pPr>
            <w:r w:rsidRPr="00692C3A">
              <w:rPr>
                <w:color w:val="000000"/>
              </w:rPr>
              <w:t>Contingências Cíveis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1.308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19.155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20.462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20.215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</w:rPr>
            </w:pPr>
            <w:r w:rsidRPr="00692C3A">
              <w:rPr>
                <w:color w:val="000000"/>
              </w:rPr>
              <w:t>Contingências Tributárias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-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1.159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1.159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1.107</w:t>
            </w:r>
          </w:p>
        </w:tc>
      </w:tr>
      <w:tr w:rsidR="00454BD8" w:rsidRPr="00692C3A" w:rsidTr="00454BD8"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8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15.579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298.001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313.580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54BD8" w:rsidRPr="00692C3A" w:rsidRDefault="00454BD8" w:rsidP="00454BD8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297.465</w:t>
            </w:r>
          </w:p>
        </w:tc>
      </w:tr>
    </w:tbl>
    <w:p w:rsidR="00494A9A" w:rsidRPr="00692C3A" w:rsidRDefault="00494A9A" w:rsidP="00B20F98">
      <w:pPr>
        <w:ind w:left="851" w:hanging="851"/>
        <w:jc w:val="both"/>
        <w:rPr>
          <w:b/>
        </w:rPr>
      </w:pPr>
    </w:p>
    <w:p w:rsidR="00852127" w:rsidRPr="00692C3A" w:rsidRDefault="000A6A29" w:rsidP="00852127">
      <w:pPr>
        <w:jc w:val="both"/>
      </w:pPr>
      <w:r w:rsidRPr="00692C3A">
        <w:t>São reconhecidas como contingências</w:t>
      </w:r>
      <w:r w:rsidR="00E82794" w:rsidRPr="00692C3A">
        <w:t xml:space="preserve"> </w:t>
      </w:r>
      <w:r w:rsidRPr="00692C3A">
        <w:t>a</w:t>
      </w:r>
      <w:r w:rsidR="007E750D" w:rsidRPr="00692C3A">
        <w:t>s ações judiciais, classificadas como perdas prováveis</w:t>
      </w:r>
      <w:r w:rsidR="001B1787" w:rsidRPr="00692C3A">
        <w:t>. D</w:t>
      </w:r>
      <w:r w:rsidR="004A0DE1" w:rsidRPr="00692C3A">
        <w:t>esta forma</w:t>
      </w:r>
      <w:r w:rsidR="00780D14" w:rsidRPr="00692C3A">
        <w:t>,</w:t>
      </w:r>
      <w:r w:rsidR="004A0DE1" w:rsidRPr="00692C3A">
        <w:t xml:space="preserve"> </w:t>
      </w:r>
      <w:r w:rsidR="0025677A" w:rsidRPr="00692C3A">
        <w:t>as con</w:t>
      </w:r>
      <w:r w:rsidRPr="00692C3A">
        <w:t>tingências</w:t>
      </w:r>
      <w:r w:rsidR="00852127" w:rsidRPr="00692C3A">
        <w:t xml:space="preserve"> (trabalhistas, cíveis e tributárias) </w:t>
      </w:r>
      <w:r w:rsidR="0025677A" w:rsidRPr="00692C3A">
        <w:t>seguem os seguintes critérios</w:t>
      </w:r>
      <w:r w:rsidR="001B1787" w:rsidRPr="00692C3A">
        <w:t xml:space="preserve"> para contabilização</w:t>
      </w:r>
      <w:r w:rsidR="00852127" w:rsidRPr="00692C3A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692C3A" w:rsidRDefault="00852127" w:rsidP="00852127">
      <w:pPr>
        <w:jc w:val="both"/>
      </w:pPr>
    </w:p>
    <w:p w:rsidR="00852127" w:rsidRPr="00692C3A" w:rsidRDefault="00852127" w:rsidP="00852127">
      <w:pPr>
        <w:jc w:val="both"/>
      </w:pPr>
      <w:r w:rsidRPr="00692C3A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ED5B2D" w:rsidRDefault="00ED5B2D">
      <w:r>
        <w:rPr>
          <w:b/>
        </w:rPr>
        <w:br w:type="page"/>
      </w:r>
    </w:p>
    <w:p w:rsidR="00116BD5" w:rsidRPr="00692C3A" w:rsidRDefault="00116BD5" w:rsidP="00BF21BA">
      <w:pPr>
        <w:pStyle w:val="Subttulo"/>
        <w:numPr>
          <w:ilvl w:val="0"/>
          <w:numId w:val="6"/>
        </w:numPr>
      </w:pPr>
      <w:r w:rsidRPr="00692C3A">
        <w:lastRenderedPageBreak/>
        <w:tab/>
      </w:r>
      <w:bookmarkStart w:id="37" w:name="_Ref466467866"/>
      <w:r w:rsidRPr="00692C3A">
        <w:t>Férias</w:t>
      </w:r>
      <w:r w:rsidR="007773FA" w:rsidRPr="00692C3A">
        <w:t xml:space="preserve"> a Pagar</w:t>
      </w:r>
      <w:bookmarkEnd w:id="3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31/12/2018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>Férias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70.308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69.911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(6.041)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7D44CA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0911B2" w:rsidRPr="00692C3A">
              <w:rPr>
                <w:color w:val="000000"/>
              </w:rPr>
              <w:t>66.056</w:t>
            </w:r>
            <w:r w:rsidRPr="00692C3A">
              <w:rPr>
                <w:color w:val="000000"/>
              </w:rPr>
              <w:t>)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6.137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68.107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70.404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71.962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>Encargos Sobre Férias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26.237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24.878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7D44CA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0911B2" w:rsidRPr="00692C3A">
              <w:rPr>
                <w:color w:val="000000"/>
              </w:rPr>
              <w:t>2.254</w:t>
            </w:r>
            <w:r w:rsidRPr="00692C3A">
              <w:rPr>
                <w:color w:val="000000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7D44CA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0911B2" w:rsidRPr="00692C3A">
              <w:rPr>
                <w:color w:val="000000"/>
              </w:rPr>
              <w:t>24.518</w:t>
            </w:r>
            <w:r w:rsidRPr="00692C3A">
              <w:rPr>
                <w:color w:val="000000"/>
              </w:rPr>
              <w:t>)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2.290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25.177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26.273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25.537</w:t>
            </w:r>
          </w:p>
        </w:tc>
      </w:tr>
      <w:tr w:rsidR="000911B2" w:rsidRPr="00692C3A" w:rsidTr="000911B2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96.677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911B2" w:rsidRPr="00692C3A" w:rsidRDefault="000911B2" w:rsidP="000911B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97.499</w:t>
            </w:r>
          </w:p>
        </w:tc>
      </w:tr>
    </w:tbl>
    <w:p w:rsidR="00CA10F4" w:rsidRDefault="00CA10F4" w:rsidP="00CA10F4">
      <w:pPr>
        <w:pStyle w:val="Subttulo"/>
        <w:ind w:left="-4" w:firstLine="0"/>
      </w:pPr>
    </w:p>
    <w:p w:rsidR="00C65F56" w:rsidRPr="00C65F56" w:rsidRDefault="00C65F56" w:rsidP="00C65F56"/>
    <w:p w:rsidR="002A650F" w:rsidRPr="00692C3A" w:rsidRDefault="002A650F" w:rsidP="002A650F">
      <w:pPr>
        <w:pStyle w:val="Subttulo"/>
        <w:numPr>
          <w:ilvl w:val="0"/>
          <w:numId w:val="6"/>
        </w:numPr>
      </w:pPr>
      <w:r w:rsidRPr="00692C3A">
        <w:t>Décimo Terceiro a Pagar</w:t>
      </w:r>
    </w:p>
    <w:p w:rsidR="00566DC2" w:rsidRPr="00692C3A" w:rsidRDefault="00566DC2" w:rsidP="00566DC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1"/>
        <w:gridCol w:w="3421"/>
      </w:tblGrid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>Décimo Terceiro a Pagar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  <w:sz w:val="22"/>
                <w:szCs w:val="22"/>
              </w:rPr>
            </w:pP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-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Baixas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F90F17" w:rsidP="00566DC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566DC2" w:rsidRPr="00692C3A">
              <w:rPr>
                <w:color w:val="000000"/>
              </w:rPr>
              <w:t>854</w:t>
            </w:r>
            <w:r w:rsidRPr="00692C3A">
              <w:rPr>
                <w:color w:val="000000"/>
              </w:rPr>
              <w:t>)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Apropriações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37.912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 xml:space="preserve">Total de Décimo Terceiro 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37.058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  <w:sz w:val="22"/>
                <w:szCs w:val="22"/>
              </w:rPr>
            </w:pP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>Encargos Sobre Décimo Terceiro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  <w:sz w:val="22"/>
                <w:szCs w:val="22"/>
              </w:rPr>
            </w:pP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-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Baixas</w:t>
            </w:r>
          </w:p>
        </w:tc>
        <w:tc>
          <w:tcPr>
            <w:tcW w:w="18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F90F17" w:rsidP="00566DC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566DC2" w:rsidRPr="00692C3A">
              <w:rPr>
                <w:color w:val="000000"/>
              </w:rPr>
              <w:t>319</w:t>
            </w:r>
            <w:r w:rsidRPr="00692C3A">
              <w:rPr>
                <w:color w:val="000000"/>
              </w:rPr>
              <w:t>)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Apropriações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14.148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de Encargos sobre Décimo Terceiro</w:t>
            </w:r>
          </w:p>
        </w:tc>
        <w:tc>
          <w:tcPr>
            <w:tcW w:w="18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13.829</w:t>
            </w:r>
          </w:p>
        </w:tc>
      </w:tr>
      <w:tr w:rsidR="00566DC2" w:rsidRPr="00692C3A" w:rsidTr="00566DC2">
        <w:tc>
          <w:tcPr>
            <w:tcW w:w="3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Saldo de Décimo Terceiro a Pagar</w:t>
            </w:r>
          </w:p>
        </w:tc>
        <w:tc>
          <w:tcPr>
            <w:tcW w:w="18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66DC2" w:rsidRPr="00692C3A" w:rsidRDefault="00566DC2" w:rsidP="00566DC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50.887</w:t>
            </w:r>
          </w:p>
        </w:tc>
      </w:tr>
    </w:tbl>
    <w:p w:rsidR="002A650F" w:rsidRDefault="002A650F" w:rsidP="00B20F98">
      <w:pPr>
        <w:ind w:left="851" w:hanging="851"/>
        <w:jc w:val="both"/>
        <w:rPr>
          <w:b/>
        </w:rPr>
      </w:pPr>
    </w:p>
    <w:p w:rsidR="00C65F56" w:rsidRPr="00692C3A" w:rsidRDefault="00C65F56" w:rsidP="00B20F98">
      <w:pPr>
        <w:ind w:left="851" w:hanging="851"/>
        <w:jc w:val="both"/>
        <w:rPr>
          <w:b/>
        </w:rPr>
      </w:pPr>
    </w:p>
    <w:p w:rsidR="00116BD5" w:rsidRPr="00692C3A" w:rsidRDefault="00116BD5" w:rsidP="00BF21BA">
      <w:pPr>
        <w:pStyle w:val="Subttulo"/>
        <w:numPr>
          <w:ilvl w:val="0"/>
          <w:numId w:val="6"/>
        </w:numPr>
      </w:pPr>
      <w:r w:rsidRPr="00692C3A">
        <w:tab/>
      </w:r>
      <w:bookmarkStart w:id="38" w:name="_Ref466467872"/>
      <w:r w:rsidRPr="00692C3A">
        <w:t>Licença Especial</w:t>
      </w:r>
      <w:bookmarkEnd w:id="3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31/12/2018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>Licença Especial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38.324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36.418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(4.892)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(5.061)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7.197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6.967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 xml:space="preserve">Total de Licença Especial 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40.629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38.324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>Encargos Sobre Licença Especial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14.190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13.548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Baixas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(1.822)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(1.872)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Apropriações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2.741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2.514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de Encargos sobre Licença Especial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15.109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14.190</w:t>
            </w:r>
          </w:p>
        </w:tc>
      </w:tr>
      <w:tr w:rsidR="00F90F17" w:rsidRPr="00692C3A" w:rsidTr="00F90F17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de Licença Especial a Pagar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55.738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F17" w:rsidRPr="00692C3A" w:rsidRDefault="00F90F17" w:rsidP="00F90F1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52.514</w:t>
            </w:r>
          </w:p>
        </w:tc>
      </w:tr>
    </w:tbl>
    <w:p w:rsidR="00644A45" w:rsidRDefault="00644A45" w:rsidP="00644A45"/>
    <w:p w:rsidR="00C65F56" w:rsidRPr="00692C3A" w:rsidRDefault="00C65F56" w:rsidP="00644A45"/>
    <w:p w:rsidR="00C44995" w:rsidRPr="00692C3A" w:rsidRDefault="00A902F7" w:rsidP="00BF21BA">
      <w:pPr>
        <w:pStyle w:val="Subttulo"/>
        <w:numPr>
          <w:ilvl w:val="0"/>
          <w:numId w:val="6"/>
        </w:numPr>
      </w:pPr>
      <w:bookmarkStart w:id="39" w:name="_Ref466467744"/>
      <w:r w:rsidRPr="00692C3A">
        <w:t>Tempo de Serviço Passado</w:t>
      </w:r>
      <w:bookmarkEnd w:id="39"/>
      <w:r w:rsidR="00A60300" w:rsidRPr="00692C3A">
        <w:t xml:space="preserve"> (TSP) </w:t>
      </w:r>
    </w:p>
    <w:p w:rsidR="00A902F7" w:rsidRPr="00692C3A" w:rsidRDefault="00A902F7" w:rsidP="00A902F7"/>
    <w:p w:rsidR="00095C30" w:rsidRPr="00692C3A" w:rsidRDefault="00095C30" w:rsidP="00095C30">
      <w:pPr>
        <w:jc w:val="both"/>
      </w:pPr>
      <w:r w:rsidRPr="00692C3A">
        <w:t>O HCPA possui financiamento com o Banco do Brasil para</w:t>
      </w:r>
      <w:r w:rsidR="00D40200" w:rsidRPr="00692C3A">
        <w:t xml:space="preserve"> pagamento do plano de</w:t>
      </w:r>
      <w:r w:rsidRPr="00692C3A">
        <w:t xml:space="preserve"> Previdência Privada</w:t>
      </w:r>
      <w:r w:rsidR="00921282" w:rsidRPr="00692C3A">
        <w:t xml:space="preserve"> </w:t>
      </w:r>
      <w:r w:rsidR="00A60300" w:rsidRPr="00692C3A">
        <w:t>- T</w:t>
      </w:r>
      <w:r w:rsidRPr="00692C3A">
        <w:t>SP</w:t>
      </w:r>
      <w:r w:rsidR="00A60300" w:rsidRPr="00692C3A">
        <w:t xml:space="preserve"> -</w:t>
      </w:r>
      <w:r w:rsidRPr="00692C3A">
        <w:t xml:space="preserve"> a ser amortizado em 164 parcelas mensais a partir de 01 de junho de 2010</w:t>
      </w:r>
      <w:r w:rsidR="00D133D9" w:rsidRPr="00692C3A">
        <w:t>,</w:t>
      </w:r>
      <w:r w:rsidRPr="00692C3A">
        <w:t xml:space="preserve"> atualizadas pelo INPC</w:t>
      </w:r>
      <w:r w:rsidR="00D133D9" w:rsidRPr="00692C3A">
        <w:t xml:space="preserve"> com</w:t>
      </w:r>
      <w:r w:rsidRPr="00692C3A">
        <w:t xml:space="preserve"> juros mensais de 0,4868%. </w:t>
      </w:r>
      <w:r w:rsidR="001666B8" w:rsidRPr="00692C3A">
        <w:t>Por ser, este valor,</w:t>
      </w:r>
      <w:r w:rsidRPr="00692C3A">
        <w:t xml:space="preserve"> pago c</w:t>
      </w:r>
      <w:r w:rsidR="001666B8" w:rsidRPr="00692C3A">
        <w:t>om Recursos do Tesouro Nacional possui, também, registro em Direitos a Receber no Ativo</w:t>
      </w:r>
      <w:r w:rsidR="006F24C5" w:rsidRPr="00692C3A">
        <w:t>.</w:t>
      </w:r>
      <w:r w:rsidR="008C5DF8" w:rsidRPr="00692C3A">
        <w:t xml:space="preserve"> </w:t>
      </w:r>
      <w:r w:rsidR="001666B8" w:rsidRPr="00692C3A">
        <w:t>O valor correspondente a</w:t>
      </w:r>
      <w:r w:rsidR="00BB6753" w:rsidRPr="00692C3A">
        <w:t xml:space="preserve"> doze prestações</w:t>
      </w:r>
      <w:r w:rsidR="00836818" w:rsidRPr="00692C3A">
        <w:t xml:space="preserve"> está </w:t>
      </w:r>
      <w:r w:rsidR="00BB6753" w:rsidRPr="00692C3A">
        <w:t>registrado no Ativo e Passivo Circulante</w:t>
      </w:r>
      <w:r w:rsidR="005A64EA" w:rsidRPr="00692C3A">
        <w:t xml:space="preserve"> e as demais prestações estão registradas n</w:t>
      </w:r>
      <w:r w:rsidRPr="00692C3A">
        <w:t xml:space="preserve">o Ativo </w:t>
      </w:r>
      <w:r w:rsidR="002900D5" w:rsidRPr="00692C3A">
        <w:t xml:space="preserve">e Passivo </w:t>
      </w:r>
      <w:r w:rsidR="00BB6753" w:rsidRPr="00692C3A">
        <w:t>N</w:t>
      </w:r>
      <w:r w:rsidRPr="00692C3A">
        <w:t>ão Circulante</w:t>
      </w:r>
      <w:r w:rsidR="002900D5" w:rsidRPr="00692C3A">
        <w:t>.</w:t>
      </w:r>
      <w:r w:rsidRPr="00692C3A">
        <w:t xml:space="preserve"> </w:t>
      </w:r>
    </w:p>
    <w:p w:rsidR="002A650F" w:rsidRPr="00692C3A" w:rsidRDefault="002A650F" w:rsidP="002A650F"/>
    <w:p w:rsidR="00ED5B2D" w:rsidRDefault="00ED5B2D">
      <w:bookmarkStart w:id="40" w:name="_Ref466466463"/>
      <w:bookmarkStart w:id="41" w:name="_Toc24124462"/>
    </w:p>
    <w:p w:rsidR="008E31FA" w:rsidRPr="00692C3A" w:rsidRDefault="00042AE7" w:rsidP="00923D20">
      <w:pPr>
        <w:pStyle w:val="Ttulo"/>
        <w:jc w:val="both"/>
        <w:outlineLvl w:val="0"/>
      </w:pPr>
      <w:r w:rsidRPr="00692C3A">
        <w:t>Ajuste</w:t>
      </w:r>
      <w:r w:rsidR="00376772" w:rsidRPr="00692C3A">
        <w:t xml:space="preserve"> de Avaliação Patrimonial</w:t>
      </w:r>
      <w:bookmarkEnd w:id="40"/>
      <w:bookmarkEnd w:id="41"/>
    </w:p>
    <w:p w:rsidR="00923D20" w:rsidRPr="00692C3A" w:rsidRDefault="00923D20" w:rsidP="008E31FA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692C3A">
        <w:t xml:space="preserve">  </w:t>
      </w:r>
    </w:p>
    <w:p w:rsidR="00376772" w:rsidRPr="00692C3A" w:rsidRDefault="00376772" w:rsidP="0029295A">
      <w:pPr>
        <w:jc w:val="both"/>
      </w:pPr>
      <w:r w:rsidRPr="00692C3A">
        <w:t>A partir da competência 2010, na medida em que</w:t>
      </w:r>
      <w:r w:rsidR="008E31FA" w:rsidRPr="00692C3A">
        <w:t xml:space="preserve"> o valor d</w:t>
      </w:r>
      <w:r w:rsidRPr="00692C3A">
        <w:t>os bens</w:t>
      </w:r>
      <w:r w:rsidR="008E31FA" w:rsidRPr="00692C3A">
        <w:t>,</w:t>
      </w:r>
      <w:r w:rsidRPr="00692C3A">
        <w:t xml:space="preserve"> objeto</w:t>
      </w:r>
      <w:r w:rsidR="008E31FA" w:rsidRPr="00692C3A">
        <w:t>s</w:t>
      </w:r>
      <w:r w:rsidRPr="00692C3A">
        <w:t xml:space="preserve"> do ajuste de a</w:t>
      </w:r>
      <w:r w:rsidR="008E31FA" w:rsidRPr="00692C3A">
        <w:t xml:space="preserve">valiação patrimonial, </w:t>
      </w:r>
      <w:r w:rsidR="0052271A" w:rsidRPr="00692C3A">
        <w:t xml:space="preserve">são </w:t>
      </w:r>
      <w:r w:rsidRPr="00692C3A">
        <w:t>depreciados, amortizado</w:t>
      </w:r>
      <w:r w:rsidR="008E31FA" w:rsidRPr="00692C3A">
        <w:t>s ou baixados em contrapartida ao</w:t>
      </w:r>
      <w:r w:rsidRPr="00692C3A">
        <w:t xml:space="preserve"> resultado,</w:t>
      </w:r>
      <w:r w:rsidR="008E31FA" w:rsidRPr="00692C3A">
        <w:t xml:space="preserve"> simultaneamente, o mesmo valor é transferido da</w:t>
      </w:r>
      <w:r w:rsidRPr="00692C3A">
        <w:t xml:space="preserve"> conta </w:t>
      </w:r>
      <w:r w:rsidR="008E31FA" w:rsidRPr="00692C3A">
        <w:t xml:space="preserve">de ajuste de avaliação patrimonial </w:t>
      </w:r>
      <w:r w:rsidRPr="00692C3A">
        <w:t xml:space="preserve">para </w:t>
      </w:r>
      <w:r w:rsidR="008E31FA" w:rsidRPr="00692C3A">
        <w:t xml:space="preserve">a </w:t>
      </w:r>
      <w:r w:rsidRPr="00692C3A">
        <w:t>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40"/>
        <w:gridCol w:w="182"/>
        <w:gridCol w:w="1992"/>
      </w:tblGrid>
      <w:tr w:rsidR="00EC7C5F" w:rsidRPr="00692C3A" w:rsidTr="00BC6580">
        <w:trPr>
          <w:trHeight w:val="230"/>
        </w:trPr>
        <w:tc>
          <w:tcPr>
            <w:tcW w:w="276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rPr>
                <w:color w:val="000000"/>
              </w:rPr>
            </w:pPr>
          </w:p>
        </w:tc>
        <w:tc>
          <w:tcPr>
            <w:tcW w:w="105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7C5F" w:rsidRPr="00692C3A" w:rsidRDefault="00C67233" w:rsidP="001F5C03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1F5C0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7C5F" w:rsidRPr="00692C3A" w:rsidRDefault="00EC7C5F" w:rsidP="001F5C03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31/12/2018</w:t>
            </w:r>
          </w:p>
        </w:tc>
      </w:tr>
      <w:tr w:rsidR="00EC7C5F" w:rsidRPr="00692C3A" w:rsidTr="00BC6580">
        <w:trPr>
          <w:trHeight w:val="230"/>
        </w:trPr>
        <w:tc>
          <w:tcPr>
            <w:tcW w:w="276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C5F" w:rsidRPr="00692C3A" w:rsidRDefault="00EC7C5F" w:rsidP="00EC7C5F">
            <w:pPr>
              <w:rPr>
                <w:color w:val="000000"/>
              </w:rPr>
            </w:pPr>
          </w:p>
        </w:tc>
        <w:tc>
          <w:tcPr>
            <w:tcW w:w="10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C5F" w:rsidRPr="00692C3A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C5F" w:rsidRPr="00692C3A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C5F" w:rsidRPr="00692C3A" w:rsidRDefault="00EC7C5F" w:rsidP="00EC7C5F">
            <w:pPr>
              <w:rPr>
                <w:b/>
                <w:bCs/>
                <w:color w:val="000000"/>
              </w:rPr>
            </w:pPr>
          </w:p>
        </w:tc>
      </w:tr>
      <w:tr w:rsidR="00EC7C5F" w:rsidRPr="00692C3A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both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Inicial em 01 de janeiro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(15.329)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(16.600)</w:t>
            </w:r>
          </w:p>
        </w:tc>
      </w:tr>
      <w:tr w:rsidR="00EC7C5F" w:rsidRPr="00692C3A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both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Recomposição pela Baixa ou Depreciação de Bens 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877B60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877B60" w:rsidRPr="00692C3A">
              <w:rPr>
                <w:color w:val="000000"/>
              </w:rPr>
              <w:t>764</w:t>
            </w:r>
            <w:r w:rsidRPr="00692C3A">
              <w:rPr>
                <w:color w:val="000000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(848)</w:t>
            </w:r>
          </w:p>
        </w:tc>
      </w:tr>
      <w:tr w:rsidR="00EC7C5F" w:rsidRPr="00692C3A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both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Reversão de Menos-Valia 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C67233" w:rsidP="00877B60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</w:t>
            </w:r>
            <w:r w:rsidR="00877B60" w:rsidRPr="00692C3A">
              <w:rPr>
                <w:color w:val="000000"/>
              </w:rPr>
              <w:t>86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2.119</w:t>
            </w:r>
          </w:p>
        </w:tc>
      </w:tr>
      <w:tr w:rsidR="00EC7C5F" w:rsidRPr="00692C3A" w:rsidTr="00BC6580">
        <w:tc>
          <w:tcPr>
            <w:tcW w:w="2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877B60" w:rsidP="007B287E">
            <w:pPr>
              <w:jc w:val="both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Saldo em 30</w:t>
            </w:r>
            <w:r w:rsidR="00EC7C5F" w:rsidRPr="00692C3A">
              <w:rPr>
                <w:color w:val="000000"/>
              </w:rPr>
              <w:t xml:space="preserve"> de </w:t>
            </w:r>
            <w:r w:rsidR="007B287E" w:rsidRPr="00692C3A">
              <w:rPr>
                <w:color w:val="000000"/>
              </w:rPr>
              <w:t>setembro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7B287E">
            <w:pPr>
              <w:jc w:val="right"/>
              <w:rPr>
                <w:b/>
                <w:color w:val="000000"/>
              </w:rPr>
            </w:pPr>
            <w:r w:rsidRPr="00692C3A">
              <w:rPr>
                <w:b/>
                <w:color w:val="000000"/>
              </w:rPr>
              <w:t>(15.</w:t>
            </w:r>
            <w:r w:rsidR="007B287E" w:rsidRPr="00692C3A">
              <w:rPr>
                <w:b/>
                <w:color w:val="000000"/>
              </w:rPr>
              <w:t>808</w:t>
            </w:r>
            <w:r w:rsidRPr="00692C3A">
              <w:rPr>
                <w:b/>
                <w:color w:val="000000"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C7C5F" w:rsidRPr="00692C3A" w:rsidRDefault="00EC7C5F" w:rsidP="00EC7C5F">
            <w:pPr>
              <w:jc w:val="right"/>
              <w:rPr>
                <w:b/>
                <w:color w:val="000000"/>
              </w:rPr>
            </w:pPr>
            <w:r w:rsidRPr="00692C3A">
              <w:rPr>
                <w:b/>
                <w:color w:val="000000"/>
              </w:rPr>
              <w:t>(15.329)</w:t>
            </w:r>
          </w:p>
        </w:tc>
      </w:tr>
    </w:tbl>
    <w:p w:rsidR="00EC7C5F" w:rsidRPr="00692C3A" w:rsidRDefault="00EC7C5F" w:rsidP="0029295A">
      <w:pPr>
        <w:jc w:val="both"/>
      </w:pPr>
    </w:p>
    <w:p w:rsidR="00FB33F0" w:rsidRDefault="00185CAD" w:rsidP="00FB33F0">
      <w:pPr>
        <w:jc w:val="both"/>
      </w:pPr>
      <w:r w:rsidRPr="00692C3A">
        <w:t>O</w:t>
      </w:r>
      <w:r w:rsidR="0063139D" w:rsidRPr="00692C3A">
        <w:t xml:space="preserve">s </w:t>
      </w:r>
      <w:r w:rsidR="00666C8E" w:rsidRPr="00692C3A">
        <w:t>valor</w:t>
      </w:r>
      <w:r w:rsidR="0063139D" w:rsidRPr="00692C3A">
        <w:t>es revertidos de Menos-Valia,</w:t>
      </w:r>
      <w:r w:rsidR="00300FE5" w:rsidRPr="00692C3A">
        <w:t xml:space="preserve"> </w:t>
      </w:r>
      <w:r w:rsidR="0063139D" w:rsidRPr="00692C3A">
        <w:t xml:space="preserve">de </w:t>
      </w:r>
      <w:r w:rsidR="00300FE5" w:rsidRPr="00692C3A">
        <w:t xml:space="preserve">R$ </w:t>
      </w:r>
      <w:r w:rsidR="00877B60" w:rsidRPr="00692C3A">
        <w:t>286</w:t>
      </w:r>
      <w:r w:rsidR="0063139D" w:rsidRPr="00692C3A">
        <w:t xml:space="preserve"> e R$ 2.</w:t>
      </w:r>
      <w:r w:rsidR="003F7E70" w:rsidRPr="00692C3A">
        <w:t>11</w:t>
      </w:r>
      <w:r w:rsidR="00877B60" w:rsidRPr="00692C3A">
        <w:t>9</w:t>
      </w:r>
      <w:r w:rsidR="0052271A" w:rsidRPr="00692C3A">
        <w:t xml:space="preserve"> (respectivamente </w:t>
      </w:r>
      <w:r w:rsidR="00D0298A" w:rsidRPr="00692C3A">
        <w:t>3</w:t>
      </w:r>
      <w:r w:rsidR="00C67233" w:rsidRPr="00692C3A">
        <w:t>0</w:t>
      </w:r>
      <w:r w:rsidR="00D0298A" w:rsidRPr="00692C3A">
        <w:t>/0</w:t>
      </w:r>
      <w:r w:rsidR="009234CF" w:rsidRPr="00692C3A">
        <w:t>9</w:t>
      </w:r>
      <w:r w:rsidR="00D0298A" w:rsidRPr="00692C3A">
        <w:t>/</w:t>
      </w:r>
      <w:r w:rsidR="0052271A" w:rsidRPr="00692C3A">
        <w:t>201</w:t>
      </w:r>
      <w:r w:rsidR="00D0298A" w:rsidRPr="00692C3A">
        <w:t>9</w:t>
      </w:r>
      <w:r w:rsidR="0052271A" w:rsidRPr="00692C3A">
        <w:t xml:space="preserve"> e </w:t>
      </w:r>
      <w:r w:rsidR="00D0298A" w:rsidRPr="00692C3A">
        <w:t>31/12/2018</w:t>
      </w:r>
      <w:r w:rsidR="0052271A" w:rsidRPr="00692C3A">
        <w:t>)</w:t>
      </w:r>
      <w:r w:rsidR="0063139D" w:rsidRPr="00692C3A">
        <w:t>,</w:t>
      </w:r>
      <w:r w:rsidR="00300FE5" w:rsidRPr="00692C3A">
        <w:t xml:space="preserve"> refere</w:t>
      </w:r>
      <w:r w:rsidR="0063139D" w:rsidRPr="00692C3A">
        <w:t>m</w:t>
      </w:r>
      <w:r w:rsidR="00300FE5" w:rsidRPr="00692C3A">
        <w:t xml:space="preserve">-se </w:t>
      </w:r>
      <w:r w:rsidR="00E5193F" w:rsidRPr="00692C3A">
        <w:t>à</w:t>
      </w:r>
      <w:r w:rsidR="00666C8E" w:rsidRPr="00692C3A">
        <w:t xml:space="preserve"> reversão</w:t>
      </w:r>
      <w:r w:rsidR="00DE43CE" w:rsidRPr="00692C3A">
        <w:t xml:space="preserve"> do valor de</w:t>
      </w:r>
      <w:r w:rsidR="00300FE5" w:rsidRPr="00692C3A">
        <w:t xml:space="preserve"> menos</w:t>
      </w:r>
      <w:r w:rsidR="00DE43CE" w:rsidRPr="00692C3A">
        <w:t>-</w:t>
      </w:r>
      <w:r w:rsidR="00300FE5" w:rsidRPr="00692C3A">
        <w:t xml:space="preserve">valia </w:t>
      </w:r>
      <w:r w:rsidR="00C94C2A" w:rsidRPr="00692C3A">
        <w:t>(reavaliação</w:t>
      </w:r>
      <w:r w:rsidR="0048678A" w:rsidRPr="00692C3A">
        <w:t xml:space="preserve"> negativa</w:t>
      </w:r>
      <w:r w:rsidR="00C94C2A" w:rsidRPr="00692C3A">
        <w:t xml:space="preserve">) </w:t>
      </w:r>
      <w:r w:rsidR="00300FE5" w:rsidRPr="00692C3A">
        <w:t>incidente sobre bens</w:t>
      </w:r>
      <w:r w:rsidRPr="00692C3A">
        <w:t xml:space="preserve"> patrimoniais</w:t>
      </w:r>
      <w:r w:rsidR="00300FE5" w:rsidRPr="00692C3A">
        <w:t xml:space="preserve"> </w:t>
      </w:r>
      <w:r w:rsidR="00A30CF6" w:rsidRPr="00692C3A">
        <w:t xml:space="preserve">com </w:t>
      </w:r>
      <w:r w:rsidR="00300FE5" w:rsidRPr="00692C3A">
        <w:t>saldo</w:t>
      </w:r>
      <w:r w:rsidR="00220707" w:rsidRPr="00692C3A">
        <w:t xml:space="preserve"> </w:t>
      </w:r>
      <w:r w:rsidR="00666C8E" w:rsidRPr="00692C3A">
        <w:t>residual</w:t>
      </w:r>
      <w:r w:rsidR="0063139D" w:rsidRPr="00692C3A">
        <w:t>,</w:t>
      </w:r>
      <w:r w:rsidR="00220707" w:rsidRPr="00692C3A">
        <w:t xml:space="preserve"> em 2010,</w:t>
      </w:r>
      <w:r w:rsidR="00666C8E" w:rsidRPr="00692C3A">
        <w:t xml:space="preserve"> </w:t>
      </w:r>
      <w:r w:rsidR="00300FE5" w:rsidRPr="00692C3A">
        <w:t xml:space="preserve">insuficiente para o </w:t>
      </w:r>
      <w:r w:rsidR="00DE43CE" w:rsidRPr="00692C3A">
        <w:t>seu</w:t>
      </w:r>
      <w:r w:rsidR="0063139D" w:rsidRPr="00692C3A">
        <w:t xml:space="preserve"> registr</w:t>
      </w:r>
      <w:r w:rsidR="00300FE5" w:rsidRPr="00692C3A">
        <w:t>o. Este ajuste recompôs o</w:t>
      </w:r>
      <w:r w:rsidR="00FB33F0" w:rsidRPr="00692C3A">
        <w:t xml:space="preserve"> saldo</w:t>
      </w:r>
      <w:r w:rsidR="00300FE5" w:rsidRPr="00692C3A">
        <w:t xml:space="preserve"> do I</w:t>
      </w:r>
      <w:r w:rsidR="00FB33F0" w:rsidRPr="00692C3A">
        <w:t>mobilizado e da Reserva de Reavaliação</w:t>
      </w:r>
      <w:r w:rsidR="00300FE5" w:rsidRPr="00692C3A">
        <w:t xml:space="preserve"> </w:t>
      </w:r>
      <w:r w:rsidR="00C203C0" w:rsidRPr="00692C3A">
        <w:t>no</w:t>
      </w:r>
      <w:r w:rsidR="00300FE5" w:rsidRPr="00692C3A">
        <w:t xml:space="preserve"> P</w:t>
      </w:r>
      <w:r w:rsidR="00C203C0" w:rsidRPr="00692C3A">
        <w:t>atrimônio Líquido</w:t>
      </w:r>
      <w:r w:rsidR="00300FE5" w:rsidRPr="00692C3A">
        <w:t>.</w:t>
      </w:r>
    </w:p>
    <w:p w:rsidR="00ED5B2D" w:rsidRDefault="00ED5B2D" w:rsidP="00FB33F0">
      <w:pPr>
        <w:jc w:val="both"/>
      </w:pPr>
    </w:p>
    <w:p w:rsidR="00C65F56" w:rsidRDefault="00C65F56" w:rsidP="00FB33F0">
      <w:pPr>
        <w:jc w:val="both"/>
      </w:pPr>
    </w:p>
    <w:p w:rsidR="00ED5B2D" w:rsidRPr="00692C3A" w:rsidRDefault="00ED5B2D" w:rsidP="00FB33F0">
      <w:pPr>
        <w:jc w:val="both"/>
      </w:pPr>
    </w:p>
    <w:p w:rsidR="00B20F98" w:rsidRPr="00692C3A" w:rsidRDefault="00455E06" w:rsidP="00F27C83">
      <w:pPr>
        <w:pStyle w:val="Ttulo"/>
        <w:outlineLvl w:val="0"/>
      </w:pPr>
      <w:bookmarkStart w:id="42" w:name="_Ref466466508"/>
      <w:bookmarkStart w:id="43" w:name="_Ref466472487"/>
      <w:bookmarkStart w:id="44" w:name="_Ref476905292"/>
      <w:bookmarkStart w:id="45" w:name="_Toc24124463"/>
      <w:r w:rsidRPr="00692C3A">
        <w:t>Receita Operacional Líquida</w:t>
      </w:r>
      <w:bookmarkEnd w:id="42"/>
      <w:bookmarkEnd w:id="43"/>
      <w:bookmarkEnd w:id="44"/>
      <w:bookmarkEnd w:id="45"/>
    </w:p>
    <w:p w:rsidR="006A2207" w:rsidRPr="00692C3A" w:rsidRDefault="006A2207" w:rsidP="004873EA">
      <w:pPr>
        <w:rPr>
          <w:sz w:val="16"/>
          <w:szCs w:val="16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90"/>
        <w:gridCol w:w="1701"/>
        <w:gridCol w:w="190"/>
        <w:gridCol w:w="1179"/>
      </w:tblGrid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7D1020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</w:t>
            </w:r>
            <w:r w:rsidR="007D1020" w:rsidRPr="00692C3A">
              <w:rPr>
                <w:b/>
                <w:bCs/>
                <w:color w:val="000000"/>
              </w:rPr>
              <w:t>9</w:t>
            </w:r>
            <w:r w:rsidRPr="00692C3A">
              <w:rPr>
                <w:b/>
                <w:bCs/>
                <w:color w:val="000000"/>
              </w:rPr>
              <w:t>/2019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7D1020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</w:t>
            </w:r>
            <w:r w:rsidR="007D1020" w:rsidRPr="00692C3A">
              <w:rPr>
                <w:b/>
                <w:bCs/>
                <w:color w:val="000000"/>
              </w:rPr>
              <w:t>9</w:t>
            </w:r>
            <w:r w:rsidRPr="00692C3A">
              <w:rPr>
                <w:b/>
                <w:bCs/>
                <w:color w:val="000000"/>
              </w:rPr>
              <w:t>/2018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>Serviços Prestados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1E5915" w:rsidRPr="00692C3A" w:rsidTr="005C47E2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Sistema Único de Saúde-SUS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954A03" w:rsidP="005C47E2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130.</w:t>
            </w:r>
            <w:r w:rsidR="005C47E2" w:rsidRPr="00692C3A">
              <w:rPr>
                <w:color w:val="000000"/>
              </w:rPr>
              <w:t>3</w:t>
            </w:r>
            <w:r w:rsidRPr="00692C3A">
              <w:rPr>
                <w:color w:val="000000"/>
              </w:rPr>
              <w:t>4</w:t>
            </w:r>
            <w:r w:rsidR="005C47E2" w:rsidRPr="00692C3A">
              <w:rPr>
                <w:color w:val="000000"/>
              </w:rPr>
              <w:t>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5915" w:rsidRPr="00692C3A" w:rsidRDefault="005C47E2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124.922</w:t>
            </w:r>
          </w:p>
        </w:tc>
      </w:tr>
      <w:tr w:rsidR="001E5915" w:rsidRPr="00692C3A" w:rsidTr="005C47E2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Convênios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954A03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43.727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5915" w:rsidRPr="00692C3A" w:rsidRDefault="005C47E2" w:rsidP="005C47E2">
            <w:pPr>
              <w:ind w:right="-48"/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39.068</w:t>
            </w:r>
          </w:p>
        </w:tc>
      </w:tr>
      <w:tr w:rsidR="001E5915" w:rsidRPr="00692C3A" w:rsidTr="005C47E2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Particulares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954A03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4.568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5915" w:rsidRPr="00692C3A" w:rsidRDefault="005C47E2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4.198</w:t>
            </w:r>
          </w:p>
        </w:tc>
      </w:tr>
      <w:tr w:rsidR="001E5915" w:rsidRPr="00692C3A" w:rsidTr="005C47E2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Pesquisas e Analises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954A03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3.744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5915" w:rsidRPr="00692C3A" w:rsidRDefault="005C47E2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2.407</w:t>
            </w:r>
          </w:p>
        </w:tc>
      </w:tr>
      <w:tr w:rsidR="001E5915" w:rsidRPr="00692C3A" w:rsidTr="005C47E2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Ensino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954A03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821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5915" w:rsidRPr="00692C3A" w:rsidRDefault="005C47E2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651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de Serviços Prestados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954A03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</w:t>
            </w:r>
            <w:r w:rsidR="00954A03" w:rsidRPr="00692C3A">
              <w:rPr>
                <w:b/>
                <w:bCs/>
                <w:color w:val="000000"/>
              </w:rPr>
              <w:t>83</w:t>
            </w:r>
            <w:r w:rsidRPr="00692C3A">
              <w:rPr>
                <w:b/>
                <w:bCs/>
                <w:color w:val="000000"/>
              </w:rPr>
              <w:t>.</w:t>
            </w:r>
            <w:r w:rsidR="00954A03" w:rsidRPr="00692C3A">
              <w:rPr>
                <w:b/>
                <w:bCs/>
                <w:color w:val="000000"/>
              </w:rPr>
              <w:t>201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5C47E2" w:rsidP="001E591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171.246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Deduções da Receita Bruta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PIS sobre Faturamento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954A03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954A03" w:rsidRPr="00692C3A">
              <w:rPr>
                <w:color w:val="000000"/>
              </w:rPr>
              <w:t>354</w:t>
            </w:r>
            <w:r w:rsidRPr="00692C3A">
              <w:rPr>
                <w:color w:val="00000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</w:t>
            </w:r>
            <w:r w:rsidR="005C47E2" w:rsidRPr="00692C3A">
              <w:rPr>
                <w:color w:val="000000"/>
              </w:rPr>
              <w:t>300</w:t>
            </w:r>
            <w:r w:rsidRPr="00692C3A">
              <w:rPr>
                <w:color w:val="000000"/>
              </w:rPr>
              <w:t>)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COFINS sobre Faturamento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</w:t>
            </w:r>
            <w:r w:rsidR="00954A03" w:rsidRPr="00692C3A">
              <w:rPr>
                <w:color w:val="000000"/>
              </w:rPr>
              <w:t>637</w:t>
            </w:r>
            <w:r w:rsidRPr="00692C3A">
              <w:rPr>
                <w:color w:val="00000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5C47E2" w:rsidP="001E591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(1.385</w:t>
            </w:r>
            <w:r w:rsidR="001E5915" w:rsidRPr="00692C3A">
              <w:rPr>
                <w:color w:val="000000"/>
              </w:rPr>
              <w:t>)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das Deduções da Receita Bruta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(1.</w:t>
            </w:r>
            <w:r w:rsidR="00954A03" w:rsidRPr="00692C3A">
              <w:rPr>
                <w:b/>
                <w:bCs/>
                <w:color w:val="000000"/>
              </w:rPr>
              <w:t>991</w:t>
            </w:r>
            <w:r w:rsidRPr="00692C3A">
              <w:rPr>
                <w:b/>
                <w:bCs/>
                <w:color w:val="000000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5C47E2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(1.</w:t>
            </w:r>
            <w:r w:rsidR="005C47E2" w:rsidRPr="00692C3A">
              <w:rPr>
                <w:b/>
                <w:bCs/>
                <w:color w:val="000000"/>
              </w:rPr>
              <w:t>685</w:t>
            </w:r>
            <w:r w:rsidRPr="00692C3A">
              <w:rPr>
                <w:b/>
                <w:bCs/>
                <w:color w:val="000000"/>
              </w:rPr>
              <w:t>)</w:t>
            </w:r>
          </w:p>
        </w:tc>
      </w:tr>
      <w:tr w:rsidR="001E5915" w:rsidRPr="00692C3A" w:rsidTr="001E5915"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Receita Líquida Operacional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5915" w:rsidRPr="00692C3A" w:rsidRDefault="001E5915" w:rsidP="001E591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2C3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954A03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</w:t>
            </w:r>
            <w:r w:rsidR="00954A03" w:rsidRPr="00692C3A">
              <w:rPr>
                <w:b/>
                <w:bCs/>
                <w:color w:val="000000"/>
              </w:rPr>
              <w:t>81</w:t>
            </w:r>
            <w:r w:rsidRPr="00692C3A">
              <w:rPr>
                <w:b/>
                <w:bCs/>
                <w:color w:val="000000"/>
              </w:rPr>
              <w:t>.</w:t>
            </w:r>
            <w:r w:rsidR="00954A03" w:rsidRPr="00692C3A">
              <w:rPr>
                <w:b/>
                <w:bCs/>
                <w:color w:val="000000"/>
              </w:rPr>
              <w:t>210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1E5915" w:rsidP="001E591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E5915" w:rsidRPr="00692C3A" w:rsidRDefault="005C47E2" w:rsidP="001E591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169.561</w:t>
            </w:r>
          </w:p>
        </w:tc>
      </w:tr>
    </w:tbl>
    <w:p w:rsidR="006A2207" w:rsidRPr="007325ED" w:rsidRDefault="006A2207" w:rsidP="004873EA">
      <w:pPr>
        <w:rPr>
          <w:sz w:val="16"/>
          <w:szCs w:val="16"/>
        </w:rPr>
      </w:pPr>
    </w:p>
    <w:p w:rsidR="005D2C53" w:rsidRPr="00692C3A" w:rsidRDefault="002858D8" w:rsidP="00205C9B">
      <w:pPr>
        <w:jc w:val="both"/>
      </w:pPr>
      <w:r w:rsidRPr="00692C3A">
        <w:t>A apresentação</w:t>
      </w:r>
      <w:r w:rsidR="005518A4" w:rsidRPr="00692C3A">
        <w:t xml:space="preserve"> do Demonstrat</w:t>
      </w:r>
      <w:r w:rsidR="00692C3A">
        <w:t>ivo de Resultado do Exercício está</w:t>
      </w:r>
      <w:r w:rsidR="005518A4" w:rsidRPr="00692C3A">
        <w:t xml:space="preserve"> adequada </w:t>
      </w:r>
      <w:r w:rsidR="00167D19" w:rsidRPr="00692C3A">
        <w:t xml:space="preserve">à estrutura </w:t>
      </w:r>
      <w:r w:rsidR="0098715D" w:rsidRPr="00692C3A">
        <w:t xml:space="preserve">da Secretaria </w:t>
      </w:r>
      <w:r w:rsidR="00167D19" w:rsidRPr="00692C3A">
        <w:t>de Coordenação e Gov</w:t>
      </w:r>
      <w:r w:rsidR="0098715D" w:rsidRPr="00692C3A">
        <w:t>ernança das Empresas Estatais (S</w:t>
      </w:r>
      <w:r w:rsidR="00167D19" w:rsidRPr="00692C3A">
        <w:t>EST)</w:t>
      </w:r>
      <w:r w:rsidR="0052271A" w:rsidRPr="00692C3A">
        <w:t>. D</w:t>
      </w:r>
      <w:r w:rsidR="007E1D17" w:rsidRPr="00692C3A">
        <w:t>esta forma</w:t>
      </w:r>
      <w:r w:rsidRPr="00692C3A">
        <w:t>,</w:t>
      </w:r>
      <w:r w:rsidR="00167D19" w:rsidRPr="00692C3A">
        <w:t xml:space="preserve"> os repasses recebidos </w:t>
      </w:r>
      <w:r w:rsidR="00692C3A">
        <w:t>não</w:t>
      </w:r>
      <w:r w:rsidR="00205C9B" w:rsidRPr="00692C3A">
        <w:t xml:space="preserve"> comp</w:t>
      </w:r>
      <w:r w:rsidR="00692C3A">
        <w:t>õem</w:t>
      </w:r>
      <w:r w:rsidRPr="00692C3A">
        <w:t xml:space="preserve"> o grupo de</w:t>
      </w:r>
      <w:r w:rsidR="00205C9B" w:rsidRPr="00692C3A">
        <w:t xml:space="preserve"> receitas operacionais</w:t>
      </w:r>
      <w:r w:rsidRPr="00692C3A">
        <w:t>,</w:t>
      </w:r>
      <w:r w:rsidR="00692C3A">
        <w:t xml:space="preserve"> sendo apresentados</w:t>
      </w:r>
      <w:r w:rsidR="003E4760" w:rsidRPr="00692C3A">
        <w:t xml:space="preserve"> </w:t>
      </w:r>
      <w:r w:rsidR="00205C9B" w:rsidRPr="00692C3A">
        <w:t>separadamente</w:t>
      </w:r>
      <w:r w:rsidR="00A33B83">
        <w:t xml:space="preserve"> na</w:t>
      </w:r>
      <w:r w:rsidR="007325ED">
        <w:t xml:space="preserve"> Demonstra</w:t>
      </w:r>
      <w:r w:rsidR="00A33B83">
        <w:t>ção do Resultado do Exercício</w:t>
      </w:r>
      <w:r w:rsidR="007325ED">
        <w:t>.</w:t>
      </w:r>
    </w:p>
    <w:p w:rsidR="007E1D17" w:rsidRDefault="007E1D17" w:rsidP="007108BE">
      <w:pPr>
        <w:jc w:val="right"/>
        <w:rPr>
          <w:sz w:val="16"/>
          <w:szCs w:val="16"/>
        </w:rPr>
      </w:pPr>
    </w:p>
    <w:p w:rsidR="00C65F56" w:rsidRDefault="00C65F56" w:rsidP="007108BE">
      <w:pPr>
        <w:jc w:val="right"/>
        <w:rPr>
          <w:sz w:val="16"/>
          <w:szCs w:val="16"/>
        </w:rPr>
      </w:pPr>
    </w:p>
    <w:p w:rsidR="00C65F56" w:rsidRPr="007325ED" w:rsidRDefault="00C65F56" w:rsidP="007108BE">
      <w:pPr>
        <w:jc w:val="right"/>
        <w:rPr>
          <w:sz w:val="16"/>
          <w:szCs w:val="16"/>
        </w:rPr>
      </w:pPr>
    </w:p>
    <w:p w:rsidR="00056B52" w:rsidRPr="007325ED" w:rsidRDefault="00056B52" w:rsidP="004873EA">
      <w:pPr>
        <w:rPr>
          <w:sz w:val="16"/>
          <w:szCs w:val="16"/>
        </w:rPr>
      </w:pPr>
    </w:p>
    <w:p w:rsidR="00056B52" w:rsidRPr="00692C3A" w:rsidRDefault="00056B52" w:rsidP="00A21AA7">
      <w:pPr>
        <w:pStyle w:val="Ttulo"/>
        <w:outlineLvl w:val="0"/>
      </w:pPr>
      <w:bookmarkStart w:id="46" w:name="_Ref466472278"/>
      <w:bookmarkStart w:id="47" w:name="_Toc529341297"/>
      <w:bookmarkStart w:id="48" w:name="_Toc24124464"/>
      <w:r w:rsidRPr="00692C3A">
        <w:t>Despesas de Benefícios a Empregados</w:t>
      </w:r>
      <w:bookmarkEnd w:id="46"/>
      <w:bookmarkEnd w:id="47"/>
      <w:bookmarkEnd w:id="48"/>
      <w:r w:rsidRPr="00692C3A">
        <w:t xml:space="preserve">     </w:t>
      </w:r>
    </w:p>
    <w:p w:rsidR="00056B52" w:rsidRPr="00692C3A" w:rsidRDefault="00056B52" w:rsidP="00A21AA7">
      <w:pPr>
        <w:ind w:left="-200"/>
        <w:jc w:val="both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30/09/2018</w:t>
            </w:r>
          </w:p>
        </w:tc>
      </w:tr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Auxilio Creche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                              1.102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1108</w:t>
            </w:r>
          </w:p>
        </w:tc>
      </w:tr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Auxilio Alimentação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25.159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24.400</w:t>
            </w:r>
          </w:p>
        </w:tc>
      </w:tr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Vale Transporte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2.687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2321</w:t>
            </w:r>
          </w:p>
        </w:tc>
      </w:tr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Assistência Médica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8.287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8.663</w:t>
            </w:r>
          </w:p>
        </w:tc>
      </w:tr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Previdência Privada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21.702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19.634</w:t>
            </w:r>
          </w:p>
        </w:tc>
      </w:tr>
      <w:tr w:rsidR="001F5C03" w:rsidRPr="00692C3A" w:rsidTr="001F5C03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58.937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5C03" w:rsidRPr="00692C3A" w:rsidRDefault="001F5C03" w:rsidP="00A21AA7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692C3A" w:rsidRDefault="001F5C03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56.126</w:t>
            </w:r>
          </w:p>
        </w:tc>
      </w:tr>
    </w:tbl>
    <w:p w:rsidR="00056B52" w:rsidRPr="00692C3A" w:rsidRDefault="00056B52" w:rsidP="00A21AA7">
      <w:pPr>
        <w:tabs>
          <w:tab w:val="left" w:pos="993"/>
        </w:tabs>
        <w:jc w:val="both"/>
        <w:rPr>
          <w:b/>
          <w:sz w:val="16"/>
          <w:szCs w:val="16"/>
        </w:rPr>
      </w:pPr>
    </w:p>
    <w:p w:rsidR="00056B52" w:rsidRPr="00692C3A" w:rsidRDefault="00056B52" w:rsidP="00A21AA7">
      <w:pPr>
        <w:ind w:left="-100"/>
        <w:jc w:val="both"/>
      </w:pPr>
      <w:r w:rsidRPr="00692C3A">
        <w:lastRenderedPageBreak/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:rsidR="009962C3" w:rsidRDefault="009962C3" w:rsidP="00A21AA7">
      <w:pPr>
        <w:rPr>
          <w:b/>
          <w:sz w:val="16"/>
          <w:szCs w:val="16"/>
          <w:u w:val="single"/>
        </w:rPr>
      </w:pPr>
    </w:p>
    <w:p w:rsidR="00C65F56" w:rsidRPr="00692C3A" w:rsidRDefault="00C65F56" w:rsidP="00A21AA7">
      <w:pPr>
        <w:rPr>
          <w:b/>
          <w:sz w:val="16"/>
          <w:szCs w:val="16"/>
          <w:u w:val="single"/>
        </w:rPr>
      </w:pPr>
    </w:p>
    <w:p w:rsidR="009962C3" w:rsidRPr="00692C3A" w:rsidRDefault="009962C3" w:rsidP="00A21AA7">
      <w:pPr>
        <w:rPr>
          <w:b/>
          <w:sz w:val="16"/>
          <w:szCs w:val="16"/>
          <w:u w:val="single"/>
        </w:rPr>
      </w:pPr>
    </w:p>
    <w:p w:rsidR="00B20F98" w:rsidRPr="00692C3A" w:rsidRDefault="004C7317" w:rsidP="00A21AA7">
      <w:pPr>
        <w:pStyle w:val="Ttulo"/>
        <w:outlineLvl w:val="0"/>
      </w:pPr>
      <w:bookmarkStart w:id="49" w:name="_Ref466466681"/>
      <w:bookmarkStart w:id="50" w:name="_Toc24124465"/>
      <w:r w:rsidRPr="00692C3A">
        <w:t>Outras Receitas e Despesas</w:t>
      </w:r>
      <w:bookmarkEnd w:id="49"/>
      <w:bookmarkEnd w:id="50"/>
      <w:r w:rsidRPr="00692C3A">
        <w:t xml:space="preserve"> </w:t>
      </w:r>
    </w:p>
    <w:p w:rsidR="005651A6" w:rsidRPr="00692C3A" w:rsidRDefault="005651A6" w:rsidP="00A21AA7">
      <w:pPr>
        <w:rPr>
          <w:color w:val="FF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rPr>
                <w:color w:val="FF0000"/>
              </w:rPr>
            </w:pPr>
            <w:r w:rsidRPr="00692C3A">
              <w:rPr>
                <w:color w:val="FF0000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095" w:rsidRPr="00692C3A" w:rsidRDefault="00123095" w:rsidP="00A21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30/09/2018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Outras Receitas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Aluguéis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3.049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A21AA7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3.013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Receitas de Leilões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8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Reversão de Depreciação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2.178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-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Doações de Estoque e Uso Permanente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1.955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1.897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Restituições e Outros Acréscimos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2.690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4.432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Total de Outras Receitas</w:t>
            </w:r>
          </w:p>
        </w:tc>
        <w:tc>
          <w:tcPr>
            <w:tcW w:w="13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9.890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9.350</w:t>
            </w:r>
          </w:p>
        </w:tc>
      </w:tr>
      <w:tr w:rsidR="00123095" w:rsidRPr="007325ED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rPr>
                <w:color w:val="000000"/>
                <w:sz w:val="16"/>
                <w:szCs w:val="16"/>
              </w:rPr>
            </w:pPr>
            <w:r w:rsidRPr="007325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rPr>
                <w:color w:val="000000"/>
                <w:sz w:val="16"/>
                <w:szCs w:val="16"/>
              </w:rPr>
            </w:pPr>
            <w:r w:rsidRPr="007325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jc w:val="right"/>
              <w:rPr>
                <w:color w:val="000000"/>
                <w:sz w:val="16"/>
                <w:szCs w:val="16"/>
              </w:rPr>
            </w:pPr>
            <w:r w:rsidRPr="007325ED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Outras Despesas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Pensões Indenizatórias e Outros Decréscimos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(542)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</w:t>
            </w:r>
            <w:r w:rsidR="00480A95" w:rsidRPr="00692C3A">
              <w:rPr>
                <w:color w:val="000000"/>
              </w:rPr>
              <w:t>.</w:t>
            </w:r>
            <w:r w:rsidRPr="00692C3A">
              <w:rPr>
                <w:color w:val="000000"/>
              </w:rPr>
              <w:t>000)</w:t>
            </w:r>
          </w:p>
        </w:tc>
      </w:tr>
      <w:tr w:rsidR="00123095" w:rsidRPr="007325ED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rPr>
                <w:color w:val="000000"/>
                <w:sz w:val="16"/>
                <w:szCs w:val="16"/>
              </w:rPr>
            </w:pPr>
            <w:r w:rsidRPr="007325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jc w:val="right"/>
              <w:rPr>
                <w:color w:val="000000"/>
                <w:sz w:val="16"/>
                <w:szCs w:val="16"/>
              </w:rPr>
            </w:pPr>
            <w:r w:rsidRPr="007325E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325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7325ED" w:rsidRDefault="00123095" w:rsidP="0012309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325E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Resultado com Baixa de Bens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Valor Bruto de Baixa de Bens 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(116)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  <w:sz w:val="22"/>
                <w:szCs w:val="22"/>
              </w:rPr>
            </w:pPr>
            <w:r w:rsidRPr="00692C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(375)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</w:rPr>
            </w:pPr>
            <w:r w:rsidRPr="00692C3A">
              <w:rPr>
                <w:color w:val="000000"/>
              </w:rPr>
              <w:t>Baixa de Bens e Outras Despesas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(658)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  <w:sz w:val="22"/>
                <w:szCs w:val="22"/>
              </w:rPr>
            </w:pPr>
            <w:r w:rsidRPr="00692C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(1375)</w:t>
            </w:r>
          </w:p>
        </w:tc>
      </w:tr>
      <w:tr w:rsidR="00123095" w:rsidRPr="00692C3A" w:rsidTr="00123095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Saldo de Outras Receitas e Despesas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9.232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rPr>
                <w:color w:val="000000"/>
                <w:sz w:val="22"/>
                <w:szCs w:val="22"/>
              </w:rPr>
            </w:pPr>
            <w:r w:rsidRPr="00692C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23095" w:rsidRPr="00692C3A" w:rsidRDefault="00123095" w:rsidP="00123095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7.975</w:t>
            </w:r>
          </w:p>
        </w:tc>
      </w:tr>
    </w:tbl>
    <w:p w:rsidR="00ED5B2D" w:rsidRDefault="00ED5B2D" w:rsidP="00ED5B2D">
      <w:pPr>
        <w:pStyle w:val="Ttulo"/>
        <w:numPr>
          <w:ilvl w:val="0"/>
          <w:numId w:val="0"/>
        </w:numPr>
        <w:outlineLvl w:val="0"/>
      </w:pPr>
      <w:bookmarkStart w:id="51" w:name="_Ref466466697"/>
      <w:bookmarkStart w:id="52" w:name="_Toc24124466"/>
    </w:p>
    <w:p w:rsidR="00C65F56" w:rsidRDefault="00C65F56" w:rsidP="00C65F56"/>
    <w:p w:rsidR="00C65F56" w:rsidRPr="00C65F56" w:rsidRDefault="00C65F56" w:rsidP="00C65F56"/>
    <w:p w:rsidR="00ED5B2D" w:rsidRDefault="00ED5B2D" w:rsidP="00ED5B2D">
      <w:pPr>
        <w:pStyle w:val="Ttulo"/>
        <w:numPr>
          <w:ilvl w:val="0"/>
          <w:numId w:val="0"/>
        </w:numPr>
        <w:outlineLvl w:val="0"/>
      </w:pPr>
    </w:p>
    <w:p w:rsidR="00B20F98" w:rsidRPr="00692C3A" w:rsidRDefault="00455E06" w:rsidP="001B1014">
      <w:pPr>
        <w:pStyle w:val="Ttulo"/>
        <w:outlineLvl w:val="0"/>
      </w:pPr>
      <w:r w:rsidRPr="00692C3A">
        <w:t>Resultado Financeiro</w:t>
      </w:r>
      <w:bookmarkEnd w:id="51"/>
      <w:bookmarkEnd w:id="52"/>
    </w:p>
    <w:p w:rsidR="0093297B" w:rsidRPr="00692C3A" w:rsidRDefault="0093297B" w:rsidP="001B101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2437"/>
        <w:gridCol w:w="258"/>
        <w:gridCol w:w="2391"/>
      </w:tblGrid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30/09/2019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30/09/2018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Receita Financeira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Remuneração de Depósitos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1.256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                             1.137 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Juros e Multas Previstos em Contratos 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151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                                136 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Variação Cambial e Monetária Ativa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584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                                434 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Receita Financeira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 xml:space="preserve">                                 1.991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 xml:space="preserve">                                1.707 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Despesa Financeira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Juros sobre TSP e Multas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(1.635)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(1.209)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Variação Cambial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(449)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(1.348)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 xml:space="preserve">    Correção Monetária AFAC</w:t>
            </w: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 xml:space="preserve"> -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color w:val="000000"/>
              </w:rPr>
            </w:pPr>
            <w:r w:rsidRPr="00692C3A">
              <w:rPr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color w:val="000000"/>
              </w:rPr>
            </w:pPr>
            <w:r w:rsidRPr="00692C3A">
              <w:rPr>
                <w:color w:val="000000"/>
              </w:rPr>
              <w:t>(6.993)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Total Despesa Financeira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(2.085)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(9.550)</w:t>
            </w:r>
          </w:p>
        </w:tc>
      </w:tr>
      <w:tr w:rsidR="00810E7D" w:rsidRPr="00692C3A" w:rsidTr="00810E7D">
        <w:tc>
          <w:tcPr>
            <w:tcW w:w="2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32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692C3A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</w:t>
            </w:r>
            <w:r w:rsidR="00810E7D" w:rsidRPr="00692C3A">
              <w:rPr>
                <w:b/>
                <w:bCs/>
                <w:color w:val="000000"/>
              </w:rPr>
              <w:t>93</w:t>
            </w:r>
            <w:r w:rsidRPr="00692C3A">
              <w:rPr>
                <w:b/>
                <w:bCs/>
                <w:color w:val="000000"/>
              </w:rPr>
              <w:t>)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10E7D" w:rsidRPr="00692C3A" w:rsidRDefault="00810E7D" w:rsidP="001B1014">
            <w:pPr>
              <w:jc w:val="right"/>
              <w:rPr>
                <w:b/>
                <w:bCs/>
                <w:color w:val="000000"/>
              </w:rPr>
            </w:pPr>
            <w:r w:rsidRPr="00692C3A">
              <w:rPr>
                <w:b/>
                <w:bCs/>
                <w:color w:val="000000"/>
              </w:rPr>
              <w:t>(7.843)</w:t>
            </w:r>
          </w:p>
        </w:tc>
      </w:tr>
    </w:tbl>
    <w:p w:rsidR="00B20F98" w:rsidRPr="00692C3A" w:rsidRDefault="00B20F98" w:rsidP="001B1014">
      <w:pPr>
        <w:jc w:val="both"/>
      </w:pPr>
    </w:p>
    <w:p w:rsidR="00B20F98" w:rsidRPr="00692C3A" w:rsidRDefault="00B20F98" w:rsidP="001B1014">
      <w:pPr>
        <w:tabs>
          <w:tab w:val="left" w:pos="851"/>
        </w:tabs>
        <w:jc w:val="both"/>
      </w:pPr>
      <w:r w:rsidRPr="00692C3A">
        <w:t xml:space="preserve">A receita financeira é reconhecida conforme o prazo decorrido pelo regime de competência, usando o método da taxa efetiva de juros. </w:t>
      </w:r>
    </w:p>
    <w:p w:rsidR="006D786C" w:rsidRPr="00692C3A" w:rsidRDefault="006D786C" w:rsidP="001B1014">
      <w:pPr>
        <w:tabs>
          <w:tab w:val="left" w:pos="851"/>
        </w:tabs>
        <w:jc w:val="both"/>
      </w:pPr>
    </w:p>
    <w:p w:rsidR="00FB1FC8" w:rsidRDefault="00FB1FC8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Default="00C65F56" w:rsidP="001B1014">
      <w:pPr>
        <w:tabs>
          <w:tab w:val="left" w:pos="851"/>
        </w:tabs>
        <w:jc w:val="both"/>
      </w:pPr>
    </w:p>
    <w:p w:rsidR="00C65F56" w:rsidRPr="00692C3A" w:rsidRDefault="00C65F56" w:rsidP="001B1014">
      <w:pPr>
        <w:tabs>
          <w:tab w:val="left" w:pos="851"/>
        </w:tabs>
        <w:jc w:val="both"/>
      </w:pPr>
    </w:p>
    <w:p w:rsidR="001045BD" w:rsidRPr="00692C3A" w:rsidRDefault="001045BD" w:rsidP="001B1014">
      <w:pPr>
        <w:pStyle w:val="Ttulo"/>
        <w:outlineLvl w:val="0"/>
      </w:pPr>
      <w:bookmarkStart w:id="53" w:name="_Toc24124467"/>
      <w:r w:rsidRPr="00692C3A">
        <w:t>Seguros de Riscos</w:t>
      </w:r>
      <w:bookmarkEnd w:id="53"/>
      <w:r w:rsidR="00923D20" w:rsidRPr="00692C3A">
        <w:t xml:space="preserve"> </w:t>
      </w:r>
    </w:p>
    <w:p w:rsidR="001045BD" w:rsidRPr="00692C3A" w:rsidRDefault="001045BD" w:rsidP="001045BD">
      <w:pPr>
        <w:tabs>
          <w:tab w:val="left" w:pos="851"/>
        </w:tabs>
        <w:jc w:val="both"/>
      </w:pPr>
    </w:p>
    <w:p w:rsidR="008602D8" w:rsidRPr="00692C3A" w:rsidRDefault="008602D8" w:rsidP="008602D8">
      <w:pPr>
        <w:tabs>
          <w:tab w:val="left" w:pos="851"/>
        </w:tabs>
        <w:jc w:val="both"/>
      </w:pPr>
      <w:r w:rsidRPr="00692C3A">
        <w:t>Incêndio Vultoso e Riscos Nomeados:</w:t>
      </w:r>
    </w:p>
    <w:p w:rsidR="008602D8" w:rsidRPr="00CA2680" w:rsidRDefault="008602D8" w:rsidP="008602D8">
      <w:pPr>
        <w:tabs>
          <w:tab w:val="left" w:pos="851"/>
        </w:tabs>
        <w:jc w:val="both"/>
      </w:pPr>
      <w:r w:rsidRPr="00692C3A">
        <w:t>A cobertura garante o pagamento de indenização pelos prejuízos de incêndio, queda de raio, explosão de qualquer natureza e outros riscos nomeados na apólice para os imóveis, construções em andamento, instalações,</w:t>
      </w:r>
      <w:r w:rsidRPr="00CA2680">
        <w:t xml:space="preserve"> mercadorias, máquinas e equipamentos, móveis e utensílios e bens de terceiros em poder do HCPA. A </w:t>
      </w:r>
      <w:r w:rsidRPr="00F05BE3">
        <w:t xml:space="preserve">importância segurada é de R$ </w:t>
      </w:r>
      <w:r w:rsidR="00B14B0D">
        <w:t>275.539</w:t>
      </w:r>
      <w:r w:rsidRPr="00F05BE3">
        <w:t xml:space="preserve"> e a vigência da apólice é de 01 de junho de </w:t>
      </w:r>
      <w:r w:rsidR="00C96BA3">
        <w:t>201</w:t>
      </w:r>
      <w:r w:rsidR="00B14B0D">
        <w:t>9</w:t>
      </w:r>
      <w:r w:rsidRPr="00F05BE3">
        <w:t xml:space="preserve"> a 01 de junho de 20</w:t>
      </w:r>
      <w:r w:rsidR="00B14B0D">
        <w:t>20</w:t>
      </w:r>
      <w:r w:rsidRPr="00F05BE3">
        <w:t>.</w:t>
      </w:r>
    </w:p>
    <w:p w:rsidR="008602D8" w:rsidRPr="00CA2680" w:rsidRDefault="008602D8" w:rsidP="008602D8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Responsabilidade Civil:</w:t>
      </w:r>
    </w:p>
    <w:p w:rsidR="000361F7" w:rsidRPr="00F13494" w:rsidRDefault="008602D8" w:rsidP="000361F7">
      <w:pPr>
        <w:tabs>
          <w:tab w:val="left" w:pos="851"/>
        </w:tabs>
        <w:jc w:val="both"/>
        <w:rPr>
          <w:color w:val="FF0000"/>
        </w:rPr>
      </w:pPr>
      <w:r w:rsidRPr="00F05BE3">
        <w:t xml:space="preserve">Cobertura garantindo pagamento de indenização de Responsabilidade Civil com vigência de 01 de </w:t>
      </w:r>
      <w:r w:rsidR="009234CF">
        <w:t>setembro</w:t>
      </w:r>
      <w:r w:rsidRPr="00F05BE3">
        <w:t xml:space="preserve"> de </w:t>
      </w:r>
      <w:r w:rsidR="00C96BA3">
        <w:t>201</w:t>
      </w:r>
      <w:r w:rsidR="00B14B0D">
        <w:t>9</w:t>
      </w:r>
      <w:r w:rsidRPr="00F05BE3">
        <w:t xml:space="preserve"> a 01 de </w:t>
      </w:r>
      <w:r w:rsidR="009234CF">
        <w:t>setembro</w:t>
      </w:r>
      <w:r w:rsidRPr="00F05BE3">
        <w:t xml:space="preserve"> de 20</w:t>
      </w:r>
      <w:r w:rsidR="00B14B0D">
        <w:t>20</w:t>
      </w:r>
      <w:r w:rsidRPr="00F05BE3">
        <w:t>. A importância segurada é de R$ 13.277</w:t>
      </w:r>
      <w:r w:rsidR="00534046">
        <w:t>.</w:t>
      </w:r>
    </w:p>
    <w:p w:rsidR="009E55A1" w:rsidRDefault="009E55A1" w:rsidP="007B53E0">
      <w:pPr>
        <w:tabs>
          <w:tab w:val="left" w:pos="851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2156DE" w:rsidRPr="00B13EAB" w:rsidTr="00BA46D3">
        <w:trPr>
          <w:trHeight w:val="70"/>
        </w:trPr>
        <w:tc>
          <w:tcPr>
            <w:tcW w:w="8613" w:type="dxa"/>
          </w:tcPr>
          <w:p w:rsidR="002156DE" w:rsidRPr="00B13EAB" w:rsidRDefault="002156DE" w:rsidP="00BA46D3">
            <w:pPr>
              <w:jc w:val="center"/>
            </w:pPr>
          </w:p>
        </w:tc>
      </w:tr>
    </w:tbl>
    <w:p w:rsidR="002156DE" w:rsidRDefault="002156DE" w:rsidP="007B53E0">
      <w:pPr>
        <w:tabs>
          <w:tab w:val="left" w:pos="851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AB07CD" w:rsidRPr="00B13EAB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bookmarkStart w:id="54" w:name="_Toc457909667"/>
            <w:bookmarkStart w:id="55" w:name="_Toc457910655"/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54"/>
            <w:bookmarkEnd w:id="55"/>
            <w:r w:rsidRPr="00B13EAB">
              <w:t>Nadine Oliveira Clausell</w:t>
            </w: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72"/>
              <w:gridCol w:w="4225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>Me. Jorge Luis Bajerski</w:t>
                  </w:r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ED09EB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08"/>
              <w:gridCol w:w="4189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>Luciana Raupp Rios Wohlgemuth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>Juliana Zwetsch</w:t>
                  </w:r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627BCB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6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6DD" w:rsidRDefault="007016DD">
      <w:r>
        <w:separator/>
      </w:r>
    </w:p>
  </w:endnote>
  <w:endnote w:type="continuationSeparator" w:id="0">
    <w:p w:rsidR="007016DD" w:rsidRDefault="0070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815700"/>
      <w:docPartObj>
        <w:docPartGallery w:val="Page Numbers (Bottom of Page)"/>
        <w:docPartUnique/>
      </w:docPartObj>
    </w:sdtPr>
    <w:sdtEndPr/>
    <w:sdtContent>
      <w:p w:rsidR="007016DD" w:rsidRDefault="007016D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E2">
          <w:rPr>
            <w:noProof/>
          </w:rPr>
          <w:t>3</w:t>
        </w:r>
        <w:r>
          <w:fldChar w:fldCharType="end"/>
        </w:r>
      </w:p>
    </w:sdtContent>
  </w:sdt>
  <w:p w:rsidR="007016DD" w:rsidRDefault="007016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922110"/>
      <w:docPartObj>
        <w:docPartGallery w:val="Page Numbers (Bottom of Page)"/>
        <w:docPartUnique/>
      </w:docPartObj>
    </w:sdtPr>
    <w:sdtEndPr/>
    <w:sdtContent>
      <w:p w:rsidR="007016DD" w:rsidRDefault="007016DD" w:rsidP="000C0B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5E2">
          <w:rPr>
            <w:noProof/>
          </w:rPr>
          <w:t>1</w:t>
        </w:r>
        <w:r>
          <w:fldChar w:fldCharType="end"/>
        </w:r>
      </w:p>
    </w:sdtContent>
  </w:sdt>
  <w:p w:rsidR="007016DD" w:rsidRDefault="007016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6DD" w:rsidRDefault="007016DD">
      <w:r>
        <w:separator/>
      </w:r>
    </w:p>
  </w:footnote>
  <w:footnote w:type="continuationSeparator" w:id="0">
    <w:p w:rsidR="007016DD" w:rsidRDefault="0070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DD" w:rsidRDefault="007016DD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2D1FC2B5" wp14:editId="367D53AD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17" name="Imagem 17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16DD" w:rsidRDefault="007016DD" w:rsidP="009F4A48">
    <w:pPr>
      <w:pStyle w:val="Cabealho"/>
    </w:pPr>
  </w:p>
  <w:p w:rsidR="007016DD" w:rsidRDefault="007016DD" w:rsidP="002A4D93">
    <w:pPr>
      <w:pStyle w:val="Ttulo2"/>
      <w:jc w:val="left"/>
      <w:rPr>
        <w:b w:val="0"/>
        <w:sz w:val="20"/>
      </w:rPr>
    </w:pPr>
  </w:p>
  <w:p w:rsidR="007016DD" w:rsidRDefault="007016DD" w:rsidP="002A4D93">
    <w:pPr>
      <w:pStyle w:val="Ttulo2"/>
      <w:jc w:val="left"/>
      <w:rPr>
        <w:b w:val="0"/>
        <w:sz w:val="20"/>
      </w:rPr>
    </w:pPr>
  </w:p>
  <w:p w:rsidR="007016DD" w:rsidRDefault="007016DD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DD" w:rsidRDefault="007016DD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62686B56" wp14:editId="5AEAABBD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18" name="Imagem 18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016DD" w:rsidRDefault="007016DD" w:rsidP="00E44829">
    <w:pPr>
      <w:pStyle w:val="Cabealho"/>
    </w:pPr>
  </w:p>
  <w:p w:rsidR="007016DD" w:rsidRDefault="007016DD" w:rsidP="00E44829">
    <w:pPr>
      <w:pStyle w:val="Cabealho"/>
    </w:pPr>
  </w:p>
  <w:p w:rsidR="007016DD" w:rsidRDefault="007016DD" w:rsidP="00E44829">
    <w:pPr>
      <w:pStyle w:val="Cabealho"/>
    </w:pPr>
  </w:p>
  <w:p w:rsidR="007016DD" w:rsidRDefault="00E205E2" w:rsidP="00E44829">
    <w:pPr>
      <w:pStyle w:val="Cabealho"/>
    </w:pPr>
    <w:sdt>
      <w:sdtPr>
        <w:id w:val="80723499"/>
        <w:docPartObj>
          <w:docPartGallery w:val="Page Numbers (Margins)"/>
          <w:docPartUnique/>
        </w:docPartObj>
      </w:sdtPr>
      <w:sdtEndPr/>
      <w:sdtContent>
        <w:r w:rsidR="007016DD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77CB6845" wp14:editId="516C0D8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6DD" w:rsidRDefault="007016DD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CB6845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7016DD" w:rsidRDefault="007016DD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7016DD" w:rsidRDefault="007016DD" w:rsidP="00E44829">
    <w:pPr>
      <w:pStyle w:val="Cabealho"/>
    </w:pPr>
  </w:p>
  <w:p w:rsidR="007016DD" w:rsidRDefault="007016DD" w:rsidP="00E448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DD" w:rsidRDefault="007016DD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51F891" wp14:editId="44B9B3C8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6DD" w:rsidRDefault="007016DD" w:rsidP="009F4A48">
    <w:pPr>
      <w:pStyle w:val="Cabealho"/>
    </w:pPr>
  </w:p>
  <w:p w:rsidR="007016DD" w:rsidRDefault="007016DD" w:rsidP="002A4D93">
    <w:pPr>
      <w:pStyle w:val="Ttulo2"/>
      <w:jc w:val="left"/>
      <w:rPr>
        <w:b w:val="0"/>
        <w:sz w:val="20"/>
      </w:rPr>
    </w:pPr>
  </w:p>
  <w:p w:rsidR="007016DD" w:rsidRDefault="007016DD" w:rsidP="002A4D93">
    <w:pPr>
      <w:pStyle w:val="Ttulo2"/>
      <w:jc w:val="left"/>
      <w:rPr>
        <w:b w:val="0"/>
        <w:sz w:val="20"/>
      </w:rPr>
    </w:pPr>
  </w:p>
  <w:p w:rsidR="007016DD" w:rsidRDefault="007016DD" w:rsidP="004A62B9">
    <w:pPr>
      <w:pStyle w:val="Ttulo2"/>
      <w:jc w:val="left"/>
      <w:rPr>
        <w:sz w:val="20"/>
      </w:rPr>
    </w:pPr>
  </w:p>
  <w:p w:rsidR="007016DD" w:rsidRDefault="007016DD" w:rsidP="00DC261B">
    <w:pPr>
      <w:pStyle w:val="Ttulo1"/>
      <w:jc w:val="left"/>
    </w:pPr>
    <w:r>
      <w:t>Demonstrações Financeiras</w:t>
    </w:r>
  </w:p>
  <w:p w:rsidR="007016DD" w:rsidRPr="00F44460" w:rsidRDefault="007016DD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Período findo em 30 de setembro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7016DD" w:rsidRPr="009F4A48" w:rsidRDefault="007016DD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DD" w:rsidRDefault="00E205E2" w:rsidP="00E44829">
    <w:pPr>
      <w:pStyle w:val="Cabealho"/>
    </w:pPr>
    <w:sdt>
      <w:sdtPr>
        <w:id w:val="-1899271799"/>
        <w:docPartObj>
          <w:docPartGallery w:val="Page Numbers (Margins)"/>
          <w:docPartUnique/>
        </w:docPartObj>
      </w:sdtPr>
      <w:sdtEndPr/>
      <w:sdtContent>
        <w:r w:rsidR="007016DD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2332E915" wp14:editId="732493E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6DD" w:rsidRPr="009D32C1" w:rsidRDefault="007016DD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332E915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7016DD" w:rsidRPr="009D32C1" w:rsidRDefault="007016DD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16DD">
      <w:rPr>
        <w:noProof/>
      </w:rPr>
      <w:drawing>
        <wp:anchor distT="0" distB="0" distL="114300" distR="114300" simplePos="0" relativeHeight="251655168" behindDoc="1" locked="0" layoutInCell="1" allowOverlap="1" wp14:anchorId="5D4B1DD8" wp14:editId="25C4DD55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6DD" w:rsidRDefault="007016DD" w:rsidP="00E44829">
    <w:pPr>
      <w:pStyle w:val="Cabealho"/>
    </w:pPr>
  </w:p>
  <w:p w:rsidR="007016DD" w:rsidRDefault="007016DD" w:rsidP="00E44829">
    <w:pPr>
      <w:pStyle w:val="Cabealho"/>
    </w:pPr>
  </w:p>
  <w:p w:rsidR="007016DD" w:rsidRDefault="007016DD" w:rsidP="00E44829">
    <w:pPr>
      <w:pStyle w:val="Ttulo2"/>
      <w:jc w:val="left"/>
      <w:rPr>
        <w:b w:val="0"/>
        <w:sz w:val="20"/>
      </w:rPr>
    </w:pPr>
  </w:p>
  <w:p w:rsidR="007016DD" w:rsidRDefault="007016DD" w:rsidP="00E44829">
    <w:pPr>
      <w:pStyle w:val="Ttulo2"/>
      <w:jc w:val="left"/>
      <w:rPr>
        <w:b w:val="0"/>
        <w:sz w:val="20"/>
      </w:rPr>
    </w:pPr>
  </w:p>
  <w:p w:rsidR="007016DD" w:rsidRPr="00CD7310" w:rsidRDefault="007016DD" w:rsidP="00DC261B">
    <w:pPr>
      <w:pStyle w:val="Ttulo1"/>
      <w:jc w:val="left"/>
    </w:pPr>
    <w:r>
      <w:t>Demonstrações Financeiras</w:t>
    </w:r>
  </w:p>
  <w:p w:rsidR="007016DD" w:rsidRDefault="007016DD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7016DD" w:rsidRPr="00A82EFE" w:rsidRDefault="007016DD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DD" w:rsidRDefault="00E205E2" w:rsidP="00E44829">
    <w:pPr>
      <w:pStyle w:val="Cabealho"/>
    </w:pPr>
    <w:sdt>
      <w:sdtPr>
        <w:id w:val="94456820"/>
        <w:docPartObj>
          <w:docPartGallery w:val="Page Numbers (Margins)"/>
          <w:docPartUnique/>
        </w:docPartObj>
      </w:sdtPr>
      <w:sdtEndPr/>
      <w:sdtContent>
        <w:r w:rsidR="007016DD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44D8AA64" wp14:editId="470D914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16DD" w:rsidRPr="009D32C1" w:rsidRDefault="007016DD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D8AA64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7016DD" w:rsidRPr="009D32C1" w:rsidRDefault="007016DD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016DD">
      <w:rPr>
        <w:noProof/>
      </w:rPr>
      <w:drawing>
        <wp:anchor distT="0" distB="0" distL="114300" distR="114300" simplePos="0" relativeHeight="251663360" behindDoc="1" locked="0" layoutInCell="1" allowOverlap="1" wp14:anchorId="6E8B0730" wp14:editId="669FB7B1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4" name="Imagem 2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6DD" w:rsidRDefault="007016DD" w:rsidP="00E44829">
    <w:pPr>
      <w:pStyle w:val="Cabealho"/>
    </w:pPr>
  </w:p>
  <w:p w:rsidR="007016DD" w:rsidRDefault="007016DD" w:rsidP="00E44829">
    <w:pPr>
      <w:pStyle w:val="Cabealho"/>
    </w:pPr>
  </w:p>
  <w:p w:rsidR="007016DD" w:rsidRDefault="007016DD" w:rsidP="00E44829">
    <w:pPr>
      <w:pStyle w:val="Ttulo2"/>
      <w:jc w:val="left"/>
      <w:rPr>
        <w:b w:val="0"/>
        <w:sz w:val="20"/>
      </w:rPr>
    </w:pPr>
  </w:p>
  <w:p w:rsidR="007016DD" w:rsidRDefault="007016DD" w:rsidP="00E44829">
    <w:pPr>
      <w:pStyle w:val="Ttulo2"/>
      <w:jc w:val="left"/>
      <w:rPr>
        <w:b w:val="0"/>
        <w:sz w:val="20"/>
      </w:rPr>
    </w:pPr>
  </w:p>
  <w:p w:rsidR="007016DD" w:rsidRPr="00CD7310" w:rsidRDefault="007016DD" w:rsidP="00DC261B">
    <w:pPr>
      <w:pStyle w:val="Ttulo1"/>
      <w:jc w:val="left"/>
    </w:pPr>
    <w:r>
      <w:t>Demonstrações Financeiras</w:t>
    </w:r>
  </w:p>
  <w:p w:rsidR="007016DD" w:rsidRPr="00F44460" w:rsidRDefault="007016DD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6DD" w:rsidRDefault="007016DD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3D402060" wp14:editId="6026E781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6DD" w:rsidRDefault="007016DD" w:rsidP="00E44829">
    <w:pPr>
      <w:pStyle w:val="Cabealho"/>
    </w:pPr>
  </w:p>
  <w:p w:rsidR="007016DD" w:rsidRDefault="007016DD" w:rsidP="00E44829">
    <w:pPr>
      <w:pStyle w:val="Cabealho"/>
    </w:pPr>
  </w:p>
  <w:p w:rsidR="007016DD" w:rsidRDefault="007016DD" w:rsidP="00E44829">
    <w:pPr>
      <w:pStyle w:val="Ttulo2"/>
      <w:jc w:val="left"/>
      <w:rPr>
        <w:b w:val="0"/>
        <w:sz w:val="20"/>
      </w:rPr>
    </w:pPr>
  </w:p>
  <w:p w:rsidR="007016DD" w:rsidRDefault="007016DD" w:rsidP="00E44829">
    <w:pPr>
      <w:pStyle w:val="Ttulo2"/>
      <w:jc w:val="left"/>
      <w:rPr>
        <w:b w:val="0"/>
        <w:sz w:val="20"/>
      </w:rPr>
    </w:pPr>
  </w:p>
  <w:p w:rsidR="007016DD" w:rsidRDefault="007016DD" w:rsidP="00CD7310">
    <w:pPr>
      <w:pStyle w:val="Ttulo1"/>
      <w:jc w:val="left"/>
    </w:pPr>
    <w:r>
      <w:t xml:space="preserve">Demonstrações Financeiras </w:t>
    </w:r>
  </w:p>
  <w:p w:rsidR="007016DD" w:rsidRDefault="007016DD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B5B0C5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11681DE6"/>
    <w:lvl w:ilvl="0" w:tplc="C040D6BC">
      <w:start w:val="1"/>
      <w:numFmt w:val="decimalZero"/>
      <w:pStyle w:val="Ttulo"/>
      <w:lvlText w:val="%1"/>
      <w:lvlJc w:val="left"/>
      <w:pPr>
        <w:ind w:left="705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  <w:num w:numId="22">
    <w:abstractNumId w:val="0"/>
  </w:num>
  <w:num w:numId="23">
    <w:abstractNumId w:val="9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924"/>
    <w:rsid w:val="00014A89"/>
    <w:rsid w:val="00014BA5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962"/>
    <w:rsid w:val="00050EB8"/>
    <w:rsid w:val="00051164"/>
    <w:rsid w:val="0005119E"/>
    <w:rsid w:val="000525D3"/>
    <w:rsid w:val="00052924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839"/>
    <w:rsid w:val="00095A53"/>
    <w:rsid w:val="00095C30"/>
    <w:rsid w:val="00095D1D"/>
    <w:rsid w:val="00095EC7"/>
    <w:rsid w:val="00096182"/>
    <w:rsid w:val="00096BED"/>
    <w:rsid w:val="00096CF3"/>
    <w:rsid w:val="00096F5F"/>
    <w:rsid w:val="00096FF5"/>
    <w:rsid w:val="00097000"/>
    <w:rsid w:val="00097013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1BF"/>
    <w:rsid w:val="000D54A8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A9A"/>
    <w:rsid w:val="000F2106"/>
    <w:rsid w:val="000F2351"/>
    <w:rsid w:val="000F24A1"/>
    <w:rsid w:val="000F2629"/>
    <w:rsid w:val="000F2FF5"/>
    <w:rsid w:val="000F3263"/>
    <w:rsid w:val="000F35FF"/>
    <w:rsid w:val="000F3C99"/>
    <w:rsid w:val="000F446C"/>
    <w:rsid w:val="000F46F6"/>
    <w:rsid w:val="000F48E2"/>
    <w:rsid w:val="000F4C2A"/>
    <w:rsid w:val="000F4CC1"/>
    <w:rsid w:val="000F4E66"/>
    <w:rsid w:val="000F54A5"/>
    <w:rsid w:val="000F555F"/>
    <w:rsid w:val="000F565A"/>
    <w:rsid w:val="000F63D7"/>
    <w:rsid w:val="000F7413"/>
    <w:rsid w:val="000F7502"/>
    <w:rsid w:val="000F7767"/>
    <w:rsid w:val="000F77D8"/>
    <w:rsid w:val="000F7A06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D7"/>
    <w:rsid w:val="001017FF"/>
    <w:rsid w:val="00101816"/>
    <w:rsid w:val="00101A3A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230"/>
    <w:rsid w:val="00110653"/>
    <w:rsid w:val="00110962"/>
    <w:rsid w:val="00110C3E"/>
    <w:rsid w:val="001110B2"/>
    <w:rsid w:val="0011126B"/>
    <w:rsid w:val="0011175F"/>
    <w:rsid w:val="00111AD6"/>
    <w:rsid w:val="00111C45"/>
    <w:rsid w:val="00112194"/>
    <w:rsid w:val="00112301"/>
    <w:rsid w:val="001127B5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756"/>
    <w:rsid w:val="00135999"/>
    <w:rsid w:val="00135E1C"/>
    <w:rsid w:val="00137510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7F6"/>
    <w:rsid w:val="00141ADA"/>
    <w:rsid w:val="00141F10"/>
    <w:rsid w:val="00141F76"/>
    <w:rsid w:val="00142049"/>
    <w:rsid w:val="001423AB"/>
    <w:rsid w:val="0014286B"/>
    <w:rsid w:val="0014292D"/>
    <w:rsid w:val="0014327E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7C4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DC"/>
    <w:rsid w:val="00151002"/>
    <w:rsid w:val="001510FA"/>
    <w:rsid w:val="001515CF"/>
    <w:rsid w:val="001518B9"/>
    <w:rsid w:val="00151947"/>
    <w:rsid w:val="00151A5B"/>
    <w:rsid w:val="00151CE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A11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96C"/>
    <w:rsid w:val="00171DB4"/>
    <w:rsid w:val="00171F9C"/>
    <w:rsid w:val="00172578"/>
    <w:rsid w:val="0017331B"/>
    <w:rsid w:val="0017398B"/>
    <w:rsid w:val="00173D8E"/>
    <w:rsid w:val="00174B8E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3E2"/>
    <w:rsid w:val="001765C8"/>
    <w:rsid w:val="00176B18"/>
    <w:rsid w:val="00176C34"/>
    <w:rsid w:val="00176C71"/>
    <w:rsid w:val="001772E2"/>
    <w:rsid w:val="0017738F"/>
    <w:rsid w:val="001773E9"/>
    <w:rsid w:val="0017782F"/>
    <w:rsid w:val="0017788C"/>
    <w:rsid w:val="00177A68"/>
    <w:rsid w:val="00177B1E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94B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90231"/>
    <w:rsid w:val="001903CB"/>
    <w:rsid w:val="00190646"/>
    <w:rsid w:val="001906FE"/>
    <w:rsid w:val="00190DE4"/>
    <w:rsid w:val="00190E48"/>
    <w:rsid w:val="00191793"/>
    <w:rsid w:val="00191E8F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10F6"/>
    <w:rsid w:val="001A13E1"/>
    <w:rsid w:val="001A17B9"/>
    <w:rsid w:val="001A1DC1"/>
    <w:rsid w:val="001A22E4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5C6"/>
    <w:rsid w:val="001B1014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79"/>
    <w:rsid w:val="001B67BC"/>
    <w:rsid w:val="001B6A34"/>
    <w:rsid w:val="001B6B40"/>
    <w:rsid w:val="001B6F84"/>
    <w:rsid w:val="001B7081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1113"/>
    <w:rsid w:val="001D156C"/>
    <w:rsid w:val="001D1793"/>
    <w:rsid w:val="001D1E33"/>
    <w:rsid w:val="001D23F8"/>
    <w:rsid w:val="001D2CC2"/>
    <w:rsid w:val="001D2F26"/>
    <w:rsid w:val="001D3479"/>
    <w:rsid w:val="001D3718"/>
    <w:rsid w:val="001D385B"/>
    <w:rsid w:val="001D4202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E01B8"/>
    <w:rsid w:val="001E0C2C"/>
    <w:rsid w:val="001E0C4F"/>
    <w:rsid w:val="001E0DCB"/>
    <w:rsid w:val="001E1C29"/>
    <w:rsid w:val="001E1D04"/>
    <w:rsid w:val="001E1E1C"/>
    <w:rsid w:val="001E222E"/>
    <w:rsid w:val="001E2760"/>
    <w:rsid w:val="001E2900"/>
    <w:rsid w:val="001E2B34"/>
    <w:rsid w:val="001E2B88"/>
    <w:rsid w:val="001E30A7"/>
    <w:rsid w:val="001E3133"/>
    <w:rsid w:val="001E3421"/>
    <w:rsid w:val="001E34F1"/>
    <w:rsid w:val="001E356F"/>
    <w:rsid w:val="001E3966"/>
    <w:rsid w:val="001E3A5C"/>
    <w:rsid w:val="001E451E"/>
    <w:rsid w:val="001E49F4"/>
    <w:rsid w:val="001E5063"/>
    <w:rsid w:val="001E534E"/>
    <w:rsid w:val="001E56E7"/>
    <w:rsid w:val="001E580B"/>
    <w:rsid w:val="001E5915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F52"/>
    <w:rsid w:val="001F2030"/>
    <w:rsid w:val="001F24A6"/>
    <w:rsid w:val="001F2623"/>
    <w:rsid w:val="001F27B9"/>
    <w:rsid w:val="001F28AD"/>
    <w:rsid w:val="001F28E8"/>
    <w:rsid w:val="001F2B9E"/>
    <w:rsid w:val="001F2C40"/>
    <w:rsid w:val="001F2C87"/>
    <w:rsid w:val="001F2C96"/>
    <w:rsid w:val="001F2CFE"/>
    <w:rsid w:val="001F34BB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C6"/>
    <w:rsid w:val="0020388C"/>
    <w:rsid w:val="00203B6A"/>
    <w:rsid w:val="00203C29"/>
    <w:rsid w:val="002044CC"/>
    <w:rsid w:val="0020454D"/>
    <w:rsid w:val="00204619"/>
    <w:rsid w:val="00204BF1"/>
    <w:rsid w:val="00204C3E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792"/>
    <w:rsid w:val="00206795"/>
    <w:rsid w:val="00206B2B"/>
    <w:rsid w:val="00206C71"/>
    <w:rsid w:val="00206E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C4C"/>
    <w:rsid w:val="00212CC0"/>
    <w:rsid w:val="00212E15"/>
    <w:rsid w:val="002134E6"/>
    <w:rsid w:val="0021391F"/>
    <w:rsid w:val="00213A23"/>
    <w:rsid w:val="00213EBE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2457"/>
    <w:rsid w:val="0023262B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73F"/>
    <w:rsid w:val="002478F3"/>
    <w:rsid w:val="00247C71"/>
    <w:rsid w:val="00247E65"/>
    <w:rsid w:val="002501AF"/>
    <w:rsid w:val="00250A2D"/>
    <w:rsid w:val="00250CA4"/>
    <w:rsid w:val="00250EE3"/>
    <w:rsid w:val="00250FD6"/>
    <w:rsid w:val="0025169A"/>
    <w:rsid w:val="002523BC"/>
    <w:rsid w:val="002537D5"/>
    <w:rsid w:val="00253D4A"/>
    <w:rsid w:val="00253DFB"/>
    <w:rsid w:val="00254354"/>
    <w:rsid w:val="00254783"/>
    <w:rsid w:val="0025479D"/>
    <w:rsid w:val="002547B2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958"/>
    <w:rsid w:val="00260A29"/>
    <w:rsid w:val="00260B18"/>
    <w:rsid w:val="00260B77"/>
    <w:rsid w:val="00260E10"/>
    <w:rsid w:val="0026103B"/>
    <w:rsid w:val="00261113"/>
    <w:rsid w:val="002611D2"/>
    <w:rsid w:val="00261933"/>
    <w:rsid w:val="00261BB7"/>
    <w:rsid w:val="00261CAC"/>
    <w:rsid w:val="002627D3"/>
    <w:rsid w:val="002628D1"/>
    <w:rsid w:val="00262B6C"/>
    <w:rsid w:val="002637B9"/>
    <w:rsid w:val="00263BB1"/>
    <w:rsid w:val="00263D17"/>
    <w:rsid w:val="00264100"/>
    <w:rsid w:val="0026450A"/>
    <w:rsid w:val="00264C03"/>
    <w:rsid w:val="00264F1B"/>
    <w:rsid w:val="00264F28"/>
    <w:rsid w:val="00265263"/>
    <w:rsid w:val="00265385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88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905"/>
    <w:rsid w:val="0029295A"/>
    <w:rsid w:val="00292AAA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A3D"/>
    <w:rsid w:val="002A6AD0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63"/>
    <w:rsid w:val="002B788E"/>
    <w:rsid w:val="002B7AA1"/>
    <w:rsid w:val="002C0362"/>
    <w:rsid w:val="002C07C8"/>
    <w:rsid w:val="002C092D"/>
    <w:rsid w:val="002C09ED"/>
    <w:rsid w:val="002C0DFF"/>
    <w:rsid w:val="002C0E31"/>
    <w:rsid w:val="002C10BC"/>
    <w:rsid w:val="002C1278"/>
    <w:rsid w:val="002C156E"/>
    <w:rsid w:val="002C1740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0A0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4CE"/>
    <w:rsid w:val="002C6C41"/>
    <w:rsid w:val="002C6D93"/>
    <w:rsid w:val="002C703B"/>
    <w:rsid w:val="002C7261"/>
    <w:rsid w:val="002C7282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E32"/>
    <w:rsid w:val="002E1675"/>
    <w:rsid w:val="002E17EB"/>
    <w:rsid w:val="002E1939"/>
    <w:rsid w:val="002E1B1B"/>
    <w:rsid w:val="002E1C25"/>
    <w:rsid w:val="002E1F78"/>
    <w:rsid w:val="002E2531"/>
    <w:rsid w:val="002E271A"/>
    <w:rsid w:val="002E2A54"/>
    <w:rsid w:val="002E2D0D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301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98"/>
    <w:rsid w:val="003068E3"/>
    <w:rsid w:val="003069F3"/>
    <w:rsid w:val="00306FEE"/>
    <w:rsid w:val="00307192"/>
    <w:rsid w:val="00307508"/>
    <w:rsid w:val="0030774F"/>
    <w:rsid w:val="003079A9"/>
    <w:rsid w:val="003104B2"/>
    <w:rsid w:val="003104B3"/>
    <w:rsid w:val="00310540"/>
    <w:rsid w:val="0031059B"/>
    <w:rsid w:val="00310823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9BA"/>
    <w:rsid w:val="00317C7A"/>
    <w:rsid w:val="00317D53"/>
    <w:rsid w:val="003200E2"/>
    <w:rsid w:val="00320189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A85"/>
    <w:rsid w:val="00337D3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321F"/>
    <w:rsid w:val="003432DF"/>
    <w:rsid w:val="003433A0"/>
    <w:rsid w:val="003435C7"/>
    <w:rsid w:val="00343AA7"/>
    <w:rsid w:val="00343B10"/>
    <w:rsid w:val="00343EC5"/>
    <w:rsid w:val="00343F1E"/>
    <w:rsid w:val="0034429C"/>
    <w:rsid w:val="00344831"/>
    <w:rsid w:val="00344BEE"/>
    <w:rsid w:val="00344CEE"/>
    <w:rsid w:val="00345080"/>
    <w:rsid w:val="003454D8"/>
    <w:rsid w:val="00345B27"/>
    <w:rsid w:val="00345F80"/>
    <w:rsid w:val="003466AA"/>
    <w:rsid w:val="00346800"/>
    <w:rsid w:val="0034705D"/>
    <w:rsid w:val="00347231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AF"/>
    <w:rsid w:val="00351B8C"/>
    <w:rsid w:val="00352246"/>
    <w:rsid w:val="00352300"/>
    <w:rsid w:val="0035241C"/>
    <w:rsid w:val="003527B2"/>
    <w:rsid w:val="0035289A"/>
    <w:rsid w:val="00352C2E"/>
    <w:rsid w:val="00352E44"/>
    <w:rsid w:val="00353795"/>
    <w:rsid w:val="00353904"/>
    <w:rsid w:val="003543A3"/>
    <w:rsid w:val="00354557"/>
    <w:rsid w:val="00354890"/>
    <w:rsid w:val="00354A4E"/>
    <w:rsid w:val="00354DD7"/>
    <w:rsid w:val="00355079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389"/>
    <w:rsid w:val="0038392F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F14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649C"/>
    <w:rsid w:val="003A698A"/>
    <w:rsid w:val="003A7338"/>
    <w:rsid w:val="003A78AC"/>
    <w:rsid w:val="003A78B2"/>
    <w:rsid w:val="003A7B27"/>
    <w:rsid w:val="003A7CE2"/>
    <w:rsid w:val="003A7E59"/>
    <w:rsid w:val="003B0399"/>
    <w:rsid w:val="003B0D2E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C04E3"/>
    <w:rsid w:val="003C09D2"/>
    <w:rsid w:val="003C0C1B"/>
    <w:rsid w:val="003C0CB1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621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9B4"/>
    <w:rsid w:val="003D1A20"/>
    <w:rsid w:val="003D1F50"/>
    <w:rsid w:val="003D1FA4"/>
    <w:rsid w:val="003D2A0E"/>
    <w:rsid w:val="003D2C7F"/>
    <w:rsid w:val="003D2E35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70B1"/>
    <w:rsid w:val="003D7104"/>
    <w:rsid w:val="003D7188"/>
    <w:rsid w:val="003D7682"/>
    <w:rsid w:val="003D7CAE"/>
    <w:rsid w:val="003D7D0F"/>
    <w:rsid w:val="003D7D31"/>
    <w:rsid w:val="003D7FC3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F20"/>
    <w:rsid w:val="0040221C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DC5"/>
    <w:rsid w:val="00405E24"/>
    <w:rsid w:val="00406461"/>
    <w:rsid w:val="00406549"/>
    <w:rsid w:val="00406743"/>
    <w:rsid w:val="004075F0"/>
    <w:rsid w:val="00407641"/>
    <w:rsid w:val="00407B3D"/>
    <w:rsid w:val="00407B5D"/>
    <w:rsid w:val="00407FC6"/>
    <w:rsid w:val="0041016B"/>
    <w:rsid w:val="0041056C"/>
    <w:rsid w:val="00410850"/>
    <w:rsid w:val="004115F6"/>
    <w:rsid w:val="00411902"/>
    <w:rsid w:val="00411AFE"/>
    <w:rsid w:val="00411B2E"/>
    <w:rsid w:val="0041207C"/>
    <w:rsid w:val="004121D2"/>
    <w:rsid w:val="004125AA"/>
    <w:rsid w:val="004128EB"/>
    <w:rsid w:val="0041338D"/>
    <w:rsid w:val="0041456E"/>
    <w:rsid w:val="00414AD5"/>
    <w:rsid w:val="00414B3C"/>
    <w:rsid w:val="0041510E"/>
    <w:rsid w:val="00415358"/>
    <w:rsid w:val="00415A2F"/>
    <w:rsid w:val="00415C3C"/>
    <w:rsid w:val="00415CC5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C5F"/>
    <w:rsid w:val="00417CD0"/>
    <w:rsid w:val="00417DF5"/>
    <w:rsid w:val="004203BE"/>
    <w:rsid w:val="004206F5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A7C"/>
    <w:rsid w:val="004243A7"/>
    <w:rsid w:val="0042459B"/>
    <w:rsid w:val="0042479C"/>
    <w:rsid w:val="00424818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46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DD1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9B2"/>
    <w:rsid w:val="0044149F"/>
    <w:rsid w:val="00441987"/>
    <w:rsid w:val="00441ACA"/>
    <w:rsid w:val="00441EFF"/>
    <w:rsid w:val="0044213E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3D0"/>
    <w:rsid w:val="00445670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D07"/>
    <w:rsid w:val="00452E05"/>
    <w:rsid w:val="00453049"/>
    <w:rsid w:val="004535F5"/>
    <w:rsid w:val="0045398B"/>
    <w:rsid w:val="00453D06"/>
    <w:rsid w:val="0045428B"/>
    <w:rsid w:val="00454371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617B"/>
    <w:rsid w:val="0045631F"/>
    <w:rsid w:val="004566D4"/>
    <w:rsid w:val="00456AFE"/>
    <w:rsid w:val="00456C57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56B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104F"/>
    <w:rsid w:val="0047131B"/>
    <w:rsid w:val="00471435"/>
    <w:rsid w:val="00471B9D"/>
    <w:rsid w:val="004725C8"/>
    <w:rsid w:val="0047293A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75E"/>
    <w:rsid w:val="00474BD1"/>
    <w:rsid w:val="00474DA0"/>
    <w:rsid w:val="00474DA1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10CE"/>
    <w:rsid w:val="004813FD"/>
    <w:rsid w:val="00481498"/>
    <w:rsid w:val="004821CF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27D"/>
    <w:rsid w:val="004843A4"/>
    <w:rsid w:val="004843CA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B0037"/>
    <w:rsid w:val="004B047E"/>
    <w:rsid w:val="004B08EE"/>
    <w:rsid w:val="004B0A1A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DC5"/>
    <w:rsid w:val="004D00B3"/>
    <w:rsid w:val="004D027F"/>
    <w:rsid w:val="004D060F"/>
    <w:rsid w:val="004D09C8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40E9"/>
    <w:rsid w:val="004D4668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37A"/>
    <w:rsid w:val="005233E6"/>
    <w:rsid w:val="00523535"/>
    <w:rsid w:val="00523966"/>
    <w:rsid w:val="00523A96"/>
    <w:rsid w:val="00523AB3"/>
    <w:rsid w:val="00523EDE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812"/>
    <w:rsid w:val="0053788A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D8F"/>
    <w:rsid w:val="00541DBA"/>
    <w:rsid w:val="0054209C"/>
    <w:rsid w:val="00542141"/>
    <w:rsid w:val="0054254B"/>
    <w:rsid w:val="00542570"/>
    <w:rsid w:val="00542A99"/>
    <w:rsid w:val="00543069"/>
    <w:rsid w:val="005431C4"/>
    <w:rsid w:val="00543797"/>
    <w:rsid w:val="00543C2D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337"/>
    <w:rsid w:val="005509DC"/>
    <w:rsid w:val="005516AA"/>
    <w:rsid w:val="005518A4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B6"/>
    <w:rsid w:val="005567F7"/>
    <w:rsid w:val="00556BD8"/>
    <w:rsid w:val="00556E71"/>
    <w:rsid w:val="00556F16"/>
    <w:rsid w:val="00556F87"/>
    <w:rsid w:val="005570AB"/>
    <w:rsid w:val="00557A3F"/>
    <w:rsid w:val="00557EAE"/>
    <w:rsid w:val="00557F21"/>
    <w:rsid w:val="0056045B"/>
    <w:rsid w:val="005607ED"/>
    <w:rsid w:val="0056083A"/>
    <w:rsid w:val="00560ADA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CEA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5C9"/>
    <w:rsid w:val="005765CC"/>
    <w:rsid w:val="0057673A"/>
    <w:rsid w:val="00576A9A"/>
    <w:rsid w:val="00576BA7"/>
    <w:rsid w:val="00576E4C"/>
    <w:rsid w:val="0057752E"/>
    <w:rsid w:val="005776FA"/>
    <w:rsid w:val="0057774A"/>
    <w:rsid w:val="00580250"/>
    <w:rsid w:val="00580448"/>
    <w:rsid w:val="005804C6"/>
    <w:rsid w:val="00580BDA"/>
    <w:rsid w:val="00580E85"/>
    <w:rsid w:val="0058178A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348"/>
    <w:rsid w:val="00585983"/>
    <w:rsid w:val="00585DAD"/>
    <w:rsid w:val="00585F8B"/>
    <w:rsid w:val="00586046"/>
    <w:rsid w:val="0058635D"/>
    <w:rsid w:val="00586B8C"/>
    <w:rsid w:val="00586F6C"/>
    <w:rsid w:val="00587063"/>
    <w:rsid w:val="00587A41"/>
    <w:rsid w:val="00587A46"/>
    <w:rsid w:val="00587C5A"/>
    <w:rsid w:val="00587D93"/>
    <w:rsid w:val="00590047"/>
    <w:rsid w:val="005903B3"/>
    <w:rsid w:val="0059040D"/>
    <w:rsid w:val="0059073F"/>
    <w:rsid w:val="00590E6C"/>
    <w:rsid w:val="00590FEC"/>
    <w:rsid w:val="0059147F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670"/>
    <w:rsid w:val="00597C42"/>
    <w:rsid w:val="005A018C"/>
    <w:rsid w:val="005A0AD7"/>
    <w:rsid w:val="005A0BF1"/>
    <w:rsid w:val="005A0E34"/>
    <w:rsid w:val="005A0F86"/>
    <w:rsid w:val="005A19B4"/>
    <w:rsid w:val="005A1CE2"/>
    <w:rsid w:val="005A1E5A"/>
    <w:rsid w:val="005A2318"/>
    <w:rsid w:val="005A2792"/>
    <w:rsid w:val="005A27BF"/>
    <w:rsid w:val="005A2F0E"/>
    <w:rsid w:val="005A316D"/>
    <w:rsid w:val="005A3644"/>
    <w:rsid w:val="005A3844"/>
    <w:rsid w:val="005A3B12"/>
    <w:rsid w:val="005A3C60"/>
    <w:rsid w:val="005A4400"/>
    <w:rsid w:val="005A4566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967"/>
    <w:rsid w:val="005B1E86"/>
    <w:rsid w:val="005B1F83"/>
    <w:rsid w:val="005B2358"/>
    <w:rsid w:val="005B256E"/>
    <w:rsid w:val="005B25F8"/>
    <w:rsid w:val="005B284F"/>
    <w:rsid w:val="005B2CD9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B06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6CE9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728D"/>
    <w:rsid w:val="005C73B0"/>
    <w:rsid w:val="005C7653"/>
    <w:rsid w:val="005D0016"/>
    <w:rsid w:val="005D02D1"/>
    <w:rsid w:val="005D04B5"/>
    <w:rsid w:val="005D0810"/>
    <w:rsid w:val="005D144F"/>
    <w:rsid w:val="005D1607"/>
    <w:rsid w:val="005D187B"/>
    <w:rsid w:val="005D22D7"/>
    <w:rsid w:val="005D2606"/>
    <w:rsid w:val="005D29A2"/>
    <w:rsid w:val="005D2B7D"/>
    <w:rsid w:val="005D2C53"/>
    <w:rsid w:val="005D31FC"/>
    <w:rsid w:val="005D3523"/>
    <w:rsid w:val="005D3961"/>
    <w:rsid w:val="005D3A6A"/>
    <w:rsid w:val="005D3C26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A8F"/>
    <w:rsid w:val="005E0D92"/>
    <w:rsid w:val="005E13B9"/>
    <w:rsid w:val="005E199C"/>
    <w:rsid w:val="005E1B16"/>
    <w:rsid w:val="005E1D6A"/>
    <w:rsid w:val="005E2192"/>
    <w:rsid w:val="005E2BFF"/>
    <w:rsid w:val="005E2C3E"/>
    <w:rsid w:val="005E2EF6"/>
    <w:rsid w:val="005E331A"/>
    <w:rsid w:val="005E35D4"/>
    <w:rsid w:val="005E36AE"/>
    <w:rsid w:val="005E37B2"/>
    <w:rsid w:val="005E38A8"/>
    <w:rsid w:val="005E3FDF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32F"/>
    <w:rsid w:val="005F7A3E"/>
    <w:rsid w:val="005F7B98"/>
    <w:rsid w:val="005F7D2D"/>
    <w:rsid w:val="00600273"/>
    <w:rsid w:val="0060042F"/>
    <w:rsid w:val="00601415"/>
    <w:rsid w:val="0060150D"/>
    <w:rsid w:val="00601581"/>
    <w:rsid w:val="00601A5E"/>
    <w:rsid w:val="00601CE7"/>
    <w:rsid w:val="00601CED"/>
    <w:rsid w:val="00602034"/>
    <w:rsid w:val="00602360"/>
    <w:rsid w:val="0060239C"/>
    <w:rsid w:val="0060253F"/>
    <w:rsid w:val="00602DF4"/>
    <w:rsid w:val="006031E6"/>
    <w:rsid w:val="00603911"/>
    <w:rsid w:val="00603BCB"/>
    <w:rsid w:val="00603C77"/>
    <w:rsid w:val="00604172"/>
    <w:rsid w:val="0060461B"/>
    <w:rsid w:val="00604B6B"/>
    <w:rsid w:val="006050BF"/>
    <w:rsid w:val="0060519C"/>
    <w:rsid w:val="006051C8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AC"/>
    <w:rsid w:val="00606533"/>
    <w:rsid w:val="006069CB"/>
    <w:rsid w:val="006069E9"/>
    <w:rsid w:val="00606AAD"/>
    <w:rsid w:val="00606EFF"/>
    <w:rsid w:val="0060715E"/>
    <w:rsid w:val="006071F8"/>
    <w:rsid w:val="006079A8"/>
    <w:rsid w:val="00607B71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22F9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A90"/>
    <w:rsid w:val="00642BD3"/>
    <w:rsid w:val="00642DDB"/>
    <w:rsid w:val="00642F2C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304E"/>
    <w:rsid w:val="006531FD"/>
    <w:rsid w:val="006534B1"/>
    <w:rsid w:val="00653568"/>
    <w:rsid w:val="00653770"/>
    <w:rsid w:val="00653E82"/>
    <w:rsid w:val="00654337"/>
    <w:rsid w:val="00654822"/>
    <w:rsid w:val="00654EEB"/>
    <w:rsid w:val="00655848"/>
    <w:rsid w:val="006558E0"/>
    <w:rsid w:val="00655A5E"/>
    <w:rsid w:val="00655B1A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2333"/>
    <w:rsid w:val="00672C7F"/>
    <w:rsid w:val="00672D1C"/>
    <w:rsid w:val="0067320F"/>
    <w:rsid w:val="00673379"/>
    <w:rsid w:val="0067446E"/>
    <w:rsid w:val="00674ADD"/>
    <w:rsid w:val="00674D48"/>
    <w:rsid w:val="00674E6B"/>
    <w:rsid w:val="006758BD"/>
    <w:rsid w:val="00675963"/>
    <w:rsid w:val="0067636F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440C"/>
    <w:rsid w:val="006845C1"/>
    <w:rsid w:val="00684684"/>
    <w:rsid w:val="00684767"/>
    <w:rsid w:val="006848E6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76B"/>
    <w:rsid w:val="006A3635"/>
    <w:rsid w:val="006A4B67"/>
    <w:rsid w:val="006A565B"/>
    <w:rsid w:val="006A56C8"/>
    <w:rsid w:val="006A5C72"/>
    <w:rsid w:val="006A5E15"/>
    <w:rsid w:val="006A6256"/>
    <w:rsid w:val="006A6437"/>
    <w:rsid w:val="006A6805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E7E"/>
    <w:rsid w:val="006B54A9"/>
    <w:rsid w:val="006B577C"/>
    <w:rsid w:val="006B6122"/>
    <w:rsid w:val="006B61F0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449"/>
    <w:rsid w:val="006E5812"/>
    <w:rsid w:val="006E5C11"/>
    <w:rsid w:val="006E5C13"/>
    <w:rsid w:val="006E5C58"/>
    <w:rsid w:val="006E5E0A"/>
    <w:rsid w:val="006E5E16"/>
    <w:rsid w:val="006E68AD"/>
    <w:rsid w:val="006E6B6D"/>
    <w:rsid w:val="006E744E"/>
    <w:rsid w:val="006E7878"/>
    <w:rsid w:val="006E7A29"/>
    <w:rsid w:val="006E7AD2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5E2"/>
    <w:rsid w:val="007016DD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EDB"/>
    <w:rsid w:val="007210F0"/>
    <w:rsid w:val="0072248E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E75"/>
    <w:rsid w:val="00727154"/>
    <w:rsid w:val="0073000B"/>
    <w:rsid w:val="00730086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66F"/>
    <w:rsid w:val="00756A9F"/>
    <w:rsid w:val="00757329"/>
    <w:rsid w:val="00760413"/>
    <w:rsid w:val="00760550"/>
    <w:rsid w:val="00760570"/>
    <w:rsid w:val="00760930"/>
    <w:rsid w:val="00760AA2"/>
    <w:rsid w:val="007612BA"/>
    <w:rsid w:val="0076134C"/>
    <w:rsid w:val="00761B3F"/>
    <w:rsid w:val="00761B55"/>
    <w:rsid w:val="00761C53"/>
    <w:rsid w:val="00762C69"/>
    <w:rsid w:val="0076334B"/>
    <w:rsid w:val="0076367D"/>
    <w:rsid w:val="0076389A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C49"/>
    <w:rsid w:val="00765D61"/>
    <w:rsid w:val="00765F84"/>
    <w:rsid w:val="00766290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D14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3004"/>
    <w:rsid w:val="007832DE"/>
    <w:rsid w:val="00783380"/>
    <w:rsid w:val="007833C0"/>
    <w:rsid w:val="0078376D"/>
    <w:rsid w:val="007844C5"/>
    <w:rsid w:val="00785156"/>
    <w:rsid w:val="007853B9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EF"/>
    <w:rsid w:val="007A45CF"/>
    <w:rsid w:val="007A464B"/>
    <w:rsid w:val="007A46B3"/>
    <w:rsid w:val="007A4A4D"/>
    <w:rsid w:val="007A4DB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666"/>
    <w:rsid w:val="007B06E1"/>
    <w:rsid w:val="007B0DBB"/>
    <w:rsid w:val="007B1080"/>
    <w:rsid w:val="007B12E1"/>
    <w:rsid w:val="007B1B99"/>
    <w:rsid w:val="007B1FC1"/>
    <w:rsid w:val="007B2064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A4A"/>
    <w:rsid w:val="007E1343"/>
    <w:rsid w:val="007E15E1"/>
    <w:rsid w:val="007E180D"/>
    <w:rsid w:val="007E1A26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A79"/>
    <w:rsid w:val="007F2CB7"/>
    <w:rsid w:val="007F2FC4"/>
    <w:rsid w:val="007F375C"/>
    <w:rsid w:val="007F3D06"/>
    <w:rsid w:val="007F3D7A"/>
    <w:rsid w:val="007F3ED3"/>
    <w:rsid w:val="007F40AD"/>
    <w:rsid w:val="007F429B"/>
    <w:rsid w:val="007F451D"/>
    <w:rsid w:val="007F4777"/>
    <w:rsid w:val="007F49B7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0E7D"/>
    <w:rsid w:val="0081107A"/>
    <w:rsid w:val="008110D5"/>
    <w:rsid w:val="00811866"/>
    <w:rsid w:val="00811B7D"/>
    <w:rsid w:val="00811D3A"/>
    <w:rsid w:val="008120B6"/>
    <w:rsid w:val="00812583"/>
    <w:rsid w:val="00812665"/>
    <w:rsid w:val="00812AE3"/>
    <w:rsid w:val="00812C8E"/>
    <w:rsid w:val="008130BE"/>
    <w:rsid w:val="008131AC"/>
    <w:rsid w:val="0081346B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D8B"/>
    <w:rsid w:val="00836EBD"/>
    <w:rsid w:val="0083704F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388"/>
    <w:rsid w:val="0084773E"/>
    <w:rsid w:val="00851AC1"/>
    <w:rsid w:val="00851C3A"/>
    <w:rsid w:val="00851E72"/>
    <w:rsid w:val="008520C0"/>
    <w:rsid w:val="00852127"/>
    <w:rsid w:val="00852220"/>
    <w:rsid w:val="008524DD"/>
    <w:rsid w:val="00852543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C23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8D"/>
    <w:rsid w:val="00867A81"/>
    <w:rsid w:val="00867B4D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109F"/>
    <w:rsid w:val="008921CF"/>
    <w:rsid w:val="0089234C"/>
    <w:rsid w:val="00892896"/>
    <w:rsid w:val="00893566"/>
    <w:rsid w:val="00893D40"/>
    <w:rsid w:val="00893F76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76FF"/>
    <w:rsid w:val="00897968"/>
    <w:rsid w:val="00897977"/>
    <w:rsid w:val="00897C9D"/>
    <w:rsid w:val="008A00E0"/>
    <w:rsid w:val="008A06F4"/>
    <w:rsid w:val="008A0AF5"/>
    <w:rsid w:val="008A1032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87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E35"/>
    <w:rsid w:val="008C209A"/>
    <w:rsid w:val="008C263C"/>
    <w:rsid w:val="008C2D49"/>
    <w:rsid w:val="008C3015"/>
    <w:rsid w:val="008C301A"/>
    <w:rsid w:val="008C3A95"/>
    <w:rsid w:val="008C3CD6"/>
    <w:rsid w:val="008C46DF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4E0"/>
    <w:rsid w:val="008C65EC"/>
    <w:rsid w:val="008C6748"/>
    <w:rsid w:val="008C6BD2"/>
    <w:rsid w:val="008C710E"/>
    <w:rsid w:val="008C7553"/>
    <w:rsid w:val="008C7C06"/>
    <w:rsid w:val="008C7CE0"/>
    <w:rsid w:val="008D006E"/>
    <w:rsid w:val="008D0122"/>
    <w:rsid w:val="008D0340"/>
    <w:rsid w:val="008D0887"/>
    <w:rsid w:val="008D16AF"/>
    <w:rsid w:val="008D1BD9"/>
    <w:rsid w:val="008D1DA6"/>
    <w:rsid w:val="008D1DE2"/>
    <w:rsid w:val="008D1E9A"/>
    <w:rsid w:val="008D2009"/>
    <w:rsid w:val="008D21BD"/>
    <w:rsid w:val="008D2538"/>
    <w:rsid w:val="008D2A30"/>
    <w:rsid w:val="008D2D02"/>
    <w:rsid w:val="008D2D37"/>
    <w:rsid w:val="008D3747"/>
    <w:rsid w:val="008D3B79"/>
    <w:rsid w:val="008D3ECA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6D32"/>
    <w:rsid w:val="008F70DC"/>
    <w:rsid w:val="008F79BF"/>
    <w:rsid w:val="0090002E"/>
    <w:rsid w:val="009003DB"/>
    <w:rsid w:val="009004F9"/>
    <w:rsid w:val="0090064C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744C"/>
    <w:rsid w:val="009079DE"/>
    <w:rsid w:val="00907CC7"/>
    <w:rsid w:val="00907D17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742"/>
    <w:rsid w:val="009150D0"/>
    <w:rsid w:val="00915343"/>
    <w:rsid w:val="00915366"/>
    <w:rsid w:val="009158CE"/>
    <w:rsid w:val="00915DC6"/>
    <w:rsid w:val="009160FF"/>
    <w:rsid w:val="00916468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CED"/>
    <w:rsid w:val="00921E67"/>
    <w:rsid w:val="00922108"/>
    <w:rsid w:val="00922240"/>
    <w:rsid w:val="00922B14"/>
    <w:rsid w:val="00922BEB"/>
    <w:rsid w:val="00922CF7"/>
    <w:rsid w:val="00922E14"/>
    <w:rsid w:val="00923248"/>
    <w:rsid w:val="009234CF"/>
    <w:rsid w:val="00923BA8"/>
    <w:rsid w:val="00923D20"/>
    <w:rsid w:val="009245EF"/>
    <w:rsid w:val="00924686"/>
    <w:rsid w:val="00924721"/>
    <w:rsid w:val="0092479B"/>
    <w:rsid w:val="00924885"/>
    <w:rsid w:val="00924A3F"/>
    <w:rsid w:val="00924C1C"/>
    <w:rsid w:val="00924CBF"/>
    <w:rsid w:val="009256DF"/>
    <w:rsid w:val="0092574F"/>
    <w:rsid w:val="00925888"/>
    <w:rsid w:val="0092590D"/>
    <w:rsid w:val="00926750"/>
    <w:rsid w:val="00927154"/>
    <w:rsid w:val="00927C0C"/>
    <w:rsid w:val="00927F1F"/>
    <w:rsid w:val="00930948"/>
    <w:rsid w:val="009309E7"/>
    <w:rsid w:val="00930CC2"/>
    <w:rsid w:val="0093136A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B31"/>
    <w:rsid w:val="00936EDD"/>
    <w:rsid w:val="009374AD"/>
    <w:rsid w:val="009374E6"/>
    <w:rsid w:val="009378D6"/>
    <w:rsid w:val="00937C56"/>
    <w:rsid w:val="00937E80"/>
    <w:rsid w:val="00937F15"/>
    <w:rsid w:val="009400ED"/>
    <w:rsid w:val="0094038D"/>
    <w:rsid w:val="00940684"/>
    <w:rsid w:val="009408DD"/>
    <w:rsid w:val="00940E65"/>
    <w:rsid w:val="00940E7B"/>
    <w:rsid w:val="0094138C"/>
    <w:rsid w:val="0094146C"/>
    <w:rsid w:val="0094172E"/>
    <w:rsid w:val="00941B1E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508"/>
    <w:rsid w:val="009476C3"/>
    <w:rsid w:val="009479E8"/>
    <w:rsid w:val="00947D58"/>
    <w:rsid w:val="00950000"/>
    <w:rsid w:val="009501B1"/>
    <w:rsid w:val="00950227"/>
    <w:rsid w:val="0095024C"/>
    <w:rsid w:val="00950A47"/>
    <w:rsid w:val="00950C8B"/>
    <w:rsid w:val="00950CB2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2488"/>
    <w:rsid w:val="00972863"/>
    <w:rsid w:val="00972B3B"/>
    <w:rsid w:val="00972F13"/>
    <w:rsid w:val="0097306A"/>
    <w:rsid w:val="00973C57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279D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901FA"/>
    <w:rsid w:val="0099021F"/>
    <w:rsid w:val="00990A77"/>
    <w:rsid w:val="00991A12"/>
    <w:rsid w:val="00991BDF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499B"/>
    <w:rsid w:val="00994F1A"/>
    <w:rsid w:val="0099506A"/>
    <w:rsid w:val="00995524"/>
    <w:rsid w:val="00995AF1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275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EF6"/>
    <w:rsid w:val="009A27D2"/>
    <w:rsid w:val="009A286C"/>
    <w:rsid w:val="009A289D"/>
    <w:rsid w:val="009A2EA9"/>
    <w:rsid w:val="009A30B5"/>
    <w:rsid w:val="009A365E"/>
    <w:rsid w:val="009A3806"/>
    <w:rsid w:val="009A3D6B"/>
    <w:rsid w:val="009A41A4"/>
    <w:rsid w:val="009A4240"/>
    <w:rsid w:val="009A4B20"/>
    <w:rsid w:val="009A503A"/>
    <w:rsid w:val="009A5113"/>
    <w:rsid w:val="009A559A"/>
    <w:rsid w:val="009A56E0"/>
    <w:rsid w:val="009A5935"/>
    <w:rsid w:val="009A59F5"/>
    <w:rsid w:val="009A5AE5"/>
    <w:rsid w:val="009A5CB1"/>
    <w:rsid w:val="009A5CD5"/>
    <w:rsid w:val="009A609A"/>
    <w:rsid w:val="009A65B8"/>
    <w:rsid w:val="009A69F3"/>
    <w:rsid w:val="009A79CC"/>
    <w:rsid w:val="009B02C0"/>
    <w:rsid w:val="009B0624"/>
    <w:rsid w:val="009B0CDF"/>
    <w:rsid w:val="009B0CE2"/>
    <w:rsid w:val="009B11A1"/>
    <w:rsid w:val="009B146E"/>
    <w:rsid w:val="009B16DE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1160"/>
    <w:rsid w:val="009C11C2"/>
    <w:rsid w:val="009C1459"/>
    <w:rsid w:val="009C14F3"/>
    <w:rsid w:val="009C16A4"/>
    <w:rsid w:val="009C17B1"/>
    <w:rsid w:val="009C232E"/>
    <w:rsid w:val="009C23A1"/>
    <w:rsid w:val="009C249F"/>
    <w:rsid w:val="009C2685"/>
    <w:rsid w:val="009C2738"/>
    <w:rsid w:val="009C3165"/>
    <w:rsid w:val="009C33B8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6005"/>
    <w:rsid w:val="009D63E5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E8F"/>
    <w:rsid w:val="009E5184"/>
    <w:rsid w:val="009E55A1"/>
    <w:rsid w:val="009E5BC8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DC9"/>
    <w:rsid w:val="009F078F"/>
    <w:rsid w:val="009F102A"/>
    <w:rsid w:val="009F1608"/>
    <w:rsid w:val="009F1747"/>
    <w:rsid w:val="009F1D19"/>
    <w:rsid w:val="009F201C"/>
    <w:rsid w:val="009F2ED6"/>
    <w:rsid w:val="009F3757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93"/>
    <w:rsid w:val="009F7CE4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449"/>
    <w:rsid w:val="00A076E4"/>
    <w:rsid w:val="00A1017C"/>
    <w:rsid w:val="00A105B7"/>
    <w:rsid w:val="00A109E5"/>
    <w:rsid w:val="00A10AD3"/>
    <w:rsid w:val="00A11615"/>
    <w:rsid w:val="00A11701"/>
    <w:rsid w:val="00A11770"/>
    <w:rsid w:val="00A11A5A"/>
    <w:rsid w:val="00A12434"/>
    <w:rsid w:val="00A124A9"/>
    <w:rsid w:val="00A125A2"/>
    <w:rsid w:val="00A12BB3"/>
    <w:rsid w:val="00A12EAB"/>
    <w:rsid w:val="00A132D5"/>
    <w:rsid w:val="00A1332D"/>
    <w:rsid w:val="00A1391B"/>
    <w:rsid w:val="00A14000"/>
    <w:rsid w:val="00A144C8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AA7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600EF"/>
    <w:rsid w:val="00A6021F"/>
    <w:rsid w:val="00A60300"/>
    <w:rsid w:val="00A60438"/>
    <w:rsid w:val="00A60D72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194"/>
    <w:rsid w:val="00AA1966"/>
    <w:rsid w:val="00AA1BFE"/>
    <w:rsid w:val="00AA1C5C"/>
    <w:rsid w:val="00AA1D46"/>
    <w:rsid w:val="00AA21E9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7E5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377F"/>
    <w:rsid w:val="00AC3848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07FD6"/>
    <w:rsid w:val="00B10197"/>
    <w:rsid w:val="00B1033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44F"/>
    <w:rsid w:val="00B1258B"/>
    <w:rsid w:val="00B1276D"/>
    <w:rsid w:val="00B12934"/>
    <w:rsid w:val="00B13038"/>
    <w:rsid w:val="00B1312E"/>
    <w:rsid w:val="00B13352"/>
    <w:rsid w:val="00B1339A"/>
    <w:rsid w:val="00B13657"/>
    <w:rsid w:val="00B13D1D"/>
    <w:rsid w:val="00B1447A"/>
    <w:rsid w:val="00B146FA"/>
    <w:rsid w:val="00B149A1"/>
    <w:rsid w:val="00B14B0D"/>
    <w:rsid w:val="00B14B40"/>
    <w:rsid w:val="00B14D7E"/>
    <w:rsid w:val="00B14E7A"/>
    <w:rsid w:val="00B155F0"/>
    <w:rsid w:val="00B15BC7"/>
    <w:rsid w:val="00B1607F"/>
    <w:rsid w:val="00B166F3"/>
    <w:rsid w:val="00B168BC"/>
    <w:rsid w:val="00B16B69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79C"/>
    <w:rsid w:val="00B22C9A"/>
    <w:rsid w:val="00B22DAF"/>
    <w:rsid w:val="00B22E07"/>
    <w:rsid w:val="00B22FFB"/>
    <w:rsid w:val="00B23279"/>
    <w:rsid w:val="00B2356A"/>
    <w:rsid w:val="00B23588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71F8"/>
    <w:rsid w:val="00B27380"/>
    <w:rsid w:val="00B27444"/>
    <w:rsid w:val="00B27A38"/>
    <w:rsid w:val="00B27C44"/>
    <w:rsid w:val="00B30CD2"/>
    <w:rsid w:val="00B310A0"/>
    <w:rsid w:val="00B313D1"/>
    <w:rsid w:val="00B3153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5F85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5274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14B"/>
    <w:rsid w:val="00B67191"/>
    <w:rsid w:val="00B67A1F"/>
    <w:rsid w:val="00B708F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3235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3258"/>
    <w:rsid w:val="00BC32F4"/>
    <w:rsid w:val="00BC3484"/>
    <w:rsid w:val="00BC3FE8"/>
    <w:rsid w:val="00BC41BD"/>
    <w:rsid w:val="00BC43C8"/>
    <w:rsid w:val="00BC494E"/>
    <w:rsid w:val="00BC49B2"/>
    <w:rsid w:val="00BC4DD9"/>
    <w:rsid w:val="00BC4F49"/>
    <w:rsid w:val="00BC4FEF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2DE"/>
    <w:rsid w:val="00BF573B"/>
    <w:rsid w:val="00BF5742"/>
    <w:rsid w:val="00BF5C47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FF0"/>
    <w:rsid w:val="00C13198"/>
    <w:rsid w:val="00C13383"/>
    <w:rsid w:val="00C133BC"/>
    <w:rsid w:val="00C14614"/>
    <w:rsid w:val="00C147DE"/>
    <w:rsid w:val="00C1498B"/>
    <w:rsid w:val="00C14C13"/>
    <w:rsid w:val="00C14F20"/>
    <w:rsid w:val="00C157DB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DD0"/>
    <w:rsid w:val="00C214BE"/>
    <w:rsid w:val="00C2172F"/>
    <w:rsid w:val="00C218FD"/>
    <w:rsid w:val="00C21908"/>
    <w:rsid w:val="00C21D61"/>
    <w:rsid w:val="00C2260E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812"/>
    <w:rsid w:val="00C3392B"/>
    <w:rsid w:val="00C33A40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AA"/>
    <w:rsid w:val="00C53BAE"/>
    <w:rsid w:val="00C54635"/>
    <w:rsid w:val="00C54864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478"/>
    <w:rsid w:val="00C575FA"/>
    <w:rsid w:val="00C57CEE"/>
    <w:rsid w:val="00C6015A"/>
    <w:rsid w:val="00C60794"/>
    <w:rsid w:val="00C6140E"/>
    <w:rsid w:val="00C61887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9CB"/>
    <w:rsid w:val="00C66A8F"/>
    <w:rsid w:val="00C66BEE"/>
    <w:rsid w:val="00C67154"/>
    <w:rsid w:val="00C67233"/>
    <w:rsid w:val="00C67B3E"/>
    <w:rsid w:val="00C67C86"/>
    <w:rsid w:val="00C67DBE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DB3"/>
    <w:rsid w:val="00C80225"/>
    <w:rsid w:val="00C804C8"/>
    <w:rsid w:val="00C80A18"/>
    <w:rsid w:val="00C80B8A"/>
    <w:rsid w:val="00C812DB"/>
    <w:rsid w:val="00C81505"/>
    <w:rsid w:val="00C8176C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981"/>
    <w:rsid w:val="00CB6C2A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E16"/>
    <w:rsid w:val="00CD526B"/>
    <w:rsid w:val="00CD56B0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52C2"/>
    <w:rsid w:val="00CE58BB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E3A"/>
    <w:rsid w:val="00CF6EC0"/>
    <w:rsid w:val="00CF7003"/>
    <w:rsid w:val="00CF74FD"/>
    <w:rsid w:val="00CF79DB"/>
    <w:rsid w:val="00CF7B58"/>
    <w:rsid w:val="00CF7C7C"/>
    <w:rsid w:val="00D0024E"/>
    <w:rsid w:val="00D0063F"/>
    <w:rsid w:val="00D00E25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3254"/>
    <w:rsid w:val="00D23406"/>
    <w:rsid w:val="00D2384C"/>
    <w:rsid w:val="00D23AFD"/>
    <w:rsid w:val="00D23B65"/>
    <w:rsid w:val="00D23DFC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DC"/>
    <w:rsid w:val="00D373F5"/>
    <w:rsid w:val="00D37571"/>
    <w:rsid w:val="00D377E5"/>
    <w:rsid w:val="00D37A3C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E3"/>
    <w:rsid w:val="00D46531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89B"/>
    <w:rsid w:val="00D648E7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EA4"/>
    <w:rsid w:val="00D90020"/>
    <w:rsid w:val="00D901AA"/>
    <w:rsid w:val="00D90CE0"/>
    <w:rsid w:val="00D91313"/>
    <w:rsid w:val="00D91622"/>
    <w:rsid w:val="00D91A71"/>
    <w:rsid w:val="00D91AEB"/>
    <w:rsid w:val="00D91BEE"/>
    <w:rsid w:val="00D91E8F"/>
    <w:rsid w:val="00D922B9"/>
    <w:rsid w:val="00D922BD"/>
    <w:rsid w:val="00D923C7"/>
    <w:rsid w:val="00D92809"/>
    <w:rsid w:val="00D9286B"/>
    <w:rsid w:val="00D92A4D"/>
    <w:rsid w:val="00D92F32"/>
    <w:rsid w:val="00D92F5B"/>
    <w:rsid w:val="00D935CC"/>
    <w:rsid w:val="00D93B36"/>
    <w:rsid w:val="00D93BA6"/>
    <w:rsid w:val="00D93BBD"/>
    <w:rsid w:val="00D93CFF"/>
    <w:rsid w:val="00D943BD"/>
    <w:rsid w:val="00D9486E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2C45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2F"/>
    <w:rsid w:val="00DC6BBE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E0080"/>
    <w:rsid w:val="00DE00EF"/>
    <w:rsid w:val="00DE0323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872"/>
    <w:rsid w:val="00DE5A79"/>
    <w:rsid w:val="00DE5AE3"/>
    <w:rsid w:val="00DE5FF3"/>
    <w:rsid w:val="00DE60A7"/>
    <w:rsid w:val="00DE6355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0DA8"/>
    <w:rsid w:val="00DF1118"/>
    <w:rsid w:val="00DF11D3"/>
    <w:rsid w:val="00DF1363"/>
    <w:rsid w:val="00DF15DB"/>
    <w:rsid w:val="00DF16F7"/>
    <w:rsid w:val="00DF180A"/>
    <w:rsid w:val="00DF18EC"/>
    <w:rsid w:val="00DF1A63"/>
    <w:rsid w:val="00DF1F25"/>
    <w:rsid w:val="00DF22B9"/>
    <w:rsid w:val="00DF289B"/>
    <w:rsid w:val="00DF2C28"/>
    <w:rsid w:val="00DF2D48"/>
    <w:rsid w:val="00DF32ED"/>
    <w:rsid w:val="00DF3E15"/>
    <w:rsid w:val="00DF40BC"/>
    <w:rsid w:val="00DF42A2"/>
    <w:rsid w:val="00DF442F"/>
    <w:rsid w:val="00DF4B72"/>
    <w:rsid w:val="00DF4ED9"/>
    <w:rsid w:val="00DF5225"/>
    <w:rsid w:val="00DF5430"/>
    <w:rsid w:val="00DF55BD"/>
    <w:rsid w:val="00DF56A9"/>
    <w:rsid w:val="00DF58DD"/>
    <w:rsid w:val="00DF5940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39C"/>
    <w:rsid w:val="00E05532"/>
    <w:rsid w:val="00E058D1"/>
    <w:rsid w:val="00E058F8"/>
    <w:rsid w:val="00E05AC0"/>
    <w:rsid w:val="00E05ADB"/>
    <w:rsid w:val="00E05F12"/>
    <w:rsid w:val="00E05F54"/>
    <w:rsid w:val="00E060DF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9D2"/>
    <w:rsid w:val="00E14EFC"/>
    <w:rsid w:val="00E15143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EE0"/>
    <w:rsid w:val="00E17F93"/>
    <w:rsid w:val="00E17F9E"/>
    <w:rsid w:val="00E17FE2"/>
    <w:rsid w:val="00E205E2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6437"/>
    <w:rsid w:val="00E27725"/>
    <w:rsid w:val="00E27913"/>
    <w:rsid w:val="00E27A0D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D72"/>
    <w:rsid w:val="00E43092"/>
    <w:rsid w:val="00E4323C"/>
    <w:rsid w:val="00E432EC"/>
    <w:rsid w:val="00E433DF"/>
    <w:rsid w:val="00E439D2"/>
    <w:rsid w:val="00E43A43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83"/>
    <w:rsid w:val="00E54F08"/>
    <w:rsid w:val="00E55505"/>
    <w:rsid w:val="00E556FE"/>
    <w:rsid w:val="00E55AB6"/>
    <w:rsid w:val="00E55B49"/>
    <w:rsid w:val="00E56B52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991"/>
    <w:rsid w:val="00E61BCE"/>
    <w:rsid w:val="00E61C83"/>
    <w:rsid w:val="00E61EFF"/>
    <w:rsid w:val="00E621C6"/>
    <w:rsid w:val="00E62A7C"/>
    <w:rsid w:val="00E62C98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819"/>
    <w:rsid w:val="00E8216D"/>
    <w:rsid w:val="00E82549"/>
    <w:rsid w:val="00E82794"/>
    <w:rsid w:val="00E828B1"/>
    <w:rsid w:val="00E82A62"/>
    <w:rsid w:val="00E82B23"/>
    <w:rsid w:val="00E82EC3"/>
    <w:rsid w:val="00E8324A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E6A"/>
    <w:rsid w:val="00EA1119"/>
    <w:rsid w:val="00EA1137"/>
    <w:rsid w:val="00EA1261"/>
    <w:rsid w:val="00EA1982"/>
    <w:rsid w:val="00EA1AB9"/>
    <w:rsid w:val="00EA1F63"/>
    <w:rsid w:val="00EA211F"/>
    <w:rsid w:val="00EA2250"/>
    <w:rsid w:val="00EA3125"/>
    <w:rsid w:val="00EA3170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546"/>
    <w:rsid w:val="00EC53B6"/>
    <w:rsid w:val="00EC557F"/>
    <w:rsid w:val="00EC5641"/>
    <w:rsid w:val="00EC56A3"/>
    <w:rsid w:val="00EC59A9"/>
    <w:rsid w:val="00EC5C3E"/>
    <w:rsid w:val="00EC5CEB"/>
    <w:rsid w:val="00EC5D2E"/>
    <w:rsid w:val="00EC6168"/>
    <w:rsid w:val="00EC625E"/>
    <w:rsid w:val="00EC670F"/>
    <w:rsid w:val="00EC6769"/>
    <w:rsid w:val="00EC6A37"/>
    <w:rsid w:val="00EC6C72"/>
    <w:rsid w:val="00EC75CF"/>
    <w:rsid w:val="00EC75F0"/>
    <w:rsid w:val="00EC7939"/>
    <w:rsid w:val="00EC7C5F"/>
    <w:rsid w:val="00ED09AD"/>
    <w:rsid w:val="00ED09EB"/>
    <w:rsid w:val="00ED0BE8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6A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59"/>
    <w:rsid w:val="00EF1DDD"/>
    <w:rsid w:val="00EF263B"/>
    <w:rsid w:val="00EF283C"/>
    <w:rsid w:val="00EF2CDD"/>
    <w:rsid w:val="00EF2FB3"/>
    <w:rsid w:val="00EF33FD"/>
    <w:rsid w:val="00EF3496"/>
    <w:rsid w:val="00EF3626"/>
    <w:rsid w:val="00EF38DB"/>
    <w:rsid w:val="00EF3A0E"/>
    <w:rsid w:val="00EF3A53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2335"/>
    <w:rsid w:val="00F02346"/>
    <w:rsid w:val="00F02D4D"/>
    <w:rsid w:val="00F02E58"/>
    <w:rsid w:val="00F02EC0"/>
    <w:rsid w:val="00F03250"/>
    <w:rsid w:val="00F0340E"/>
    <w:rsid w:val="00F036C3"/>
    <w:rsid w:val="00F03FC7"/>
    <w:rsid w:val="00F04052"/>
    <w:rsid w:val="00F0495D"/>
    <w:rsid w:val="00F04A50"/>
    <w:rsid w:val="00F04FCB"/>
    <w:rsid w:val="00F055B8"/>
    <w:rsid w:val="00F05775"/>
    <w:rsid w:val="00F05BBC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6F2"/>
    <w:rsid w:val="00F457F8"/>
    <w:rsid w:val="00F457FC"/>
    <w:rsid w:val="00F45A5D"/>
    <w:rsid w:val="00F45B68"/>
    <w:rsid w:val="00F45BBB"/>
    <w:rsid w:val="00F45C36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F8F"/>
    <w:rsid w:val="00F630D3"/>
    <w:rsid w:val="00F6349A"/>
    <w:rsid w:val="00F63579"/>
    <w:rsid w:val="00F637DD"/>
    <w:rsid w:val="00F6382C"/>
    <w:rsid w:val="00F639A8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D00"/>
    <w:rsid w:val="00F75043"/>
    <w:rsid w:val="00F75094"/>
    <w:rsid w:val="00F75379"/>
    <w:rsid w:val="00F75463"/>
    <w:rsid w:val="00F75EFE"/>
    <w:rsid w:val="00F7638F"/>
    <w:rsid w:val="00F765FF"/>
    <w:rsid w:val="00F766CA"/>
    <w:rsid w:val="00F76790"/>
    <w:rsid w:val="00F76B53"/>
    <w:rsid w:val="00F76F1D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DF9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5A45"/>
    <w:rsid w:val="00FA6154"/>
    <w:rsid w:val="00FA6178"/>
    <w:rsid w:val="00FA64F5"/>
    <w:rsid w:val="00FA65D0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9E2"/>
    <w:rsid w:val="00FD2B5D"/>
    <w:rsid w:val="00FD2C14"/>
    <w:rsid w:val="00FD348F"/>
    <w:rsid w:val="00FD39DE"/>
    <w:rsid w:val="00FD3AB3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73EB"/>
    <w:rsid w:val="00FD73FB"/>
    <w:rsid w:val="00FD7617"/>
    <w:rsid w:val="00FD7B48"/>
    <w:rsid w:val="00FD7D54"/>
    <w:rsid w:val="00FE0281"/>
    <w:rsid w:val="00FE0394"/>
    <w:rsid w:val="00FE06CD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F001C"/>
    <w:rsid w:val="00FF059A"/>
    <w:rsid w:val="00FF0616"/>
    <w:rsid w:val="00FF06A7"/>
    <w:rsid w:val="00FF1097"/>
    <w:rsid w:val="00FF1415"/>
    <w:rsid w:val="00FF1791"/>
    <w:rsid w:val="00FF180F"/>
    <w:rsid w:val="00FF1854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5:docId w15:val="{D133B161-46B8-4F2A-8138-B7CB71A2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31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D6222-DE8F-4B71-AE15-C169BAE9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7640</Words>
  <Characters>41256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48799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Rochele Benedet Rodrigues</cp:lastModifiedBy>
  <cp:revision>2</cp:revision>
  <cp:lastPrinted>2019-11-27T12:52:00Z</cp:lastPrinted>
  <dcterms:created xsi:type="dcterms:W3CDTF">2021-08-02T12:39:00Z</dcterms:created>
  <dcterms:modified xsi:type="dcterms:W3CDTF">2021-08-02T12:39:00Z</dcterms:modified>
</cp:coreProperties>
</file>