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28" w:rsidRDefault="00104128"/>
    <w:p w:rsidR="00166CBD" w:rsidRDefault="00166CBD"/>
    <w:p w:rsidR="00166CBD" w:rsidRPr="00FD7B48" w:rsidRDefault="00166CBD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3C70F3" w:rsidRPr="00FD7B48">
        <w:rPr>
          <w:sz w:val="28"/>
          <w:szCs w:val="28"/>
        </w:rPr>
        <w:t>F</w:t>
      </w:r>
      <w:r w:rsidRPr="00FD7B48">
        <w:rPr>
          <w:sz w:val="28"/>
          <w:szCs w:val="28"/>
        </w:rPr>
        <w:t>inanceiras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6B46BB">
        <w:rPr>
          <w:sz w:val="28"/>
          <w:szCs w:val="28"/>
        </w:rPr>
        <w:t>31</w:t>
      </w:r>
      <w:r w:rsidRPr="00FD7B48">
        <w:rPr>
          <w:sz w:val="28"/>
          <w:szCs w:val="28"/>
        </w:rPr>
        <w:t xml:space="preserve"> de </w:t>
      </w:r>
      <w:r w:rsidR="00CD7B5D">
        <w:rPr>
          <w:sz w:val="28"/>
          <w:szCs w:val="28"/>
        </w:rPr>
        <w:t>março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</w:t>
      </w:r>
      <w:r w:rsidR="00CD7B5D">
        <w:rPr>
          <w:sz w:val="28"/>
          <w:szCs w:val="28"/>
        </w:rPr>
        <w:t>20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EF0422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40804083" w:history="1">
            <w:r w:rsidR="00EF0422" w:rsidRPr="00204717">
              <w:rPr>
                <w:rStyle w:val="Hyperlink"/>
              </w:rPr>
              <w:t>Balanço Patrimonial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_Toc40804083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3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84" w:history="1">
            <w:r w:rsidR="00EF0422" w:rsidRPr="00204717">
              <w:rPr>
                <w:rStyle w:val="Hyperlink"/>
              </w:rPr>
              <w:t>Notas Explicativas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_Toc40804084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9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85" w:history="1">
            <w:r w:rsidR="00EF0422" w:rsidRPr="00204717">
              <w:rPr>
                <w:rStyle w:val="Hyperlink"/>
              </w:rPr>
              <w:t>01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Contexto Operacional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_Toc40804085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9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86" w:history="1">
            <w:r w:rsidR="00EF0422" w:rsidRPr="00204717">
              <w:rPr>
                <w:rStyle w:val="Hyperlink"/>
              </w:rPr>
              <w:t>02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Principais Políticas Contábeis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_Toc40804086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9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87" w:history="1">
            <w:r w:rsidR="00EF0422" w:rsidRPr="00204717">
              <w:rPr>
                <w:rStyle w:val="Hyperlink"/>
              </w:rPr>
              <w:t>03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Estimativas e Julgamentos Contábeis Críticos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_Toc40804087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13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88" w:history="1">
            <w:r w:rsidR="00EF0422" w:rsidRPr="00204717">
              <w:rPr>
                <w:rStyle w:val="Hyperlink"/>
              </w:rPr>
              <w:t>04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Gestão de Risco Financeiro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_Toc40804088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13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89" w:history="1">
            <w:r w:rsidR="00EF0422" w:rsidRPr="00204717">
              <w:rPr>
                <w:rStyle w:val="Hyperlink"/>
              </w:rPr>
              <w:t>05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Caixa e Equivalentes de Caixa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_Toc40804089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14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0" w:history="1">
            <w:r w:rsidR="00EF0422" w:rsidRPr="00204717">
              <w:rPr>
                <w:rStyle w:val="Hyperlink"/>
              </w:rPr>
              <w:t>06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Créditos de Fornecimento de Serviços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_Toc40804090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14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1" w:history="1">
            <w:r w:rsidR="00EF0422" w:rsidRPr="00204717">
              <w:rPr>
                <w:rStyle w:val="Hyperlink"/>
              </w:rPr>
              <w:t>07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Adiantamentos de Pessoal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_Toc40804091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15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2" w:history="1">
            <w:r w:rsidR="00EF0422" w:rsidRPr="00204717">
              <w:rPr>
                <w:rStyle w:val="Hyperlink"/>
              </w:rPr>
              <w:t>08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Estoques de Materiais de Consumo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_Toc40804092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15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3" w:history="1">
            <w:r w:rsidR="00EF0422" w:rsidRPr="00204717">
              <w:rPr>
                <w:rStyle w:val="Hyperlink"/>
              </w:rPr>
              <w:t>09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Imobilizado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_Toc40804093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15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4" w:history="1">
            <w:r w:rsidR="00EF0422" w:rsidRPr="00204717">
              <w:rPr>
                <w:rStyle w:val="Hyperlink"/>
              </w:rPr>
              <w:t>10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Intangível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_Toc40804094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16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5" w:history="1">
            <w:r w:rsidR="00EF0422" w:rsidRPr="00204717">
              <w:rPr>
                <w:rStyle w:val="Hyperlink"/>
              </w:rPr>
              <w:t>11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Fornecedores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_Toc40804095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16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6" w:history="1">
            <w:r w:rsidR="00EF0422" w:rsidRPr="00204717">
              <w:rPr>
                <w:rStyle w:val="Hyperlink"/>
              </w:rPr>
              <w:t>12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Obrigações Tributárias e Sociais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_Toc40804096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16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7" w:history="1">
            <w:r w:rsidR="00EF0422" w:rsidRPr="00204717">
              <w:rPr>
                <w:rStyle w:val="Hyperlink"/>
              </w:rPr>
              <w:t>13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Obrigações com Pessoal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_Toc40804097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17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8" w:history="1">
            <w:r w:rsidR="00EF0422" w:rsidRPr="00204717">
              <w:rPr>
                <w:rStyle w:val="Hyperlink"/>
              </w:rPr>
              <w:t>14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Contingências Passivas e Apropriações de Despesas de Pessoal por Competência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_Toc40804098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17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099" w:history="1">
            <w:r w:rsidR="00EF0422" w:rsidRPr="00204717">
              <w:rPr>
                <w:rStyle w:val="Hyperlink"/>
              </w:rPr>
              <w:t>15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Ajuste de Avaliação Patrimonial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_Toc40804099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19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100" w:history="1">
            <w:r w:rsidR="00EF0422" w:rsidRPr="00204717">
              <w:rPr>
                <w:rStyle w:val="Hyperlink"/>
              </w:rPr>
              <w:t>16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Receita Operacional Líquida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_Toc40804100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19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101" w:history="1">
            <w:r w:rsidR="00EF0422" w:rsidRPr="00204717">
              <w:rPr>
                <w:rStyle w:val="Hyperlink"/>
              </w:rPr>
              <w:t>17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Custos dos Serviços e Despesas Operacionais por Natureza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_Toc40804101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19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102" w:history="1">
            <w:r w:rsidR="00EF0422" w:rsidRPr="00204717">
              <w:rPr>
                <w:rStyle w:val="Hyperlink"/>
              </w:rPr>
              <w:t>18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Despesas de Benefícios a Empregados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_Toc40804102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20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103" w:history="1">
            <w:r w:rsidR="00EF0422" w:rsidRPr="00204717">
              <w:rPr>
                <w:rStyle w:val="Hyperlink"/>
              </w:rPr>
              <w:t>19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Outras Receitas e Despesas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_Toc40804103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20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104" w:history="1">
            <w:r w:rsidR="00EF0422" w:rsidRPr="00204717">
              <w:rPr>
                <w:rStyle w:val="Hyperlink"/>
              </w:rPr>
              <w:t>20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Resultado Financeiro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_Toc40804104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20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105" w:history="1">
            <w:r w:rsidR="00EF0422" w:rsidRPr="00204717">
              <w:rPr>
                <w:rStyle w:val="Hyperlink"/>
              </w:rPr>
              <w:t>21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Seguros de Riscos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_Toc40804105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21</w:t>
            </w:r>
            <w:r w:rsidR="00EF0422">
              <w:rPr>
                <w:webHidden/>
              </w:rPr>
              <w:fldChar w:fldCharType="end"/>
            </w:r>
          </w:hyperlink>
        </w:p>
        <w:p w:rsidR="00EF0422" w:rsidRDefault="000224C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0804106" w:history="1">
            <w:r w:rsidR="00EF0422" w:rsidRPr="00204717">
              <w:rPr>
                <w:rStyle w:val="Hyperlink"/>
              </w:rPr>
              <w:t>22</w:t>
            </w:r>
            <w:r w:rsidR="00EF042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F0422" w:rsidRPr="00204717">
              <w:rPr>
                <w:rStyle w:val="Hyperlink"/>
              </w:rPr>
              <w:t>Impactos – COVID 19</w:t>
            </w:r>
            <w:r w:rsidR="00EF0422">
              <w:rPr>
                <w:webHidden/>
              </w:rPr>
              <w:tab/>
            </w:r>
            <w:r w:rsidR="00EF0422">
              <w:rPr>
                <w:webHidden/>
              </w:rPr>
              <w:fldChar w:fldCharType="begin"/>
            </w:r>
            <w:r w:rsidR="00EF0422">
              <w:rPr>
                <w:webHidden/>
              </w:rPr>
              <w:instrText xml:space="preserve"> PAGEREF _Toc40804106 \h </w:instrText>
            </w:r>
            <w:r w:rsidR="00EF0422">
              <w:rPr>
                <w:webHidden/>
              </w:rPr>
            </w:r>
            <w:r w:rsidR="00EF0422">
              <w:rPr>
                <w:webHidden/>
              </w:rPr>
              <w:fldChar w:fldCharType="separate"/>
            </w:r>
            <w:r w:rsidR="00EF0422">
              <w:rPr>
                <w:webHidden/>
              </w:rPr>
              <w:t>21</w:t>
            </w:r>
            <w:r w:rsidR="00EF0422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A1DC1" w:rsidRDefault="00121225" w:rsidP="00CD7310">
      <w:pPr>
        <w:pStyle w:val="Ttulo1"/>
        <w:jc w:val="left"/>
      </w:pPr>
      <w:bookmarkStart w:id="0" w:name="_Toc40804083"/>
      <w:bookmarkStart w:id="1" w:name="OLE_LINK1"/>
      <w:r>
        <w:lastRenderedPageBreak/>
        <w:t>Bal</w:t>
      </w:r>
      <w:r w:rsidR="00CD7310" w:rsidRPr="00FD7B48">
        <w:t>anço Patrimonial</w:t>
      </w:r>
      <w:bookmarkEnd w:id="0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2"/>
        <w:gridCol w:w="1070"/>
        <w:gridCol w:w="357"/>
        <w:gridCol w:w="1185"/>
        <w:gridCol w:w="205"/>
        <w:gridCol w:w="1183"/>
      </w:tblGrid>
      <w:tr w:rsidR="00A32AE5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Ativo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Nota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6B46BB" w:rsidP="006B46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="00A32AE5" w:rsidRPr="00A32AE5">
              <w:rPr>
                <w:b/>
                <w:bCs/>
                <w:color w:val="000000"/>
              </w:rPr>
              <w:t>/</w:t>
            </w:r>
            <w:r w:rsidR="005C2179">
              <w:rPr>
                <w:b/>
                <w:bCs/>
                <w:color w:val="000000"/>
              </w:rPr>
              <w:t>03</w:t>
            </w:r>
            <w:r w:rsidR="00A32AE5" w:rsidRPr="00A32AE5">
              <w:rPr>
                <w:b/>
                <w:bCs/>
                <w:color w:val="000000"/>
              </w:rPr>
              <w:t>/20</w:t>
            </w:r>
            <w:r w:rsidR="005C2179">
              <w:rPr>
                <w:b/>
                <w:bCs/>
                <w:color w:val="000000"/>
              </w:rPr>
              <w:t>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151F70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31/12/201</w:t>
            </w:r>
            <w:r w:rsidR="00151F70">
              <w:rPr>
                <w:b/>
                <w:bCs/>
                <w:color w:val="000000"/>
              </w:rPr>
              <w:t>9</w:t>
            </w:r>
          </w:p>
        </w:tc>
      </w:tr>
      <w:tr w:rsidR="00A32AE5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right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Caixa e Equivalente de Caixa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C104FD" w:rsidP="00A32AE5">
            <w:pPr>
              <w:jc w:val="right"/>
            </w:pPr>
            <w:r>
              <w:t>154.165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108.582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Créditos a Receber Curto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151F70" w:rsidP="00A32AE5"/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r w:rsidRPr="00317C4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Faturas e Duplicatas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9F1855" w:rsidRDefault="009F1855" w:rsidP="00A32AE5">
            <w:pPr>
              <w:jc w:val="right"/>
            </w:pPr>
            <w:r w:rsidRPr="009F1855"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80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Crédito de Fornecimento de Serviços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9F1855" w:rsidRDefault="009F1855" w:rsidP="009F1855">
            <w:pPr>
              <w:jc w:val="right"/>
            </w:pPr>
            <w:r w:rsidRPr="009F1855">
              <w:t>42</w:t>
            </w:r>
            <w:r w:rsidR="000F6B4D" w:rsidRPr="009F1855">
              <w:t>.</w:t>
            </w:r>
            <w:r w:rsidRPr="009F1855">
              <w:t>948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43.556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C104FD" w:rsidP="00A32AE5">
            <w:pPr>
              <w:jc w:val="right"/>
            </w:pPr>
            <w:r>
              <w:t>182.143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175.522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de Pessoal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7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C104FD" w:rsidP="00FD12D0">
            <w:pPr>
              <w:jc w:val="right"/>
            </w:pPr>
            <w:r>
              <w:t>20.980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14.749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Benefícios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151F70" w:rsidP="00FD12D0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-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Demais Contas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6A6ABF" w:rsidP="00A32AE5">
            <w:pPr>
              <w:jc w:val="right"/>
            </w:pPr>
            <w:r>
              <w:t>288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2.713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a Fornecedores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C104FD" w:rsidP="00A32AE5">
            <w:pPr>
              <w:jc w:val="right"/>
            </w:pPr>
            <w:r>
              <w:t>18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2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Estoques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Estoques Materiais de Consumo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C104FD" w:rsidP="00A32AE5">
            <w:pPr>
              <w:jc w:val="right"/>
            </w:pPr>
            <w:r>
              <w:t>24.344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18.152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Importação em Andamento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C104FD" w:rsidP="00A32AE5">
            <w:pPr>
              <w:jc w:val="right"/>
            </w:pPr>
            <w:r>
              <w:t>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1.417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Despesas Pagas Antecipadamente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 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bookmarkStart w:id="2" w:name="_GoBack"/>
            <w:bookmarkEnd w:id="2"/>
            <w:r w:rsidRPr="00A32AE5">
              <w:rPr>
                <w:color w:val="000000"/>
              </w:rPr>
              <w:t xml:space="preserve">          Prêmios de Seguro a Apropriar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317C48" w:rsidRDefault="00C104FD" w:rsidP="00A32AE5">
            <w:pPr>
              <w:jc w:val="right"/>
            </w:pPr>
            <w:r>
              <w:t>192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7C48" w:rsidRDefault="00151F70" w:rsidP="008A1483">
            <w:pPr>
              <w:jc w:val="right"/>
            </w:pPr>
            <w:r w:rsidRPr="00317C48">
              <w:t>315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7F2738" w:rsidRDefault="00C104FD" w:rsidP="00317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425.158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8A1483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365.088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r w:rsidRPr="007F273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Não 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r w:rsidRPr="007F273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Realizável a Longo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r w:rsidRPr="007F273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       Depósitos Judiciais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7F2738" w:rsidRDefault="006A6ABF" w:rsidP="00317C48">
            <w:pPr>
              <w:jc w:val="right"/>
            </w:pPr>
            <w:r>
              <w:t>1.859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1.636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7F2738" w:rsidRDefault="006A6ABF" w:rsidP="00317C48">
            <w:pPr>
              <w:jc w:val="right"/>
            </w:pPr>
            <w:r>
              <w:t>429.698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425.050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       Demais Créditos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rPr>
                <w:sz w:val="22"/>
                <w:szCs w:val="22"/>
              </w:rPr>
            </w:pPr>
            <w:r w:rsidRPr="007F2738">
              <w:rPr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7F2738" w:rsidRDefault="006A6ABF" w:rsidP="00A32AE5">
            <w:pPr>
              <w:jc w:val="right"/>
            </w:pPr>
            <w:r>
              <w:t>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70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Imobilizado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7F2738" w:rsidRDefault="006A6ABF" w:rsidP="00A32AE5">
            <w:pPr>
              <w:jc w:val="right"/>
            </w:pPr>
            <w:r>
              <w:t>924.628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923.818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Intangível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7F2738" w:rsidRDefault="006A6ABF" w:rsidP="00317C48">
            <w:pPr>
              <w:jc w:val="right"/>
            </w:pPr>
            <w:r>
              <w:t>2.110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2.194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7F2738" w:rsidRDefault="006A6ABF" w:rsidP="00317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1.358.339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8A1483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1.352.768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7F2738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 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 xml:space="preserve">  Total do Ativo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7F2738" w:rsidRDefault="006A6ABF" w:rsidP="00254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1.783.497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8A1483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1.717.856</w:t>
            </w:r>
          </w:p>
        </w:tc>
      </w:tr>
    </w:tbl>
    <w:p w:rsidR="00C843EB" w:rsidRDefault="00C843EB" w:rsidP="00C843EB"/>
    <w:p w:rsidR="00C843EB" w:rsidRDefault="00C843EB" w:rsidP="00C843EB">
      <w:pPr>
        <w:jc w:val="center"/>
      </w:pPr>
    </w:p>
    <w:p w:rsidR="00C843EB" w:rsidRPr="00C843EB" w:rsidRDefault="00DF06DB" w:rsidP="00606533">
      <w:r>
        <w:t>A</w:t>
      </w:r>
      <w:r w:rsidR="00C843EB" w:rsidRPr="00C843EB">
        <w:t>s notas explicativas são parte integran</w:t>
      </w:r>
      <w:r w:rsidR="00606533">
        <w:t>te das demonstrações contábeis.</w:t>
      </w:r>
    </w:p>
    <w:p w:rsidR="0049721C" w:rsidRPr="00FD7B48" w:rsidRDefault="0049721C" w:rsidP="0049721C">
      <w:pPr>
        <w:rPr>
          <w:b/>
        </w:rPr>
      </w:pPr>
    </w:p>
    <w:p w:rsidR="0049721C" w:rsidRPr="00C843EB" w:rsidRDefault="0049721C">
      <w:r w:rsidRPr="00FD7B48">
        <w:rPr>
          <w:b/>
        </w:rPr>
        <w:br w:type="page"/>
      </w:r>
    </w:p>
    <w:p w:rsidR="0049721C" w:rsidRPr="00FD7B48" w:rsidRDefault="0049721C" w:rsidP="00CD7310">
      <w:pPr>
        <w:pStyle w:val="Ttulo1"/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991"/>
        <w:gridCol w:w="201"/>
        <w:gridCol w:w="1123"/>
        <w:gridCol w:w="292"/>
        <w:gridCol w:w="1123"/>
      </w:tblGrid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FF0000"/>
              </w:rPr>
            </w:pPr>
            <w:r w:rsidRPr="00652D4A">
              <w:rPr>
                <w:b/>
                <w:bCs/>
                <w:color w:val="FF000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254AA5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254AA5" w:rsidRDefault="00652D4A" w:rsidP="00652D4A">
            <w:r w:rsidRPr="00254AA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652D4A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652D4A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B46BB" w:rsidP="00B14220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31</w:t>
            </w:r>
            <w:r w:rsidR="00652D4A" w:rsidRPr="00254AA5">
              <w:rPr>
                <w:b/>
                <w:bCs/>
              </w:rPr>
              <w:t>/</w:t>
            </w:r>
            <w:r w:rsidR="00B14220">
              <w:rPr>
                <w:b/>
                <w:bCs/>
              </w:rPr>
              <w:t>03/2020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254AA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151F70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31/12/201</w:t>
            </w:r>
            <w:r w:rsidR="00151F70">
              <w:rPr>
                <w:b/>
                <w:bCs/>
              </w:rPr>
              <w:t>9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652D4A">
            <w:pPr>
              <w:jc w:val="right"/>
            </w:pPr>
            <w:r>
              <w:t>23.657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24.262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254AA5">
            <w:pPr>
              <w:jc w:val="right"/>
            </w:pPr>
            <w:r>
              <w:t>1.244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1.257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652D4A">
            <w:pPr>
              <w:jc w:val="right"/>
            </w:pPr>
            <w:r>
              <w:t>50.337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63.579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254AA5">
            <w:pPr>
              <w:jc w:val="right"/>
            </w:pPr>
            <w:r>
              <w:t>182.143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175.522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254AA5">
            <w:pPr>
              <w:jc w:val="right"/>
            </w:pPr>
            <w:r>
              <w:t>6.876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7.316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254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264.257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</w:t>
            </w:r>
            <w:r w:rsidRPr="00254AA5">
              <w:rPr>
                <w:b/>
                <w:bCs/>
              </w:rPr>
              <w:t>.</w:t>
            </w:r>
            <w:r>
              <w:rPr>
                <w:b/>
                <w:bCs/>
              </w:rPr>
              <w:t>936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B46BB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Exigível a Longo Prazo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B46BB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rPr>
                <w:sz w:val="22"/>
                <w:szCs w:val="22"/>
              </w:rPr>
            </w:pPr>
            <w:r w:rsidRPr="000779B3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B17124">
            <w:pPr>
              <w:jc w:val="right"/>
            </w:pPr>
            <w:r>
              <w:t>12.165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87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652D4A">
            <w:pPr>
              <w:jc w:val="right"/>
            </w:pPr>
            <w:r>
              <w:t>429.698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425.050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254AA5" w:rsidRDefault="00B17124" w:rsidP="00254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441.863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  <w:rPr>
                <w:b/>
                <w:bCs/>
              </w:rPr>
            </w:pPr>
            <w:r w:rsidRPr="00254AA5">
              <w:rPr>
                <w:b/>
                <w:bCs/>
              </w:rPr>
              <w:t>425.137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B46BB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B46BB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rPr>
                <w:sz w:val="22"/>
                <w:szCs w:val="22"/>
              </w:rPr>
            </w:pPr>
            <w:r w:rsidRPr="000779B3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EA0D27" w:rsidRDefault="00B17124" w:rsidP="00652D4A">
            <w:pPr>
              <w:jc w:val="right"/>
            </w:pPr>
            <w:r>
              <w:t>1.107.523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A0D27" w:rsidRDefault="00151F70" w:rsidP="008A1483">
            <w:pPr>
              <w:jc w:val="right"/>
            </w:pPr>
            <w:r w:rsidRPr="00EA0D27">
              <w:t>1.107.523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EA0D27" w:rsidRDefault="00B17124" w:rsidP="00254AA5">
            <w:pPr>
              <w:jc w:val="right"/>
            </w:pPr>
            <w:r>
              <w:t>106.054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A0D27" w:rsidRDefault="00151F70" w:rsidP="008A1483">
            <w:pPr>
              <w:jc w:val="right"/>
            </w:pPr>
            <w:r w:rsidRPr="00EA0D27">
              <w:t>55.820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EA0D27" w:rsidRDefault="00B17124" w:rsidP="00254AA5">
            <w:pPr>
              <w:jc w:val="right"/>
            </w:pPr>
            <w:r>
              <w:t>(16.235)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A0D27" w:rsidRDefault="00151F70" w:rsidP="008A1483">
            <w:pPr>
              <w:jc w:val="right"/>
            </w:pPr>
            <w:r w:rsidRPr="00EA0D27">
              <w:t>(16.030)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EA0D27" w:rsidRDefault="00B17124" w:rsidP="00014865">
            <w:pPr>
              <w:jc w:val="right"/>
            </w:pPr>
            <w:r>
              <w:t>(119.964)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EA0D27" w:rsidRDefault="00151F70" w:rsidP="008F1C1C">
            <w:pPr>
              <w:jc w:val="right"/>
            </w:pPr>
            <w:r w:rsidRPr="00EA0D27">
              <w:t>(126.5</w:t>
            </w:r>
            <w:r w:rsidR="008F1C1C">
              <w:t>30</w:t>
            </w:r>
            <w:r w:rsidRPr="00EA0D27">
              <w:t>)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EA0D27" w:rsidRDefault="00B17124" w:rsidP="00254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1.077.378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EA0D27" w:rsidRDefault="00151F70" w:rsidP="008A1483">
            <w:pPr>
              <w:jc w:val="right"/>
              <w:rPr>
                <w:b/>
                <w:bCs/>
              </w:rPr>
            </w:pPr>
            <w:r w:rsidRPr="00EA0D27">
              <w:rPr>
                <w:b/>
                <w:bCs/>
              </w:rPr>
              <w:t>1.020.783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B46BB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</w:t>
            </w:r>
            <w:r w:rsidRPr="00652D4A">
              <w:rPr>
                <w:b/>
                <w:bCs/>
                <w:color w:val="000000"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FF0000"/>
              </w:rPr>
            </w:pPr>
            <w:r w:rsidRPr="00652D4A">
              <w:rPr>
                <w:b/>
                <w:bCs/>
                <w:color w:val="FF000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6B46BB" w:rsidRDefault="00B17124" w:rsidP="00EA0D27">
            <w:pPr>
              <w:jc w:val="right"/>
              <w:rPr>
                <w:b/>
                <w:bCs/>
                <w:color w:val="FF0000"/>
              </w:rPr>
            </w:pPr>
            <w:r w:rsidRPr="00B17124">
              <w:rPr>
                <w:b/>
                <w:bCs/>
              </w:rPr>
              <w:t>1.783.497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b/>
                <w:bCs/>
                <w:color w:val="FF0000"/>
              </w:rPr>
            </w:pPr>
            <w:r w:rsidRPr="00EA0D27">
              <w:rPr>
                <w:b/>
                <w:bCs/>
              </w:rPr>
              <w:t>1.717.856</w:t>
            </w:r>
          </w:p>
        </w:tc>
      </w:tr>
    </w:tbl>
    <w:p w:rsidR="00CD7AFB" w:rsidRDefault="00500AA1" w:rsidP="00CD7AFB">
      <w:pPr>
        <w:jc w:val="center"/>
      </w:pPr>
      <w:r>
        <w:br w:type="textWrapping" w:clear="all"/>
      </w:r>
    </w:p>
    <w:p w:rsidR="00CD7AFB" w:rsidRPr="00C843EB" w:rsidRDefault="00DF06DB" w:rsidP="00606533">
      <w:r>
        <w:t>A</w:t>
      </w:r>
      <w:r w:rsidR="00CD7AFB" w:rsidRPr="00C843EB">
        <w:t>s notas explicativas são parte integran</w:t>
      </w:r>
      <w:r w:rsidR="00606533">
        <w:t>te das demonstrações contábeis.</w:t>
      </w:r>
    </w:p>
    <w:p w:rsidR="00CD7AFB" w:rsidRDefault="00CD7AFB" w:rsidP="00CD7AFB">
      <w:pPr>
        <w:rPr>
          <w:b/>
        </w:rPr>
      </w:pPr>
    </w:p>
    <w:p w:rsidR="002C7C23" w:rsidRPr="00FD7B48" w:rsidRDefault="002C7C23" w:rsidP="00CD7AFB">
      <w:pPr>
        <w:rPr>
          <w:b/>
        </w:rPr>
      </w:pPr>
    </w:p>
    <w:p w:rsidR="001A1DC1" w:rsidRDefault="001A1DC1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552"/>
        <w:gridCol w:w="427"/>
        <w:gridCol w:w="146"/>
        <w:gridCol w:w="1370"/>
        <w:gridCol w:w="426"/>
        <w:gridCol w:w="1509"/>
      </w:tblGrid>
      <w:tr w:rsidR="007F29A9" w:rsidRPr="009A1B3B" w:rsidTr="007F29A9">
        <w:trPr>
          <w:trHeight w:val="300"/>
        </w:trPr>
        <w:tc>
          <w:tcPr>
            <w:tcW w:w="25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6C0BD3" w:rsidP="00907FDE">
            <w:pPr>
              <w:rPr>
                <w:b/>
                <w:bCs/>
                <w:color w:val="000000"/>
              </w:rPr>
            </w:pP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471DD" w:rsidRDefault="006C0BD3" w:rsidP="00010B64">
            <w:pPr>
              <w:jc w:val="center"/>
              <w:rPr>
                <w:b/>
                <w:bCs/>
                <w:color w:val="000000"/>
              </w:rPr>
            </w:pPr>
            <w:r w:rsidRPr="009471DD">
              <w:rPr>
                <w:b/>
                <w:bCs/>
                <w:color w:val="000000"/>
              </w:rPr>
              <w:t xml:space="preserve">Nota </w:t>
            </w: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471DD" w:rsidRDefault="006C0BD3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left w:val="nil"/>
              <w:right w:val="nil"/>
            </w:tcBorders>
          </w:tcPr>
          <w:p w:rsidR="006C0BD3" w:rsidRPr="009471DD" w:rsidRDefault="006C0BD3" w:rsidP="00053B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471DD" w:rsidRDefault="009471DD" w:rsidP="00892A66">
            <w:pPr>
              <w:jc w:val="right"/>
              <w:rPr>
                <w:b/>
                <w:bCs/>
                <w:color w:val="000000"/>
              </w:rPr>
            </w:pPr>
            <w:r w:rsidRPr="009471DD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471DD" w:rsidRDefault="006C0BD3" w:rsidP="00892A66">
            <w:pPr>
              <w:jc w:val="right"/>
              <w:rPr>
                <w:color w:val="000000"/>
              </w:rPr>
            </w:pP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9471DD" w:rsidP="00892A66">
            <w:pPr>
              <w:jc w:val="right"/>
              <w:rPr>
                <w:b/>
                <w:bCs/>
                <w:color w:val="000000"/>
              </w:rPr>
            </w:pPr>
            <w:r w:rsidRPr="009471DD">
              <w:rPr>
                <w:b/>
                <w:bCs/>
                <w:color w:val="000000"/>
              </w:rPr>
              <w:t>31/03</w:t>
            </w:r>
            <w:r w:rsidR="006C0BD3" w:rsidRPr="009471DD">
              <w:rPr>
                <w:b/>
                <w:bCs/>
                <w:color w:val="000000"/>
              </w:rPr>
              <w:t>/201</w:t>
            </w:r>
            <w:r w:rsidRPr="009471DD">
              <w:rPr>
                <w:b/>
                <w:bCs/>
                <w:color w:val="000000"/>
              </w:rPr>
              <w:t>9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b/>
                <w:bCs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b/>
                <w:bCs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6C0BD3" w:rsidRPr="009A1B3B" w:rsidRDefault="006C0BD3" w:rsidP="00010B64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/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Receita Operacional Bruta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E5101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8C1D1E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59.586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9471DD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58.948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Serviços Prestados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E5101" w:rsidRDefault="006C0BD3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8C1D1E">
            <w:pPr>
              <w:jc w:val="right"/>
            </w:pPr>
            <w:r w:rsidRPr="006E5101">
              <w:t>59.586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6C0BD3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9471DD">
            <w:pPr>
              <w:jc w:val="right"/>
            </w:pPr>
            <w:r w:rsidRPr="006E5101">
              <w:t>58.948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Deduções Da Receita Bruta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E5101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E5101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(621)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6E5101" w:rsidRDefault="009471DD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(577)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1DD" w:rsidRPr="006E5101" w:rsidRDefault="009471DD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PIS Sobre Faturamento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1DD" w:rsidRPr="006E5101" w:rsidRDefault="009471DD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1DD" w:rsidRPr="006E5101" w:rsidRDefault="009471DD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1DD" w:rsidRPr="006E5101" w:rsidRDefault="009471DD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1DD" w:rsidRPr="006E5101" w:rsidRDefault="000D5A64">
            <w:pPr>
              <w:jc w:val="right"/>
            </w:pPr>
            <w:r w:rsidRPr="006E5101">
              <w:t>(111)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1DD" w:rsidRPr="006E5101" w:rsidRDefault="009471DD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1DD" w:rsidRPr="006E5101" w:rsidRDefault="009471DD" w:rsidP="005679CA">
            <w:pPr>
              <w:jc w:val="right"/>
            </w:pPr>
            <w:r w:rsidRPr="006E5101">
              <w:t>(103)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1DD" w:rsidRPr="006E5101" w:rsidRDefault="009471DD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COFINS Sobre Faturamento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1DD" w:rsidRPr="006E5101" w:rsidRDefault="009471DD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1DD" w:rsidRPr="006E5101" w:rsidRDefault="009471DD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1DD" w:rsidRPr="006E5101" w:rsidRDefault="009471DD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1DD" w:rsidRPr="006E5101" w:rsidRDefault="000D5A64">
            <w:pPr>
              <w:jc w:val="right"/>
            </w:pPr>
            <w:r w:rsidRPr="006E5101">
              <w:t>(510)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1DD" w:rsidRPr="006E5101" w:rsidRDefault="009471DD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1DD" w:rsidRPr="006E5101" w:rsidRDefault="009471DD" w:rsidP="005679CA">
            <w:pPr>
              <w:jc w:val="right"/>
            </w:pPr>
            <w:r w:rsidRPr="006E5101">
              <w:t xml:space="preserve">             (474)</w:t>
            </w:r>
          </w:p>
        </w:tc>
      </w:tr>
      <w:tr w:rsidR="007F29A9" w:rsidRPr="009A1B3B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Receita Operacional Liquida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BC462F">
            <w:pPr>
              <w:jc w:val="right"/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1</w:t>
            </w:r>
            <w:r w:rsidR="00467099">
              <w:rPr>
                <w:b/>
                <w:bCs/>
                <w:color w:val="000000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58.965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58.371</w:t>
            </w:r>
          </w:p>
        </w:tc>
      </w:tr>
      <w:tr w:rsidR="007F29A9" w:rsidRPr="00F17F19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F17F19" w:rsidRDefault="000D5A64" w:rsidP="00053B4F">
            <w:pPr>
              <w:rPr>
                <w:bCs/>
                <w:color w:val="000000"/>
              </w:rPr>
            </w:pPr>
            <w:r w:rsidRPr="00F17F19">
              <w:rPr>
                <w:bCs/>
                <w:color w:val="000000"/>
              </w:rPr>
              <w:t>Custos dos Serviços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F17F19" w:rsidRDefault="000D5A64" w:rsidP="00053B4F">
            <w:pPr>
              <w:jc w:val="right"/>
              <w:rPr>
                <w:b/>
                <w:bCs/>
                <w:color w:val="000000"/>
              </w:rPr>
            </w:pPr>
            <w:r w:rsidRPr="00F17F19">
              <w:rPr>
                <w:b/>
                <w:bCs/>
                <w:color w:val="000000"/>
              </w:rPr>
              <w:t>1</w:t>
            </w:r>
            <w:r w:rsidR="00467099">
              <w:rPr>
                <w:b/>
                <w:bCs/>
                <w:color w:val="000000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F17F19" w:rsidRDefault="000D5A64" w:rsidP="00053B4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F17F19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F17F19" w:rsidRDefault="006E5101">
            <w:pPr>
              <w:jc w:val="right"/>
              <w:rPr>
                <w:bCs/>
              </w:rPr>
            </w:pPr>
            <w:r w:rsidRPr="00F17F19">
              <w:rPr>
                <w:bCs/>
              </w:rPr>
              <w:t>(</w:t>
            </w:r>
            <w:r w:rsidR="000D5A64" w:rsidRPr="00F17F19">
              <w:rPr>
                <w:bCs/>
              </w:rPr>
              <w:t>299.347</w:t>
            </w:r>
            <w:r w:rsidRPr="00F17F19">
              <w:rPr>
                <w:bCs/>
              </w:rP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F17F19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F17F19" w:rsidRDefault="000D5A64" w:rsidP="005679CA">
            <w:pPr>
              <w:jc w:val="right"/>
              <w:rPr>
                <w:bCs/>
              </w:rPr>
            </w:pPr>
            <w:r w:rsidRPr="00F17F19">
              <w:rPr>
                <w:bCs/>
              </w:rPr>
              <w:t xml:space="preserve">    (286.604)</w:t>
            </w:r>
          </w:p>
        </w:tc>
      </w:tr>
      <w:tr w:rsidR="007F29A9" w:rsidRPr="009A1B3B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Resultado Operacional Bruto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6E51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(240.382)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 xml:space="preserve">    (228.233)</w:t>
            </w:r>
          </w:p>
        </w:tc>
      </w:tr>
      <w:tr w:rsidR="007F29A9" w:rsidRPr="009A1B3B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Despesas Operacionais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467099" w:rsidP="00053B4F">
            <w:pPr>
              <w:jc w:val="right"/>
              <w:rPr>
                <w:b/>
                <w:bCs/>
                <w:color w:val="000000"/>
              </w:rPr>
            </w:pPr>
            <w:r w:rsidRPr="00F17F1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6E51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0D5A64" w:rsidRPr="006E5101">
              <w:rPr>
                <w:b/>
                <w:bCs/>
              </w:rPr>
              <w:t>54.715</w:t>
            </w:r>
            <w:r>
              <w:rPr>
                <w:b/>
                <w:bCs/>
              </w:rP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 xml:space="preserve">    (51.273)</w:t>
            </w:r>
          </w:p>
        </w:tc>
      </w:tr>
      <w:tr w:rsidR="007F29A9" w:rsidRPr="009A1B3B" w:rsidTr="0046709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Despesas Administrativas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6E5101">
            <w:pPr>
              <w:jc w:val="right"/>
            </w:pPr>
            <w:r>
              <w:t>(</w:t>
            </w:r>
            <w:r w:rsidR="000D5A64" w:rsidRPr="006E5101">
              <w:t>49.352</w:t>
            </w:r>
            <w: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</w:pPr>
            <w:r w:rsidRPr="006E5101">
              <w:t xml:space="preserve">      (48.193)</w:t>
            </w:r>
          </w:p>
        </w:tc>
      </w:tr>
      <w:tr w:rsidR="007F29A9" w:rsidRPr="009A1B3B" w:rsidTr="0046709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Provisão para Contingencias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6E5101">
            <w:pPr>
              <w:jc w:val="right"/>
            </w:pPr>
            <w:r>
              <w:t>(</w:t>
            </w:r>
            <w:r w:rsidR="000D5A64" w:rsidRPr="006E5101">
              <w:t>5.363</w:t>
            </w:r>
            <w: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</w:pPr>
            <w:r w:rsidRPr="006E5101">
              <w:t xml:space="preserve">          (3.080)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Outras Receitas e Despesas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467099" w:rsidP="0005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4.207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3.063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Receitas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</w:pPr>
            <w:r w:rsidRPr="006E5101">
              <w:t>4.265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</w:pPr>
            <w:r w:rsidRPr="006E5101">
              <w:t xml:space="preserve">            3.246 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Despesas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5E1E74">
            <w:pPr>
              <w:jc w:val="right"/>
            </w:pPr>
            <w:r>
              <w:t>(</w:t>
            </w:r>
            <w:r w:rsidR="000D5A64" w:rsidRPr="006E5101">
              <w:t>53</w:t>
            </w:r>
            <w: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</w:pPr>
            <w:r w:rsidRPr="006E5101">
              <w:t xml:space="preserve">             (117)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Resultado com Baixa Bens do Imobilizado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5E1E74">
            <w:pPr>
              <w:jc w:val="right"/>
            </w:pPr>
            <w:r>
              <w:t>(</w:t>
            </w:r>
            <w:r w:rsidR="000D5A64" w:rsidRPr="006E5101">
              <w:t>5</w:t>
            </w:r>
            <w: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</w:pPr>
            <w:r w:rsidRPr="006E5101">
              <w:t xml:space="preserve">               (66)</w:t>
            </w:r>
          </w:p>
        </w:tc>
      </w:tr>
      <w:tr w:rsidR="007F29A9" w:rsidRPr="009A1B3B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Prejuízo antes do Resultado Financeiro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6E51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="000D5A64" w:rsidRPr="006E5101">
              <w:rPr>
                <w:b/>
                <w:bCs/>
                <w:color w:val="000000"/>
              </w:rPr>
              <w:t>290.890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(276.443)</w:t>
            </w:r>
          </w:p>
        </w:tc>
      </w:tr>
      <w:tr w:rsidR="007F29A9" w:rsidRPr="009A1B3B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Resultado Financeiro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467099">
            <w:pPr>
              <w:jc w:val="right"/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2</w:t>
            </w:r>
            <w:r w:rsidR="00467099">
              <w:rPr>
                <w:b/>
                <w:bCs/>
                <w:color w:val="000000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2.000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(262)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Despesas Financeiras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26072C">
            <w:pPr>
              <w:jc w:val="right"/>
            </w:pPr>
            <w:r>
              <w:t>(</w:t>
            </w:r>
            <w:r w:rsidR="005E1E74">
              <w:t>569</w:t>
            </w:r>
            <w: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</w:pPr>
            <w:r w:rsidRPr="006E5101">
              <w:t xml:space="preserve">             (861)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Receitas Financeiras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</w:pPr>
            <w:r w:rsidRPr="006E5101">
              <w:t>2.569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5679CA">
            <w:pPr>
              <w:jc w:val="right"/>
            </w:pPr>
            <w:r w:rsidRPr="006E5101">
              <w:t xml:space="preserve">               599 </w:t>
            </w:r>
          </w:p>
        </w:tc>
      </w:tr>
      <w:tr w:rsidR="007F29A9" w:rsidRPr="009A1B3B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bCs/>
                <w:color w:val="000000"/>
              </w:rPr>
            </w:pPr>
            <w:r w:rsidRPr="006E5101">
              <w:rPr>
                <w:b/>
                <w:bCs/>
                <w:color w:val="000000"/>
              </w:rPr>
              <w:t>Resultado antes das Subvenções Governamentais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6E51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="000D5A64" w:rsidRPr="006E5101">
              <w:rPr>
                <w:b/>
                <w:bCs/>
                <w:color w:val="000000"/>
              </w:rPr>
              <w:t>288.890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(276.705)</w:t>
            </w:r>
          </w:p>
        </w:tc>
      </w:tr>
      <w:tr w:rsidR="007F29A9" w:rsidRPr="009A1B3B" w:rsidTr="0018492C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892A66" w:rsidP="00892A66">
            <w:pPr>
              <w:rPr>
                <w:color w:val="000000"/>
              </w:rPr>
            </w:pPr>
            <w:r>
              <w:t>Subvenções do Tesouro Nacional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892A66">
            <w:pPr>
              <w:jc w:val="right"/>
            </w:pPr>
            <w:r w:rsidRPr="006E5101">
              <w:t>3</w:t>
            </w:r>
            <w:r w:rsidR="00892A66">
              <w:t>57</w:t>
            </w:r>
            <w:r w:rsidRPr="006E5101">
              <w:t>.</w:t>
            </w:r>
            <w:r w:rsidR="00892A66">
              <w:t>632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892A66">
            <w:pPr>
              <w:jc w:val="right"/>
            </w:pPr>
            <w:r w:rsidRPr="006E5101">
              <w:t xml:space="preserve">        2</w:t>
            </w:r>
            <w:r w:rsidR="00892A66">
              <w:t>82</w:t>
            </w:r>
            <w:r w:rsidRPr="006E5101">
              <w:t>.</w:t>
            </w:r>
            <w:r w:rsidR="00892A66">
              <w:t>079</w:t>
            </w:r>
            <w:r w:rsidRPr="006E5101">
              <w:t xml:space="preserve"> </w:t>
            </w:r>
          </w:p>
        </w:tc>
      </w:tr>
      <w:tr w:rsidR="007F29A9" w:rsidRPr="009A1B3B" w:rsidTr="007F29A9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892A66">
            <w:pPr>
              <w:rPr>
                <w:color w:val="000000"/>
              </w:rPr>
            </w:pPr>
            <w:r w:rsidRPr="006E5101">
              <w:t xml:space="preserve">Repasses </w:t>
            </w:r>
            <w:r w:rsidR="00892A66">
              <w:t>para Subvenções e Doações Governamentais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892A66" w:rsidP="00892A66">
            <w:pPr>
              <w:jc w:val="right"/>
            </w:pPr>
            <w:r>
              <w:t>(63.305)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892A66" w:rsidP="00892A66">
            <w:pPr>
              <w:jc w:val="right"/>
            </w:pPr>
            <w:r>
              <w:t xml:space="preserve">            (5</w:t>
            </w:r>
            <w:r w:rsidR="000D5A64" w:rsidRPr="006E5101">
              <w:t>.</w:t>
            </w:r>
            <w:r>
              <w:t>699)</w:t>
            </w:r>
            <w:r w:rsidR="000D5A64" w:rsidRPr="006E5101">
              <w:t xml:space="preserve"> </w:t>
            </w:r>
          </w:p>
        </w:tc>
      </w:tr>
      <w:tr w:rsidR="007F29A9" w:rsidRPr="009A1B3B" w:rsidTr="00586F46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color w:val="000000"/>
              </w:rPr>
            </w:pPr>
            <w:r w:rsidRPr="006E5101">
              <w:rPr>
                <w:color w:val="000000"/>
              </w:rPr>
              <w:t>Reversões e Repasses Concedidos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892A66">
            <w:pPr>
              <w:jc w:val="right"/>
            </w:pPr>
            <w:r>
              <w:t>922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892A66">
            <w:pPr>
              <w:jc w:val="right"/>
            </w:pPr>
            <w:r w:rsidRPr="006E5101">
              <w:t>(7</w:t>
            </w:r>
            <w:r w:rsidR="00892A66">
              <w:t>4</w:t>
            </w:r>
            <w:r w:rsidRPr="006E5101">
              <w:t>)</w:t>
            </w:r>
          </w:p>
        </w:tc>
      </w:tr>
      <w:tr w:rsidR="007F29A9" w:rsidRPr="009A1B3B" w:rsidTr="00586F46">
        <w:trPr>
          <w:trHeight w:val="300"/>
        </w:trPr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rPr>
                <w:b/>
                <w:color w:val="000000"/>
              </w:rPr>
            </w:pPr>
            <w:r w:rsidRPr="006E5101">
              <w:rPr>
                <w:b/>
                <w:color w:val="000000"/>
              </w:rPr>
              <w:t>Resultado Líquido do Exercício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A64" w:rsidRPr="006E5101" w:rsidRDefault="000D5A64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6.359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 w:rsidP="00A33C76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A64" w:rsidRPr="006E5101" w:rsidRDefault="000D5A64">
            <w:pPr>
              <w:jc w:val="right"/>
              <w:rPr>
                <w:b/>
                <w:bCs/>
              </w:rPr>
            </w:pPr>
            <w:r w:rsidRPr="006E5101">
              <w:rPr>
                <w:b/>
                <w:bCs/>
              </w:rPr>
              <w:t>(399)</w:t>
            </w:r>
          </w:p>
        </w:tc>
      </w:tr>
    </w:tbl>
    <w:p w:rsidR="00282794" w:rsidRDefault="00282794" w:rsidP="00B63A81">
      <w:pPr>
        <w:rPr>
          <w:sz w:val="16"/>
          <w:szCs w:val="16"/>
        </w:rPr>
      </w:pP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4"/>
      </w:tblGrid>
      <w:tr w:rsidR="00D802AA" w:rsidRPr="00E15190" w:rsidTr="007016DD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802AA" w:rsidRPr="00E15190" w:rsidRDefault="00053B4F" w:rsidP="00053B4F">
            <w:pPr>
              <w:rPr>
                <w:b/>
                <w:bCs/>
                <w:color w:val="000000"/>
              </w:rPr>
            </w:pPr>
            <w:r w:rsidRPr="00E15190">
              <w:rPr>
                <w:b/>
                <w:bCs/>
                <w:color w:val="000000"/>
              </w:rPr>
              <w:t>Demonstração do</w:t>
            </w:r>
            <w:r w:rsidR="00D802AA" w:rsidRPr="00E15190">
              <w:rPr>
                <w:b/>
                <w:bCs/>
                <w:color w:val="000000"/>
              </w:rPr>
              <w:t xml:space="preserve"> Resultado </w:t>
            </w:r>
            <w:r w:rsidRPr="00E15190">
              <w:rPr>
                <w:b/>
                <w:bCs/>
                <w:color w:val="000000"/>
              </w:rPr>
              <w:t>Abrangente</w:t>
            </w:r>
            <w:r w:rsidR="00D802AA" w:rsidRPr="00E15190">
              <w:rPr>
                <w:b/>
                <w:bCs/>
                <w:color w:val="000000"/>
              </w:rPr>
              <w:t xml:space="preserve"> (DR</w:t>
            </w:r>
            <w:r w:rsidRPr="00E15190">
              <w:rPr>
                <w:b/>
                <w:bCs/>
                <w:color w:val="000000"/>
              </w:rPr>
              <w:t>A</w:t>
            </w:r>
            <w:r w:rsidR="00D802AA" w:rsidRPr="00E15190">
              <w:rPr>
                <w:b/>
                <w:bCs/>
                <w:color w:val="000000"/>
              </w:rPr>
              <w:t>)</w:t>
            </w:r>
          </w:p>
        </w:tc>
      </w:tr>
    </w:tbl>
    <w:p w:rsidR="00A32395" w:rsidRPr="00E15190" w:rsidRDefault="00A32395" w:rsidP="00B63A81">
      <w:pPr>
        <w:rPr>
          <w:sz w:val="16"/>
          <w:szCs w:val="16"/>
        </w:rPr>
      </w:pP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728"/>
        <w:gridCol w:w="284"/>
        <w:gridCol w:w="278"/>
        <w:gridCol w:w="1586"/>
        <w:gridCol w:w="415"/>
        <w:gridCol w:w="1557"/>
      </w:tblGrid>
      <w:tr w:rsidR="00014865" w:rsidRPr="00E15190" w:rsidTr="00AB399D">
        <w:trPr>
          <w:trHeight w:val="300"/>
        </w:trPr>
        <w:tc>
          <w:tcPr>
            <w:tcW w:w="23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E15190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3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7016DD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E15190" w:rsidRDefault="00014865" w:rsidP="007016DD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1" w:type="pct"/>
            <w:tcBorders>
              <w:left w:val="nil"/>
              <w:right w:val="nil"/>
            </w:tcBorders>
          </w:tcPr>
          <w:p w:rsidR="00014865" w:rsidRPr="00E15190" w:rsidRDefault="00014865" w:rsidP="006B46BB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865" w:rsidRPr="00E15190" w:rsidRDefault="00014865" w:rsidP="00892A66">
            <w:pPr>
              <w:jc w:val="right"/>
              <w:rPr>
                <w:b/>
                <w:bCs/>
                <w:color w:val="000000"/>
                <w:szCs w:val="18"/>
              </w:rPr>
            </w:pPr>
            <w:r w:rsidRPr="00E15190">
              <w:rPr>
                <w:b/>
                <w:bCs/>
                <w:color w:val="000000"/>
                <w:szCs w:val="18"/>
              </w:rPr>
              <w:t>31/</w:t>
            </w:r>
            <w:r w:rsidR="0080531E" w:rsidRPr="00E15190">
              <w:rPr>
                <w:b/>
                <w:bCs/>
                <w:color w:val="000000"/>
                <w:szCs w:val="18"/>
              </w:rPr>
              <w:t>03</w:t>
            </w:r>
            <w:r w:rsidRPr="00E15190">
              <w:rPr>
                <w:b/>
                <w:bCs/>
                <w:color w:val="000000"/>
                <w:szCs w:val="18"/>
              </w:rPr>
              <w:t>/20</w:t>
            </w:r>
            <w:r w:rsidR="0080531E" w:rsidRPr="00E15190">
              <w:rPr>
                <w:b/>
                <w:bCs/>
                <w:color w:val="000000"/>
                <w:szCs w:val="18"/>
              </w:rPr>
              <w:t>20</w:t>
            </w: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865" w:rsidRPr="00E15190" w:rsidRDefault="00014865" w:rsidP="00892A66">
            <w:pPr>
              <w:jc w:val="right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865" w:rsidRPr="00E15190" w:rsidRDefault="00014865" w:rsidP="00892A66">
            <w:pPr>
              <w:jc w:val="right"/>
              <w:rPr>
                <w:b/>
                <w:bCs/>
                <w:color w:val="000000"/>
                <w:szCs w:val="18"/>
              </w:rPr>
            </w:pPr>
            <w:r w:rsidRPr="00E15190">
              <w:rPr>
                <w:b/>
                <w:bCs/>
                <w:color w:val="000000"/>
                <w:szCs w:val="18"/>
              </w:rPr>
              <w:t>31/</w:t>
            </w:r>
            <w:r w:rsidR="0080531E" w:rsidRPr="00E15190">
              <w:rPr>
                <w:b/>
                <w:bCs/>
                <w:color w:val="000000"/>
                <w:szCs w:val="18"/>
              </w:rPr>
              <w:t>03</w:t>
            </w:r>
            <w:r w:rsidRPr="00E15190">
              <w:rPr>
                <w:b/>
                <w:bCs/>
                <w:color w:val="000000"/>
                <w:szCs w:val="18"/>
              </w:rPr>
              <w:t>/201</w:t>
            </w:r>
            <w:r w:rsidR="0080531E" w:rsidRPr="00E15190">
              <w:rPr>
                <w:b/>
                <w:bCs/>
                <w:color w:val="000000"/>
                <w:szCs w:val="18"/>
              </w:rPr>
              <w:t>9</w:t>
            </w:r>
          </w:p>
        </w:tc>
      </w:tr>
      <w:tr w:rsidR="00014865" w:rsidRPr="00E15190" w:rsidTr="00AB399D">
        <w:trPr>
          <w:trHeight w:val="300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014865" w:rsidRPr="00E15190" w:rsidRDefault="00014865" w:rsidP="007016DD">
            <w:pPr>
              <w:rPr>
                <w:color w:val="000000"/>
                <w:szCs w:val="1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7016DD">
            <w:pPr>
              <w:rPr>
                <w:color w:val="000000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7016DD">
            <w:pPr>
              <w:rPr>
                <w:color w:val="000000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7016DD">
            <w:pPr>
              <w:rPr>
                <w:color w:val="000000"/>
                <w:szCs w:val="18"/>
              </w:rPr>
            </w:pPr>
          </w:p>
        </w:tc>
      </w:tr>
      <w:tr w:rsidR="00014865" w:rsidRPr="00E15190" w:rsidTr="00AB399D">
        <w:trPr>
          <w:trHeight w:val="300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E15190" w:rsidRDefault="00014865" w:rsidP="005F75D9">
            <w:pPr>
              <w:rPr>
                <w:b/>
                <w:bCs/>
                <w:color w:val="000000"/>
                <w:szCs w:val="18"/>
              </w:rPr>
            </w:pPr>
            <w:r w:rsidRPr="00E15190">
              <w:rPr>
                <w:b/>
                <w:color w:val="000000"/>
                <w:szCs w:val="18"/>
              </w:rPr>
              <w:t>Resultado Líquido do Exercício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E15190" w:rsidRDefault="00014865" w:rsidP="005F75D9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65" w:rsidRPr="00E15190" w:rsidRDefault="00014865" w:rsidP="00053B4F">
            <w:pPr>
              <w:jc w:val="right"/>
              <w:rPr>
                <w:b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865" w:rsidRPr="00E15190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2C1F14" w:rsidP="005F75D9">
            <w:pPr>
              <w:jc w:val="right"/>
              <w:rPr>
                <w:b/>
                <w:szCs w:val="18"/>
              </w:rPr>
            </w:pPr>
            <w:r w:rsidRPr="00E15190">
              <w:rPr>
                <w:b/>
                <w:szCs w:val="18"/>
              </w:rPr>
              <w:t>6.359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80531E" w:rsidP="007F29A9">
            <w:pPr>
              <w:ind w:right="142"/>
              <w:jc w:val="right"/>
              <w:rPr>
                <w:b/>
                <w:szCs w:val="18"/>
              </w:rPr>
            </w:pPr>
            <w:r w:rsidRPr="00E15190">
              <w:rPr>
                <w:b/>
                <w:szCs w:val="18"/>
              </w:rPr>
              <w:t>(399</w:t>
            </w:r>
            <w:r w:rsidR="00014865" w:rsidRPr="00E15190">
              <w:rPr>
                <w:b/>
                <w:szCs w:val="18"/>
              </w:rPr>
              <w:t xml:space="preserve">) </w:t>
            </w:r>
          </w:p>
        </w:tc>
      </w:tr>
      <w:tr w:rsidR="00014865" w:rsidRPr="00E15190" w:rsidTr="00AB399D">
        <w:trPr>
          <w:trHeight w:val="300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5F75D9">
            <w:pPr>
              <w:rPr>
                <w:szCs w:val="18"/>
              </w:rPr>
            </w:pPr>
            <w:r w:rsidRPr="00E15190">
              <w:rPr>
                <w:szCs w:val="18"/>
              </w:rPr>
              <w:t>Ajuste de exercícios anteriores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5F75D9">
            <w:pPr>
              <w:rPr>
                <w:color w:val="000000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865" w:rsidRPr="00E15190" w:rsidRDefault="00014865" w:rsidP="00053B4F">
            <w:pPr>
              <w:jc w:val="right"/>
              <w:rPr>
                <w:color w:val="000000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865" w:rsidRPr="00E15190" w:rsidRDefault="00014865" w:rsidP="005F75D9">
            <w:pPr>
              <w:jc w:val="right"/>
              <w:rPr>
                <w:szCs w:val="1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873CEA" w:rsidP="005F75D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5F75D9">
            <w:pPr>
              <w:jc w:val="right"/>
              <w:rPr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80531E" w:rsidP="007F29A9">
            <w:pPr>
              <w:ind w:right="142"/>
              <w:jc w:val="right"/>
              <w:rPr>
                <w:szCs w:val="18"/>
              </w:rPr>
            </w:pPr>
            <w:r w:rsidRPr="00E15190">
              <w:rPr>
                <w:szCs w:val="18"/>
              </w:rPr>
              <w:t>273</w:t>
            </w:r>
          </w:p>
        </w:tc>
      </w:tr>
      <w:tr w:rsidR="00652FCD" w:rsidRPr="00E15190" w:rsidTr="00AB399D">
        <w:trPr>
          <w:trHeight w:val="300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E15190" w:rsidRDefault="00652FCD" w:rsidP="005F75D9">
            <w:pPr>
              <w:rPr>
                <w:szCs w:val="18"/>
              </w:rPr>
            </w:pPr>
            <w:r w:rsidRPr="00E15190">
              <w:rPr>
                <w:szCs w:val="18"/>
              </w:rPr>
              <w:t>Realização da Avaliação Patrimonial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E15190" w:rsidRDefault="00652FCD" w:rsidP="005F75D9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FCD" w:rsidRPr="00E15190" w:rsidRDefault="00652FCD" w:rsidP="00053B4F">
            <w:pPr>
              <w:jc w:val="right"/>
              <w:rPr>
                <w:bCs/>
                <w:color w:val="000000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CD" w:rsidRPr="00E15190" w:rsidRDefault="00652FCD" w:rsidP="005F75D9">
            <w:pPr>
              <w:jc w:val="right"/>
              <w:rPr>
                <w:szCs w:val="1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2FCD" w:rsidRPr="00E15190" w:rsidRDefault="002C1F14" w:rsidP="00652FCD">
            <w:pPr>
              <w:jc w:val="right"/>
              <w:rPr>
                <w:szCs w:val="18"/>
              </w:rPr>
            </w:pPr>
            <w:r w:rsidRPr="00E15190">
              <w:rPr>
                <w:szCs w:val="18"/>
              </w:rPr>
              <w:t>205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E15190" w:rsidRDefault="00652FCD" w:rsidP="005F75D9">
            <w:pPr>
              <w:jc w:val="right"/>
              <w:rPr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2FCD" w:rsidRPr="00E15190" w:rsidRDefault="0080531E" w:rsidP="007F29A9">
            <w:pPr>
              <w:ind w:right="142"/>
              <w:jc w:val="right"/>
              <w:rPr>
                <w:szCs w:val="18"/>
              </w:rPr>
            </w:pPr>
            <w:r w:rsidRPr="00E15190">
              <w:rPr>
                <w:szCs w:val="18"/>
              </w:rPr>
              <w:t>256</w:t>
            </w:r>
          </w:p>
        </w:tc>
      </w:tr>
      <w:tr w:rsidR="00014865" w:rsidRPr="0063284C" w:rsidTr="00AB399D">
        <w:trPr>
          <w:trHeight w:val="300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E15190" w:rsidRDefault="00014865" w:rsidP="005F75D9">
            <w:pPr>
              <w:rPr>
                <w:b/>
                <w:bCs/>
                <w:color w:val="000000"/>
                <w:szCs w:val="18"/>
              </w:rPr>
            </w:pPr>
            <w:r w:rsidRPr="00E15190">
              <w:rPr>
                <w:b/>
                <w:color w:val="000000"/>
                <w:szCs w:val="18"/>
              </w:rPr>
              <w:lastRenderedPageBreak/>
              <w:t>Resultado Abrangente do Exercício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E15190" w:rsidRDefault="00014865" w:rsidP="005F75D9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65" w:rsidRPr="00E15190" w:rsidRDefault="00014865" w:rsidP="00053B4F">
            <w:pPr>
              <w:jc w:val="right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865" w:rsidRPr="00E15190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2C1F14" w:rsidP="00873CEA">
            <w:pPr>
              <w:jc w:val="right"/>
              <w:rPr>
                <w:b/>
                <w:szCs w:val="18"/>
              </w:rPr>
            </w:pPr>
            <w:r w:rsidRPr="00E15190">
              <w:rPr>
                <w:b/>
                <w:szCs w:val="18"/>
              </w:rPr>
              <w:t>6.56</w:t>
            </w:r>
            <w:r w:rsidR="00873CEA">
              <w:rPr>
                <w:b/>
                <w:szCs w:val="18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E15190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652FCD" w:rsidP="007F29A9">
            <w:pPr>
              <w:ind w:right="142"/>
              <w:jc w:val="right"/>
              <w:rPr>
                <w:b/>
                <w:szCs w:val="18"/>
              </w:rPr>
            </w:pPr>
            <w:r w:rsidRPr="00E15190">
              <w:rPr>
                <w:b/>
                <w:szCs w:val="18"/>
              </w:rPr>
              <w:t xml:space="preserve">       (</w:t>
            </w:r>
            <w:r w:rsidR="0080531E" w:rsidRPr="00E15190">
              <w:rPr>
                <w:b/>
                <w:szCs w:val="18"/>
              </w:rPr>
              <w:t>130</w:t>
            </w:r>
            <w:r w:rsidR="00014865" w:rsidRPr="00E15190">
              <w:rPr>
                <w:b/>
                <w:szCs w:val="18"/>
              </w:rPr>
              <w:t>)</w:t>
            </w:r>
          </w:p>
        </w:tc>
      </w:tr>
    </w:tbl>
    <w:p w:rsidR="00A32395" w:rsidRDefault="00A32395" w:rsidP="00B63A81">
      <w:pPr>
        <w:rPr>
          <w:sz w:val="16"/>
          <w:szCs w:val="16"/>
        </w:rPr>
      </w:pPr>
    </w:p>
    <w:p w:rsidR="00A32395" w:rsidRDefault="00A32395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CD7AFB" w:rsidRPr="00B42ED3" w:rsidRDefault="00DF06DB" w:rsidP="00606533">
      <w:r w:rsidRPr="00B42ED3">
        <w:t>A</w:t>
      </w:r>
      <w:r w:rsidR="00CD7AFB" w:rsidRPr="00B42ED3">
        <w:t>s notas explicativas são parte integran</w:t>
      </w:r>
      <w:r w:rsidR="00606533" w:rsidRPr="00B42ED3">
        <w:t>te das demonstrações contábeis.</w:t>
      </w:r>
    </w:p>
    <w:p w:rsidR="00B35EE3" w:rsidRDefault="00B35EE3" w:rsidP="00B63A81">
      <w:pPr>
        <w:rPr>
          <w:b/>
          <w:bCs/>
          <w:color w:val="000000"/>
        </w:rPr>
      </w:pPr>
    </w:p>
    <w:p w:rsidR="00B905C4" w:rsidRDefault="00B905C4">
      <w:pPr>
        <w:rPr>
          <w:b/>
          <w:bCs/>
          <w:color w:val="000000"/>
        </w:rPr>
        <w:sectPr w:rsidR="00B905C4" w:rsidSect="00B07FD6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Default="00C80B8A">
      <w:pPr>
        <w:rPr>
          <w:b/>
          <w:bCs/>
          <w:color w:val="000000"/>
        </w:rPr>
      </w:pPr>
    </w:p>
    <w:p w:rsidR="003D7188" w:rsidRDefault="003D7188" w:rsidP="00C80B8A">
      <w:pPr>
        <w:rPr>
          <w:b/>
          <w:bCs/>
          <w:color w:val="000000"/>
        </w:rPr>
      </w:pPr>
    </w:p>
    <w:p w:rsidR="00C80B8A" w:rsidRDefault="00C80B8A" w:rsidP="00C80B8A">
      <w:pPr>
        <w:rPr>
          <w:b/>
          <w:bCs/>
          <w:color w:val="000000"/>
        </w:rPr>
      </w:pPr>
      <w:r w:rsidRPr="00D403A7">
        <w:rPr>
          <w:b/>
          <w:bCs/>
          <w:color w:val="000000"/>
        </w:rPr>
        <w:t>Demonstração da</w:t>
      </w:r>
      <w:r>
        <w:rPr>
          <w:b/>
          <w:bCs/>
          <w:color w:val="000000"/>
        </w:rPr>
        <w:t>s Mutações</w:t>
      </w:r>
      <w:r w:rsidRPr="00D403A7">
        <w:rPr>
          <w:b/>
          <w:bCs/>
          <w:color w:val="000000"/>
        </w:rPr>
        <w:t xml:space="preserve"> do Patrimônio Líquido</w:t>
      </w:r>
    </w:p>
    <w:p w:rsidR="004D09C8" w:rsidRDefault="004D09C8" w:rsidP="00C80B8A">
      <w:pPr>
        <w:rPr>
          <w:b/>
          <w:bCs/>
          <w:color w:val="000000"/>
        </w:rPr>
      </w:pPr>
    </w:p>
    <w:p w:rsidR="00C80B8A" w:rsidRPr="00D403A7" w:rsidRDefault="00C80B8A" w:rsidP="00C80B8A">
      <w:pPr>
        <w:rPr>
          <w:b/>
          <w:bCs/>
          <w:color w:val="000000"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516"/>
        <w:gridCol w:w="232"/>
        <w:gridCol w:w="2172"/>
        <w:gridCol w:w="232"/>
        <w:gridCol w:w="2036"/>
        <w:gridCol w:w="232"/>
        <w:gridCol w:w="1452"/>
        <w:gridCol w:w="226"/>
        <w:gridCol w:w="1399"/>
      </w:tblGrid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both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2937F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67636F" w:rsidRPr="0067636F" w:rsidRDefault="0067636F" w:rsidP="000D0348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Total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Saldo em 31 de dezembro de 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     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947FC9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(1</w:t>
            </w:r>
            <w:r w:rsidR="00B5184E">
              <w:rPr>
                <w:b/>
                <w:bCs/>
                <w:color w:val="000000"/>
              </w:rPr>
              <w:t>5.3</w:t>
            </w:r>
            <w:r w:rsidR="00947FC9">
              <w:rPr>
                <w:b/>
                <w:bCs/>
                <w:color w:val="000000"/>
              </w:rPr>
              <w:t>29</w:t>
            </w:r>
            <w:r w:rsidRPr="0067636F">
              <w:rPr>
                <w:b/>
                <w:bCs/>
                <w:color w:val="000000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(110.591)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67636F" w:rsidRDefault="0067636F" w:rsidP="000D0348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947FC9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981.60</w:t>
            </w:r>
            <w:r w:rsidR="00947FC9">
              <w:rPr>
                <w:b/>
                <w:bCs/>
                <w:color w:val="000000"/>
              </w:rPr>
              <w:t>3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273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273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4730C7">
            <w:pPr>
              <w:jc w:val="right"/>
            </w:pPr>
            <w:r w:rsidRPr="00947FC9">
              <w:t>(</w:t>
            </w:r>
            <w:r w:rsidR="004730C7">
              <w:t>256</w:t>
            </w:r>
            <w:r w:rsidRPr="00947FC9"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4730C7">
            <w:pPr>
              <w:jc w:val="right"/>
            </w:pPr>
            <w:r w:rsidRPr="00947FC9">
              <w:t xml:space="preserve"> </w:t>
            </w:r>
            <w:r w:rsidR="004730C7">
              <w:t>256</w:t>
            </w:r>
            <w:r w:rsidRPr="00947FC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 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4730C7">
            <w:pPr>
              <w:jc w:val="right"/>
            </w:pPr>
            <w:r w:rsidRPr="00947FC9">
              <w:t xml:space="preserve"> </w:t>
            </w:r>
            <w:r w:rsidR="004730C7">
              <w:t>-</w:t>
            </w:r>
            <w:r w:rsidRPr="00947FC9"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4730C7" w:rsidP="00EA0D27">
            <w:pPr>
              <w:jc w:val="right"/>
            </w:pPr>
            <w:r>
              <w:t>5.700</w:t>
            </w:r>
            <w:r w:rsidR="0067636F" w:rsidRPr="00947FC9"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4730C7">
            <w:pPr>
              <w:jc w:val="right"/>
            </w:pPr>
            <w:r w:rsidRPr="00947FC9">
              <w:t xml:space="preserve"> </w:t>
            </w:r>
            <w:r w:rsidR="004730C7">
              <w:t>5</w:t>
            </w:r>
            <w:r w:rsidR="00EA0D27" w:rsidRPr="00947FC9">
              <w:t>.</w:t>
            </w:r>
            <w:r w:rsidR="004730C7">
              <w:t>700</w:t>
            </w:r>
            <w:r w:rsidRPr="00947FC9">
              <w:t xml:space="preserve"> </w:t>
            </w:r>
          </w:p>
        </w:tc>
      </w:tr>
      <w:tr w:rsidR="007261ED" w:rsidRPr="0067636F" w:rsidTr="00DC1B59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5F5B5A" w:rsidRDefault="0067636F" w:rsidP="004730C7">
            <w:pPr>
              <w:rPr>
                <w:color w:val="000000"/>
              </w:rPr>
            </w:pPr>
            <w:r w:rsidRPr="005F5B5A">
              <w:rPr>
                <w:color w:val="000000"/>
              </w:rPr>
              <w:t xml:space="preserve">  </w:t>
            </w:r>
            <w:r w:rsidR="00EA0D27" w:rsidRPr="005F5B5A">
              <w:rPr>
                <w:color w:val="000000"/>
              </w:rPr>
              <w:t>Resultado</w:t>
            </w:r>
            <w:r w:rsidRPr="005F5B5A">
              <w:rPr>
                <w:color w:val="000000"/>
              </w:rPr>
              <w:t xml:space="preserve"> do </w:t>
            </w:r>
            <w:r w:rsidR="004730C7" w:rsidRPr="005F5B5A">
              <w:rPr>
                <w:color w:val="000000"/>
              </w:rPr>
              <w:t>Trimestre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4730C7">
            <w:pPr>
              <w:jc w:val="right"/>
            </w:pPr>
            <w:r w:rsidRPr="00947FC9">
              <w:t>(</w:t>
            </w:r>
            <w:r w:rsidR="004730C7">
              <w:t>399)</w:t>
            </w:r>
            <w:r w:rsidRPr="00947FC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EA0D27" w:rsidP="004730C7">
            <w:pPr>
              <w:jc w:val="right"/>
            </w:pPr>
            <w:r w:rsidRPr="00947FC9">
              <w:t>(</w:t>
            </w:r>
            <w:r w:rsidR="004730C7">
              <w:t>399</w:t>
            </w:r>
            <w:r w:rsidRPr="00947FC9">
              <w:t>)</w:t>
            </w:r>
          </w:p>
        </w:tc>
      </w:tr>
      <w:tr w:rsidR="00DC1B59" w:rsidRPr="0067636F" w:rsidTr="00DC1B59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C1B59" w:rsidRPr="005F5B5A" w:rsidRDefault="00DC1B59" w:rsidP="00DC1B59">
            <w:pPr>
              <w:rPr>
                <w:b/>
                <w:bCs/>
                <w:color w:val="000000"/>
              </w:rPr>
            </w:pPr>
            <w:r w:rsidRPr="005F5B5A">
              <w:rPr>
                <w:b/>
                <w:bCs/>
                <w:color w:val="000000"/>
              </w:rPr>
              <w:t>Saldo em 31 de março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1B59" w:rsidRPr="002C1F14" w:rsidRDefault="004730C7" w:rsidP="00D242CC">
            <w:pPr>
              <w:jc w:val="right"/>
              <w:rPr>
                <w:b/>
              </w:rPr>
            </w:pPr>
            <w:r w:rsidRPr="0067636F">
              <w:rPr>
                <w:b/>
                <w:bCs/>
                <w:color w:val="000000"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1B59" w:rsidRPr="002C1F14" w:rsidRDefault="004730C7" w:rsidP="00947FC9">
            <w:pPr>
              <w:jc w:val="right"/>
              <w:rPr>
                <w:b/>
              </w:rPr>
            </w:pPr>
            <w:r>
              <w:rPr>
                <w:b/>
              </w:rPr>
              <w:t>109.463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1B59" w:rsidRPr="002C1F14" w:rsidRDefault="004730C7" w:rsidP="00947FC9">
            <w:pPr>
              <w:jc w:val="right"/>
              <w:rPr>
                <w:b/>
              </w:rPr>
            </w:pPr>
            <w:r>
              <w:rPr>
                <w:b/>
              </w:rPr>
              <w:t>(15.585)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1B59" w:rsidRPr="002C1F14" w:rsidRDefault="004730C7" w:rsidP="00947FC9">
            <w:pPr>
              <w:jc w:val="right"/>
              <w:rPr>
                <w:b/>
              </w:rPr>
            </w:pPr>
            <w:r>
              <w:rPr>
                <w:b/>
              </w:rPr>
              <w:t>(110.461)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1B59" w:rsidRPr="002C1F14" w:rsidRDefault="004730C7" w:rsidP="00947FC9">
            <w:pPr>
              <w:jc w:val="right"/>
              <w:rPr>
                <w:b/>
              </w:rPr>
            </w:pPr>
            <w:r>
              <w:rPr>
                <w:b/>
              </w:rPr>
              <w:t>987.176</w:t>
            </w:r>
          </w:p>
        </w:tc>
      </w:tr>
      <w:tr w:rsidR="00DC1B59" w:rsidRPr="0067636F" w:rsidTr="00DC1B59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C1B59" w:rsidRPr="005F5B5A" w:rsidRDefault="00DC1B59" w:rsidP="006B46BB">
            <w:pPr>
              <w:rPr>
                <w:b/>
                <w:bCs/>
                <w:color w:val="00000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947FC9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947FC9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947FC9">
            <w:pPr>
              <w:jc w:val="right"/>
              <w:rPr>
                <w:b/>
              </w:rPr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DC1B59" w:rsidRPr="002C1F14" w:rsidRDefault="00DC1B59" w:rsidP="00947FC9">
            <w:pPr>
              <w:jc w:val="right"/>
              <w:rPr>
                <w:b/>
              </w:rPr>
            </w:pPr>
          </w:p>
        </w:tc>
      </w:tr>
      <w:tr w:rsidR="007261ED" w:rsidRPr="0067636F" w:rsidTr="00DC1B59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2C1F14" w:rsidRDefault="0067636F" w:rsidP="006B46BB">
            <w:pPr>
              <w:rPr>
                <w:b/>
                <w:bCs/>
                <w:color w:val="000000"/>
              </w:rPr>
            </w:pPr>
            <w:r w:rsidRPr="002C1F14">
              <w:rPr>
                <w:b/>
                <w:bCs/>
                <w:color w:val="000000"/>
              </w:rPr>
              <w:t xml:space="preserve">Saldo em </w:t>
            </w:r>
            <w:r w:rsidR="006B46BB" w:rsidRPr="002C1F14">
              <w:rPr>
                <w:b/>
                <w:bCs/>
                <w:color w:val="000000"/>
              </w:rPr>
              <w:t>31 de dezembro de 2019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2C1F14" w:rsidRDefault="0067636F" w:rsidP="00D242CC">
            <w:pPr>
              <w:jc w:val="right"/>
              <w:rPr>
                <w:b/>
              </w:rPr>
            </w:pPr>
            <w:r w:rsidRPr="002C1F14">
              <w:rPr>
                <w:b/>
              </w:rPr>
              <w:t xml:space="preserve"> 1.107.523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2C1F14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2C1F14" w:rsidRDefault="0067636F" w:rsidP="00947FC9">
            <w:pPr>
              <w:jc w:val="right"/>
              <w:rPr>
                <w:b/>
              </w:rPr>
            </w:pPr>
            <w:r w:rsidRPr="002C1F14">
              <w:rPr>
                <w:b/>
              </w:rPr>
              <w:t xml:space="preserve"> </w:t>
            </w:r>
            <w:r w:rsidR="00947FC9" w:rsidRPr="002C1F14">
              <w:rPr>
                <w:b/>
              </w:rPr>
              <w:t>55</w:t>
            </w:r>
            <w:r w:rsidRPr="002C1F14">
              <w:rPr>
                <w:b/>
              </w:rPr>
              <w:t>.</w:t>
            </w:r>
            <w:r w:rsidR="00947FC9" w:rsidRPr="002C1F14">
              <w:rPr>
                <w:b/>
              </w:rPr>
              <w:t>820</w:t>
            </w:r>
            <w:r w:rsidRPr="002C1F14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2C1F14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2C1F14" w:rsidRDefault="00B5184E" w:rsidP="00947FC9">
            <w:pPr>
              <w:jc w:val="right"/>
              <w:rPr>
                <w:b/>
              </w:rPr>
            </w:pPr>
            <w:r w:rsidRPr="002C1F14">
              <w:rPr>
                <w:b/>
              </w:rPr>
              <w:t>(</w:t>
            </w:r>
            <w:r w:rsidR="00947FC9" w:rsidRPr="002C1F14">
              <w:rPr>
                <w:b/>
              </w:rPr>
              <w:t>16</w:t>
            </w:r>
            <w:r w:rsidRPr="002C1F14">
              <w:rPr>
                <w:b/>
              </w:rPr>
              <w:t>.</w:t>
            </w:r>
            <w:r w:rsidR="00947FC9" w:rsidRPr="002C1F14">
              <w:rPr>
                <w:b/>
              </w:rPr>
              <w:t>030</w:t>
            </w:r>
            <w:r w:rsidR="0067636F" w:rsidRPr="002C1F14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2C1F14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2C1F14" w:rsidRDefault="007261ED" w:rsidP="00947FC9">
            <w:pPr>
              <w:jc w:val="right"/>
              <w:rPr>
                <w:b/>
              </w:rPr>
            </w:pPr>
            <w:r w:rsidRPr="002C1F14">
              <w:rPr>
                <w:b/>
              </w:rPr>
              <w:t>(1</w:t>
            </w:r>
            <w:r w:rsidR="00947FC9" w:rsidRPr="002C1F14">
              <w:rPr>
                <w:b/>
              </w:rPr>
              <w:t>26</w:t>
            </w:r>
            <w:r w:rsidRPr="002C1F14">
              <w:rPr>
                <w:b/>
              </w:rPr>
              <w:t>.</w:t>
            </w:r>
            <w:r w:rsidR="00947FC9" w:rsidRPr="002C1F14">
              <w:rPr>
                <w:b/>
              </w:rPr>
              <w:t>530</w:t>
            </w:r>
            <w:r w:rsidR="0067636F" w:rsidRPr="002C1F14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67636F" w:rsidRPr="002C1F14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2C1F14" w:rsidRDefault="0067636F" w:rsidP="00947FC9">
            <w:pPr>
              <w:jc w:val="right"/>
              <w:rPr>
                <w:b/>
              </w:rPr>
            </w:pPr>
            <w:r w:rsidRPr="002C1F14">
              <w:rPr>
                <w:b/>
              </w:rPr>
              <w:t xml:space="preserve"> 1.0</w:t>
            </w:r>
            <w:r w:rsidR="00947FC9" w:rsidRPr="002C1F14">
              <w:rPr>
                <w:b/>
              </w:rPr>
              <w:t>20</w:t>
            </w:r>
            <w:r w:rsidRPr="002C1F14">
              <w:rPr>
                <w:b/>
              </w:rPr>
              <w:t>.</w:t>
            </w:r>
            <w:r w:rsidR="00947FC9" w:rsidRPr="002C1F14">
              <w:rPr>
                <w:b/>
              </w:rPr>
              <w:t>783</w:t>
            </w:r>
            <w:r w:rsidRPr="002C1F14">
              <w:rPr>
                <w:b/>
              </w:rPr>
              <w:t xml:space="preserve"> </w:t>
            </w:r>
          </w:p>
        </w:tc>
      </w:tr>
      <w:tr w:rsidR="009D6813" w:rsidRPr="0067636F" w:rsidTr="00CC1F09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6813" w:rsidRPr="0067636F" w:rsidRDefault="009D6813" w:rsidP="00CC1F09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CC1F09">
            <w:pPr>
              <w:jc w:val="right"/>
            </w:pPr>
            <w:r w:rsidRPr="00947FC9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CC1F09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CC1F09">
            <w:pPr>
              <w:jc w:val="right"/>
            </w:pPr>
            <w:r w:rsidRPr="00947FC9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CC1F09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CC1F09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CC1F09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9D6813">
            <w:pPr>
              <w:jc w:val="right"/>
            </w:pPr>
            <w:r w:rsidRPr="00947FC9">
              <w:t xml:space="preserve"> </w:t>
            </w:r>
            <w:r>
              <w:t>1</w:t>
            </w:r>
            <w:r w:rsidRPr="00947FC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813" w:rsidRPr="00947FC9" w:rsidRDefault="009D6813" w:rsidP="00CC1F09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6813" w:rsidRPr="00947FC9" w:rsidRDefault="009D6813" w:rsidP="009D6813">
            <w:pPr>
              <w:jc w:val="right"/>
            </w:pPr>
            <w:r w:rsidRPr="00947FC9">
              <w:t xml:space="preserve"> </w:t>
            </w:r>
            <w:r>
              <w:t>1</w:t>
            </w:r>
            <w:r w:rsidRPr="00947FC9">
              <w:t xml:space="preserve"> </w:t>
            </w:r>
          </w:p>
        </w:tc>
      </w:tr>
      <w:tr w:rsidR="00095632" w:rsidRPr="00095632" w:rsidTr="00095632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2C1F14" w:rsidRDefault="00095632" w:rsidP="008A1483">
            <w:pPr>
              <w:rPr>
                <w:bCs/>
                <w:color w:val="000000"/>
              </w:rPr>
            </w:pPr>
            <w:r w:rsidRPr="002C1F14">
              <w:rPr>
                <w:bCs/>
                <w:color w:val="000000"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2C1F14">
            <w:pPr>
              <w:jc w:val="right"/>
            </w:pPr>
            <w:r w:rsidRPr="002C1F14">
              <w:t>(</w:t>
            </w:r>
            <w:r w:rsidR="002C1F14" w:rsidRPr="002C1F14">
              <w:t>205</w:t>
            </w:r>
            <w:r w:rsidRPr="002C1F14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2C1F14">
            <w:pPr>
              <w:jc w:val="right"/>
            </w:pPr>
            <w:r w:rsidRPr="002C1F14">
              <w:t xml:space="preserve"> </w:t>
            </w:r>
            <w:r w:rsidR="002C1F14" w:rsidRPr="002C1F14">
              <w:t>205</w:t>
            </w:r>
            <w:r w:rsidRPr="002C1F14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-    </w:t>
            </w:r>
          </w:p>
        </w:tc>
      </w:tr>
      <w:tr w:rsidR="00095632" w:rsidRPr="00095632" w:rsidTr="0080531E">
        <w:tc>
          <w:tcPr>
            <w:tcW w:w="159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95632" w:rsidRPr="002C1F14" w:rsidRDefault="00095632" w:rsidP="008A1483">
            <w:pPr>
              <w:rPr>
                <w:bCs/>
                <w:color w:val="000000"/>
              </w:rPr>
            </w:pPr>
            <w:r w:rsidRPr="002C1F14">
              <w:rPr>
                <w:bCs/>
                <w:color w:val="000000"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2C1F14">
            <w:pPr>
              <w:jc w:val="right"/>
            </w:pPr>
            <w:r w:rsidRPr="002C1F14">
              <w:t xml:space="preserve"> </w:t>
            </w:r>
            <w:r w:rsidR="002C1F14" w:rsidRPr="002C1F14">
              <w:t>-</w:t>
            </w:r>
            <w:r w:rsidRPr="002C1F14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2C1F14" w:rsidP="008A1483">
            <w:pPr>
              <w:jc w:val="right"/>
            </w:pPr>
            <w:r w:rsidRPr="002C1F14">
              <w:t>50.234</w:t>
            </w:r>
            <w:r w:rsidR="00095632" w:rsidRPr="002C1F14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2C1F14">
            <w:pPr>
              <w:jc w:val="right"/>
            </w:pPr>
            <w:r w:rsidRPr="002C1F14">
              <w:t xml:space="preserve"> 5</w:t>
            </w:r>
            <w:r w:rsidR="002C1F14" w:rsidRPr="002C1F14">
              <w:t>0.234</w:t>
            </w:r>
            <w:r w:rsidRPr="002C1F14">
              <w:t xml:space="preserve"> </w:t>
            </w:r>
          </w:p>
        </w:tc>
      </w:tr>
      <w:tr w:rsidR="00095632" w:rsidRPr="00095632" w:rsidTr="0080531E">
        <w:tc>
          <w:tcPr>
            <w:tcW w:w="1599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2C1F14" w:rsidRDefault="00095632" w:rsidP="002C1F14">
            <w:pPr>
              <w:rPr>
                <w:bCs/>
                <w:color w:val="000000"/>
              </w:rPr>
            </w:pPr>
            <w:r w:rsidRPr="002C1F14">
              <w:rPr>
                <w:bCs/>
                <w:color w:val="000000"/>
              </w:rPr>
              <w:t xml:space="preserve">  Resultado do </w:t>
            </w:r>
            <w:r w:rsidR="002C1F14" w:rsidRPr="002C1F14">
              <w:rPr>
                <w:bCs/>
                <w:color w:val="000000"/>
              </w:rPr>
              <w:t>Trimestre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  <w:r w:rsidRPr="002C1F14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2C1F14" w:rsidP="008A1483">
            <w:pPr>
              <w:jc w:val="right"/>
            </w:pPr>
            <w:r w:rsidRPr="002C1F14">
              <w:t>6.359</w:t>
            </w:r>
            <w:r w:rsidR="00095632" w:rsidRPr="002C1F14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2C1F14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2C1F14" w:rsidP="008A1483">
            <w:pPr>
              <w:jc w:val="right"/>
            </w:pPr>
            <w:r>
              <w:t>6.359</w:t>
            </w:r>
          </w:p>
        </w:tc>
      </w:tr>
      <w:tr w:rsidR="00095632" w:rsidRPr="0067636F" w:rsidTr="00095632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2C1F14" w:rsidRDefault="00095632" w:rsidP="00095632">
            <w:pPr>
              <w:rPr>
                <w:b/>
                <w:bCs/>
                <w:color w:val="000000"/>
              </w:rPr>
            </w:pPr>
            <w:r w:rsidRPr="002C1F14">
              <w:rPr>
                <w:b/>
                <w:bCs/>
                <w:color w:val="000000"/>
              </w:rPr>
              <w:t>Saldo em 31 de março de 2020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  <w:rPr>
                <w:b/>
              </w:rPr>
            </w:pPr>
            <w:r w:rsidRPr="002C1F14">
              <w:rPr>
                <w:b/>
              </w:rPr>
              <w:t xml:space="preserve"> 1.107.523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2C1F14" w:rsidP="008A1483">
            <w:pPr>
              <w:jc w:val="right"/>
              <w:rPr>
                <w:b/>
              </w:rPr>
            </w:pPr>
            <w:r w:rsidRPr="002C1F14">
              <w:rPr>
                <w:b/>
              </w:rPr>
              <w:t xml:space="preserve"> 106.054</w:t>
            </w:r>
            <w:r w:rsidR="00095632" w:rsidRPr="002C1F14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095632" w:rsidP="002C1F14">
            <w:pPr>
              <w:jc w:val="right"/>
              <w:rPr>
                <w:b/>
              </w:rPr>
            </w:pPr>
            <w:r w:rsidRPr="002C1F14">
              <w:rPr>
                <w:b/>
              </w:rPr>
              <w:t>(16.</w:t>
            </w:r>
            <w:r w:rsidR="002C1F14">
              <w:rPr>
                <w:b/>
              </w:rPr>
              <w:t>235</w:t>
            </w:r>
            <w:r w:rsidRPr="002C1F14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5632" w:rsidRPr="002C1F14" w:rsidRDefault="00095632" w:rsidP="008A148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095632" w:rsidP="002C1F14">
            <w:pPr>
              <w:jc w:val="right"/>
              <w:rPr>
                <w:b/>
              </w:rPr>
            </w:pPr>
            <w:r w:rsidRPr="002C1F14">
              <w:rPr>
                <w:b/>
              </w:rPr>
              <w:t>(</w:t>
            </w:r>
            <w:r w:rsidR="002C1F14" w:rsidRPr="002C1F14">
              <w:rPr>
                <w:b/>
              </w:rPr>
              <w:t>119.964</w:t>
            </w:r>
            <w:r w:rsidRPr="002C1F14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95632" w:rsidRPr="002C1F14" w:rsidRDefault="00095632" w:rsidP="008A148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2C1F14" w:rsidRDefault="002C1F14" w:rsidP="008A1483">
            <w:pPr>
              <w:jc w:val="right"/>
              <w:rPr>
                <w:b/>
              </w:rPr>
            </w:pPr>
            <w:r w:rsidRPr="002C1F14">
              <w:rPr>
                <w:b/>
              </w:rPr>
              <w:t xml:space="preserve"> 1.077.378</w:t>
            </w:r>
            <w:r w:rsidR="00095632" w:rsidRPr="002C1F14">
              <w:rPr>
                <w:b/>
              </w:rPr>
              <w:t xml:space="preserve"> </w:t>
            </w:r>
          </w:p>
        </w:tc>
      </w:tr>
    </w:tbl>
    <w:p w:rsidR="00C80B8A" w:rsidRDefault="00C80B8A" w:rsidP="00B63A81">
      <w:pPr>
        <w:rPr>
          <w:b/>
          <w:bCs/>
          <w:color w:val="000000"/>
        </w:rPr>
      </w:pPr>
    </w:p>
    <w:p w:rsidR="00095632" w:rsidRDefault="00095632" w:rsidP="00B63A81">
      <w:pPr>
        <w:rPr>
          <w:b/>
          <w:bCs/>
          <w:color w:val="000000"/>
        </w:rPr>
      </w:pPr>
    </w:p>
    <w:p w:rsidR="00095632" w:rsidRDefault="00095632" w:rsidP="00B63A81">
      <w:pPr>
        <w:rPr>
          <w:b/>
          <w:bCs/>
          <w:color w:val="000000"/>
        </w:rPr>
      </w:pPr>
    </w:p>
    <w:p w:rsidR="003D7188" w:rsidRPr="00C843EB" w:rsidRDefault="003D7188" w:rsidP="003D7188">
      <w:r>
        <w:t>A</w:t>
      </w:r>
      <w:r w:rsidRPr="00C843EB">
        <w:t>s notas explicativas são parte integran</w:t>
      </w:r>
      <w:r>
        <w:t>te das demonstrações contábeis.</w:t>
      </w:r>
    </w:p>
    <w:p w:rsidR="00B905C4" w:rsidRDefault="00B905C4">
      <w:pPr>
        <w:rPr>
          <w:b/>
          <w:bCs/>
          <w:color w:val="000000"/>
        </w:rPr>
        <w:sectPr w:rsidR="00B905C4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642FA9" w:rsidRPr="0012132A" w:rsidTr="00C81A18">
        <w:tc>
          <w:tcPr>
            <w:tcW w:w="3187" w:type="pct"/>
            <w:shd w:val="clear" w:color="auto" w:fill="auto"/>
            <w:noWrap/>
            <w:vAlign w:val="center"/>
            <w:hideMark/>
          </w:tcPr>
          <w:p w:rsidR="00642FA9" w:rsidRPr="001465DD" w:rsidRDefault="00642FA9" w:rsidP="00E20B1B">
            <w:pPr>
              <w:rPr>
                <w:b/>
                <w:bCs/>
              </w:rPr>
            </w:pPr>
            <w:r w:rsidRPr="001465DD">
              <w:rPr>
                <w:b/>
                <w:bCs/>
              </w:rPr>
              <w:lastRenderedPageBreak/>
              <w:t>Fluxos de Caixa das Atividades Operacionais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A9" w:rsidRPr="00642FA9" w:rsidRDefault="00642FA9" w:rsidP="00642FA9">
            <w:pPr>
              <w:jc w:val="right"/>
              <w:rPr>
                <w:b/>
                <w:bCs/>
                <w:sz w:val="18"/>
                <w:szCs w:val="18"/>
              </w:rPr>
            </w:pPr>
            <w:r w:rsidRPr="00642FA9">
              <w:rPr>
                <w:b/>
                <w:bCs/>
                <w:sz w:val="18"/>
                <w:szCs w:val="18"/>
              </w:rPr>
              <w:t>31/03/2020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642FA9" w:rsidRPr="00642FA9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42FA9" w:rsidRPr="00642FA9" w:rsidRDefault="00642FA9" w:rsidP="00642FA9">
            <w:pPr>
              <w:jc w:val="right"/>
              <w:rPr>
                <w:b/>
                <w:sz w:val="18"/>
                <w:szCs w:val="18"/>
              </w:rPr>
            </w:pPr>
            <w:r w:rsidRPr="00642FA9">
              <w:rPr>
                <w:b/>
                <w:sz w:val="18"/>
                <w:szCs w:val="18"/>
              </w:rPr>
              <w:t>31/</w:t>
            </w:r>
            <w:r>
              <w:rPr>
                <w:b/>
                <w:sz w:val="18"/>
                <w:szCs w:val="18"/>
              </w:rPr>
              <w:t>03</w:t>
            </w:r>
            <w:r w:rsidRPr="00642FA9">
              <w:rPr>
                <w:b/>
                <w:sz w:val="18"/>
                <w:szCs w:val="18"/>
              </w:rPr>
              <w:t>/201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C67029" w:rsidRPr="00C67029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42FA9" w:rsidRPr="0012132A" w:rsidRDefault="00642FA9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C67029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C67029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642FA9" w:rsidRPr="00C67029" w:rsidRDefault="00642FA9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FA9" w:rsidRPr="0012132A" w:rsidRDefault="00642FA9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Lucro/Prejuízo Líquido do Exercício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F12D91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 w:rsidRPr="00C67029">
              <w:rPr>
                <w:b/>
                <w:bCs/>
                <w:sz w:val="18"/>
                <w:szCs w:val="18"/>
              </w:rPr>
              <w:t>6.359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642FA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2FA9" w:rsidRPr="00C67029" w:rsidRDefault="00577392" w:rsidP="00642FA9">
            <w:pPr>
              <w:jc w:val="right"/>
              <w:rPr>
                <w:b/>
                <w:sz w:val="18"/>
                <w:szCs w:val="18"/>
              </w:rPr>
            </w:pPr>
            <w:r w:rsidRPr="00C67029">
              <w:rPr>
                <w:b/>
                <w:sz w:val="18"/>
                <w:szCs w:val="18"/>
              </w:rPr>
              <w:t>(399)</w:t>
            </w:r>
          </w:p>
        </w:tc>
      </w:tr>
      <w:tr w:rsidR="008C65B4" w:rsidRPr="00C67029" w:rsidTr="00C81A18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12132A" w:rsidRDefault="008C65B4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C67029" w:rsidRDefault="008C6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C67029" w:rsidRDefault="008C6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65B4" w:rsidRPr="00C67029" w:rsidRDefault="008C65B4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8C65B4" w:rsidRPr="00C67029" w:rsidTr="007A0940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5B4" w:rsidRPr="0012132A" w:rsidRDefault="008C65B4" w:rsidP="007A094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Ajustes para reconciliar o resultado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C67029" w:rsidRDefault="008C65B4" w:rsidP="007A0940">
            <w:pPr>
              <w:jc w:val="right"/>
              <w:rPr>
                <w:b/>
                <w:bCs/>
                <w:sz w:val="18"/>
                <w:szCs w:val="18"/>
              </w:rPr>
            </w:pPr>
            <w:r w:rsidRPr="00C67029">
              <w:rPr>
                <w:b/>
                <w:bCs/>
                <w:sz w:val="18"/>
                <w:szCs w:val="18"/>
              </w:rPr>
              <w:t>2.51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65B4" w:rsidRPr="00C67029" w:rsidRDefault="008C65B4" w:rsidP="007A0940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65B4" w:rsidRPr="00C67029" w:rsidRDefault="008C65B4" w:rsidP="007A0940">
            <w:pPr>
              <w:jc w:val="right"/>
              <w:rPr>
                <w:b/>
                <w:sz w:val="18"/>
                <w:szCs w:val="18"/>
              </w:rPr>
            </w:pPr>
            <w:r w:rsidRPr="00C67029">
              <w:rPr>
                <w:b/>
                <w:sz w:val="18"/>
                <w:szCs w:val="18"/>
              </w:rPr>
              <w:t>(4.979)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FA9" w:rsidRPr="0012132A" w:rsidRDefault="00642FA9" w:rsidP="008E4050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873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642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FA9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273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FA9" w:rsidRPr="0012132A" w:rsidRDefault="00642FA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5.969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642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FA9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5.579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FA9" w:rsidRPr="0012132A" w:rsidRDefault="00642FA9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F12D91" w:rsidP="00873CE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(1</w:t>
            </w:r>
            <w:r w:rsidR="00873CEA">
              <w:rPr>
                <w:sz w:val="18"/>
                <w:szCs w:val="18"/>
              </w:rPr>
              <w:t>4</w:t>
            </w:r>
            <w:r w:rsidRPr="00C67029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C67029" w:rsidRDefault="00642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FA9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(13)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E34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 275 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(2.282)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(122)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24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7392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202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(428)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7392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(433)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(178)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7392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(159)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(142)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7392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(56)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(435)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57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7392" w:rsidRPr="00C67029" w:rsidRDefault="00577392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(567)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12132A" w:rsidRDefault="00C81A18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1A18" w:rsidRPr="00C67029" w:rsidRDefault="00C81A18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1A18" w:rsidRPr="00C67029" w:rsidRDefault="00C81A18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12132A" w:rsidRDefault="00577392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7392" w:rsidRPr="00C67029" w:rsidRDefault="008C65B4" w:rsidP="00E34EA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(21.310)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7392" w:rsidRPr="00C67029" w:rsidRDefault="00577392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7392" w:rsidRPr="00C67029" w:rsidRDefault="00C81A18" w:rsidP="008C65B4">
            <w:pPr>
              <w:jc w:val="right"/>
              <w:rPr>
                <w:b/>
                <w:sz w:val="18"/>
                <w:szCs w:val="18"/>
              </w:rPr>
            </w:pPr>
            <w:r w:rsidRPr="00C67029">
              <w:rPr>
                <w:b/>
                <w:sz w:val="18"/>
                <w:szCs w:val="18"/>
              </w:rPr>
              <w:t>(</w:t>
            </w:r>
            <w:r w:rsidR="008C65B4">
              <w:rPr>
                <w:b/>
                <w:sz w:val="18"/>
                <w:szCs w:val="18"/>
              </w:rPr>
              <w:t>34.410</w:t>
            </w:r>
            <w:r w:rsidRPr="00C67029">
              <w:rPr>
                <w:b/>
                <w:sz w:val="18"/>
                <w:szCs w:val="18"/>
              </w:rPr>
              <w:t>)</w:t>
            </w:r>
          </w:p>
        </w:tc>
      </w:tr>
      <w:tr w:rsidR="00C67029" w:rsidRPr="00C67029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F12D91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795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(11.486)           </w:t>
            </w:r>
          </w:p>
        </w:tc>
      </w:tr>
      <w:tr w:rsidR="00C67029" w:rsidRPr="00C67029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486DD6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(6.231)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(3.919)          </w:t>
            </w:r>
          </w:p>
        </w:tc>
      </w:tr>
      <w:tr w:rsidR="00C67029" w:rsidRPr="00C67029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Contas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4B3B6F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2.433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10.032           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Depósitos Judiciais/Devedores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642FA9" w:rsidRDefault="004B3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642FA9" w:rsidRDefault="00C81A18">
            <w:pPr>
              <w:rPr>
                <w:sz w:val="18"/>
                <w:szCs w:val="18"/>
              </w:rPr>
            </w:pPr>
            <w:r w:rsidRPr="00642FA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81A18" w:rsidRDefault="00C81A18" w:rsidP="005679C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81A18">
              <w:rPr>
                <w:color w:val="000000" w:themeColor="text1"/>
                <w:sz w:val="18"/>
                <w:szCs w:val="18"/>
              </w:rPr>
              <w:t xml:space="preserve">                  (35)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642FA9" w:rsidRDefault="004B3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642FA9" w:rsidRDefault="00C81A18">
            <w:pPr>
              <w:rPr>
                <w:sz w:val="18"/>
                <w:szCs w:val="18"/>
              </w:rPr>
            </w:pPr>
            <w:r w:rsidRPr="00642FA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81A18" w:rsidRDefault="00C81A18" w:rsidP="005679C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81A18">
              <w:rPr>
                <w:color w:val="000000" w:themeColor="text1"/>
                <w:sz w:val="18"/>
                <w:szCs w:val="18"/>
              </w:rPr>
              <w:t xml:space="preserve">                 1.740         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642FA9" w:rsidRDefault="004B3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(5.329)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642FA9" w:rsidRDefault="00C81A18">
            <w:pPr>
              <w:rPr>
                <w:sz w:val="18"/>
                <w:szCs w:val="18"/>
              </w:rPr>
            </w:pPr>
            <w:r w:rsidRPr="00642FA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81A18" w:rsidRDefault="00C81A18" w:rsidP="007A094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81A18">
              <w:rPr>
                <w:color w:val="000000" w:themeColor="text1"/>
                <w:sz w:val="18"/>
                <w:szCs w:val="18"/>
              </w:rPr>
              <w:t xml:space="preserve">                     71</w:t>
            </w:r>
            <w:r w:rsidR="007A0940">
              <w:rPr>
                <w:color w:val="000000" w:themeColor="text1"/>
                <w:sz w:val="18"/>
                <w:szCs w:val="18"/>
              </w:rPr>
              <w:t>3</w:t>
            </w:r>
            <w:r w:rsidRPr="00C81A1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4B3B6F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125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   47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E70CF4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(605)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(8.333)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701745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(427)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 164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701745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(13.243)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(14.749)             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701745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(70)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(7.578)             </w:t>
            </w:r>
          </w:p>
        </w:tc>
      </w:tr>
      <w:tr w:rsidR="00C81A18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701745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57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(1.006)</w:t>
            </w:r>
          </w:p>
        </w:tc>
      </w:tr>
      <w:tr w:rsidR="00C81A18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A18" w:rsidRPr="00C67029" w:rsidRDefault="00C81A18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1A18" w:rsidRPr="00C67029" w:rsidRDefault="00C81A18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81A18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A5314" w:rsidP="003D19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Caixa Líquido </w:t>
            </w:r>
            <w:r w:rsidR="00C81A18" w:rsidRPr="0012132A">
              <w:rPr>
                <w:b/>
                <w:bCs/>
                <w:color w:val="000000"/>
                <w:sz w:val="18"/>
                <w:szCs w:val="18"/>
              </w:rPr>
              <w:t>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67029" w:rsidP="00D26987">
            <w:pPr>
              <w:jc w:val="right"/>
              <w:rPr>
                <w:b/>
                <w:bCs/>
                <w:sz w:val="18"/>
                <w:szCs w:val="18"/>
              </w:rPr>
            </w:pPr>
            <w:r w:rsidRPr="00C67029">
              <w:rPr>
                <w:b/>
                <w:bCs/>
                <w:sz w:val="18"/>
                <w:szCs w:val="18"/>
              </w:rPr>
              <w:t>(12.431)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C67029" w:rsidRDefault="00C81A18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81A18" w:rsidRPr="00C67029" w:rsidRDefault="00C81A18" w:rsidP="00642FA9">
            <w:pPr>
              <w:jc w:val="right"/>
              <w:rPr>
                <w:b/>
                <w:sz w:val="18"/>
                <w:szCs w:val="18"/>
              </w:rPr>
            </w:pPr>
            <w:r w:rsidRPr="00C67029">
              <w:rPr>
                <w:b/>
                <w:sz w:val="18"/>
                <w:szCs w:val="18"/>
              </w:rPr>
              <w:t>(29.831)</w:t>
            </w:r>
          </w:p>
        </w:tc>
      </w:tr>
      <w:tr w:rsidR="00C81A18" w:rsidRPr="0012132A" w:rsidTr="00C81A18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12132A" w:rsidRDefault="00C81A18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1A18" w:rsidRPr="00C67029" w:rsidRDefault="00C81A18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81A18" w:rsidRPr="0012132A" w:rsidTr="00C81A18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67029" w:rsidRDefault="00C81A18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81A18" w:rsidRPr="00C67029" w:rsidRDefault="00C81A18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7A0940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029" w:rsidRPr="00C67029" w:rsidRDefault="00C67029" w:rsidP="00C6702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(3.042)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(4.477)</w:t>
            </w:r>
          </w:p>
        </w:tc>
      </w:tr>
      <w:tr w:rsidR="00C67029" w:rsidRPr="0012132A" w:rsidTr="007A0940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029" w:rsidRPr="00C67029" w:rsidRDefault="00C67029" w:rsidP="00C6702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  (968)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(4.691)</w:t>
            </w:r>
          </w:p>
        </w:tc>
      </w:tr>
      <w:tr w:rsidR="00C67029" w:rsidRPr="0012132A" w:rsidTr="007A0940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Importação em Andamento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67029" w:rsidRPr="00C67029" w:rsidRDefault="00C67029" w:rsidP="00C6702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  (288)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(1.075)</w:t>
            </w:r>
          </w:p>
        </w:tc>
      </w:tr>
      <w:tr w:rsidR="00C67029" w:rsidRPr="0012132A" w:rsidTr="007A0940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Intangíveis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029" w:rsidRPr="00C67029" w:rsidRDefault="00C67029" w:rsidP="00C6702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5679CA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 xml:space="preserve">                    (858)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(4.298)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b/>
                <w:sz w:val="18"/>
                <w:szCs w:val="18"/>
              </w:rPr>
            </w:pPr>
            <w:r w:rsidRPr="00C67029">
              <w:rPr>
                <w:b/>
                <w:bCs/>
                <w:sz w:val="18"/>
                <w:szCs w:val="18"/>
              </w:rPr>
              <w:t>(11.101)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C67029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0B7021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EC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12.078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-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 para Futuro Aumento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EC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50.234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sz w:val="18"/>
                <w:szCs w:val="18"/>
              </w:rPr>
            </w:pPr>
            <w:r w:rsidRPr="00C67029">
              <w:rPr>
                <w:sz w:val="18"/>
                <w:szCs w:val="18"/>
              </w:rPr>
              <w:t>5.700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EC75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62.312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b/>
                <w:sz w:val="18"/>
                <w:szCs w:val="18"/>
              </w:rPr>
            </w:pPr>
            <w:r w:rsidRPr="00C67029">
              <w:rPr>
                <w:b/>
                <w:sz w:val="18"/>
                <w:szCs w:val="18"/>
              </w:rPr>
              <w:t>5.700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Consumido</w:t>
            </w:r>
            <w:r>
              <w:rPr>
                <w:b/>
                <w:bCs/>
                <w:color w:val="000000"/>
                <w:sz w:val="18"/>
                <w:szCs w:val="18"/>
              </w:rPr>
              <w:t>/Adicionado</w:t>
            </w:r>
            <w:r w:rsidRPr="0012132A">
              <w:rPr>
                <w:b/>
                <w:bCs/>
                <w:color w:val="000000"/>
                <w:sz w:val="18"/>
                <w:szCs w:val="18"/>
              </w:rPr>
              <w:t xml:space="preserve"> no Período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C67029" w:rsidRDefault="00C67029" w:rsidP="00E34EA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45.58</w:t>
            </w:r>
            <w:r w:rsidR="00E34EA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C67029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</w:tcPr>
          <w:p w:rsidR="00C67029" w:rsidRPr="00C67029" w:rsidRDefault="00C67029" w:rsidP="00642FA9">
            <w:pPr>
              <w:jc w:val="right"/>
              <w:rPr>
                <w:b/>
                <w:sz w:val="18"/>
                <w:szCs w:val="18"/>
              </w:rPr>
            </w:pPr>
            <w:r w:rsidRPr="00C67029">
              <w:rPr>
                <w:b/>
                <w:bCs/>
                <w:sz w:val="18"/>
                <w:szCs w:val="18"/>
              </w:rPr>
              <w:t>(35.232)</w:t>
            </w:r>
          </w:p>
        </w:tc>
      </w:tr>
      <w:tr w:rsidR="00C67029" w:rsidRPr="0012132A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C67029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CA5314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5679CA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E34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108.582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CA5314" w:rsidRDefault="00C67029" w:rsidP="005679C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A5314">
              <w:rPr>
                <w:color w:val="000000" w:themeColor="text1"/>
                <w:sz w:val="18"/>
                <w:szCs w:val="18"/>
              </w:rPr>
              <w:t>127.797</w:t>
            </w:r>
          </w:p>
        </w:tc>
      </w:tr>
      <w:tr w:rsidR="00C67029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E34EA1" w:rsidP="00EC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154.165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CA5314" w:rsidRDefault="00C67029" w:rsidP="005679C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A5314">
              <w:rPr>
                <w:color w:val="000000" w:themeColor="text1"/>
                <w:sz w:val="18"/>
                <w:szCs w:val="18"/>
              </w:rPr>
              <w:t xml:space="preserve">                92.565 </w:t>
            </w:r>
          </w:p>
        </w:tc>
      </w:tr>
      <w:tr w:rsidR="00C67029" w:rsidRPr="0012132A" w:rsidTr="00C81A18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Redução/Aumento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E34EA1" w:rsidP="00E34EA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45.583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</w:tcPr>
          <w:p w:rsidR="00C67029" w:rsidRPr="00CA5314" w:rsidRDefault="00C67029" w:rsidP="00642FA9">
            <w:pPr>
              <w:jc w:val="right"/>
              <w:rPr>
                <w:b/>
                <w:sz w:val="18"/>
                <w:szCs w:val="18"/>
              </w:rPr>
            </w:pPr>
            <w:r w:rsidRPr="00CA5314">
              <w:rPr>
                <w:b/>
                <w:sz w:val="18"/>
                <w:szCs w:val="18"/>
              </w:rPr>
              <w:t>(35.232)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7029" w:rsidRPr="00CA5314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E34EA1" w:rsidP="00EC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(142)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CA5314" w:rsidRDefault="00C67029" w:rsidP="005679C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A5314">
              <w:rPr>
                <w:color w:val="000000" w:themeColor="text1"/>
                <w:sz w:val="18"/>
                <w:szCs w:val="18"/>
              </w:rPr>
              <w:t xml:space="preserve">                    (56) </w:t>
            </w:r>
          </w:p>
        </w:tc>
      </w:tr>
      <w:tr w:rsidR="00C67029" w:rsidRPr="0012132A" w:rsidTr="005679C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642FA9" w:rsidRDefault="00E34EA1" w:rsidP="00EC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(435)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CA5314" w:rsidRDefault="00C67029" w:rsidP="005679C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A5314">
              <w:rPr>
                <w:color w:val="000000" w:themeColor="text1"/>
                <w:sz w:val="18"/>
                <w:szCs w:val="18"/>
              </w:rPr>
              <w:t xml:space="preserve">                   (567) </w:t>
            </w:r>
          </w:p>
        </w:tc>
      </w:tr>
      <w:tr w:rsidR="00C67029" w:rsidRPr="000B7021" w:rsidTr="00C81A18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67029" w:rsidRPr="00642FA9" w:rsidRDefault="00E34EA1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(577)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642FA9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C67029" w:rsidRPr="00CA5314" w:rsidRDefault="00C67029" w:rsidP="00642FA9">
            <w:pPr>
              <w:jc w:val="right"/>
              <w:rPr>
                <w:b/>
                <w:sz w:val="18"/>
                <w:szCs w:val="18"/>
              </w:rPr>
            </w:pPr>
            <w:r w:rsidRPr="00CA5314">
              <w:rPr>
                <w:b/>
                <w:sz w:val="18"/>
                <w:szCs w:val="18"/>
              </w:rPr>
              <w:t>(623)</w:t>
            </w:r>
          </w:p>
        </w:tc>
      </w:tr>
    </w:tbl>
    <w:p w:rsidR="00EF5609" w:rsidRDefault="00EF5609"/>
    <w:p w:rsidR="000F46F6" w:rsidRDefault="00DF06DB">
      <w:r>
        <w:t>A</w:t>
      </w:r>
      <w:r w:rsidR="00D65413">
        <w:t xml:space="preserve">s notas explicativas </w:t>
      </w:r>
      <w:r w:rsidR="00F36266" w:rsidRPr="00C843EB">
        <w:t>são parte integran</w:t>
      </w:r>
      <w:r w:rsidR="00F36266">
        <w:t>te das demonstrações contábeis.</w:t>
      </w:r>
    </w:p>
    <w:p w:rsidR="00577392" w:rsidRDefault="00577392"/>
    <w:p w:rsidR="00577392" w:rsidRDefault="00577392"/>
    <w:p w:rsidR="00577392" w:rsidRDefault="00577392"/>
    <w:p w:rsidR="00577392" w:rsidRPr="00FD7B48" w:rsidRDefault="00577392">
      <w:pPr>
        <w:sectPr w:rsidR="00577392" w:rsidRPr="00FD7B48" w:rsidSect="00B07FD6"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B63A81" w:rsidRPr="00FD7B48" w:rsidRDefault="00B63A8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285A84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Demonstração do Va</w:t>
            </w:r>
            <w:r w:rsidR="00565C79" w:rsidRPr="00796206">
              <w:rPr>
                <w:b/>
                <w:bCs/>
                <w:color w:val="000000"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FA67C8" w:rsidRDefault="00285A84" w:rsidP="00642FA9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3</w:t>
            </w:r>
            <w:r w:rsidR="001465DD" w:rsidRPr="00FA67C8">
              <w:rPr>
                <w:b/>
                <w:bCs/>
              </w:rPr>
              <w:t>1</w:t>
            </w:r>
            <w:r w:rsidRPr="00FA67C8">
              <w:rPr>
                <w:b/>
                <w:bCs/>
              </w:rPr>
              <w:t>/</w:t>
            </w:r>
            <w:r w:rsidR="00642FA9" w:rsidRPr="00FA67C8">
              <w:rPr>
                <w:b/>
                <w:bCs/>
              </w:rPr>
              <w:t>03</w:t>
            </w:r>
            <w:r w:rsidRPr="00FA67C8">
              <w:rPr>
                <w:b/>
                <w:bCs/>
              </w:rPr>
              <w:t>/20</w:t>
            </w:r>
            <w:r w:rsidR="00642FA9" w:rsidRPr="00FA67C8">
              <w:rPr>
                <w:b/>
                <w:bCs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FA67C8" w:rsidRDefault="00285A84" w:rsidP="00C17F7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FA67C8" w:rsidRDefault="00285A84" w:rsidP="00642FA9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3</w:t>
            </w:r>
            <w:r w:rsidR="001465DD" w:rsidRPr="00FA67C8">
              <w:rPr>
                <w:b/>
                <w:bCs/>
              </w:rPr>
              <w:t>1</w:t>
            </w:r>
            <w:r w:rsidRPr="00FA67C8">
              <w:rPr>
                <w:b/>
                <w:bCs/>
              </w:rPr>
              <w:t>/</w:t>
            </w:r>
            <w:r w:rsidR="00642FA9" w:rsidRPr="00FA67C8">
              <w:rPr>
                <w:b/>
                <w:bCs/>
              </w:rPr>
              <w:t>03</w:t>
            </w:r>
            <w:r w:rsidRPr="00FA67C8">
              <w:rPr>
                <w:b/>
                <w:bCs/>
              </w:rPr>
              <w:t>/201</w:t>
            </w:r>
            <w:r w:rsidR="00642FA9" w:rsidRPr="00FA67C8">
              <w:rPr>
                <w:b/>
                <w:bCs/>
              </w:rPr>
              <w:t>9</w:t>
            </w:r>
          </w:p>
        </w:tc>
      </w:tr>
      <w:tr w:rsidR="00792763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796206" w:rsidRDefault="0079276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FA67C8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FA67C8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FA67C8" w:rsidRDefault="00792763">
            <w:pPr>
              <w:jc w:val="right"/>
              <w:rPr>
                <w:b/>
                <w:bCs/>
              </w:rPr>
            </w:pPr>
          </w:p>
        </w:tc>
      </w:tr>
      <w:tr w:rsidR="002628D1" w:rsidRPr="00796206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796206" w:rsidRDefault="002628D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FA67C8" w:rsidRDefault="002628D1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FA67C8" w:rsidRDefault="002628D1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FA67C8" w:rsidRDefault="002628D1">
            <w:pPr>
              <w:jc w:val="right"/>
              <w:rPr>
                <w:b/>
                <w:bCs/>
              </w:rPr>
            </w:pP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8D132D" w:rsidP="00601702">
            <w:pPr>
              <w:jc w:val="right"/>
            </w:pPr>
            <w:r w:rsidRPr="00FA67C8">
              <w:t>59.586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58.948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8D132D" w:rsidP="00601702">
            <w:pPr>
              <w:jc w:val="right"/>
            </w:pPr>
            <w:r w:rsidRPr="00FA67C8">
              <w:t>3.093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  2.568 </w:t>
            </w:r>
          </w:p>
        </w:tc>
      </w:tr>
      <w:tr w:rsidR="00CA5314" w:rsidRPr="00796206" w:rsidTr="0041607A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Prov. Créd</w:t>
            </w:r>
            <w:r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Liq</w:t>
            </w:r>
            <w:r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Duv</w:t>
            </w:r>
            <w:r>
              <w:rPr>
                <w:color w:val="000000"/>
              </w:rPr>
              <w:t xml:space="preserve">. </w:t>
            </w:r>
            <w:r w:rsidRPr="00796206">
              <w:rPr>
                <w:color w:val="000000"/>
              </w:rPr>
              <w:t>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8D132D" w:rsidP="00601702">
            <w:pPr>
              <w:jc w:val="right"/>
            </w:pPr>
            <w:r w:rsidRPr="00FA67C8">
              <w:t>159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DE08A1">
            <w:pPr>
              <w:jc w:val="right"/>
            </w:pPr>
            <w:r w:rsidRPr="00FA67C8">
              <w:t>4</w:t>
            </w:r>
          </w:p>
        </w:tc>
      </w:tr>
      <w:tr w:rsidR="00CA5314" w:rsidRPr="00601702" w:rsidTr="00E54C15">
        <w:tc>
          <w:tcPr>
            <w:tcW w:w="2943" w:type="pct"/>
            <w:shd w:val="clear" w:color="auto" w:fill="auto"/>
            <w:noWrap/>
            <w:vAlign w:val="bottom"/>
          </w:tcPr>
          <w:p w:rsidR="00CA5314" w:rsidRPr="00601702" w:rsidRDefault="00CA5314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5314" w:rsidRPr="00FA67C8" w:rsidRDefault="008D132D" w:rsidP="00601702">
            <w:pPr>
              <w:jc w:val="right"/>
              <w:rPr>
                <w:b/>
              </w:rPr>
            </w:pPr>
            <w:r w:rsidRPr="00FA67C8">
              <w:rPr>
                <w:b/>
              </w:rPr>
              <w:t>62.838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</w:rPr>
            </w:pPr>
            <w:r w:rsidRPr="00FA67C8">
              <w:rPr>
                <w:b/>
                <w:bCs/>
              </w:rPr>
              <w:t>61.520</w:t>
            </w:r>
          </w:p>
        </w:tc>
      </w:tr>
      <w:tr w:rsidR="00CA5314" w:rsidRPr="00796206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CA5314" w:rsidRPr="00796206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314" w:rsidRPr="00796206" w:rsidRDefault="00CA5314" w:rsidP="00414B3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314" w:rsidRPr="00796206" w:rsidRDefault="00CA5314" w:rsidP="00414B3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</w:pPr>
          </w:p>
        </w:tc>
      </w:tr>
      <w:tr w:rsidR="00CA5314" w:rsidRPr="00796206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8D132D" w:rsidP="00D87DC0">
            <w:pPr>
              <w:jc w:val="right"/>
            </w:pPr>
            <w:r w:rsidRPr="00FA67C8">
              <w:t>36.079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36.476 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8D132D" w:rsidP="00D87DC0">
            <w:pPr>
              <w:jc w:val="right"/>
            </w:pPr>
            <w:r w:rsidRPr="00FA67C8">
              <w:t>38.497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36.977 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5F59E2" w:rsidP="00F91AAD">
            <w:pPr>
              <w:jc w:val="right"/>
            </w:pPr>
            <w:r>
              <w:t>7</w:t>
            </w:r>
            <w:r w:rsidR="008D132D" w:rsidRPr="00FA67C8">
              <w:t>7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     183 </w:t>
            </w:r>
          </w:p>
        </w:tc>
      </w:tr>
      <w:tr w:rsidR="00CA5314" w:rsidRPr="00D87DC0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D87DC0" w:rsidRDefault="00CA5314" w:rsidP="00796206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A5314" w:rsidRPr="00FA67C8" w:rsidRDefault="005F59E2" w:rsidP="00D87DC0">
            <w:pPr>
              <w:jc w:val="right"/>
              <w:rPr>
                <w:b/>
              </w:rPr>
            </w:pPr>
            <w:r>
              <w:rPr>
                <w:b/>
              </w:rPr>
              <w:t>74.65</w:t>
            </w:r>
            <w:r w:rsidR="008D132D" w:rsidRPr="00FA67C8">
              <w:rPr>
                <w:b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 xml:space="preserve">                 73.636 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</w:tr>
      <w:tr w:rsidR="00CA5314" w:rsidRPr="00D87DC0" w:rsidTr="005679CA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5F59E2" w:rsidP="00D87DC0">
            <w:pPr>
              <w:jc w:val="right"/>
              <w:rPr>
                <w:b/>
              </w:rPr>
            </w:pPr>
            <w:r>
              <w:rPr>
                <w:b/>
              </w:rPr>
              <w:t>(11.81</w:t>
            </w:r>
            <w:r w:rsidR="008D132D" w:rsidRPr="00FA67C8">
              <w:rPr>
                <w:b/>
              </w:rPr>
              <w:t>5)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(12.116)</w:t>
            </w:r>
          </w:p>
        </w:tc>
      </w:tr>
      <w:tr w:rsidR="00CA5314" w:rsidRPr="00796206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r w:rsidRPr="00FA67C8">
              <w:t> </w:t>
            </w:r>
          </w:p>
        </w:tc>
      </w:tr>
      <w:tr w:rsidR="00CA5314" w:rsidRPr="00D87DC0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ind w:firstLineChars="200" w:firstLine="400"/>
            </w:pPr>
            <w:r w:rsidRPr="00D87DC0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5F59E2" w:rsidP="00F91AAD">
            <w:pPr>
              <w:jc w:val="right"/>
            </w:pPr>
            <w:r>
              <w:t>5.96</w:t>
            </w:r>
            <w:r w:rsidR="008D132D" w:rsidRPr="00FA67C8">
              <w:t>9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  5.715 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</w:tr>
      <w:tr w:rsidR="00CA5314" w:rsidRPr="00D87DC0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>Valor Adicionado Líq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5F59E2" w:rsidP="00D87DC0">
            <w:pPr>
              <w:jc w:val="right"/>
              <w:rPr>
                <w:b/>
              </w:rPr>
            </w:pPr>
            <w:r>
              <w:rPr>
                <w:b/>
              </w:rPr>
              <w:t>(17.784</w:t>
            </w:r>
            <w:r w:rsidR="008D132D" w:rsidRPr="00FA67C8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DE08A1">
            <w:pPr>
              <w:jc w:val="right"/>
              <w:rPr>
                <w:b/>
              </w:rPr>
            </w:pPr>
            <w:r w:rsidRPr="00FA67C8">
              <w:rPr>
                <w:b/>
              </w:rPr>
              <w:t>(17.831)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8D132D">
            <w:pPr>
              <w:jc w:val="right"/>
            </w:pPr>
            <w:r w:rsidRPr="00FA67C8">
              <w:t>2.569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     599 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8D132D">
            <w:pPr>
              <w:jc w:val="right"/>
            </w:pPr>
            <w:r w:rsidRPr="00FA67C8">
              <w:t>294.327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276.380 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8D132D">
            <w:pPr>
              <w:jc w:val="right"/>
            </w:pPr>
            <w:r w:rsidRPr="00FA67C8">
              <w:t>922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      (74)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8D132D" w:rsidP="00285A84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Receitas de Alugué</w:t>
            </w:r>
            <w:r w:rsidR="00CA5314" w:rsidRPr="00796206">
              <w:rPr>
                <w:color w:val="000000"/>
              </w:rPr>
              <w:t>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8D132D">
            <w:pPr>
              <w:jc w:val="right"/>
            </w:pPr>
            <w:r w:rsidRPr="00FA67C8">
              <w:t>1.441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 xml:space="preserve">                    1.107 </w:t>
            </w:r>
          </w:p>
        </w:tc>
      </w:tr>
      <w:tr w:rsidR="00CA5314" w:rsidRPr="00D87DC0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5314" w:rsidRPr="00D87DC0" w:rsidRDefault="00CA5314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314" w:rsidRPr="00FA67C8" w:rsidRDefault="00FA67C8" w:rsidP="00D87DC0">
            <w:pPr>
              <w:jc w:val="right"/>
              <w:rPr>
                <w:b/>
              </w:rPr>
            </w:pPr>
            <w:r w:rsidRPr="00FA67C8">
              <w:rPr>
                <w:b/>
              </w:rPr>
              <w:t>299.259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 xml:space="preserve">              278.012 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</w:p>
        </w:tc>
      </w:tr>
      <w:tr w:rsidR="00CA5314" w:rsidRPr="00D87DC0" w:rsidTr="00642FA9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FA67C8" w:rsidP="00D87DC0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281.473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260.181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FA67C8" w:rsidP="009E4D3A">
            <w:pPr>
              <w:jc w:val="right"/>
            </w:pPr>
            <w:r w:rsidRPr="00FA67C8">
              <w:t>185.758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174.097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FA67C8" w:rsidP="00C622A0">
            <w:pPr>
              <w:jc w:val="right"/>
            </w:pPr>
            <w:r w:rsidRPr="00FA67C8">
              <w:t>20.094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19.406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FA67C8" w:rsidP="009E4D3A">
            <w:pPr>
              <w:jc w:val="right"/>
            </w:pPr>
            <w:r w:rsidRPr="00FA67C8">
              <w:t>15.208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14.979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 </w:t>
            </w:r>
          </w:p>
        </w:tc>
      </w:tr>
      <w:tr w:rsidR="00CA5314" w:rsidRPr="009E4D3A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9E4D3A" w:rsidRDefault="00CA5314" w:rsidP="00285A84">
            <w:pPr>
              <w:rPr>
                <w:bCs/>
              </w:rPr>
            </w:pPr>
            <w:r w:rsidRPr="009E4D3A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FA67C8" w:rsidP="00C622A0">
            <w:pPr>
              <w:jc w:val="right"/>
            </w:pPr>
            <w:r w:rsidRPr="00FA67C8">
              <w:t>52.716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50.362</w:t>
            </w:r>
          </w:p>
        </w:tc>
      </w:tr>
      <w:tr w:rsidR="00CA5314" w:rsidRPr="009E4D3A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9E4D3A" w:rsidRDefault="00CA5314" w:rsidP="00285A84">
            <w:pPr>
              <w:rPr>
                <w:bCs/>
              </w:rPr>
            </w:pPr>
            <w:r w:rsidRPr="009E4D3A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FA67C8" w:rsidP="009E4D3A">
            <w:pPr>
              <w:jc w:val="right"/>
              <w:rPr>
                <w:bCs/>
              </w:rPr>
            </w:pPr>
            <w:r w:rsidRPr="00FA67C8">
              <w:rPr>
                <w:bCs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14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E54C15">
            <w:pPr>
              <w:jc w:val="right"/>
            </w:pP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FA67C8" w:rsidP="00FF1A49">
            <w:pPr>
              <w:jc w:val="right"/>
            </w:pPr>
            <w:r w:rsidRPr="00FA67C8">
              <w:t>568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861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FA67C8" w:rsidP="00FF1A49">
            <w:pPr>
              <w:jc w:val="right"/>
            </w:pPr>
            <w:r w:rsidRPr="00FA67C8">
              <w:t>191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201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FA67C8" w:rsidP="00FF1A49">
            <w:pPr>
              <w:jc w:val="right"/>
            </w:pPr>
            <w:r w:rsidRPr="00FA67C8">
              <w:t>555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660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FA67C8" w:rsidRDefault="00CA5314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 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314" w:rsidRPr="00FA67C8" w:rsidRDefault="00FA67C8" w:rsidP="00FF1A49">
            <w:pPr>
              <w:jc w:val="right"/>
            </w:pPr>
            <w:r w:rsidRPr="00FA67C8">
              <w:t>6.359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CA5314" w:rsidRPr="00FA67C8" w:rsidRDefault="00CA5314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(399)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</w:pPr>
            <w:r w:rsidRPr="00FA67C8">
              <w:t> </w:t>
            </w:r>
          </w:p>
        </w:tc>
      </w:tr>
      <w:tr w:rsidR="00CA5314" w:rsidRPr="00796206" w:rsidTr="005679CA">
        <w:tc>
          <w:tcPr>
            <w:tcW w:w="2943" w:type="pct"/>
            <w:shd w:val="clear" w:color="auto" w:fill="auto"/>
            <w:noWrap/>
            <w:vAlign w:val="bottom"/>
          </w:tcPr>
          <w:p w:rsidR="00CA5314" w:rsidRPr="00796206" w:rsidRDefault="00CA5314" w:rsidP="00AC3DB8">
            <w:pPr>
              <w:rPr>
                <w:b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CA5314" w:rsidRPr="00FA67C8" w:rsidRDefault="00FA67C8" w:rsidP="006D7B06">
            <w:pPr>
              <w:jc w:val="right"/>
              <w:rPr>
                <w:b/>
              </w:rPr>
            </w:pPr>
            <w:r w:rsidRPr="00FA67C8">
              <w:rPr>
                <w:b/>
              </w:rPr>
              <w:t>281.473</w:t>
            </w:r>
          </w:p>
        </w:tc>
        <w:tc>
          <w:tcPr>
            <w:tcW w:w="116" w:type="pct"/>
            <w:shd w:val="clear" w:color="auto" w:fill="auto"/>
            <w:noWrap/>
          </w:tcPr>
          <w:p w:rsidR="00CA5314" w:rsidRPr="00FA67C8" w:rsidRDefault="00CA5314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314" w:rsidRPr="00FA67C8" w:rsidRDefault="00CA5314" w:rsidP="005679CA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260.181</w:t>
            </w:r>
          </w:p>
        </w:tc>
      </w:tr>
    </w:tbl>
    <w:p w:rsidR="00CD7AFB" w:rsidRDefault="00CD7AFB" w:rsidP="00CD7AFB">
      <w:pPr>
        <w:jc w:val="center"/>
      </w:pPr>
    </w:p>
    <w:p w:rsidR="00CD7AFB" w:rsidRPr="00C843EB" w:rsidRDefault="00DF06DB" w:rsidP="00CD7E51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955A65" w:rsidRPr="00FD7B48" w:rsidRDefault="00955A65" w:rsidP="00B63A81">
      <w:pPr>
        <w:sectPr w:rsidR="00955A65" w:rsidRPr="00FD7B48" w:rsidSect="00540135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Default="007807EC" w:rsidP="007807EC">
      <w:pPr>
        <w:pStyle w:val="Ttulo1"/>
        <w:jc w:val="left"/>
      </w:pPr>
      <w:bookmarkStart w:id="3" w:name="_Toc40804084"/>
      <w:r w:rsidRPr="00FD7B48">
        <w:lastRenderedPageBreak/>
        <w:t>Notas Explicativas</w:t>
      </w:r>
      <w:bookmarkEnd w:id="3"/>
    </w:p>
    <w:p w:rsidR="00350888" w:rsidRPr="00595A08" w:rsidRDefault="00350888" w:rsidP="00595A08"/>
    <w:p w:rsidR="009657C6" w:rsidRPr="00923D20" w:rsidRDefault="009657C6" w:rsidP="00AD73F5">
      <w:pPr>
        <w:pStyle w:val="Ttulo"/>
        <w:ind w:left="0" w:firstLine="0"/>
        <w:outlineLvl w:val="0"/>
      </w:pPr>
      <w:bookmarkStart w:id="4" w:name="_Toc40804085"/>
      <w:r w:rsidRPr="00923D20">
        <w:t>Contexto Operacional</w:t>
      </w:r>
      <w:bookmarkEnd w:id="4"/>
    </w:p>
    <w:p w:rsidR="009657C6" w:rsidRPr="00595A08" w:rsidRDefault="009657C6" w:rsidP="009657C6"/>
    <w:p w:rsidR="009657C6" w:rsidRPr="00595A08" w:rsidRDefault="009657C6" w:rsidP="00230EA8">
      <w:pPr>
        <w:jc w:val="both"/>
      </w:pPr>
      <w:r w:rsidRPr="00595A08">
        <w:t xml:space="preserve">O Hospital de Clínicas de Porto Alegre </w:t>
      </w:r>
      <w:r w:rsidR="00404359">
        <w:t xml:space="preserve">- </w:t>
      </w:r>
      <w:r w:rsidRPr="00595A08">
        <w:t xml:space="preserve">HCPA com sede em Porto Alegre, Estado do Rio Grande do Sul, </w:t>
      </w:r>
      <w:r w:rsidR="00345080">
        <w:t xml:space="preserve">é uma </w:t>
      </w:r>
      <w:r w:rsidRPr="00595A08">
        <w:t>empresa pública de direito privado, criado pela Lei n º 5.604, de 02 de setembro de 1970</w:t>
      </w:r>
      <w:r w:rsidR="000F54A5">
        <w:t xml:space="preserve">, sendo regido pelo seu Estatuto Social </w:t>
      </w:r>
      <w:r w:rsidR="00345080">
        <w:t>e</w:t>
      </w:r>
      <w:r w:rsidRPr="00595A08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>
        <w:t>à</w:t>
      </w:r>
      <w:r w:rsidRPr="00595A08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595A08" w:rsidRDefault="009657C6" w:rsidP="00230EA8">
      <w:pPr>
        <w:jc w:val="both"/>
      </w:pPr>
    </w:p>
    <w:p w:rsidR="003A4A3E" w:rsidRDefault="009657C6" w:rsidP="00230EA8">
      <w:pPr>
        <w:jc w:val="both"/>
      </w:pPr>
      <w:r w:rsidRPr="00595A08">
        <w:t xml:space="preserve">É um Hospital Geral Universitário, que presta assistência médico-hospitalar a pacientes do Sistema Único de Saúde (SUS), a Convênios Privados e a </w:t>
      </w:r>
      <w:r w:rsidR="00190E48">
        <w:t>P</w:t>
      </w:r>
      <w:r w:rsidRPr="00595A08">
        <w:t xml:space="preserve">acientes </w:t>
      </w:r>
      <w:r w:rsidR="00190E48">
        <w:t>P</w:t>
      </w:r>
      <w:r w:rsidRPr="00595A08">
        <w:t xml:space="preserve">articulares.  </w:t>
      </w:r>
    </w:p>
    <w:p w:rsidR="003A4A3E" w:rsidRDefault="003A4A3E" w:rsidP="00230EA8">
      <w:pPr>
        <w:jc w:val="both"/>
      </w:pPr>
    </w:p>
    <w:p w:rsidR="003E1BD4" w:rsidRDefault="00572C9E" w:rsidP="00572C9E">
      <w:pPr>
        <w:autoSpaceDE w:val="0"/>
        <w:autoSpaceDN w:val="0"/>
        <w:adjustRightInd w:val="0"/>
        <w:jc w:val="both"/>
      </w:pPr>
      <w:r w:rsidRPr="00A41070">
        <w:t xml:space="preserve">Em 21 de novembro de </w:t>
      </w:r>
      <w:r w:rsidR="00350888">
        <w:t>2017</w:t>
      </w:r>
      <w:r w:rsidR="00FF23FA">
        <w:t>,</w:t>
      </w:r>
      <w:r w:rsidRPr="00A41070">
        <w:t xml:space="preserve"> foi aprovada </w:t>
      </w:r>
      <w:r w:rsidR="00A41070" w:rsidRPr="00A41070">
        <w:t>a alteração do Estatuto Social da Instituição</w:t>
      </w:r>
      <w:r w:rsidRPr="00A41070">
        <w:t xml:space="preserve"> adequando-o a Lei nº 13.303 de 27 de julho de 2016 (Lei das Estatais)</w:t>
      </w:r>
      <w:r w:rsidR="00697DA8">
        <w:t xml:space="preserve"> </w:t>
      </w:r>
      <w:r w:rsidR="00697DA8" w:rsidRPr="00697DA8">
        <w:t>e ao Decreto nº 8.945 de 27 de dezembro de 2016</w:t>
      </w:r>
      <w:r w:rsidR="00697DA8">
        <w:t>.</w:t>
      </w:r>
      <w:r w:rsidRPr="00A41070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>
        <w:t xml:space="preserve">. </w:t>
      </w:r>
    </w:p>
    <w:p w:rsidR="008F0681" w:rsidRDefault="008F0681" w:rsidP="00572C9E">
      <w:pPr>
        <w:autoSpaceDE w:val="0"/>
        <w:autoSpaceDN w:val="0"/>
        <w:adjustRightInd w:val="0"/>
        <w:jc w:val="both"/>
      </w:pPr>
    </w:p>
    <w:p w:rsidR="003E1BD4" w:rsidRDefault="003E1BD4" w:rsidP="00572C9E">
      <w:pPr>
        <w:autoSpaceDE w:val="0"/>
        <w:autoSpaceDN w:val="0"/>
        <w:adjustRightInd w:val="0"/>
        <w:jc w:val="both"/>
      </w:pPr>
      <w:r w:rsidRPr="00A071CA">
        <w:t>O HCPA é</w:t>
      </w:r>
      <w:r w:rsidR="00572C9E" w:rsidRPr="00A071CA">
        <w:t xml:space="preserve"> administrado pelo</w:t>
      </w:r>
      <w:r w:rsidR="00C22131" w:rsidRPr="00A071CA">
        <w:t xml:space="preserve"> Conselho de Administração (CA), </w:t>
      </w:r>
      <w:r w:rsidR="00572C9E" w:rsidRPr="00A071CA">
        <w:t xml:space="preserve">como órgão </w:t>
      </w:r>
      <w:r w:rsidR="00697DA8" w:rsidRPr="00A071CA">
        <w:t>colegiado de deliberação estratégica e controle da gestão</w:t>
      </w:r>
      <w:r w:rsidR="00C22131" w:rsidRPr="00A071CA">
        <w:t>,</w:t>
      </w:r>
      <w:r w:rsidRPr="00A071CA">
        <w:t xml:space="preserve"> e pela Diretoria Executiva (DE) como órgão executivo de administração e representação. O Conselho de Administração (CA) é</w:t>
      </w:r>
      <w:r w:rsidR="00572C9E" w:rsidRPr="00A071CA">
        <w:t xml:space="preserve"> composto por integrantes vinculados à Universidade Federa</w:t>
      </w:r>
      <w:r w:rsidR="00C22131" w:rsidRPr="00A071CA">
        <w:t>l do Rio Grande do Sul (UFRGS),</w:t>
      </w:r>
      <w:r w:rsidR="00572C9E" w:rsidRPr="00A071CA">
        <w:t xml:space="preserve"> </w:t>
      </w:r>
      <w:r w:rsidR="00C22131" w:rsidRPr="00A071CA">
        <w:t xml:space="preserve">por </w:t>
      </w:r>
      <w:r w:rsidR="00572C9E" w:rsidRPr="00A071CA">
        <w:t>membros representantes dos Ministérios d</w:t>
      </w:r>
      <w:r w:rsidR="00242097" w:rsidRPr="00A071CA">
        <w:t>a Educação (MEC), da Saúde (MS) e</w:t>
      </w:r>
      <w:r w:rsidR="00572C9E" w:rsidRPr="00A071CA">
        <w:t xml:space="preserve"> </w:t>
      </w:r>
      <w:r w:rsidR="00FF23FA" w:rsidRPr="00A071CA">
        <w:t xml:space="preserve">da </w:t>
      </w:r>
      <w:r w:rsidR="00242097" w:rsidRPr="00A071CA">
        <w:t>Economia</w:t>
      </w:r>
      <w:r w:rsidR="00FF23FA" w:rsidRPr="00A071CA">
        <w:t xml:space="preserve"> (M</w:t>
      </w:r>
      <w:r w:rsidR="00242097" w:rsidRPr="00A071CA">
        <w:t>E</w:t>
      </w:r>
      <w:r w:rsidR="00FF23FA" w:rsidRPr="00A071CA">
        <w:t>)</w:t>
      </w:r>
      <w:r w:rsidR="00C22131" w:rsidRPr="00A071CA">
        <w:t xml:space="preserve">, </w:t>
      </w:r>
      <w:r w:rsidR="00A127BA" w:rsidRPr="00A071CA">
        <w:t>pela</w:t>
      </w:r>
      <w:r w:rsidR="00C22131" w:rsidRPr="00A071CA">
        <w:t xml:space="preserve"> Diretora-Presidente do HCPA e por um representante dos empregados.</w:t>
      </w:r>
      <w:r w:rsidR="00FF23FA" w:rsidRPr="00A071CA">
        <w:t xml:space="preserve"> </w:t>
      </w:r>
      <w:r w:rsidR="00C22131" w:rsidRPr="00A071CA">
        <w:t>Já a</w:t>
      </w:r>
      <w:r w:rsidRPr="00A071CA">
        <w:t xml:space="preserve"> Diretoria Executiva (DE)</w:t>
      </w:r>
      <w:r w:rsidR="00C22131" w:rsidRPr="00A071CA">
        <w:t xml:space="preserve"> </w:t>
      </w:r>
      <w:r w:rsidRPr="00A071CA">
        <w:t>é</w:t>
      </w:r>
      <w:r w:rsidR="00572C9E" w:rsidRPr="00A071CA">
        <w:t xml:space="preserve"> composta por Diretora-Presidente, Diretor</w:t>
      </w:r>
      <w:r w:rsidR="0082561D" w:rsidRPr="00A071CA">
        <w:t>-</w:t>
      </w:r>
      <w:r w:rsidR="00572C9E" w:rsidRPr="00A071CA">
        <w:t>Médico e Diretor Administrativo.</w:t>
      </w:r>
    </w:p>
    <w:p w:rsidR="00242097" w:rsidRDefault="00242097" w:rsidP="00572C9E">
      <w:pPr>
        <w:autoSpaceDE w:val="0"/>
        <w:autoSpaceDN w:val="0"/>
        <w:adjustRightInd w:val="0"/>
        <w:jc w:val="both"/>
      </w:pPr>
    </w:p>
    <w:p w:rsidR="00572C9E" w:rsidRDefault="003E1BD4" w:rsidP="00572C9E">
      <w:pPr>
        <w:autoSpaceDE w:val="0"/>
        <w:autoSpaceDN w:val="0"/>
        <w:adjustRightInd w:val="0"/>
        <w:jc w:val="both"/>
      </w:pPr>
      <w:r>
        <w:t xml:space="preserve">Os professores da UFRGS atuam, no HCPA, </w:t>
      </w:r>
      <w:r w:rsidR="00572C9E" w:rsidRPr="00222B2B">
        <w:t>na preceptoria dos programas de Resi</w:t>
      </w:r>
      <w:r w:rsidR="00572C9E" w:rsidRPr="00BA2BDE">
        <w:t xml:space="preserve">dência Médica e </w:t>
      </w:r>
      <w:r w:rsidR="00572C9E" w:rsidRPr="00595A08">
        <w:t>Residência Integrada Multiprofissional em Saúde (RIMS). Os funcionários são contratados sob o regime da CLT, e o Capital Social pertence integralmente à União Federal.</w:t>
      </w:r>
      <w:r w:rsidR="00572C9E">
        <w:t xml:space="preserve"> Possui como órgão fiscalizador o Conselho Fiscal</w:t>
      </w:r>
      <w:r w:rsidR="00FF23FA">
        <w:t xml:space="preserve"> (CF)</w:t>
      </w:r>
      <w:r w:rsidR="00572C9E">
        <w:t xml:space="preserve">, composto por dois membros do Ministério da Educação (MEC) e um membro representante do Ministério da </w:t>
      </w:r>
      <w:r w:rsidR="00276B64">
        <w:t xml:space="preserve">Economia </w:t>
      </w:r>
      <w:r w:rsidR="00947508">
        <w:t>(M</w:t>
      </w:r>
      <w:r w:rsidR="00276B64">
        <w:t>E</w:t>
      </w:r>
      <w:r w:rsidR="00572C9E">
        <w:t>).</w:t>
      </w:r>
    </w:p>
    <w:p w:rsidR="009657C6" w:rsidRDefault="009657C6" w:rsidP="009657C6">
      <w:pPr>
        <w:autoSpaceDE w:val="0"/>
        <w:autoSpaceDN w:val="0"/>
        <w:adjustRightInd w:val="0"/>
        <w:jc w:val="both"/>
      </w:pPr>
    </w:p>
    <w:p w:rsidR="008D011E" w:rsidRDefault="008D011E" w:rsidP="009657C6">
      <w:pPr>
        <w:autoSpaceDE w:val="0"/>
        <w:autoSpaceDN w:val="0"/>
        <w:adjustRightInd w:val="0"/>
        <w:jc w:val="both"/>
      </w:pPr>
    </w:p>
    <w:p w:rsidR="009657C6" w:rsidRPr="006338C6" w:rsidRDefault="00230EA8" w:rsidP="00AD73F5">
      <w:pPr>
        <w:pStyle w:val="Ttulo"/>
        <w:ind w:left="0" w:firstLine="0"/>
        <w:outlineLvl w:val="0"/>
      </w:pPr>
      <w:bookmarkStart w:id="5" w:name="_Toc40804086"/>
      <w:r w:rsidRPr="006338C6">
        <w:t>Principais Políticas Contábeis</w:t>
      </w:r>
      <w:bookmarkEnd w:id="5"/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principais políticas contábeis aplicadas na preparação destas </w:t>
      </w:r>
      <w:r w:rsidR="00416B8B" w:rsidRPr="00595A08">
        <w:t>Demonstrações Financeiras</w:t>
      </w:r>
      <w:r w:rsidRPr="00595A08">
        <w:t xml:space="preserve"> estão definidas </w:t>
      </w:r>
      <w:r w:rsidR="006B3C15" w:rsidRPr="00595A08">
        <w:t>a seguir</w:t>
      </w:r>
      <w:r w:rsidRPr="00595A08">
        <w:t>. Essas políticas foram aplicadas de modo consistente em t</w:t>
      </w:r>
      <w:r w:rsidR="006B3C15" w:rsidRPr="00595A08">
        <w:t>odos os exercícios apresentados.</w:t>
      </w:r>
    </w:p>
    <w:p w:rsidR="009657C6" w:rsidRPr="00595A08" w:rsidRDefault="009657C6" w:rsidP="009657C6">
      <w:pPr>
        <w:jc w:val="both"/>
        <w:rPr>
          <w:b/>
        </w:rPr>
      </w:pPr>
    </w:p>
    <w:p w:rsidR="004055B7" w:rsidRPr="006338C6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338C6">
        <w:t>Base de Preparação</w:t>
      </w:r>
    </w:p>
    <w:p w:rsidR="004055B7" w:rsidRPr="00595A08" w:rsidRDefault="004055B7" w:rsidP="009657C6">
      <w:pPr>
        <w:jc w:val="both"/>
        <w:rPr>
          <w:b/>
        </w:rPr>
      </w:pPr>
    </w:p>
    <w:p w:rsidR="0096203D" w:rsidRDefault="009657C6" w:rsidP="0096203D">
      <w:pPr>
        <w:jc w:val="both"/>
      </w:pPr>
      <w:r w:rsidRPr="00FD7B48">
        <w:t xml:space="preserve">As </w:t>
      </w:r>
      <w:r w:rsidR="00416B8B" w:rsidRPr="00FD7B48">
        <w:t>Demonstrações Financeiras</w:t>
      </w:r>
      <w:r w:rsidRPr="00FD7B48">
        <w:t xml:space="preserve"> foram elaboradas e são apresentadas em conformidade com as práticas contábeis adotadas no Brasil</w:t>
      </w:r>
      <w:r w:rsidR="00E176E1">
        <w:t xml:space="preserve"> e atendem</w:t>
      </w:r>
      <w:r w:rsidR="00C55C69">
        <w:t xml:space="preserve"> à</w:t>
      </w:r>
      <w:r w:rsidRPr="00FD7B48">
        <w:t>s disposições contidas na legislação societária (Lei 6.404/76 e alterações subsequentes</w:t>
      </w:r>
      <w:r w:rsidR="0096203D">
        <w:t>,</w:t>
      </w:r>
      <w:r w:rsidRPr="00FD7B48">
        <w:t xml:space="preserve"> incluindo a Lei nº 11.638/07), </w:t>
      </w:r>
      <w:r w:rsidR="00D922B9">
        <w:t>n</w:t>
      </w:r>
      <w:r w:rsidRPr="00FD7B48">
        <w:t xml:space="preserve">as Normas Brasileiras de Contabilidade, </w:t>
      </w:r>
      <w:r w:rsidR="00D922B9">
        <w:t>n</w:t>
      </w:r>
      <w:r w:rsidRPr="00FD7B48">
        <w:t>os p</w:t>
      </w:r>
      <w:r w:rsidR="00D922B9">
        <w:t xml:space="preserve">ronunciamentos, </w:t>
      </w:r>
      <w:r w:rsidRPr="00FD7B48">
        <w:t xml:space="preserve">orientações e </w:t>
      </w:r>
      <w:r w:rsidR="00D922B9">
        <w:t>interpretações emitido</w:t>
      </w:r>
      <w:r w:rsidRPr="00FD7B48">
        <w:t>s pelo Comitê de Pronunciamentos Contábeis (CPC)</w:t>
      </w:r>
      <w:r w:rsidR="00D922B9">
        <w:t>, aprovado</w:t>
      </w:r>
      <w:r w:rsidRPr="00FD7B48">
        <w:t>s pelo Co</w:t>
      </w:r>
      <w:r w:rsidR="0096203D">
        <w:t>nselho Federal de Contabilidade, e</w:t>
      </w:r>
      <w:r w:rsidR="0096203D" w:rsidRPr="00595A08">
        <w:t xml:space="preserve"> </w:t>
      </w:r>
      <w:r w:rsidR="00D922B9">
        <w:t>a</w:t>
      </w:r>
      <w:r w:rsidR="0096203D" w:rsidRPr="00595A08">
        <w:t>o Sistema Integrado de Administração Finance</w:t>
      </w:r>
      <w:r w:rsidR="00D922B9">
        <w:t xml:space="preserve">ira (SIAFI) </w:t>
      </w:r>
      <w:r w:rsidR="0096203D" w:rsidRPr="00595A08">
        <w:t xml:space="preserve">do Governo Federal, no qual o HCPA </w:t>
      </w:r>
      <w:r w:rsidR="0096203D">
        <w:t>aderiu em</w:t>
      </w:r>
      <w:r w:rsidR="0096203D" w:rsidRPr="00595A08">
        <w:t xml:space="preserve"> 01 de janeiro de</w:t>
      </w:r>
      <w:r w:rsidR="0096203D" w:rsidRPr="00FD7B48">
        <w:t xml:space="preserve"> 1</w:t>
      </w:r>
      <w:r w:rsidR="0096203D">
        <w:t>992, na forma da Lei n° 4.320/64.</w:t>
      </w:r>
    </w:p>
    <w:p w:rsidR="009657C6" w:rsidRPr="00595A08" w:rsidRDefault="009657C6" w:rsidP="009657C6">
      <w:pPr>
        <w:jc w:val="both"/>
      </w:pPr>
    </w:p>
    <w:p w:rsidR="00230EA8" w:rsidRDefault="009657C6" w:rsidP="009657C6">
      <w:pPr>
        <w:jc w:val="both"/>
      </w:pPr>
      <w:r w:rsidRPr="00595A08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>
        <w:t>faz</w:t>
      </w:r>
      <w:r w:rsidR="004C7D2C" w:rsidRPr="004C7D2C">
        <w:t xml:space="preserve"> parte integrante das demonstrações contábeis conforme BR GAAP. A DVA, em sua primeira parte, apresenta a riqueza criada pela </w:t>
      </w:r>
      <w:r w:rsidR="005F59E2">
        <w:t>entidade</w:t>
      </w:r>
      <w:r w:rsidR="004C7D2C" w:rsidRPr="004C7D2C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</w:t>
      </w:r>
      <w:r w:rsidR="004C7D2C" w:rsidRPr="004C7D2C">
        <w:lastRenderedPageBreak/>
        <w:t>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</w:t>
      </w:r>
      <w:r w:rsidR="004C7D2C">
        <w:t>.</w:t>
      </w:r>
    </w:p>
    <w:p w:rsidR="004C7D2C" w:rsidRPr="00595A08" w:rsidRDefault="004C7D2C" w:rsidP="009657C6">
      <w:pPr>
        <w:jc w:val="both"/>
      </w:pPr>
    </w:p>
    <w:p w:rsidR="009657C6" w:rsidRDefault="009657C6" w:rsidP="009657C6">
      <w:pPr>
        <w:jc w:val="both"/>
      </w:pPr>
      <w:r w:rsidRPr="00595A08">
        <w:t xml:space="preserve">As </w:t>
      </w:r>
      <w:r w:rsidR="00416B8B" w:rsidRPr="00595A08">
        <w:t>Demonstrações Financeiras</w:t>
      </w:r>
      <w:r w:rsidRPr="00595A08">
        <w:t xml:space="preserve"> foram preparadas considerando o custo histórico como base de valor e ajustadas para refletir o custo atribuído de todo o Ativo Imobilizado.</w:t>
      </w:r>
    </w:p>
    <w:p w:rsidR="00E84700" w:rsidRDefault="00E84700" w:rsidP="009657C6">
      <w:pPr>
        <w:jc w:val="both"/>
      </w:pPr>
    </w:p>
    <w:p w:rsidR="00E84700" w:rsidRPr="007C0857" w:rsidRDefault="00E84700" w:rsidP="009657C6">
      <w:pPr>
        <w:jc w:val="both"/>
      </w:pPr>
      <w:r w:rsidRPr="0086767C">
        <w:t xml:space="preserve">As demonstrações foram autorizadas na reunião </w:t>
      </w:r>
      <w:r w:rsidR="00E80668" w:rsidRPr="0086767C">
        <w:t>da Diretoria Executiva</w:t>
      </w:r>
      <w:r w:rsidRPr="0086767C">
        <w:t xml:space="preserve"> </w:t>
      </w:r>
      <w:r w:rsidR="000C47B2" w:rsidRPr="0086767C">
        <w:t>do dia</w:t>
      </w:r>
      <w:r w:rsidRPr="0086767C">
        <w:t xml:space="preserve"> </w:t>
      </w:r>
      <w:r w:rsidR="0086767C" w:rsidRPr="0086767C">
        <w:t>1º</w:t>
      </w:r>
      <w:r w:rsidRPr="0086767C">
        <w:t xml:space="preserve"> de </w:t>
      </w:r>
      <w:r w:rsidR="0086767C" w:rsidRPr="0086767C">
        <w:t>junho</w:t>
      </w:r>
      <w:r w:rsidRPr="0086767C">
        <w:t xml:space="preserve"> de 20</w:t>
      </w:r>
      <w:r w:rsidR="00CB6362" w:rsidRPr="0086767C">
        <w:t>20</w:t>
      </w:r>
      <w:r w:rsidRPr="0086767C">
        <w:t>.</w:t>
      </w:r>
    </w:p>
    <w:p w:rsidR="00350888" w:rsidRDefault="00350888" w:rsidP="009657C6">
      <w:pPr>
        <w:jc w:val="both"/>
      </w:pPr>
    </w:p>
    <w:p w:rsidR="004055B7" w:rsidRPr="00923D20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923D20">
        <w:t xml:space="preserve">Mudanças nas </w:t>
      </w:r>
      <w:r w:rsidR="00B74CEE" w:rsidRPr="00923D20">
        <w:t>P</w:t>
      </w:r>
      <w:r w:rsidRPr="00923D20">
        <w:t xml:space="preserve">olíticas </w:t>
      </w:r>
      <w:r w:rsidR="00B74CEE" w:rsidRPr="00923D20">
        <w:t>C</w:t>
      </w:r>
      <w:r w:rsidRPr="00923D20">
        <w:t xml:space="preserve">ontábeis e </w:t>
      </w:r>
      <w:r w:rsidR="00B74CEE" w:rsidRPr="00923D20">
        <w:t>D</w:t>
      </w:r>
      <w:r w:rsidRPr="00923D20">
        <w:t>ivulgações</w:t>
      </w:r>
    </w:p>
    <w:p w:rsidR="009657C6" w:rsidRPr="00595A08" w:rsidRDefault="009657C6" w:rsidP="009657C6">
      <w:pPr>
        <w:jc w:val="both"/>
        <w:rPr>
          <w:rFonts w:ascii="Arial" w:hAnsi="Arial" w:cs="Arial"/>
        </w:rPr>
      </w:pPr>
    </w:p>
    <w:p w:rsidR="001E34F1" w:rsidRPr="00DC2AED" w:rsidRDefault="001E34F1" w:rsidP="001E34F1">
      <w:pPr>
        <w:jc w:val="both"/>
      </w:pPr>
      <w:r w:rsidRPr="00DC2AED">
        <w:t xml:space="preserve">Não houve novos pronunciamentos ou interpretações vigentes que pudessem ter impacto significativo nas políticas e nas Demonstrações Financeiras. </w:t>
      </w:r>
    </w:p>
    <w:p w:rsidR="001E34F1" w:rsidRPr="00DC2AED" w:rsidRDefault="001E34F1" w:rsidP="001E34F1">
      <w:pPr>
        <w:jc w:val="both"/>
      </w:pPr>
    </w:p>
    <w:p w:rsidR="007016DD" w:rsidRPr="00DC2AED" w:rsidRDefault="001E34F1" w:rsidP="00930CC2">
      <w:pPr>
        <w:jc w:val="both"/>
      </w:pPr>
      <w:r w:rsidRPr="00C65F56">
        <w:t xml:space="preserve">Com relação à NBC TG 06, </w:t>
      </w:r>
      <w:r w:rsidR="00C03C93" w:rsidRPr="00C65F56">
        <w:t xml:space="preserve">a qual estabelece princípios para o reconhecimento, mensuração, apresentação e divulgação de arrendamentos, </w:t>
      </w:r>
      <w:r w:rsidRPr="00C65F56">
        <w:t>em vigor a partir de 01 de janeiro de 2</w:t>
      </w:r>
      <w:r w:rsidR="00C03C93" w:rsidRPr="00C65F56">
        <w:t>019, a i</w:t>
      </w:r>
      <w:r w:rsidRPr="00C65F56">
        <w:t xml:space="preserve">nstituição </w:t>
      </w:r>
      <w:r w:rsidR="007016DD" w:rsidRPr="00C65F56">
        <w:t>avaliou</w:t>
      </w:r>
      <w:r w:rsidR="00C03C93" w:rsidRPr="00C65F56">
        <w:t xml:space="preserve"> cada um dos contratos atualmente vigentes</w:t>
      </w:r>
      <w:r w:rsidR="00930CC2" w:rsidRPr="00C65F56">
        <w:t xml:space="preserve">. Optou-se </w:t>
      </w:r>
      <w:r w:rsidR="007016DD" w:rsidRPr="00C65F56">
        <w:t xml:space="preserve">pela não realização do registro contábil dos contratos caracterizados como arrendamento em função </w:t>
      </w:r>
      <w:r w:rsidR="00930CC2" w:rsidRPr="00C65F56">
        <w:t>do custo incorrido para fornecimento da informação comparado aos benefícios proporcionados, conforme prevê a Resolução CFC N.º 1.374/11.</w:t>
      </w:r>
    </w:p>
    <w:p w:rsidR="00350888" w:rsidRPr="0083077F" w:rsidRDefault="00350888" w:rsidP="00DC261B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Operações com Moeda Estrangeira</w:t>
      </w:r>
    </w:p>
    <w:p w:rsidR="009657C6" w:rsidRPr="00FD7B48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Default="009657C6" w:rsidP="009657C6">
      <w:pPr>
        <w:jc w:val="both"/>
      </w:pPr>
      <w:r w:rsidRPr="00FD7B48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FD7B48">
        <w:t>-BACEN</w:t>
      </w:r>
      <w:r w:rsidR="0096203D">
        <w:t xml:space="preserve"> e pela </w:t>
      </w:r>
      <w:r w:rsidRPr="00FD7B48">
        <w:t>Receita Federal do Brasil</w:t>
      </w:r>
      <w:r w:rsidR="00F2433D" w:rsidRPr="00FD7B48">
        <w:t>- RFB</w:t>
      </w:r>
      <w:r w:rsidRPr="00FD7B48">
        <w:t>. Os ganhos e perdas com variação cambial na aplicação das taxas</w:t>
      </w:r>
      <w:r w:rsidR="00E968FC">
        <w:t xml:space="preserve"> de câmbio</w:t>
      </w:r>
      <w:r w:rsidRPr="00FD7B48">
        <w:t xml:space="preserve"> sobre os ativos e passivos são apresentados na Demonstração do Resultado como Receitas e Despesas Financeiras.</w:t>
      </w:r>
    </w:p>
    <w:p w:rsidR="00043C55" w:rsidRDefault="00043C55" w:rsidP="009657C6">
      <w:pPr>
        <w:jc w:val="both"/>
      </w:pPr>
    </w:p>
    <w:p w:rsidR="009657C6" w:rsidRPr="006338C6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Instrumentos</w:t>
      </w:r>
      <w:r w:rsidR="000D34DD" w:rsidRPr="006338C6">
        <w:rPr>
          <w:iCs/>
        </w:rPr>
        <w:t xml:space="preserve"> Financeiros</w:t>
      </w:r>
    </w:p>
    <w:p w:rsidR="009657C6" w:rsidRPr="00FD7B48" w:rsidRDefault="009657C6" w:rsidP="009657C6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classifica seus ativos financeiros não derivativos sob a categoria de recebíveis, reconhecidos inicialmente na data em que foram originados, </w:t>
      </w:r>
      <w:r w:rsidR="0006288E" w:rsidRPr="00FD7B48">
        <w:t xml:space="preserve">pelo </w:t>
      </w:r>
      <w:r w:rsidRPr="00FD7B48">
        <w:t>valor justo e após o reconhecimento inicial</w:t>
      </w:r>
      <w:r w:rsidR="00C55C69">
        <w:t>,</w:t>
      </w:r>
      <w:r w:rsidRPr="00FD7B48">
        <w:t xml:space="preserve"> são mensuradas pelo custo amortizado com o uso do método da taxa de juros efetiva menos a provisão para </w:t>
      </w:r>
      <w:r w:rsidRPr="00FD7B48">
        <w:rPr>
          <w:i/>
        </w:rPr>
        <w:t>impairment</w:t>
      </w:r>
      <w:r w:rsidRPr="00FD7B48">
        <w:t>. São apresentados como Ativo Circulante, exceto aqueles com prazo de vencimento superior a 12 meses após a data de emissão do balanço (estes são classificados como Ativos Não Circulante</w:t>
      </w:r>
      <w:r w:rsidR="0006288E" w:rsidRPr="00FD7B48">
        <w:t>s</w:t>
      </w:r>
      <w:r w:rsidRPr="00FD7B48">
        <w:t xml:space="preserve">). </w:t>
      </w:r>
    </w:p>
    <w:p w:rsidR="00B457E8" w:rsidRPr="00FD7B48" w:rsidRDefault="00B457E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Os recebíveis da Instituição compreendem: </w:t>
      </w:r>
      <w:r w:rsidR="00D922B9">
        <w:t>c</w:t>
      </w:r>
      <w:r w:rsidRPr="00FD7B48">
        <w:t xml:space="preserve">aixa e </w:t>
      </w:r>
      <w:r w:rsidR="00D922B9">
        <w:t>e</w:t>
      </w:r>
      <w:r w:rsidRPr="00FD7B48">
        <w:t xml:space="preserve">quivalentes de </w:t>
      </w:r>
      <w:r w:rsidR="00D922B9">
        <w:t>c</w:t>
      </w:r>
      <w:r w:rsidRPr="00FD7B48">
        <w:t xml:space="preserve">aixa, </w:t>
      </w:r>
      <w:r w:rsidR="00D922B9">
        <w:t>c</w:t>
      </w:r>
      <w:r w:rsidRPr="00FD7B48">
        <w:t xml:space="preserve">rédito de </w:t>
      </w:r>
      <w:r w:rsidR="00D922B9">
        <w:t>f</w:t>
      </w:r>
      <w:r w:rsidRPr="00FD7B48">
        <w:t xml:space="preserve">ornecimento de </w:t>
      </w:r>
      <w:r w:rsidR="00D922B9">
        <w:t>s</w:t>
      </w:r>
      <w:r w:rsidRPr="00FD7B48">
        <w:t xml:space="preserve">erviços, </w:t>
      </w:r>
      <w:r w:rsidR="00D922B9">
        <w:t>r</w:t>
      </w:r>
      <w:r w:rsidRPr="00FD7B48">
        <w:t xml:space="preserve">ecursos para </w:t>
      </w:r>
      <w:r w:rsidR="00D922B9">
        <w:t>p</w:t>
      </w:r>
      <w:r w:rsidRPr="00FD7B48">
        <w:t xml:space="preserve">rovisões de </w:t>
      </w:r>
      <w:r w:rsidR="00D922B9">
        <w:t>c</w:t>
      </w:r>
      <w:r w:rsidRPr="00FD7B48">
        <w:t>ontingências</w:t>
      </w:r>
      <w:r w:rsidR="00D922B9">
        <w:t xml:space="preserve"> e</w:t>
      </w:r>
      <w:r w:rsidRPr="00FD7B48">
        <w:t xml:space="preserve"> </w:t>
      </w:r>
      <w:r w:rsidR="00D922B9">
        <w:t>a</w:t>
      </w:r>
      <w:r w:rsidRPr="00FD7B48">
        <w:t xml:space="preserve">propriações por </w:t>
      </w:r>
      <w:r w:rsidR="00D922B9">
        <w:t>c</w:t>
      </w:r>
      <w:r w:rsidRPr="00FD7B48">
        <w:t>ompetência de</w:t>
      </w:r>
      <w:r w:rsidR="00D922B9">
        <w:t xml:space="preserve"> despesas com pessoal </w:t>
      </w:r>
      <w:r w:rsidRPr="00FD7B48">
        <w:t>e demais contas a receber.</w:t>
      </w:r>
      <w:r w:rsidR="00D922B9">
        <w:t xml:space="preserve"> </w:t>
      </w:r>
      <w:r w:rsidRPr="00FD7B48">
        <w:t>A Instituição não possui ativos financeiros mantidos para negociação, ativos disponíveis para venda e operações em derivativos.</w:t>
      </w:r>
    </w:p>
    <w:p w:rsidR="00122208" w:rsidRPr="00FD7B48" w:rsidRDefault="00122208" w:rsidP="00122208">
      <w:pPr>
        <w:jc w:val="both"/>
      </w:pPr>
    </w:p>
    <w:p w:rsidR="000D34DD" w:rsidRPr="00FD7B48" w:rsidRDefault="00122208" w:rsidP="00122208">
      <w:pPr>
        <w:jc w:val="both"/>
      </w:pPr>
      <w:r w:rsidRPr="00FD7B48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>
        <w:t>como</w:t>
      </w:r>
      <w:r w:rsidRPr="00FD7B48">
        <w:t xml:space="preserve"> passivos financeiros não derivativos</w:t>
      </w:r>
      <w:r w:rsidR="00D922B9">
        <w:t>:</w:t>
      </w:r>
      <w:r w:rsidRPr="00FD7B48">
        <w:t xml:space="preserve"> fornecedores e outras contas a pagar.</w:t>
      </w:r>
    </w:p>
    <w:p w:rsidR="00122208" w:rsidRDefault="00122208" w:rsidP="00122208">
      <w:pPr>
        <w:jc w:val="both"/>
      </w:pPr>
    </w:p>
    <w:p w:rsidR="000D34DD" w:rsidRPr="00923D20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>
        <w:rPr>
          <w:iCs/>
        </w:rPr>
        <w:t>Caixa e Equivalentes de C</w:t>
      </w:r>
      <w:r w:rsidR="000D34DD" w:rsidRPr="00923D20">
        <w:rPr>
          <w:iCs/>
        </w:rPr>
        <w:t>aixa</w:t>
      </w:r>
    </w:p>
    <w:p w:rsidR="000D34DD" w:rsidRPr="00FD7B48" w:rsidRDefault="000D34DD" w:rsidP="000D34DD">
      <w:pPr>
        <w:jc w:val="both"/>
      </w:pPr>
    </w:p>
    <w:p w:rsidR="009657C6" w:rsidRPr="001A2EB8" w:rsidRDefault="003607F1" w:rsidP="009657C6">
      <w:pPr>
        <w:jc w:val="both"/>
      </w:pPr>
      <w:r w:rsidRPr="00FD7B48">
        <w:t xml:space="preserve">Os ativos classificados como </w:t>
      </w:r>
      <w:r w:rsidR="00122208" w:rsidRPr="00FD7B4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FD7B48" w:rsidRDefault="00D83DF0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Estoques</w:t>
      </w:r>
      <w:r w:rsidR="00A909E4">
        <w:rPr>
          <w:iCs/>
        </w:rPr>
        <w:t xml:space="preserve"> de</w:t>
      </w:r>
      <w:r w:rsidR="00C55C69">
        <w:rPr>
          <w:iCs/>
        </w:rPr>
        <w:t xml:space="preserve"> Material de Consumo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>
        <w:t>3</w:t>
      </w:r>
      <w:r w:rsidR="001465DD">
        <w:t>1</w:t>
      </w:r>
      <w:r>
        <w:t xml:space="preserve"> de </w:t>
      </w:r>
      <w:r w:rsidR="00D66656">
        <w:t>março</w:t>
      </w:r>
      <w:r w:rsidR="005D1607">
        <w:t xml:space="preserve"> </w:t>
      </w:r>
      <w:r>
        <w:lastRenderedPageBreak/>
        <w:t xml:space="preserve">de </w:t>
      </w:r>
      <w:r w:rsidR="004E413F">
        <w:t>20</w:t>
      </w:r>
      <w:r w:rsidR="00D66656">
        <w:t>20</w:t>
      </w:r>
      <w:r>
        <w:t>.</w:t>
      </w:r>
      <w:r w:rsidRPr="00FD7B48">
        <w:t xml:space="preserve"> No estoque não constam itens com custo superior ao valor realizável líquido. As perdas </w:t>
      </w:r>
      <w:r w:rsidR="00B649AE">
        <w:t>de</w:t>
      </w:r>
      <w:r w:rsidRPr="00FD7B48">
        <w:t xml:space="preserve"> estoque são reconhecidas como despesa do exercíc</w:t>
      </w:r>
      <w:r>
        <w:t xml:space="preserve">io em que ocorrem. </w:t>
      </w:r>
    </w:p>
    <w:p w:rsidR="00AF4478" w:rsidRDefault="00AF4478" w:rsidP="009657C6">
      <w:pPr>
        <w:jc w:val="both"/>
      </w:pPr>
    </w:p>
    <w:p w:rsidR="001F2C40" w:rsidRPr="001F6972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Depósitos Judiciais</w:t>
      </w:r>
    </w:p>
    <w:p w:rsidR="00ED5B2D" w:rsidRPr="001F6972" w:rsidRDefault="00ED5B2D" w:rsidP="009657C6">
      <w:pPr>
        <w:jc w:val="both"/>
      </w:pPr>
    </w:p>
    <w:p w:rsidR="001870D3" w:rsidRPr="001F6972" w:rsidRDefault="009657C6" w:rsidP="001870D3">
      <w:pPr>
        <w:jc w:val="both"/>
      </w:pPr>
      <w:r w:rsidRPr="001F6972">
        <w:t xml:space="preserve">Os Depósitos Judiciais estão compostos de valores recursais vinculados a causas trabalhistas corrigidos até </w:t>
      </w:r>
      <w:r w:rsidR="001465DD">
        <w:t xml:space="preserve">31 de </w:t>
      </w:r>
      <w:r w:rsidR="00E61D89">
        <w:t>março de 2020</w:t>
      </w:r>
      <w:r w:rsidR="00E612B7" w:rsidRPr="001F6972">
        <w:t>. Os recursos vinculados aos</w:t>
      </w:r>
      <w:r w:rsidRPr="001F6972">
        <w:t xml:space="preserve"> processos trabalhistas, depositados na Caixa Econômica Federal</w:t>
      </w:r>
      <w:r w:rsidR="00017F1D" w:rsidRPr="001F6972">
        <w:t>,</w:t>
      </w:r>
      <w:r w:rsidRPr="001F6972">
        <w:t xml:space="preserve"> são atualizados pelo coeficiente de remuneração das contas do FGTS, enquanto que o</w:t>
      </w:r>
      <w:r w:rsidR="00EB59F2" w:rsidRPr="001F6972">
        <w:t>s</w:t>
      </w:r>
      <w:r w:rsidRPr="001F6972">
        <w:t xml:space="preserve"> depositado</w:t>
      </w:r>
      <w:r w:rsidR="00EB59F2" w:rsidRPr="001F6972">
        <w:t>s</w:t>
      </w:r>
      <w:r w:rsidRPr="001F6972">
        <w:t xml:space="preserve"> no Banco do Brasil </w:t>
      </w:r>
      <w:r w:rsidR="00EB59F2" w:rsidRPr="001F6972">
        <w:t>são</w:t>
      </w:r>
      <w:r w:rsidRPr="001F6972">
        <w:t xml:space="preserve"> atualizado</w:t>
      </w:r>
      <w:r w:rsidR="00EB59F2" w:rsidRPr="001F6972">
        <w:t>s</w:t>
      </w:r>
      <w:r w:rsidRPr="001F6972">
        <w:t xml:space="preserve"> </w:t>
      </w:r>
      <w:r w:rsidR="00E612B7" w:rsidRPr="001F6972">
        <w:t>pela taxa de juros remuneratória da poupança</w:t>
      </w:r>
      <w:r w:rsidRPr="001F6972">
        <w:t xml:space="preserve">. Os depósitos recursais referentes a processos trabalhistas são pagos com recursos próprios. Quando da execução do processo, se o desfecho for a favor do reclamante, a Instituição quita a dívida com recursos recebidos do Tesouro Nacional e o valor do depósito existente é restituído ao HCPA, devidamente corrigido.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Imobilizado e Intangível</w:t>
      </w:r>
    </w:p>
    <w:p w:rsidR="009657C6" w:rsidRPr="001F6972" w:rsidRDefault="009657C6" w:rsidP="00C46C0C">
      <w:pPr>
        <w:jc w:val="both"/>
      </w:pPr>
    </w:p>
    <w:p w:rsidR="00ED4898" w:rsidRPr="001F6972" w:rsidRDefault="009657C6" w:rsidP="00C46C0C">
      <w:pPr>
        <w:jc w:val="both"/>
      </w:pPr>
      <w:r w:rsidRPr="001F6972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1F6972">
        <w:t>Demonstrações Financeiras</w:t>
      </w:r>
      <w:r w:rsidRPr="001F6972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1F6972">
        <w:t>esses custos adicionais puderem ser mensurados com segurança e quando dos quais espera-se benefícios econômicos futuros</w:t>
      </w:r>
      <w:r w:rsidRPr="001F6972">
        <w:t xml:space="preserve">. Os valores contábeis de itens ou peças substituídas são baixados. </w:t>
      </w:r>
      <w:r w:rsidR="00D41D54" w:rsidRPr="001F6972">
        <w:t xml:space="preserve">Os gastos com </w:t>
      </w:r>
      <w:r w:rsidRPr="001F6972">
        <w:t xml:space="preserve">reparos e manutenções </w:t>
      </w:r>
      <w:r w:rsidR="00944DC2" w:rsidRPr="001F6972">
        <w:t>possuem como</w:t>
      </w:r>
      <w:r w:rsidRPr="001F6972">
        <w:t xml:space="preserve"> contrapartida o resultado do exercício, quando incorridos</w:t>
      </w:r>
      <w:r w:rsidR="00EB59F2" w:rsidRPr="001F6972">
        <w:t>.</w:t>
      </w:r>
      <w:r w:rsidRPr="001F6972">
        <w:t xml:space="preserve"> (Nota n°</w:t>
      </w:r>
      <w:r w:rsidR="00E61D89">
        <w:t xml:space="preserve"> </w:t>
      </w:r>
      <w:r w:rsidR="00C32586" w:rsidRPr="001F6972">
        <w:fldChar w:fldCharType="begin"/>
      </w:r>
      <w:r w:rsidR="00C32586" w:rsidRPr="001F6972">
        <w:instrText xml:space="preserve"> REF _Ref476905400 \r \h  \* MERGEFORMAT </w:instrText>
      </w:r>
      <w:r w:rsidR="00C32586" w:rsidRPr="001F6972">
        <w:fldChar w:fldCharType="separate"/>
      </w:r>
      <w:r w:rsidR="00385E8E">
        <w:t>09</w:t>
      </w:r>
      <w:r w:rsidR="00C32586" w:rsidRPr="001F6972">
        <w:fldChar w:fldCharType="end"/>
      </w:r>
      <w:r w:rsidR="00CF26DB" w:rsidRPr="001F6972">
        <w:t xml:space="preserve"> e nº 10</w:t>
      </w:r>
      <w:r w:rsidRPr="001F6972">
        <w:t>)</w:t>
      </w:r>
      <w:r w:rsidR="00017F1D" w:rsidRPr="001F6972">
        <w:t xml:space="preserve">. </w:t>
      </w:r>
    </w:p>
    <w:p w:rsidR="00ED4898" w:rsidRPr="001F6972" w:rsidRDefault="00ED4898" w:rsidP="00C46C0C">
      <w:pPr>
        <w:jc w:val="both"/>
      </w:pPr>
    </w:p>
    <w:p w:rsidR="009657C6" w:rsidRPr="001F6972" w:rsidRDefault="00017F1D" w:rsidP="00C46C0C">
      <w:pPr>
        <w:jc w:val="both"/>
      </w:pPr>
      <w:r w:rsidRPr="001F6972">
        <w:t>P</w:t>
      </w:r>
      <w:r w:rsidR="009657C6" w:rsidRPr="001F6972">
        <w:t xml:space="preserve">ara que não haja perda do custo histórico, a depreciação ou amortização nas </w:t>
      </w:r>
      <w:r w:rsidR="00416B8B" w:rsidRPr="001F6972">
        <w:t>Demonstrações Financeiras</w:t>
      </w:r>
      <w:r w:rsidR="009657C6" w:rsidRPr="001F6972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9657C6">
      <w:pPr>
        <w:jc w:val="both"/>
      </w:pPr>
      <w:r w:rsidRPr="001F6972">
        <w:t xml:space="preserve">As depreciações e amortizações são calculadas usando o método linear, considerando os seus custos durante a vida útil estimada, como </w:t>
      </w:r>
      <w:r w:rsidR="009E013F" w:rsidRPr="001F6972">
        <w:t>demonstrado a seguir</w:t>
      </w:r>
      <w:r w:rsidRPr="001F6972">
        <w:t>:</w:t>
      </w:r>
    </w:p>
    <w:p w:rsidR="00A6699D" w:rsidRPr="001F6972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1F6972" w:rsidRDefault="009657C6" w:rsidP="00C46C0C">
            <w:pPr>
              <w:jc w:val="both"/>
            </w:pPr>
            <w:r w:rsidRPr="001F6972">
              <w:t>VIDA ÚTIL ESTIMADA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C46C0C">
            <w:pPr>
              <w:jc w:val="both"/>
            </w:pPr>
            <w:r w:rsidRPr="001F6972">
              <w:t xml:space="preserve">Edificações (Prédios)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40 anos a 100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Máquinas e Equipamentos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04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>Móveis, Utensílios Diversos.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Veículos </w:t>
            </w:r>
          </w:p>
        </w:tc>
        <w:tc>
          <w:tcPr>
            <w:tcW w:w="2379" w:type="dxa"/>
          </w:tcPr>
          <w:p w:rsidR="009657C6" w:rsidRPr="001F6972" w:rsidRDefault="007B715B" w:rsidP="00512FE5">
            <w:pPr>
              <w:jc w:val="right"/>
            </w:pPr>
            <w:r w:rsidRPr="001F6972">
              <w:t xml:space="preserve">De </w:t>
            </w:r>
            <w:r w:rsidR="009657C6" w:rsidRPr="001F6972">
              <w:t>03 anos a 10 anos</w:t>
            </w:r>
          </w:p>
        </w:tc>
      </w:tr>
      <w:tr w:rsidR="009657C6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Intangível – Software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05 anos</w:t>
            </w:r>
          </w:p>
        </w:tc>
      </w:tr>
    </w:tbl>
    <w:p w:rsidR="009657C6" w:rsidRPr="001F6972" w:rsidRDefault="009657C6" w:rsidP="009657C6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/>
          <w:iCs/>
        </w:rPr>
        <w:t>I</w:t>
      </w:r>
      <w:r w:rsidRPr="001F6972">
        <w:rPr>
          <w:i/>
        </w:rPr>
        <w:t>mpairment</w:t>
      </w:r>
      <w:r w:rsidR="00A909E4" w:rsidRPr="001F6972">
        <w:rPr>
          <w:iCs/>
        </w:rPr>
        <w:t xml:space="preserve"> de A</w:t>
      </w:r>
      <w:r w:rsidRPr="001F6972">
        <w:rPr>
          <w:iCs/>
        </w:rPr>
        <w:t xml:space="preserve">tivos não </w:t>
      </w:r>
      <w:r w:rsidR="00A909E4" w:rsidRPr="001F6972">
        <w:rPr>
          <w:iCs/>
        </w:rPr>
        <w:t>F</w:t>
      </w:r>
      <w:r w:rsidRPr="001F6972">
        <w:rPr>
          <w:iCs/>
        </w:rPr>
        <w:t>inanceiros</w:t>
      </w:r>
    </w:p>
    <w:p w:rsidR="009657C6" w:rsidRPr="001F6972" w:rsidRDefault="009657C6" w:rsidP="009657C6">
      <w:pPr>
        <w:jc w:val="both"/>
      </w:pPr>
    </w:p>
    <w:p w:rsidR="004032B8" w:rsidRPr="001F6972" w:rsidRDefault="0018194B" w:rsidP="004032B8">
      <w:pPr>
        <w:jc w:val="both"/>
      </w:pPr>
      <w:r w:rsidRPr="00C65F56">
        <w:t>A A</w:t>
      </w:r>
      <w:r w:rsidR="004032B8" w:rsidRPr="00C65F56">
        <w:t xml:space="preserve">dministração do HCPA revisa </w:t>
      </w:r>
      <w:r w:rsidR="00542570" w:rsidRPr="00C65F56">
        <w:t xml:space="preserve">anualmente </w:t>
      </w:r>
      <w:r w:rsidR="004032B8" w:rsidRPr="00C65F56">
        <w:t xml:space="preserve">o valor contábil dos ativos de vida longa, principalmente o imobilizado mantido e utilizado nas operações, </w:t>
      </w:r>
      <w:r w:rsidRPr="00C65F56">
        <w:t>por meio de avaliações internas à entidade, as quais objetivam identificar</w:t>
      </w:r>
      <w:r w:rsidR="004032B8" w:rsidRPr="00C65F56">
        <w:t xml:space="preserve"> </w:t>
      </w:r>
      <w:r w:rsidRPr="00C65F56">
        <w:t>indícios de desvalorização de um ativo ou grupo de ativos, conforme fontes externas e internas de informaç</w:t>
      </w:r>
      <w:r w:rsidR="00EF44B8" w:rsidRPr="00C65F56">
        <w:t>ão</w:t>
      </w:r>
      <w:r w:rsidR="004032B8" w:rsidRPr="00C65F56">
        <w:t>.</w:t>
      </w:r>
    </w:p>
    <w:p w:rsidR="004032B8" w:rsidRPr="001F6972" w:rsidRDefault="004032B8" w:rsidP="004032B8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Fornecedores</w:t>
      </w:r>
    </w:p>
    <w:p w:rsidR="009657C6" w:rsidRPr="001F6972" w:rsidRDefault="009657C6" w:rsidP="009657C6">
      <w:pPr>
        <w:jc w:val="both"/>
      </w:pPr>
    </w:p>
    <w:p w:rsidR="00595A08" w:rsidRPr="001F6972" w:rsidRDefault="009657C6" w:rsidP="00595A08">
      <w:pPr>
        <w:jc w:val="both"/>
      </w:pPr>
      <w:r w:rsidRPr="001F6972">
        <w:t xml:space="preserve"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serviço prestado ou bem adquirido. </w:t>
      </w:r>
      <w:r w:rsidR="001870D3" w:rsidRPr="001F6972">
        <w:t xml:space="preserve">(Nota n° </w:t>
      </w:r>
      <w:r w:rsidR="000F35FF" w:rsidRPr="001F6972">
        <w:t>1</w:t>
      </w:r>
      <w:r w:rsidR="003E6D4E" w:rsidRPr="001F6972">
        <w:t>1</w:t>
      </w:r>
      <w:r w:rsidR="00595A08" w:rsidRPr="001F6972">
        <w:t>)</w:t>
      </w:r>
    </w:p>
    <w:p w:rsidR="00ED5B2D" w:rsidRDefault="00ED5B2D" w:rsidP="00595A08">
      <w:pPr>
        <w:jc w:val="both"/>
      </w:pPr>
    </w:p>
    <w:p w:rsidR="00D7032B" w:rsidRDefault="00D7032B" w:rsidP="00595A08">
      <w:pPr>
        <w:jc w:val="both"/>
      </w:pPr>
    </w:p>
    <w:p w:rsidR="007C0857" w:rsidRDefault="007C0857">
      <w:r>
        <w:rPr>
          <w:b/>
        </w:rPr>
        <w:br w:type="page"/>
      </w: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lastRenderedPageBreak/>
        <w:t>Obrigações Tributárias</w:t>
      </w:r>
    </w:p>
    <w:p w:rsidR="009657C6" w:rsidRPr="001F6972" w:rsidRDefault="009657C6" w:rsidP="009657C6">
      <w:pPr>
        <w:jc w:val="both"/>
      </w:pPr>
    </w:p>
    <w:p w:rsidR="009657C6" w:rsidRDefault="009657C6" w:rsidP="009657C6">
      <w:pPr>
        <w:jc w:val="both"/>
      </w:pPr>
      <w:r w:rsidRPr="001F6972">
        <w:t xml:space="preserve">Na conta Obrigações Tributárias, são registrados os </w:t>
      </w:r>
      <w:r w:rsidR="00287034" w:rsidRPr="001F6972">
        <w:t>tributos</w:t>
      </w:r>
      <w:r w:rsidRPr="001F6972">
        <w:t xml:space="preserve"> federais PIS e COFINS </w:t>
      </w:r>
      <w:r w:rsidR="0004788E" w:rsidRPr="001F6972">
        <w:t xml:space="preserve">incidentes sobre receitas próprias </w:t>
      </w:r>
      <w:r w:rsidRPr="001F6972">
        <w:t xml:space="preserve">e os valores retidos dos fornecedores, referentes a tributos municipais incidentes sobre serviços prestados na sede da Instituição, conforme Lei Complementar Municipal n° 306/93 e 07/73 e </w:t>
      </w:r>
      <w:r w:rsidR="001A6944" w:rsidRPr="001F6972">
        <w:t xml:space="preserve">Leis </w:t>
      </w:r>
      <w:r w:rsidR="00A909E4" w:rsidRPr="001F6972">
        <w:t>f</w:t>
      </w:r>
      <w:r w:rsidRPr="001F6972">
        <w:t>ederais incidentes sobre bens ou serviços fornecidos conforme IN/RFB n° 1</w:t>
      </w:r>
      <w:r w:rsidR="0004788E" w:rsidRPr="001F6972">
        <w:t>.</w:t>
      </w:r>
      <w:r w:rsidRPr="001F6972">
        <w:t>234 de 11/01/2012 e IN/RFB n° 971 de</w:t>
      </w:r>
      <w:r w:rsidRPr="00595A08">
        <w:t xml:space="preserve"> 2009. A Instituição goza de isenção </w:t>
      </w:r>
      <w:r w:rsidR="00366723">
        <w:t xml:space="preserve">dos demais </w:t>
      </w:r>
      <w:r w:rsidRPr="00595A08">
        <w:t xml:space="preserve">tributos federais conforme artigo n° 15 da Lei 5.604 de 02 de setembro </w:t>
      </w:r>
      <w:r w:rsidRPr="006F24C5">
        <w:t xml:space="preserve">de 1970.  (Nota n° </w:t>
      </w:r>
      <w:r w:rsidR="00C32586" w:rsidRPr="006F24C5">
        <w:fldChar w:fldCharType="begin"/>
      </w:r>
      <w:r w:rsidR="00C32586" w:rsidRPr="006F24C5">
        <w:instrText xml:space="preserve"> REF _Ref466472218 \r \h  \* MERGEFORMAT </w:instrText>
      </w:r>
      <w:r w:rsidR="00C32586" w:rsidRPr="006F24C5">
        <w:fldChar w:fldCharType="separate"/>
      </w:r>
      <w:r w:rsidR="00385E8E">
        <w:t>12</w:t>
      </w:r>
      <w:r w:rsidR="00C32586" w:rsidRPr="006F24C5">
        <w:fldChar w:fldCharType="end"/>
      </w:r>
      <w:r w:rsidRPr="006F24C5">
        <w:t>)</w:t>
      </w:r>
    </w:p>
    <w:p w:rsidR="00407FFA" w:rsidRDefault="00407FFA"/>
    <w:p w:rsidR="009657C6" w:rsidRPr="00407FFA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407FFA">
        <w:rPr>
          <w:iCs/>
        </w:rPr>
        <w:t>Benefícios a Empregados</w:t>
      </w:r>
    </w:p>
    <w:p w:rsidR="00357AC7" w:rsidRPr="00357AC7" w:rsidRDefault="00357AC7" w:rsidP="00357AC7">
      <w:pPr>
        <w:rPr>
          <w:highlight w:val="yellow"/>
        </w:rPr>
      </w:pPr>
    </w:p>
    <w:p w:rsidR="009657C6" w:rsidRPr="00357AC7" w:rsidRDefault="009657C6" w:rsidP="009657C6">
      <w:pPr>
        <w:jc w:val="both"/>
      </w:pPr>
      <w:r w:rsidRPr="005B6EAF">
        <w:t xml:space="preserve">A Instituição possui </w:t>
      </w:r>
      <w:r w:rsidR="00357AC7" w:rsidRPr="005B6EAF">
        <w:t>plano</w:t>
      </w:r>
      <w:r w:rsidRPr="005B6EAF">
        <w:t xml:space="preserve"> de benefícios a empregados, como </w:t>
      </w:r>
      <w:r w:rsidR="00366723" w:rsidRPr="005B6EAF">
        <w:t>aux</w:t>
      </w:r>
      <w:r w:rsidR="00017F1D" w:rsidRPr="005B6EAF">
        <w:t>í</w:t>
      </w:r>
      <w:r w:rsidR="00366723" w:rsidRPr="005B6EAF">
        <w:t xml:space="preserve">lio </w:t>
      </w:r>
      <w:r w:rsidRPr="005B6EAF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5B6EAF">
        <w:t>.</w:t>
      </w:r>
      <w:r w:rsidRPr="00357AC7">
        <w:t xml:space="preserve"> </w:t>
      </w:r>
    </w:p>
    <w:p w:rsidR="006874C1" w:rsidRDefault="006874C1" w:rsidP="009657C6">
      <w:pPr>
        <w:jc w:val="both"/>
      </w:pPr>
    </w:p>
    <w:p w:rsidR="009657C6" w:rsidRPr="006338C6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Contingências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As provisões para ações </w:t>
      </w:r>
      <w:r w:rsidR="00A909E4">
        <w:t>judiciais (trabalhistas, cíveis,</w:t>
      </w:r>
      <w:r w:rsidRPr="00595A08">
        <w:t xml:space="preserve"> tributárias e outras) são reconhecidas quando: (i) a Instituição tem uma obrigação presente ou não formalizada (</w:t>
      </w:r>
      <w:r w:rsidRPr="00595A08">
        <w:rPr>
          <w:i/>
        </w:rPr>
        <w:t>constructive obligation</w:t>
      </w:r>
      <w:r w:rsidRPr="00595A08">
        <w:t xml:space="preserve">) como resultado de eventos já ocorridos; (ii) é provável que uma saída de recursos seja necessária para liquidar a obrigação; e (iii) o valor puder ser estimado com segurança.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595A08" w:rsidRDefault="008402DA" w:rsidP="009657C6">
      <w:pPr>
        <w:jc w:val="both"/>
      </w:pPr>
    </w:p>
    <w:p w:rsidR="008C4945" w:rsidRPr="005005D7" w:rsidRDefault="008C4945" w:rsidP="008C4945">
      <w:pPr>
        <w:jc w:val="both"/>
      </w:pPr>
      <w:r w:rsidRPr="008C4945">
        <w:t>O valor das ações cuja probabilidade de perda, segundo a área jurídica do HCPA, é considerada possível é de: R$ 23.310 Cíveis, R$ 120.807 Trabalhistas e R$ 1.249 Tributárias, totalizando R$ 145.366.</w:t>
      </w:r>
    </w:p>
    <w:p w:rsidR="000B7283" w:rsidRPr="005005D7" w:rsidRDefault="000B7283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Os valores estimados das causas trabalhistas e ainda não depositados são inscritos em Recursos a Receber já que </w:t>
      </w:r>
      <w:r w:rsidR="00B971EB">
        <w:t>esta despesa é</w:t>
      </w:r>
      <w:r w:rsidRPr="00FD7B48">
        <w:t xml:space="preserve"> coberta por recursos repassados pelo Tesouro </w:t>
      </w:r>
      <w:r w:rsidRPr="006F24C5">
        <w:t xml:space="preserve">Nacional. </w:t>
      </w:r>
    </w:p>
    <w:p w:rsidR="00DC261B" w:rsidRDefault="00DC261B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 xml:space="preserve">Reconhecimento da Receita 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A receita compreende o valor justo da contraprestação recebida ou a receber pela prestação dos serviços no curso normal das atividades da Instituição. </w:t>
      </w:r>
    </w:p>
    <w:p w:rsidR="00DC261B" w:rsidRPr="00FD7B48" w:rsidRDefault="00DC261B" w:rsidP="00DC261B">
      <w:pPr>
        <w:jc w:val="both"/>
      </w:pPr>
    </w:p>
    <w:p w:rsidR="00F81DC0" w:rsidRDefault="00DC261B" w:rsidP="0042479C">
      <w:pPr>
        <w:jc w:val="both"/>
      </w:pPr>
      <w:r w:rsidRPr="00FD7B48">
        <w:t>A receita é apresentada líquida dos impostos, dos abatimentos, dos descontos, dos ajustes da</w:t>
      </w:r>
      <w:r w:rsidR="00116EBB">
        <w:t xml:space="preserve"> receita referentes à dedução dos repasses </w:t>
      </w:r>
      <w:r w:rsidR="007A6887">
        <w:t xml:space="preserve">financeiros </w:t>
      </w:r>
      <w:r w:rsidR="00116EBB">
        <w:t>recebidos da União para investimento</w:t>
      </w:r>
      <w:r w:rsidRPr="00FD7B48">
        <w:t xml:space="preserve"> e contabilizada independentemente de seu efetivo </w:t>
      </w:r>
      <w:r w:rsidRPr="00DD280E">
        <w:t>recebimento</w:t>
      </w:r>
      <w:r w:rsidRPr="00FF3907">
        <w:t>.</w:t>
      </w:r>
    </w:p>
    <w:p w:rsidR="0042479C" w:rsidRDefault="0042479C" w:rsidP="0042479C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Serviços Prestados</w:t>
      </w:r>
    </w:p>
    <w:p w:rsidR="009657C6" w:rsidRPr="00FD7B48" w:rsidRDefault="009657C6" w:rsidP="009657C6">
      <w:pPr>
        <w:jc w:val="both"/>
      </w:pPr>
    </w:p>
    <w:p w:rsidR="009657C6" w:rsidRDefault="009657C6" w:rsidP="009657C6">
      <w:pPr>
        <w:jc w:val="both"/>
      </w:pPr>
      <w:r w:rsidRPr="00FD7B48">
        <w:t>Todos os serviços prestados pela Instituição, ao Sistema Único de Saúde (SUS), a convênios privados, particulares</w:t>
      </w:r>
      <w:r w:rsidR="00704446">
        <w:t xml:space="preserve">, </w:t>
      </w:r>
      <w:r w:rsidRPr="00FD7B48">
        <w:t>pesquisas</w:t>
      </w:r>
      <w:r w:rsidR="00704446">
        <w:t xml:space="preserve"> e ensino</w:t>
      </w:r>
      <w:r w:rsidRPr="00FD7B48">
        <w:t xml:space="preserve">, estão contabilizados </w:t>
      </w:r>
      <w:r w:rsidR="00723ADF">
        <w:t>na</w:t>
      </w:r>
      <w:r w:rsidRPr="00FD7B48">
        <w:t xml:space="preserve"> competência</w:t>
      </w:r>
      <w:r w:rsidR="00723ADF">
        <w:t xml:space="preserve"> em que o fato gerador ocorreu e </w:t>
      </w:r>
      <w:r w:rsidRPr="00FD7B48">
        <w:t>pelo seu valor bruto.</w:t>
      </w:r>
    </w:p>
    <w:p w:rsidR="00F81DC0" w:rsidRDefault="00F81DC0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 xml:space="preserve">Repasses </w:t>
      </w:r>
      <w:r w:rsidR="007A6887">
        <w:rPr>
          <w:iCs/>
        </w:rPr>
        <w:t xml:space="preserve">Financeiros </w:t>
      </w:r>
      <w:r w:rsidRPr="00923D20">
        <w:rPr>
          <w:iCs/>
        </w:rPr>
        <w:t>Recebidos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Esta rubrica representa os valores descentralizados pelo MEC para cobrir despesas com folha de pagamento de pessoal, encargos sociai</w:t>
      </w:r>
      <w:r w:rsidR="00C9158E">
        <w:t>s, benefícios, financiamento do Tempo de Serviços Passado / Previdência Complementar</w:t>
      </w:r>
      <w:r w:rsidR="0015019A">
        <w:t>, Investimentos (Adiantamento para Futuro Aumento de Capital)</w:t>
      </w:r>
      <w:r w:rsidR="00C9158E">
        <w:t xml:space="preserve"> </w:t>
      </w:r>
      <w:r w:rsidRPr="00FD7B48">
        <w:t>e</w:t>
      </w:r>
      <w:r w:rsidR="00293137">
        <w:t>ntre</w:t>
      </w:r>
      <w:r w:rsidRPr="00FD7B48">
        <w:t xml:space="preserve"> outras despesas.</w:t>
      </w:r>
      <w:r w:rsidR="00293137">
        <w:t xml:space="preserve"> Inclui, </w:t>
      </w:r>
      <w:r w:rsidR="00293137">
        <w:lastRenderedPageBreak/>
        <w:t>também,</w:t>
      </w:r>
      <w:r w:rsidRPr="00FD7B48">
        <w:t xml:space="preserve"> as descentralizações de recursos repassados pelo MEC e por outros órgãos através de convênios para cobri</w:t>
      </w:r>
      <w:r w:rsidR="00293137">
        <w:t>r despesas de capital e custeio e as</w:t>
      </w:r>
      <w:r w:rsidRPr="00FD7B48">
        <w:t xml:space="preserve"> transferências de recursos por empresas privadas, para realização de projetos específicos.</w:t>
      </w:r>
    </w:p>
    <w:p w:rsidR="00ED5B2D" w:rsidRDefault="00ED5B2D"/>
    <w:p w:rsidR="009657C6" w:rsidRPr="00923D20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Receitas Financeiras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Quando uma perda (</w:t>
      </w:r>
      <w:r w:rsidRPr="00FD7B48">
        <w:rPr>
          <w:i/>
        </w:rPr>
        <w:t>impairment</w:t>
      </w:r>
      <w:r w:rsidRPr="00FD7B48">
        <w:t>) é identificada em relação às</w:t>
      </w:r>
      <w:r w:rsidR="00665701" w:rsidRPr="00FD7B48">
        <w:t xml:space="preserve"> </w:t>
      </w:r>
      <w:r w:rsidR="00867B4D">
        <w:t>contas a receber, a i</w:t>
      </w:r>
      <w:r w:rsidRPr="00FD7B48">
        <w:t>nstituição reduz</w:t>
      </w:r>
      <w:r w:rsidR="00D33697" w:rsidRPr="00FD7B48">
        <w:t xml:space="preserve"> </w:t>
      </w:r>
      <w:r w:rsidRPr="00FD7B48">
        <w:t>o valor contábil para seu valor recuperável, que corresponde ao fluxo de caixa futuro estimado, descontado à taxa efetiva de juros original do instrumento.</w:t>
      </w:r>
    </w:p>
    <w:p w:rsidR="009657C6" w:rsidRPr="00FD7B48" w:rsidRDefault="009657C6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Custos dos Serviços e Despesas Administrativas</w:t>
      </w:r>
    </w:p>
    <w:p w:rsidR="009657C6" w:rsidRPr="00923D20" w:rsidRDefault="009657C6" w:rsidP="009657C6">
      <w:pPr>
        <w:jc w:val="both"/>
      </w:pPr>
    </w:p>
    <w:p w:rsidR="00500EEB" w:rsidRPr="00BF6941" w:rsidRDefault="009657C6" w:rsidP="00F106B7">
      <w:pPr>
        <w:jc w:val="both"/>
      </w:pPr>
      <w:r w:rsidRPr="00BF6941">
        <w:t>Os custos dos serviços e despesas administrativas f</w:t>
      </w:r>
      <w:r w:rsidR="00500EEB" w:rsidRPr="00BF6941">
        <w:t>oram apropriados de acordo com sistema de apuração de custos contábeis</w:t>
      </w:r>
      <w:r w:rsidR="00017F1D" w:rsidRPr="00BF6941">
        <w:t>,</w:t>
      </w:r>
      <w:r w:rsidR="00F106B7" w:rsidRPr="00BF6941">
        <w:t xml:space="preserve"> que considera as seguintes premissas de cálculo: a an</w:t>
      </w:r>
      <w:r w:rsidR="00017F1D" w:rsidRPr="00BF6941">
        <w:t>á</w:t>
      </w:r>
      <w:r w:rsidR="00F106B7" w:rsidRPr="00BF6941">
        <w:t>lise é feita por grupos de centros de c</w:t>
      </w:r>
      <w:r w:rsidR="00500EEB" w:rsidRPr="00BF6941">
        <w:t>ustos agrupados por áreas afins</w:t>
      </w:r>
      <w:r w:rsidR="00F106B7" w:rsidRPr="00BF6941">
        <w:t xml:space="preserve">. </w:t>
      </w:r>
    </w:p>
    <w:p w:rsidR="00500EEB" w:rsidRPr="00BF6941" w:rsidRDefault="00500EEB" w:rsidP="00F106B7">
      <w:pPr>
        <w:jc w:val="both"/>
      </w:pPr>
    </w:p>
    <w:p w:rsidR="00F106B7" w:rsidRPr="00BF6941" w:rsidRDefault="00F106B7" w:rsidP="00F106B7">
      <w:pPr>
        <w:jc w:val="both"/>
      </w:pPr>
      <w:r w:rsidRPr="00BF6941">
        <w:t>Os valores dos custos diretos são distribuídos em: pessoal, material, depreciação, serviços, água, energia e telefone. Não são considerados os grupos de centro de custos referente</w:t>
      </w:r>
      <w:r w:rsidR="00017F1D" w:rsidRPr="00BF6941">
        <w:t>s</w:t>
      </w:r>
      <w:r w:rsidRPr="00BF6941">
        <w:t xml:space="preserve"> </w:t>
      </w:r>
      <w:r w:rsidR="00017F1D" w:rsidRPr="00BF6941">
        <w:t>a</w:t>
      </w:r>
      <w:r w:rsidRPr="00BF6941">
        <w:t>os complementos patrimoniais, custos não operacionais e obras em andamento.</w:t>
      </w:r>
    </w:p>
    <w:p w:rsidR="003F102B" w:rsidRPr="00BF6941" w:rsidRDefault="003F102B" w:rsidP="00F32D11">
      <w:pPr>
        <w:jc w:val="both"/>
      </w:pPr>
    </w:p>
    <w:p w:rsidR="00595A08" w:rsidRDefault="009657C6" w:rsidP="00F32D11">
      <w:pPr>
        <w:jc w:val="both"/>
      </w:pPr>
      <w:r w:rsidRPr="00BF6941">
        <w:t>Na determinação do resultado do exercício foram computados os custos e as despesas pagos ou incorridos correspondente</w:t>
      </w:r>
      <w:r w:rsidR="006C603A" w:rsidRPr="00BF6941">
        <w:t>s</w:t>
      </w:r>
      <w:r w:rsidRPr="00BF6941">
        <w:t xml:space="preserve"> às receitas de serviços reconhecidas no exercício</w:t>
      </w:r>
      <w:r w:rsidR="00181455" w:rsidRPr="00BF6941">
        <w:t>.</w:t>
      </w:r>
      <w:r w:rsidRPr="00011BF8">
        <w:t xml:space="preserve"> </w:t>
      </w:r>
    </w:p>
    <w:p w:rsidR="00CD7E51" w:rsidRPr="00F106B7" w:rsidRDefault="00CD7E51" w:rsidP="00F32D11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Publicação da Concessão de Suprimento de Fundos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7B48">
        <w:t>em meio eletrônico no seguinte endereço eletrônico</w:t>
      </w:r>
      <w:r w:rsidRPr="00FD7B48">
        <w:t xml:space="preserve">: </w:t>
      </w:r>
      <w:hyperlink r:id="rId15" w:history="1">
        <w:r w:rsidRPr="00FD7B48">
          <w:t>www.hcpa.edu.br</w:t>
        </w:r>
      </w:hyperlink>
      <w:r w:rsidRPr="00FD7B48">
        <w:t xml:space="preserve"> e intranet.    </w:t>
      </w:r>
    </w:p>
    <w:p w:rsidR="009657C6" w:rsidRDefault="009657C6" w:rsidP="009657C6">
      <w:pPr>
        <w:jc w:val="both"/>
      </w:pPr>
    </w:p>
    <w:p w:rsidR="00A41C0F" w:rsidRDefault="00A41C0F" w:rsidP="009657C6">
      <w:pPr>
        <w:jc w:val="both"/>
      </w:pPr>
    </w:p>
    <w:p w:rsidR="009657C6" w:rsidRPr="006338C6" w:rsidRDefault="00E65AC5" w:rsidP="00B670FD">
      <w:pPr>
        <w:pStyle w:val="Ttulo"/>
        <w:ind w:left="0"/>
        <w:outlineLvl w:val="0"/>
      </w:pPr>
      <w:bookmarkStart w:id="6" w:name="_Toc40804087"/>
      <w:r w:rsidRPr="006338C6">
        <w:t>Estimativas e Julgamentos Contábeis Críticos</w:t>
      </w:r>
      <w:bookmarkEnd w:id="6"/>
    </w:p>
    <w:p w:rsidR="009657C6" w:rsidRPr="00FD7B48" w:rsidRDefault="009657C6" w:rsidP="009657C6">
      <w:pPr>
        <w:jc w:val="both"/>
      </w:pPr>
    </w:p>
    <w:p w:rsidR="009657C6" w:rsidRPr="006A4BE8" w:rsidRDefault="009657C6" w:rsidP="009657C6">
      <w:pPr>
        <w:jc w:val="both"/>
      </w:pPr>
      <w:r w:rsidRPr="00FD7B48">
        <w:t xml:space="preserve">As </w:t>
      </w:r>
      <w:r w:rsidR="00595A08">
        <w:t>e</w:t>
      </w:r>
      <w:r w:rsidRPr="00FD7B48">
        <w:t xml:space="preserve">stimativas e os </w:t>
      </w:r>
      <w:r w:rsidR="00595A08">
        <w:t>j</w:t>
      </w:r>
      <w:r w:rsidRPr="00FD7B48">
        <w:t xml:space="preserve">ulgamentos </w:t>
      </w:r>
      <w:r w:rsidR="00595A08">
        <w:t>c</w:t>
      </w:r>
      <w:r w:rsidRPr="00FD7B48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>
        <w:t>inistério da Educação (MEC)</w:t>
      </w:r>
      <w:r w:rsidRPr="00FD7B48">
        <w:t xml:space="preserve"> e da </w:t>
      </w:r>
      <w:r w:rsidR="008B663F">
        <w:t>Secretaria do Tesouro Nacional (</w:t>
      </w:r>
      <w:r w:rsidRPr="00FD7B48">
        <w:t>STN</w:t>
      </w:r>
      <w:r w:rsidR="008B663F">
        <w:t>)</w:t>
      </w:r>
      <w:r w:rsidR="00EC44BE">
        <w:t>,</w:t>
      </w:r>
      <w:r w:rsidR="008B663F">
        <w:t xml:space="preserve"> assim como d</w:t>
      </w:r>
      <w:r w:rsidR="00EC44BE">
        <w:t>a</w:t>
      </w:r>
      <w:r w:rsidR="00497EE9">
        <w:t xml:space="preserve"> </w:t>
      </w:r>
      <w:r w:rsidR="008B663F">
        <w:t>Controladoria</w:t>
      </w:r>
      <w:r w:rsidR="00497EE9">
        <w:t>-</w:t>
      </w:r>
      <w:r w:rsidR="008B663F">
        <w:t>Geral da União (</w:t>
      </w:r>
      <w:r w:rsidRPr="00FD7B48">
        <w:t>CGU</w:t>
      </w:r>
      <w:r w:rsidR="008B663F">
        <w:t>)</w:t>
      </w:r>
      <w:r w:rsidRPr="00FD7B48">
        <w:t xml:space="preserve"> e </w:t>
      </w:r>
      <w:r w:rsidR="008B663F">
        <w:t>do Tribunal de Contas da União (</w:t>
      </w:r>
      <w:r w:rsidRPr="00FD7B48">
        <w:t>TCU</w:t>
      </w:r>
      <w:r w:rsidR="008B663F">
        <w:t>)</w:t>
      </w:r>
      <w:r w:rsidR="00BB0E67">
        <w:t>,</w:t>
      </w:r>
      <w:r w:rsidRPr="00FD7B48">
        <w:t xml:space="preserve"> e demais fatores considerados razoáveis para as circunstâncias. Com base em diversas premissas, a Instituição faz estimativas c</w:t>
      </w:r>
      <w:r w:rsidR="0025624A">
        <w:t>om relação ao futuro resultantes</w:t>
      </w:r>
      <w:r w:rsidRPr="00FD7B48">
        <w:t xml:space="preserve"> de um orçamento econômico, continuamente acompanhado pela </w:t>
      </w:r>
      <w:r w:rsidRPr="00E2221E">
        <w:t xml:space="preserve">Coordenadoria </w:t>
      </w:r>
      <w:r w:rsidR="00E87205" w:rsidRPr="00E2221E">
        <w:t xml:space="preserve">de Gestão </w:t>
      </w:r>
      <w:r w:rsidR="000D13A3" w:rsidRPr="006A4BE8">
        <w:t>Financeira</w:t>
      </w:r>
      <w:r w:rsidR="00EC44BE">
        <w:t xml:space="preserve"> </w:t>
      </w:r>
      <w:r w:rsidR="00527F6F" w:rsidRPr="006A4BE8">
        <w:t xml:space="preserve">e pela </w:t>
      </w:r>
      <w:r w:rsidR="007B2064" w:rsidRPr="006A4BE8">
        <w:t>Diretoria Executiva</w:t>
      </w:r>
      <w:r w:rsidR="00527F6F" w:rsidRPr="006A4BE8">
        <w:t xml:space="preserve"> do HCPA</w:t>
      </w:r>
      <w:r w:rsidRPr="006A4BE8">
        <w:t xml:space="preserve">. </w:t>
      </w:r>
    </w:p>
    <w:p w:rsidR="009657C6" w:rsidRPr="006A4BE8" w:rsidRDefault="009657C6" w:rsidP="009657C6">
      <w:pPr>
        <w:jc w:val="both"/>
      </w:pPr>
    </w:p>
    <w:p w:rsidR="009657C6" w:rsidRPr="006A4BE8" w:rsidRDefault="009657C6" w:rsidP="009657C6">
      <w:pPr>
        <w:jc w:val="both"/>
      </w:pPr>
      <w:r w:rsidRPr="006A4BE8">
        <w:t xml:space="preserve">As demonstrações financeiras incluem, portanto, várias estimativas, </w:t>
      </w:r>
      <w:r w:rsidR="00AB7073" w:rsidRPr="006A4BE8">
        <w:t>dentre elas</w:t>
      </w:r>
      <w:r w:rsidRPr="006A4BE8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6A4BE8">
        <w:t>, entre outras</w:t>
      </w:r>
      <w:r w:rsidRPr="006A4BE8">
        <w:t>.</w:t>
      </w:r>
    </w:p>
    <w:p w:rsidR="00FF3CFF" w:rsidRPr="006A4BE8" w:rsidRDefault="00FF3CFF" w:rsidP="009657C6">
      <w:pPr>
        <w:jc w:val="both"/>
      </w:pPr>
    </w:p>
    <w:p w:rsidR="007D0550" w:rsidRPr="006A4BE8" w:rsidRDefault="007D0550" w:rsidP="009657C6">
      <w:pPr>
        <w:jc w:val="both"/>
      </w:pPr>
    </w:p>
    <w:p w:rsidR="009657C6" w:rsidRPr="006A4BE8" w:rsidRDefault="001A2A78" w:rsidP="00B670FD">
      <w:pPr>
        <w:pStyle w:val="Ttulo"/>
        <w:ind w:left="0"/>
        <w:outlineLvl w:val="0"/>
      </w:pPr>
      <w:bookmarkStart w:id="7" w:name="_Toc40804088"/>
      <w:r w:rsidRPr="006A4BE8">
        <w:t>G</w:t>
      </w:r>
      <w:r w:rsidR="00E65AC5" w:rsidRPr="006A4BE8">
        <w:t>estão de Risco Financeiro</w:t>
      </w:r>
      <w:bookmarkEnd w:id="7"/>
    </w:p>
    <w:p w:rsidR="0000204B" w:rsidRPr="006A4BE8" w:rsidRDefault="0000204B" w:rsidP="009657C6">
      <w:pPr>
        <w:jc w:val="both"/>
      </w:pPr>
    </w:p>
    <w:p w:rsidR="009657C6" w:rsidRPr="006A4BE8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A4BE8">
        <w:rPr>
          <w:iCs/>
        </w:rPr>
        <w:t>Risco de Liquidez</w:t>
      </w:r>
    </w:p>
    <w:p w:rsidR="009657C6" w:rsidRPr="006A4BE8" w:rsidRDefault="009657C6" w:rsidP="009657C6">
      <w:pPr>
        <w:jc w:val="both"/>
      </w:pPr>
    </w:p>
    <w:p w:rsidR="006338C6" w:rsidRDefault="009657C6" w:rsidP="009657C6">
      <w:pPr>
        <w:jc w:val="both"/>
      </w:pPr>
      <w:r w:rsidRPr="006A4BE8">
        <w:t>O risco da Instituição não dispor de recursos suficientes para honrar seus compromissos financeiros é administrado através do monitoramento das previsões de um fluxo orçamentário</w:t>
      </w:r>
      <w:r w:rsidR="003617F5" w:rsidRPr="006A4BE8">
        <w:t xml:space="preserve">/financeiro </w:t>
      </w:r>
      <w:r w:rsidRPr="006A4BE8">
        <w:t xml:space="preserve">realizado pela Coordenadoria </w:t>
      </w:r>
      <w:r w:rsidR="00AD068B" w:rsidRPr="006A4BE8">
        <w:t xml:space="preserve">de Gestão </w:t>
      </w:r>
      <w:r w:rsidRPr="006A4BE8">
        <w:t>Financeira. A este departamento</w:t>
      </w:r>
      <w:r w:rsidRPr="00FD7B48">
        <w:t xml:space="preserve"> compete assegurar que haja caixa suficiente para atender as n</w:t>
      </w:r>
      <w:r w:rsidR="00AB7073" w:rsidRPr="00FD7B48">
        <w:t xml:space="preserve">ecessidades operacionais, </w:t>
      </w:r>
      <w:r w:rsidRPr="00FD7B48">
        <w:t xml:space="preserve">obedecendo às leis vigentes e assegurando que haja empenho prévio para </w:t>
      </w:r>
      <w:r w:rsidRPr="00FD7B48">
        <w:lastRenderedPageBreak/>
        <w:t xml:space="preserve">os compromissos assumidos dentro dos recursos orçamentários previstos. A realização de despesas com recursos diretamente arrecadados </w:t>
      </w:r>
      <w:r w:rsidR="00AD068B">
        <w:t>é</w:t>
      </w:r>
      <w:r w:rsidRPr="00FD7B48">
        <w:t xml:space="preserve"> efetivada após o recebimento efetivo dos mesmos.</w:t>
      </w:r>
    </w:p>
    <w:p w:rsidR="00407FFA" w:rsidRDefault="00407FFA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Crédito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FD7B48" w:rsidRDefault="009657C6" w:rsidP="009657C6">
      <w:pPr>
        <w:jc w:val="both"/>
      </w:pPr>
    </w:p>
    <w:p w:rsidR="009657C6" w:rsidRPr="00431280" w:rsidRDefault="009657C6" w:rsidP="009657C6">
      <w:pPr>
        <w:jc w:val="both"/>
      </w:pPr>
      <w:r w:rsidRPr="00431280">
        <w:t>A administração não espera nenhuma perda decorrente de inadimplência dessas contrapartes superior ao valor já provisionado.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recursos oriundos do Tesouro Nacional são deliberados pela Lei de Diretrizes Orçamentárias e fixados pela Lei Orçamentária Anual e suas regulamentações.</w:t>
      </w:r>
    </w:p>
    <w:p w:rsidR="009657C6" w:rsidRPr="00FD7B48" w:rsidRDefault="009657C6" w:rsidP="009657C6">
      <w:pPr>
        <w:jc w:val="both"/>
      </w:pPr>
    </w:p>
    <w:p w:rsidR="00D128DA" w:rsidRDefault="00D128DA" w:rsidP="00D128DA">
      <w:pPr>
        <w:jc w:val="both"/>
      </w:pPr>
      <w:r w:rsidRPr="00D128DA">
        <w:t>No exercício de 2020 os recursos orçamentários foram fixados pela Lei 13.978, de 17 de janeiro de 2020.</w:t>
      </w:r>
    </w:p>
    <w:p w:rsidR="007D0550" w:rsidRPr="009E0C16" w:rsidRDefault="007D0550" w:rsidP="003839BA">
      <w:pPr>
        <w:jc w:val="both"/>
        <w:rPr>
          <w:sz w:val="18"/>
          <w:szCs w:val="18"/>
        </w:rPr>
      </w:pPr>
    </w:p>
    <w:p w:rsidR="009657C6" w:rsidRPr="00923D20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923D20">
        <w:rPr>
          <w:iCs/>
        </w:rPr>
        <w:t>Estimativa do Valor Justo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saldos das Contas a Receber dos</w:t>
      </w:r>
      <w:r w:rsidR="00A909E4">
        <w:t xml:space="preserve"> Clientes e Contas a Pagar aos F</w:t>
      </w:r>
      <w:r w:rsidRPr="00FD7B48">
        <w:t>ornecedores estão próximos de seus valores justos.</w:t>
      </w:r>
    </w:p>
    <w:p w:rsidR="009657C6" w:rsidRPr="00FD7B48" w:rsidRDefault="009657C6" w:rsidP="009657C6">
      <w:pPr>
        <w:jc w:val="both"/>
      </w:pPr>
    </w:p>
    <w:p w:rsidR="00B457E8" w:rsidRPr="00FD7B48" w:rsidRDefault="009657C6" w:rsidP="009657C6">
      <w:pPr>
        <w:jc w:val="both"/>
      </w:pPr>
      <w:r w:rsidRPr="00F34882">
        <w:t xml:space="preserve">A Instituição aprovou no </w:t>
      </w:r>
      <w:r w:rsidR="005B0555" w:rsidRPr="009B1A4D">
        <w:t>Conselho de Administração</w:t>
      </w:r>
      <w:r w:rsidR="006C603A" w:rsidRPr="009B1A4D">
        <w:t>,</w:t>
      </w:r>
      <w:r w:rsidR="00214EAD" w:rsidRPr="009B1A4D">
        <w:t xml:space="preserve"> </w:t>
      </w:r>
      <w:r w:rsidR="00ED2518" w:rsidRPr="009B1A4D">
        <w:rPr>
          <w:shd w:val="clear" w:color="auto" w:fill="FFFFFF" w:themeFill="background1"/>
        </w:rPr>
        <w:t>na reunião n° 4</w:t>
      </w:r>
      <w:r w:rsidR="00AA61AA" w:rsidRPr="009B1A4D">
        <w:rPr>
          <w:shd w:val="clear" w:color="auto" w:fill="FFFFFF" w:themeFill="background1"/>
        </w:rPr>
        <w:t>44</w:t>
      </w:r>
      <w:r w:rsidR="00ED2518" w:rsidRPr="009B1A4D">
        <w:rPr>
          <w:shd w:val="clear" w:color="auto" w:fill="FFFFFF" w:themeFill="background1"/>
        </w:rPr>
        <w:t xml:space="preserve">, realizada em </w:t>
      </w:r>
      <w:r w:rsidR="00AA61AA" w:rsidRPr="009B1A4D">
        <w:rPr>
          <w:shd w:val="clear" w:color="auto" w:fill="FFFFFF" w:themeFill="background1"/>
        </w:rPr>
        <w:t>16</w:t>
      </w:r>
      <w:r w:rsidRPr="009B1A4D">
        <w:rPr>
          <w:shd w:val="clear" w:color="auto" w:fill="FFFFFF" w:themeFill="background1"/>
        </w:rPr>
        <w:t xml:space="preserve"> de </w:t>
      </w:r>
      <w:r w:rsidR="00AA61AA" w:rsidRPr="009B1A4D">
        <w:rPr>
          <w:shd w:val="clear" w:color="auto" w:fill="FFFFFF" w:themeFill="background1"/>
        </w:rPr>
        <w:t>dezembro</w:t>
      </w:r>
      <w:r w:rsidRPr="009B1A4D">
        <w:rPr>
          <w:shd w:val="clear" w:color="auto" w:fill="FFFFFF" w:themeFill="background1"/>
        </w:rPr>
        <w:t xml:space="preserve"> de </w:t>
      </w:r>
      <w:r w:rsidR="004E413F" w:rsidRPr="009B1A4D">
        <w:rPr>
          <w:shd w:val="clear" w:color="auto" w:fill="FFFFFF" w:themeFill="background1"/>
        </w:rPr>
        <w:t>201</w:t>
      </w:r>
      <w:r w:rsidR="00AA61AA" w:rsidRPr="009B1A4D">
        <w:rPr>
          <w:shd w:val="clear" w:color="auto" w:fill="FFFFFF" w:themeFill="background1"/>
        </w:rPr>
        <w:t>9</w:t>
      </w:r>
      <w:r w:rsidRPr="009B1A4D">
        <w:t>,</w:t>
      </w:r>
      <w:r w:rsidRPr="00F34882">
        <w:t xml:space="preserve"> a</w:t>
      </w:r>
      <w:r w:rsidR="00E95153" w:rsidRPr="00F34882">
        <w:t>s</w:t>
      </w:r>
      <w:r w:rsidRPr="00F34882">
        <w:t xml:space="preserve"> </w:t>
      </w:r>
      <w:r w:rsidR="003B5EE2" w:rsidRPr="00F34882">
        <w:t>Perdas</w:t>
      </w:r>
      <w:r w:rsidRPr="00F34882">
        <w:t xml:space="preserve"> </w:t>
      </w:r>
      <w:r w:rsidR="003B5EE2" w:rsidRPr="00F34882">
        <w:t xml:space="preserve">Estimadas </w:t>
      </w:r>
      <w:r w:rsidRPr="00F34882">
        <w:t xml:space="preserve">para </w:t>
      </w:r>
      <w:r w:rsidR="003B5EE2" w:rsidRPr="00F34882">
        <w:t>Créditos de Liquidação</w:t>
      </w:r>
      <w:r w:rsidRPr="00F34882">
        <w:t xml:space="preserve"> Duvidos</w:t>
      </w:r>
      <w:r w:rsidR="003B5EE2" w:rsidRPr="00F34882">
        <w:t>a</w:t>
      </w:r>
      <w:r w:rsidR="00EB37E3">
        <w:t xml:space="preserve"> (</w:t>
      </w:r>
      <w:r w:rsidR="00E95153" w:rsidRPr="00F34882">
        <w:t>PECLD</w:t>
      </w:r>
      <w:r w:rsidR="00EB37E3">
        <w:t>)</w:t>
      </w:r>
      <w:r w:rsidR="003B5EE2" w:rsidRPr="00F34882">
        <w:t xml:space="preserve"> </w:t>
      </w:r>
      <w:r w:rsidRPr="00F34882">
        <w:t xml:space="preserve">relativos a perdas prováveis </w:t>
      </w:r>
      <w:r w:rsidRPr="00F34882">
        <w:rPr>
          <w:i/>
        </w:rPr>
        <w:t>(impairment</w:t>
      </w:r>
      <w:r w:rsidRPr="00F34882">
        <w:t>) de Contas a Receber de Clientes, utilizando como critério as contas não recebidas e vencidas há pelo menos seis (6) meses</w:t>
      </w:r>
      <w:r w:rsidRPr="006C603A">
        <w:t xml:space="preserve">, </w:t>
      </w:r>
      <w:r w:rsidRPr="00FD7B48">
        <w:t>acrescido de uma análise técnica qualitativa de cada devedor</w:t>
      </w:r>
      <w:r w:rsidR="00B457E8" w:rsidRPr="00FD7B48">
        <w:t xml:space="preserve">. </w:t>
      </w:r>
    </w:p>
    <w:p w:rsidR="00ED2518" w:rsidRPr="00FD7B48" w:rsidRDefault="00ED2518" w:rsidP="009657C6">
      <w:pPr>
        <w:jc w:val="both"/>
      </w:pPr>
    </w:p>
    <w:p w:rsidR="009657C6" w:rsidRDefault="009657C6" w:rsidP="009657C6">
      <w:pPr>
        <w:jc w:val="both"/>
      </w:pPr>
      <w:r w:rsidRPr="008D55CB">
        <w:t xml:space="preserve">Os Estoques </w:t>
      </w:r>
      <w:r w:rsidRPr="009B1A4D">
        <w:t xml:space="preserve">garantem </w:t>
      </w:r>
      <w:r w:rsidR="002A6B4D">
        <w:t>56</w:t>
      </w:r>
      <w:r w:rsidRPr="009B1A4D">
        <w:t xml:space="preserve"> dias</w:t>
      </w:r>
      <w:r w:rsidRPr="008D55CB">
        <w:t xml:space="preserve"> de utilização, com os preços médios devidamente de acordo com o mercado. O</w:t>
      </w:r>
      <w:r w:rsidRPr="00FD7B48">
        <w:t xml:space="preserve"> volume dos estoques decorre muitas vezes da política governamental orçamentária de cada exercício. </w:t>
      </w:r>
    </w:p>
    <w:p w:rsidR="00011BF8" w:rsidRPr="00A34325" w:rsidRDefault="00011BF8" w:rsidP="009657C6">
      <w:pPr>
        <w:jc w:val="both"/>
      </w:pPr>
    </w:p>
    <w:p w:rsidR="00A41C0F" w:rsidRPr="00A34325" w:rsidRDefault="00A41C0F" w:rsidP="009657C6">
      <w:pPr>
        <w:jc w:val="both"/>
      </w:pPr>
    </w:p>
    <w:p w:rsidR="00196D9E" w:rsidRPr="006667D2" w:rsidRDefault="00196D9E" w:rsidP="00B670FD">
      <w:pPr>
        <w:pStyle w:val="Ttulo"/>
        <w:ind w:left="0"/>
        <w:outlineLvl w:val="0"/>
      </w:pPr>
      <w:bookmarkStart w:id="8" w:name="_Ref457927830"/>
      <w:bookmarkStart w:id="9" w:name="_Toc40804089"/>
      <w:r w:rsidRPr="006667D2">
        <w:t>Caixa e Equivalentes de Caixa</w:t>
      </w:r>
      <w:bookmarkEnd w:id="8"/>
      <w:bookmarkEnd w:id="9"/>
    </w:p>
    <w:p w:rsidR="003B0399" w:rsidRDefault="003B0399" w:rsidP="00BF4164">
      <w:pPr>
        <w:tabs>
          <w:tab w:val="center" w:pos="4348"/>
        </w:tabs>
        <w:jc w:val="both"/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1E40FA" w:rsidRPr="001E40FA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A35AB7" w:rsidRDefault="001E40FA" w:rsidP="00B23A2A">
            <w:pPr>
              <w:rPr>
                <w:color w:val="000000"/>
                <w:sz w:val="22"/>
                <w:szCs w:val="22"/>
              </w:rPr>
            </w:pPr>
            <w:r w:rsidRPr="00A35A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b/>
                <w:bCs/>
                <w:color w:val="000000"/>
              </w:rPr>
            </w:pPr>
            <w:r w:rsidRPr="001E40FA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1E40FA" w:rsidRDefault="001E40FA" w:rsidP="00B23A2A">
            <w:pPr>
              <w:rPr>
                <w:b/>
                <w:bCs/>
                <w:color w:val="000000"/>
              </w:rPr>
            </w:pPr>
            <w:r w:rsidRPr="001E40FA">
              <w:rPr>
                <w:b/>
                <w:bCs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b/>
                <w:bCs/>
                <w:color w:val="000000"/>
              </w:rPr>
            </w:pPr>
            <w:r w:rsidRPr="001E40FA">
              <w:rPr>
                <w:b/>
                <w:bCs/>
                <w:color w:val="000000"/>
              </w:rPr>
              <w:t>31/12/2019</w:t>
            </w:r>
          </w:p>
        </w:tc>
      </w:tr>
      <w:tr w:rsidR="001E40FA" w:rsidRPr="001E40FA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14</w:t>
            </w:r>
          </w:p>
        </w:tc>
      </w:tr>
      <w:tr w:rsidR="001E40FA" w:rsidRPr="001E40FA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Conta Corrente/Bancos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1.266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1.654</w:t>
            </w:r>
          </w:p>
        </w:tc>
      </w:tr>
      <w:tr w:rsidR="001E40FA" w:rsidRPr="001E40FA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13.046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12.826</w:t>
            </w:r>
          </w:p>
        </w:tc>
      </w:tr>
      <w:tr w:rsidR="001E40FA" w:rsidRPr="001E40FA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680BAD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139.84</w:t>
            </w:r>
            <w:r w:rsidR="00680BAD">
              <w:rPr>
                <w:color w:val="000000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1E40FA" w:rsidRDefault="001E40FA" w:rsidP="00B23A2A">
            <w:pPr>
              <w:rPr>
                <w:color w:val="000000"/>
              </w:rPr>
            </w:pPr>
            <w:r w:rsidRPr="001E40FA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color w:val="000000"/>
              </w:rPr>
            </w:pPr>
            <w:r w:rsidRPr="001E40FA">
              <w:rPr>
                <w:color w:val="000000"/>
              </w:rPr>
              <w:t>94.088</w:t>
            </w:r>
          </w:p>
        </w:tc>
      </w:tr>
      <w:tr w:rsidR="001E40FA" w:rsidRPr="00A35AB7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rPr>
                <w:b/>
                <w:bCs/>
                <w:color w:val="000000"/>
              </w:rPr>
            </w:pPr>
            <w:r w:rsidRPr="001E40FA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1E40FA" w:rsidRDefault="001E40FA" w:rsidP="00B23A2A">
            <w:pPr>
              <w:jc w:val="right"/>
              <w:rPr>
                <w:b/>
                <w:bCs/>
                <w:color w:val="000000"/>
              </w:rPr>
            </w:pPr>
            <w:r w:rsidRPr="001E40FA">
              <w:rPr>
                <w:b/>
                <w:bCs/>
                <w:color w:val="000000"/>
              </w:rPr>
              <w:t>154.16</w:t>
            </w:r>
            <w:r w:rsidR="00680BAD">
              <w:rPr>
                <w:b/>
                <w:bCs/>
                <w:color w:val="000000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1E40FA" w:rsidRDefault="001E40FA" w:rsidP="00B23A2A">
            <w:pPr>
              <w:rPr>
                <w:b/>
                <w:bCs/>
                <w:color w:val="000000"/>
              </w:rPr>
            </w:pPr>
            <w:r w:rsidRPr="001E40FA">
              <w:rPr>
                <w:b/>
                <w:bCs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A35AB7" w:rsidRDefault="001E40FA" w:rsidP="00B23A2A">
            <w:pPr>
              <w:jc w:val="right"/>
              <w:rPr>
                <w:b/>
                <w:bCs/>
                <w:color w:val="000000"/>
              </w:rPr>
            </w:pPr>
            <w:r w:rsidRPr="001E40FA">
              <w:rPr>
                <w:b/>
                <w:bCs/>
                <w:color w:val="000000"/>
              </w:rPr>
              <w:t>108.582</w:t>
            </w:r>
          </w:p>
        </w:tc>
      </w:tr>
    </w:tbl>
    <w:p w:rsidR="001E40FA" w:rsidRDefault="001E40FA" w:rsidP="00BF4164">
      <w:pPr>
        <w:tabs>
          <w:tab w:val="center" w:pos="4348"/>
        </w:tabs>
        <w:jc w:val="both"/>
        <w:rPr>
          <w:b/>
          <w:sz w:val="18"/>
          <w:szCs w:val="18"/>
        </w:rPr>
      </w:pPr>
    </w:p>
    <w:p w:rsidR="002A2DA7" w:rsidRDefault="00744C61" w:rsidP="002A2DA7">
      <w:pPr>
        <w:jc w:val="both"/>
      </w:pPr>
      <w:r w:rsidRPr="00FD7B48">
        <w:t xml:space="preserve">A conta limite de saque é composta pelo saldo dos recursos públicos vinculados a convênios ou recursos </w:t>
      </w:r>
      <w:r w:rsidRPr="00E63EC1">
        <w:t>especiais que não podem ser aplicados em Fundos de Curto Prazo. Estes recurs</w:t>
      </w:r>
      <w:r w:rsidR="00EC3FA0" w:rsidRPr="00E63EC1">
        <w:t>os estão disponíveis para pagar</w:t>
      </w:r>
      <w:r w:rsidRPr="00E63EC1">
        <w:t xml:space="preserve"> despesas de capital ou </w:t>
      </w:r>
      <w:r w:rsidR="00443B0B" w:rsidRPr="00E63EC1">
        <w:t xml:space="preserve">de </w:t>
      </w:r>
      <w:r w:rsidRPr="00E63EC1">
        <w:t>custeio.</w:t>
      </w:r>
    </w:p>
    <w:p w:rsidR="002A2DA7" w:rsidRPr="00A34325" w:rsidRDefault="002A2DA7" w:rsidP="00744C61">
      <w:pPr>
        <w:jc w:val="both"/>
      </w:pPr>
    </w:p>
    <w:p w:rsidR="008F01DF" w:rsidRPr="00A34325" w:rsidRDefault="008F01DF" w:rsidP="00744C61">
      <w:pPr>
        <w:jc w:val="both"/>
      </w:pPr>
    </w:p>
    <w:p w:rsidR="00B20F98" w:rsidRPr="006667D2" w:rsidRDefault="005963AE" w:rsidP="00B670FD">
      <w:pPr>
        <w:pStyle w:val="Ttulo"/>
        <w:ind w:left="0"/>
        <w:outlineLvl w:val="0"/>
      </w:pPr>
      <w:bookmarkStart w:id="10" w:name="_Ref457927885"/>
      <w:bookmarkStart w:id="11" w:name="_Toc40804090"/>
      <w:r w:rsidRPr="006667D2">
        <w:t>Créditos de Fornecimento de Serviços</w:t>
      </w:r>
      <w:bookmarkEnd w:id="10"/>
      <w:bookmarkEnd w:id="11"/>
      <w:r w:rsidRPr="006667D2">
        <w:t xml:space="preserve"> </w:t>
      </w:r>
    </w:p>
    <w:p w:rsidR="00B20F98" w:rsidRPr="009E0C16" w:rsidRDefault="00B20F98" w:rsidP="00B20F98">
      <w:pPr>
        <w:tabs>
          <w:tab w:val="center" w:pos="4348"/>
        </w:tabs>
        <w:jc w:val="both"/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1D25EC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E63EC1">
              <w:rPr>
                <w:b/>
                <w:bCs/>
                <w:color w:val="000000"/>
              </w:rPr>
              <w:t>/</w:t>
            </w:r>
            <w:r w:rsidR="001D25EC">
              <w:rPr>
                <w:b/>
                <w:bCs/>
                <w:color w:val="000000"/>
              </w:rPr>
              <w:t>03</w:t>
            </w:r>
            <w:r w:rsidRPr="00E63EC1">
              <w:rPr>
                <w:b/>
                <w:bCs/>
                <w:color w:val="000000"/>
              </w:rPr>
              <w:t>/20</w:t>
            </w:r>
            <w:r w:rsidR="001D25EC">
              <w:rPr>
                <w:b/>
                <w:bCs/>
                <w:color w:val="000000"/>
              </w:rPr>
              <w:t>20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1D25EC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31/12/201</w:t>
            </w:r>
            <w:r w:rsidR="001D25EC">
              <w:rPr>
                <w:b/>
                <w:bCs/>
                <w:color w:val="000000"/>
              </w:rPr>
              <w:t>9</w:t>
            </w:r>
          </w:p>
        </w:tc>
      </w:tr>
      <w:tr w:rsidR="001D25EC" w:rsidRPr="00E63EC1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B67614" w:rsidRDefault="00126DC0" w:rsidP="00126DC0">
            <w:pPr>
              <w:jc w:val="right"/>
            </w:pPr>
            <w:r w:rsidRPr="00B67614">
              <w:t>33.523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B67614" w:rsidRDefault="001D25EC" w:rsidP="00E63EC1">
            <w:pPr>
              <w:jc w:val="right"/>
              <w:rPr>
                <w:color w:val="000000"/>
              </w:rPr>
            </w:pPr>
            <w:r w:rsidRPr="00B67614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2B77B4" w:rsidRDefault="001D25EC" w:rsidP="008A1483">
            <w:pPr>
              <w:jc w:val="right"/>
            </w:pPr>
            <w:r w:rsidRPr="002B77B4">
              <w:t xml:space="preserve"> 33.518 </w:t>
            </w:r>
          </w:p>
        </w:tc>
      </w:tr>
      <w:tr w:rsidR="001D25EC" w:rsidRPr="00E63EC1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B67614" w:rsidRDefault="00B67614" w:rsidP="00126DC0">
            <w:pPr>
              <w:jc w:val="right"/>
            </w:pPr>
            <w:r w:rsidRPr="00B67614">
              <w:t>14.590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B67614" w:rsidRDefault="001D25EC" w:rsidP="00E63EC1">
            <w:pPr>
              <w:jc w:val="right"/>
              <w:rPr>
                <w:color w:val="000000"/>
              </w:rPr>
            </w:pPr>
            <w:r w:rsidRPr="00B67614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2B77B4" w:rsidRDefault="001D25EC" w:rsidP="008A1483">
            <w:pPr>
              <w:jc w:val="right"/>
            </w:pPr>
            <w:r w:rsidRPr="002B77B4">
              <w:t xml:space="preserve"> 15.117 </w:t>
            </w:r>
          </w:p>
        </w:tc>
      </w:tr>
      <w:tr w:rsidR="001D25EC" w:rsidRPr="00E63EC1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B67614" w:rsidRDefault="00126DC0" w:rsidP="00B67614">
            <w:pPr>
              <w:jc w:val="right"/>
            </w:pPr>
            <w:r w:rsidRPr="00B67614">
              <w:t>2.</w:t>
            </w:r>
            <w:r w:rsidR="00B67614" w:rsidRPr="00B67614">
              <w:t>480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B67614" w:rsidRDefault="001D25EC" w:rsidP="00E63EC1">
            <w:pPr>
              <w:jc w:val="right"/>
              <w:rPr>
                <w:color w:val="000000"/>
              </w:rPr>
            </w:pPr>
            <w:r w:rsidRPr="00B67614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2B77B4" w:rsidRDefault="001D25EC" w:rsidP="008A1483">
            <w:pPr>
              <w:jc w:val="right"/>
            </w:pPr>
            <w:r w:rsidRPr="002B77B4">
              <w:t xml:space="preserve"> 2.292 </w:t>
            </w:r>
          </w:p>
        </w:tc>
      </w:tr>
      <w:tr w:rsidR="001D25EC" w:rsidRPr="00E63EC1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D25EC" w:rsidRPr="00B67614" w:rsidRDefault="00B67614" w:rsidP="002B77B4">
            <w:pPr>
              <w:jc w:val="right"/>
            </w:pPr>
            <w:r w:rsidRPr="00B67614">
              <w:t>1.799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25EC" w:rsidRPr="002B77B4" w:rsidRDefault="001D25EC" w:rsidP="008A1483">
            <w:pPr>
              <w:jc w:val="right"/>
            </w:pPr>
            <w:r w:rsidRPr="002B77B4">
              <w:t>2.250</w:t>
            </w:r>
          </w:p>
        </w:tc>
      </w:tr>
      <w:tr w:rsidR="001D25EC" w:rsidRPr="00E63EC1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D25EC" w:rsidRPr="00B67614" w:rsidRDefault="00FA67C8" w:rsidP="00B67614">
            <w:pPr>
              <w:jc w:val="right"/>
              <w:rPr>
                <w:b/>
                <w:bCs/>
              </w:rPr>
            </w:pPr>
            <w:r w:rsidRPr="00B67614">
              <w:rPr>
                <w:b/>
                <w:bCs/>
              </w:rPr>
              <w:t>52.</w:t>
            </w:r>
            <w:r w:rsidR="00B67614" w:rsidRPr="00B67614">
              <w:rPr>
                <w:b/>
                <w:bCs/>
              </w:rPr>
              <w:t>392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B67614" w:rsidRDefault="001D25EC" w:rsidP="00E63EC1">
            <w:pPr>
              <w:jc w:val="right"/>
              <w:rPr>
                <w:b/>
                <w:bCs/>
                <w:color w:val="000000"/>
              </w:rPr>
            </w:pPr>
            <w:r w:rsidRPr="00B676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2B77B4" w:rsidRDefault="001D25EC" w:rsidP="008A1483">
            <w:pPr>
              <w:jc w:val="right"/>
              <w:rPr>
                <w:b/>
                <w:bCs/>
              </w:rPr>
            </w:pPr>
            <w:r w:rsidRPr="002B77B4">
              <w:rPr>
                <w:b/>
                <w:bCs/>
              </w:rPr>
              <w:t>53.177</w:t>
            </w:r>
          </w:p>
        </w:tc>
      </w:tr>
      <w:tr w:rsidR="001D25EC" w:rsidRPr="00E63EC1" w:rsidTr="0034048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Perdas Estimadas Créditos Liquid. Duvidosa – PECLD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D25EC" w:rsidRPr="00B67614" w:rsidRDefault="00FA67C8" w:rsidP="002B77B4">
            <w:pPr>
              <w:jc w:val="right"/>
            </w:pPr>
            <w:r w:rsidRPr="00B67614">
              <w:t>(9.444)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B67614" w:rsidRDefault="001D25EC" w:rsidP="00E63EC1">
            <w:pPr>
              <w:jc w:val="right"/>
              <w:rPr>
                <w:color w:val="000000"/>
              </w:rPr>
            </w:pPr>
            <w:r w:rsidRPr="00B67614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2B77B4" w:rsidRDefault="001D25EC" w:rsidP="008A1483">
            <w:pPr>
              <w:jc w:val="right"/>
            </w:pPr>
            <w:r w:rsidRPr="002B77B4">
              <w:t>(9.621)</w:t>
            </w:r>
          </w:p>
        </w:tc>
      </w:tr>
      <w:tr w:rsidR="001D25EC" w:rsidRPr="00E63EC1" w:rsidTr="0034048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E63EC1" w:rsidRDefault="001D25EC" w:rsidP="00E63EC1">
            <w:pPr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D25EC" w:rsidRPr="00B67614" w:rsidRDefault="00B67614" w:rsidP="002B77B4">
            <w:pPr>
              <w:jc w:val="right"/>
              <w:rPr>
                <w:b/>
                <w:bCs/>
              </w:rPr>
            </w:pPr>
            <w:r w:rsidRPr="00B67614">
              <w:rPr>
                <w:b/>
                <w:bCs/>
              </w:rPr>
              <w:t>42</w:t>
            </w:r>
            <w:r w:rsidR="00890F09" w:rsidRPr="00B67614">
              <w:rPr>
                <w:b/>
                <w:bCs/>
              </w:rPr>
              <w:t>.</w:t>
            </w:r>
            <w:r w:rsidRPr="00B67614">
              <w:rPr>
                <w:b/>
                <w:bCs/>
              </w:rPr>
              <w:t>948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B67614" w:rsidRDefault="001D25EC" w:rsidP="00E63EC1">
            <w:pPr>
              <w:jc w:val="right"/>
              <w:rPr>
                <w:b/>
                <w:bCs/>
                <w:color w:val="000000"/>
              </w:rPr>
            </w:pPr>
            <w:r w:rsidRPr="00B676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2B77B4" w:rsidRDefault="001D25EC" w:rsidP="008A1483">
            <w:pPr>
              <w:jc w:val="right"/>
              <w:rPr>
                <w:b/>
                <w:bCs/>
              </w:rPr>
            </w:pPr>
            <w:r w:rsidRPr="002B77B4">
              <w:rPr>
                <w:b/>
                <w:bCs/>
              </w:rPr>
              <w:t>43.556</w:t>
            </w:r>
          </w:p>
        </w:tc>
      </w:tr>
    </w:tbl>
    <w:p w:rsidR="005641A2" w:rsidRPr="00FD7B48" w:rsidRDefault="00ED5B2D" w:rsidP="008B0DEB">
      <w:pPr>
        <w:jc w:val="both"/>
      </w:pPr>
      <w:r>
        <w:lastRenderedPageBreak/>
        <w:t>Estes créditos</w:t>
      </w:r>
      <w:r w:rsidR="00B20F98" w:rsidRPr="00FD7B48">
        <w:t xml:space="preserve"> correspondem aos valores a receber de clientes pela prestação de serviços no curso normal das atividades da Instituição.</w:t>
      </w:r>
      <w:r>
        <w:t xml:space="preserve"> </w:t>
      </w:r>
      <w:r w:rsidR="008B0DEB" w:rsidRPr="00FD7B48">
        <w:t>As contas a receber de clientes são, inicialmente, reconhecidas pelo valor justo e, subsequentemente, mensuradas pelo custo menos a</w:t>
      </w:r>
      <w:r w:rsidR="00E56B52" w:rsidRPr="00FD7B48">
        <w:t>s</w:t>
      </w:r>
      <w:r w:rsidR="008B0DEB" w:rsidRPr="00FD7B48">
        <w:t xml:space="preserve"> </w:t>
      </w:r>
      <w:r w:rsidR="00B73948" w:rsidRPr="00FD7B48">
        <w:t xml:space="preserve">Perdas Estimadas para </w:t>
      </w:r>
      <w:r w:rsidR="008B0DEB" w:rsidRPr="00FD7B48">
        <w:t>Créditos de Liquidação Duvidosa (“P</w:t>
      </w:r>
      <w:r w:rsidR="00B73948" w:rsidRPr="00FD7B48">
        <w:t>E</w:t>
      </w:r>
      <w:r w:rsidR="008B0DEB" w:rsidRPr="00FD7B48">
        <w:t>CLD” ou “</w:t>
      </w:r>
      <w:r w:rsidR="008B0DEB" w:rsidRPr="00FD7B48">
        <w:rPr>
          <w:i/>
        </w:rPr>
        <w:t>Impairment</w:t>
      </w:r>
      <w:r w:rsidR="008B0DEB" w:rsidRPr="00FD7B48">
        <w:t>”).</w:t>
      </w:r>
    </w:p>
    <w:p w:rsidR="00095C30" w:rsidRPr="00A34325" w:rsidRDefault="00095C30" w:rsidP="008B0DEB">
      <w:pPr>
        <w:jc w:val="both"/>
      </w:pPr>
    </w:p>
    <w:p w:rsidR="00407FFA" w:rsidRPr="00A34325" w:rsidRDefault="00407FFA">
      <w:bookmarkStart w:id="12" w:name="_Ref457927920"/>
    </w:p>
    <w:p w:rsidR="00B20F98" w:rsidRDefault="008D5A89" w:rsidP="00B670FD">
      <w:pPr>
        <w:pStyle w:val="Ttulo"/>
        <w:ind w:left="0"/>
        <w:outlineLvl w:val="0"/>
      </w:pPr>
      <w:bookmarkStart w:id="13" w:name="_Toc40804091"/>
      <w:r w:rsidRPr="006667D2">
        <w:t xml:space="preserve">Adiantamentos </w:t>
      </w:r>
      <w:r w:rsidR="005641A2" w:rsidRPr="006667D2">
        <w:t>de</w:t>
      </w:r>
      <w:r w:rsidRPr="006667D2">
        <w:t xml:space="preserve"> Pessoal</w:t>
      </w:r>
      <w:bookmarkEnd w:id="12"/>
      <w:bookmarkEnd w:id="13"/>
      <w:r w:rsidRPr="006667D2">
        <w:t xml:space="preserve"> </w:t>
      </w:r>
    </w:p>
    <w:p w:rsidR="00A34325" w:rsidRPr="00A34325" w:rsidRDefault="00A34325" w:rsidP="00A343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2186"/>
        <w:gridCol w:w="216"/>
        <w:gridCol w:w="2524"/>
      </w:tblGrid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860B3E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3C6B20">
              <w:rPr>
                <w:b/>
                <w:bCs/>
                <w:color w:val="000000"/>
              </w:rPr>
              <w:t>/</w:t>
            </w:r>
            <w:r w:rsidR="00860B3E">
              <w:rPr>
                <w:b/>
                <w:bCs/>
                <w:color w:val="000000"/>
              </w:rPr>
              <w:t>03</w:t>
            </w:r>
            <w:r w:rsidRPr="003C6B20">
              <w:rPr>
                <w:b/>
                <w:bCs/>
                <w:color w:val="000000"/>
              </w:rPr>
              <w:t>/20</w:t>
            </w:r>
            <w:r w:rsidR="001D25EC">
              <w:rPr>
                <w:b/>
                <w:bCs/>
                <w:color w:val="000000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1D25EC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31/12/201</w:t>
            </w:r>
            <w:r w:rsidR="001D25EC">
              <w:rPr>
                <w:b/>
                <w:bCs/>
                <w:color w:val="000000"/>
              </w:rPr>
              <w:t>9</w:t>
            </w:r>
          </w:p>
        </w:tc>
      </w:tr>
      <w:tr w:rsidR="001D25EC" w:rsidRPr="003C6B20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3C6B20" w:rsidRDefault="001D25EC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5EC" w:rsidRPr="009A497C" w:rsidRDefault="00126DC0" w:rsidP="009A497C">
            <w:pPr>
              <w:jc w:val="right"/>
            </w:pPr>
            <w:r>
              <w:t>16.296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3C6B20" w:rsidRDefault="001D25EC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9A497C" w:rsidRDefault="001D25EC" w:rsidP="008A1483">
            <w:pPr>
              <w:jc w:val="right"/>
            </w:pPr>
            <w:r w:rsidRPr="009A497C">
              <w:t>7.295</w:t>
            </w:r>
          </w:p>
        </w:tc>
      </w:tr>
      <w:tr w:rsidR="001D25EC" w:rsidRPr="003C6B20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3C6B20" w:rsidRDefault="001D25EC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5EC" w:rsidRPr="009A497C" w:rsidRDefault="00126DC0" w:rsidP="009A497C">
            <w:pPr>
              <w:jc w:val="right"/>
            </w:pPr>
            <w:r>
              <w:t>1.72</w:t>
            </w:r>
            <w:r w:rsidR="00921A26"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3C6B20" w:rsidRDefault="001D25EC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9A497C" w:rsidRDefault="001D25EC" w:rsidP="008A1483">
            <w:pPr>
              <w:jc w:val="right"/>
            </w:pPr>
            <w:r w:rsidRPr="009A497C">
              <w:t>7.444</w:t>
            </w:r>
          </w:p>
        </w:tc>
      </w:tr>
      <w:tr w:rsidR="001D25EC" w:rsidRPr="003C6B20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3C6B20" w:rsidRDefault="001D25EC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5EC" w:rsidRPr="009A497C" w:rsidRDefault="00921A26" w:rsidP="003C6B20">
            <w:pPr>
              <w:jc w:val="right"/>
            </w:pPr>
            <w:r>
              <w:t>2.957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3C6B20" w:rsidRDefault="001D25EC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9A497C" w:rsidRDefault="001D25EC" w:rsidP="008A1483">
            <w:pPr>
              <w:jc w:val="right"/>
            </w:pPr>
            <w:r w:rsidRPr="009A497C">
              <w:t>10</w:t>
            </w:r>
          </w:p>
        </w:tc>
      </w:tr>
      <w:tr w:rsidR="001D25EC" w:rsidRPr="003C6B20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3C6B20" w:rsidRDefault="001D25EC" w:rsidP="003C6B20">
            <w:pPr>
              <w:rPr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D25EC" w:rsidRPr="009A497C" w:rsidRDefault="00126DC0" w:rsidP="00C224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20.980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3C6B20" w:rsidRDefault="001D25EC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9A497C" w:rsidRDefault="001D25EC" w:rsidP="008A14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9A497C">
              <w:rPr>
                <w:b/>
                <w:bCs/>
              </w:rPr>
              <w:t>.</w:t>
            </w:r>
            <w:r>
              <w:rPr>
                <w:b/>
                <w:bCs/>
              </w:rPr>
              <w:t>749</w:t>
            </w:r>
          </w:p>
        </w:tc>
      </w:tr>
    </w:tbl>
    <w:p w:rsidR="00E96EF1" w:rsidRDefault="00E96EF1" w:rsidP="00B20F98">
      <w:pPr>
        <w:tabs>
          <w:tab w:val="left" w:pos="993"/>
        </w:tabs>
        <w:jc w:val="both"/>
        <w:rPr>
          <w:sz w:val="18"/>
          <w:szCs w:val="18"/>
        </w:rPr>
      </w:pPr>
    </w:p>
    <w:p w:rsidR="00B20F98" w:rsidRPr="00FD7B48" w:rsidRDefault="00B20F98" w:rsidP="00B20F98">
      <w:pPr>
        <w:tabs>
          <w:tab w:val="left" w:pos="993"/>
        </w:tabs>
        <w:jc w:val="both"/>
        <w:rPr>
          <w:b/>
        </w:rPr>
      </w:pPr>
      <w:r w:rsidRPr="00FD7B48">
        <w:t>Por ocasião do pagamento das férias de pessoal</w:t>
      </w:r>
      <w:r w:rsidR="00250EE3">
        <w:t xml:space="preserve">, é norma da Instituição </w:t>
      </w:r>
      <w:r w:rsidRPr="00FD7B48">
        <w:t xml:space="preserve">adiantar 50% do </w:t>
      </w:r>
      <w:r w:rsidR="00886BBB" w:rsidRPr="00FD7B48">
        <w:t xml:space="preserve">décimo terceiro salário </w:t>
      </w:r>
      <w:r w:rsidRPr="00FD7B48">
        <w:t xml:space="preserve">do exercício de competência. O </w:t>
      </w:r>
      <w:r w:rsidR="00886BBB" w:rsidRPr="00FD7B48">
        <w:t>saldo</w:t>
      </w:r>
      <w:r w:rsidRPr="00FD7B48">
        <w:t xml:space="preserve"> do adiantamento de </w:t>
      </w:r>
      <w:r w:rsidR="00886BBB" w:rsidRPr="00FD7B48">
        <w:t>décimo terceiro</w:t>
      </w:r>
      <w:r w:rsidRPr="00FD7B48">
        <w:t xml:space="preserve"> salário refere-se </w:t>
      </w:r>
      <w:r w:rsidR="00886BBB" w:rsidRPr="00FD7B48">
        <w:t xml:space="preserve">ao exercício de </w:t>
      </w:r>
      <w:r w:rsidR="00C96BA3">
        <w:t>20</w:t>
      </w:r>
      <w:r w:rsidR="002F760C">
        <w:t>20</w:t>
      </w:r>
      <w:r w:rsidR="006C603A">
        <w:t>,</w:t>
      </w:r>
      <w:r w:rsidR="00886BBB" w:rsidRPr="00FD7B48">
        <w:t xml:space="preserve"> enquanto que o saldo de férias refere-se ao pagamento em </w:t>
      </w:r>
      <w:r w:rsidR="00860B3E">
        <w:t>março</w:t>
      </w:r>
      <w:r w:rsidR="00AF2D0D" w:rsidRPr="00FD7B48">
        <w:t xml:space="preserve"> relativo à competência</w:t>
      </w:r>
      <w:r w:rsidR="00CB5C00" w:rsidRPr="00FD7B48">
        <w:t xml:space="preserve"> </w:t>
      </w:r>
      <w:r w:rsidR="00860B3E">
        <w:t>abril</w:t>
      </w:r>
      <w:r w:rsidR="003612EF" w:rsidRPr="00FD7B48">
        <w:t xml:space="preserve"> </w:t>
      </w:r>
      <w:r w:rsidRPr="00FD7B48">
        <w:t>de 20</w:t>
      </w:r>
      <w:r w:rsidR="001465DD">
        <w:t>20</w:t>
      </w:r>
      <w:r w:rsidRPr="00FD7B48">
        <w:t>.</w:t>
      </w:r>
    </w:p>
    <w:p w:rsidR="00B20F98" w:rsidRPr="00A34325" w:rsidRDefault="00B20F98" w:rsidP="00B20F98">
      <w:pPr>
        <w:tabs>
          <w:tab w:val="left" w:pos="993"/>
        </w:tabs>
        <w:jc w:val="both"/>
        <w:rPr>
          <w:b/>
        </w:rPr>
      </w:pPr>
    </w:p>
    <w:p w:rsidR="00BC6580" w:rsidRPr="00A34325" w:rsidRDefault="00BC6580" w:rsidP="00B20F98">
      <w:pPr>
        <w:tabs>
          <w:tab w:val="left" w:pos="993"/>
        </w:tabs>
        <w:jc w:val="both"/>
        <w:rPr>
          <w:b/>
        </w:rPr>
      </w:pPr>
    </w:p>
    <w:p w:rsidR="00E96EF1" w:rsidRPr="001F5825" w:rsidRDefault="00E96EF1" w:rsidP="00B670FD">
      <w:pPr>
        <w:pStyle w:val="Ttulo"/>
        <w:ind w:left="0"/>
        <w:outlineLvl w:val="0"/>
      </w:pPr>
      <w:bookmarkStart w:id="14" w:name="_Ref457927938"/>
      <w:bookmarkStart w:id="15" w:name="_Toc40804092"/>
      <w:r w:rsidRPr="001F5825">
        <w:t xml:space="preserve">Estoques </w:t>
      </w:r>
      <w:r w:rsidR="002010E3" w:rsidRPr="001F5825">
        <w:t>de Materiais</w:t>
      </w:r>
      <w:r w:rsidRPr="001F5825">
        <w:t xml:space="preserve"> de Consumo</w:t>
      </w:r>
      <w:bookmarkEnd w:id="14"/>
      <w:bookmarkEnd w:id="15"/>
      <w:r w:rsidRPr="001F5825">
        <w:t xml:space="preserve">    </w:t>
      </w:r>
      <w:r w:rsidR="00DD2977" w:rsidRPr="001F58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  <w:sz w:val="22"/>
                <w:szCs w:val="22"/>
              </w:rPr>
            </w:pPr>
            <w:r w:rsidRPr="003204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860B3E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32046D">
              <w:rPr>
                <w:b/>
                <w:bCs/>
                <w:color w:val="000000"/>
              </w:rPr>
              <w:t>/</w:t>
            </w:r>
            <w:r w:rsidR="00860B3E">
              <w:rPr>
                <w:b/>
                <w:bCs/>
                <w:color w:val="000000"/>
              </w:rPr>
              <w:t>03</w:t>
            </w:r>
            <w:r w:rsidRPr="0032046D">
              <w:rPr>
                <w:b/>
                <w:bCs/>
                <w:color w:val="000000"/>
              </w:rPr>
              <w:t>/20</w:t>
            </w:r>
            <w:r w:rsidR="00860B3E">
              <w:rPr>
                <w:b/>
                <w:bCs/>
                <w:color w:val="000000"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860B3E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31/12/201</w:t>
            </w:r>
            <w:r w:rsidR="00860B3E">
              <w:rPr>
                <w:b/>
                <w:bCs/>
                <w:color w:val="000000"/>
              </w:rPr>
              <w:t>9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Medicamentos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8.540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4.646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Material Médico, Hospitalar e Laboratorial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9.107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6.778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Material de Órtese e Prótese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1.939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2.444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Materiais e Utensílios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709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520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Rouparia (uniformes)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1.002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1.189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Higiene, Limpeza, Segurança, Proteção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523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281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Material Expediente/Informática/Gráfica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345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327</w:t>
            </w:r>
          </w:p>
        </w:tc>
      </w:tr>
      <w:tr w:rsidR="00860B3E" w:rsidRPr="0032046D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color w:val="000000"/>
              </w:rPr>
            </w:pPr>
            <w:r w:rsidRPr="001748E6">
              <w:rPr>
                <w:color w:val="000000"/>
              </w:rPr>
              <w:t>Combustíveis, Lubrificantes, Gases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B3E" w:rsidRPr="001748E6" w:rsidRDefault="006D6697" w:rsidP="00C2245F">
            <w:pPr>
              <w:jc w:val="right"/>
            </w:pPr>
            <w:r w:rsidRPr="001748E6">
              <w:t>58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color w:val="000000"/>
              </w:rPr>
            </w:pPr>
            <w:r w:rsidRPr="001748E6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58</w:t>
            </w:r>
          </w:p>
        </w:tc>
      </w:tr>
      <w:tr w:rsidR="00E05DD0" w:rsidRPr="00E05DD0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r w:rsidRPr="001748E6">
              <w:t>Materiais Engenharia/Ferramentas/Elétrico/Predial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860B3E" w:rsidRPr="001748E6" w:rsidRDefault="006D6697" w:rsidP="00C2245F">
            <w:pPr>
              <w:jc w:val="right"/>
            </w:pPr>
            <w:r w:rsidRPr="001748E6">
              <w:t>2.121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jc w:val="right"/>
            </w:pPr>
            <w:r w:rsidRPr="001748E6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60B3E" w:rsidRPr="001748E6" w:rsidRDefault="00860B3E" w:rsidP="008A1483">
            <w:pPr>
              <w:jc w:val="right"/>
            </w:pPr>
            <w:r w:rsidRPr="001748E6">
              <w:t>1.909</w:t>
            </w:r>
          </w:p>
        </w:tc>
      </w:tr>
      <w:tr w:rsidR="00E05DD0" w:rsidRPr="00E05DD0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rPr>
                <w:b/>
                <w:bCs/>
              </w:rPr>
            </w:pPr>
            <w:r w:rsidRPr="001748E6">
              <w:rPr>
                <w:b/>
                <w:bCs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860B3E" w:rsidRPr="001748E6" w:rsidRDefault="001748E6" w:rsidP="00C224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D6697" w:rsidRPr="001748E6">
              <w:rPr>
                <w:b/>
                <w:bCs/>
              </w:rPr>
              <w:t>.344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1748E6" w:rsidRDefault="00860B3E" w:rsidP="0032046D">
            <w:pPr>
              <w:jc w:val="right"/>
              <w:rPr>
                <w:b/>
                <w:bCs/>
              </w:rPr>
            </w:pPr>
            <w:r w:rsidRPr="001748E6">
              <w:rPr>
                <w:b/>
                <w:bCs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60B3E" w:rsidRPr="001748E6" w:rsidRDefault="00860B3E" w:rsidP="008A1483">
            <w:pPr>
              <w:jc w:val="right"/>
              <w:rPr>
                <w:b/>
                <w:bCs/>
              </w:rPr>
            </w:pPr>
            <w:r w:rsidRPr="001748E6">
              <w:rPr>
                <w:b/>
                <w:bCs/>
              </w:rPr>
              <w:t>18.152</w:t>
            </w:r>
          </w:p>
        </w:tc>
      </w:tr>
    </w:tbl>
    <w:p w:rsidR="00093A03" w:rsidRPr="00E05DD0" w:rsidRDefault="00093A03" w:rsidP="008602D8">
      <w:pPr>
        <w:tabs>
          <w:tab w:val="left" w:pos="993"/>
        </w:tabs>
        <w:jc w:val="both"/>
        <w:rPr>
          <w:sz w:val="18"/>
          <w:szCs w:val="18"/>
        </w:rPr>
      </w:pPr>
    </w:p>
    <w:p w:rsidR="00E14EFC" w:rsidRDefault="008602D8" w:rsidP="00081C72">
      <w:pPr>
        <w:tabs>
          <w:tab w:val="left" w:pos="993"/>
        </w:tabs>
        <w:jc w:val="both"/>
      </w:pPr>
      <w:r w:rsidRPr="00E05DD0">
        <w:t xml:space="preserve">Os estoques representam os materiais em almoxarifado a serem consumidos na prestação de serviços e no curso </w:t>
      </w:r>
      <w:r w:rsidRPr="00397F82">
        <w:t xml:space="preserve">normal das atividades da Instituição. São avaliados pelo custo médio ponderado de aquisição e não excedem o </w:t>
      </w:r>
      <w:bookmarkStart w:id="16" w:name="_Ref466465931"/>
      <w:bookmarkStart w:id="17" w:name="_Ref466472128"/>
      <w:r w:rsidR="00081C72">
        <w:t>valor de mercado.</w:t>
      </w:r>
    </w:p>
    <w:p w:rsidR="00BF6941" w:rsidRPr="00A34325" w:rsidRDefault="00BF6941" w:rsidP="00081C72">
      <w:pPr>
        <w:tabs>
          <w:tab w:val="left" w:pos="993"/>
        </w:tabs>
        <w:jc w:val="both"/>
      </w:pPr>
    </w:p>
    <w:p w:rsidR="000B743D" w:rsidRPr="00A34325" w:rsidRDefault="000B743D" w:rsidP="00081C72">
      <w:pPr>
        <w:tabs>
          <w:tab w:val="left" w:pos="993"/>
        </w:tabs>
        <w:jc w:val="both"/>
      </w:pPr>
    </w:p>
    <w:p w:rsidR="00D92A4D" w:rsidRPr="001F5825" w:rsidRDefault="00D92A4D" w:rsidP="00B670FD">
      <w:pPr>
        <w:pStyle w:val="Ttulo"/>
        <w:ind w:left="0"/>
        <w:outlineLvl w:val="0"/>
      </w:pPr>
      <w:bookmarkStart w:id="18" w:name="_Ref476905400"/>
      <w:bookmarkStart w:id="19" w:name="_Toc40804093"/>
      <w:r w:rsidRPr="001F5825">
        <w:t>Imobilizado</w:t>
      </w:r>
      <w:bookmarkEnd w:id="16"/>
      <w:bookmarkEnd w:id="17"/>
      <w:bookmarkEnd w:id="18"/>
      <w:bookmarkEnd w:id="19"/>
      <w:r w:rsidRPr="001F5825">
        <w:t xml:space="preserve"> </w:t>
      </w:r>
    </w:p>
    <w:p w:rsidR="0066161E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97"/>
        <w:gridCol w:w="881"/>
        <w:gridCol w:w="188"/>
        <w:gridCol w:w="1231"/>
        <w:gridCol w:w="195"/>
        <w:gridCol w:w="1238"/>
        <w:gridCol w:w="195"/>
        <w:gridCol w:w="1367"/>
        <w:gridCol w:w="195"/>
        <w:gridCol w:w="1249"/>
      </w:tblGrid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BF7D4C" w:rsidRDefault="00FE1D7B" w:rsidP="00B23A2A">
            <w:pPr>
              <w:rPr>
                <w:color w:val="000000"/>
                <w:sz w:val="18"/>
                <w:szCs w:val="18"/>
              </w:rPr>
            </w:pPr>
            <w:r w:rsidRPr="00BF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BF7D4C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BF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7D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F542B">
              <w:rPr>
                <w:b/>
                <w:bCs/>
                <w:color w:val="000000"/>
                <w:sz w:val="18"/>
                <w:szCs w:val="18"/>
              </w:rPr>
              <w:t>Tx.%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Depreciação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31/03/2020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Edifícios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220.044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(62.398)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157.646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158.850 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Terrenos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68.786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68.786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68.786 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D7B" w:rsidRPr="000F542B" w:rsidRDefault="00FE1D7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Obras em Andamento</w:t>
            </w:r>
            <w:r w:rsidR="000F542B">
              <w:rPr>
                <w:color w:val="000000"/>
                <w:sz w:val="18"/>
                <w:szCs w:val="18"/>
              </w:rPr>
              <w:t xml:space="preserve"> </w:t>
            </w:r>
            <w:r w:rsidRPr="000F542B">
              <w:rPr>
                <w:color w:val="000000"/>
                <w:sz w:val="18"/>
                <w:szCs w:val="18"/>
              </w:rPr>
              <w:t>[1]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606.550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(8.843)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597.707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594.956 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F90478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Móveis e</w:t>
            </w:r>
            <w:r w:rsidR="00F90478">
              <w:rPr>
                <w:color w:val="000000"/>
                <w:sz w:val="18"/>
                <w:szCs w:val="18"/>
              </w:rPr>
              <w:t xml:space="preserve"> Máquinas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219.509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(144.581)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74.928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77.867 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20 a 50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26.370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(17.897)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   8.473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8.818 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Veículos Diversos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1.031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  (883)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147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    168 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Subtotal Imobilizado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1.142.290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(234.603)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907.688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909.445 </w:t>
            </w:r>
          </w:p>
        </w:tc>
      </w:tr>
      <w:tr w:rsidR="00FE1D7B" w:rsidRPr="000F542B" w:rsidTr="00B23A2A">
        <w:tc>
          <w:tcPr>
            <w:tcW w:w="1235" w:type="pct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Bens Móveis em Andamento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16.941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.941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14.373 </w:t>
            </w:r>
          </w:p>
        </w:tc>
      </w:tr>
      <w:tr w:rsidR="00FE1D7B" w:rsidRPr="00BF7D4C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 xml:space="preserve">  1.159.231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 xml:space="preserve">     (234.603)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 xml:space="preserve">    924.628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BF7D4C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 xml:space="preserve">        923.818</w:t>
            </w:r>
            <w:r w:rsidRPr="00BF7D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E1D7B" w:rsidRDefault="00FE1D7B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D74DC0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[1] O saldo de obras em andamento está acrescido de benfeitorias em prédios de terceiros</w:t>
      </w:r>
      <w:r w:rsidR="007B7B68">
        <w:rPr>
          <w:sz w:val="16"/>
          <w:szCs w:val="16"/>
        </w:rPr>
        <w:t>, estudos e projetos e instalações</w:t>
      </w:r>
      <w:r w:rsidR="00D74DC0" w:rsidRPr="00D74DC0">
        <w:rPr>
          <w:sz w:val="16"/>
          <w:szCs w:val="16"/>
        </w:rPr>
        <w:t>,</w:t>
      </w:r>
      <w:r w:rsidR="00D66EF8"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razão pelo qual há depreciação.</w:t>
      </w:r>
    </w:p>
    <w:p w:rsidR="00D74DC0" w:rsidRPr="00ED5B2D" w:rsidRDefault="00D74DC0" w:rsidP="00534053">
      <w:pPr>
        <w:tabs>
          <w:tab w:val="left" w:pos="851"/>
        </w:tabs>
        <w:jc w:val="both"/>
        <w:rPr>
          <w:sz w:val="18"/>
          <w:szCs w:val="18"/>
        </w:rPr>
      </w:pPr>
    </w:p>
    <w:p w:rsidR="00AA61AA" w:rsidRDefault="00534053" w:rsidP="00C00515">
      <w:pPr>
        <w:tabs>
          <w:tab w:val="left" w:pos="851"/>
        </w:tabs>
        <w:jc w:val="both"/>
      </w:pPr>
      <w:r w:rsidRPr="00FD7B48">
        <w:t xml:space="preserve">O Imobilizado </w:t>
      </w:r>
      <w:r w:rsidR="00C00515" w:rsidRPr="00FD7B48">
        <w:t>é</w:t>
      </w:r>
      <w:r w:rsidRPr="00FD7B48">
        <w:t xml:space="preserve"> </w:t>
      </w:r>
      <w:r w:rsidR="00C00515" w:rsidRPr="00FD7B48">
        <w:t>mensurado</w:t>
      </w:r>
      <w:r w:rsidRPr="00FD7B48">
        <w:t xml:space="preserve"> pelo seu custo histórico, menos depreciação acumulada. Os terrenos não são depreciados</w:t>
      </w:r>
      <w:r w:rsidR="00C00515" w:rsidRPr="00FD7B48">
        <w:t>.</w:t>
      </w:r>
      <w:r w:rsidR="009C130F">
        <w:t xml:space="preserve"> </w:t>
      </w:r>
      <w:r w:rsidR="00232EA0">
        <w:t>A depreciação</w:t>
      </w:r>
      <w:r w:rsidRPr="00FD7B48">
        <w:t xml:space="preserve"> está demonstrada pelo valor acumulado da data do início d</w:t>
      </w:r>
      <w:r w:rsidR="00C762F4">
        <w:t>a</w:t>
      </w:r>
      <w:r w:rsidRPr="00FD7B48">
        <w:t xml:space="preserve"> operação na Instituição</w:t>
      </w:r>
      <w:r w:rsidR="00655B1A">
        <w:t>,</w:t>
      </w:r>
      <w:r w:rsidRPr="00FD7B48">
        <w:t xml:space="preserve"> acrescido da depreciação do custo atribuído a partir do exercício de 2010. </w:t>
      </w:r>
    </w:p>
    <w:p w:rsidR="00534053" w:rsidRDefault="00C00515" w:rsidP="00C00515">
      <w:pPr>
        <w:tabs>
          <w:tab w:val="left" w:pos="851"/>
        </w:tabs>
        <w:jc w:val="both"/>
      </w:pPr>
      <w:r w:rsidRPr="00FD7B48">
        <w:lastRenderedPageBreak/>
        <w:t>A</w:t>
      </w:r>
      <w:r w:rsidR="00534053" w:rsidRPr="00FD7B48">
        <w:t>s depreciações são calculadas usando o método linear, considerando</w:t>
      </w:r>
      <w:r w:rsidR="005F4F1E">
        <w:t xml:space="preserve"> o valor residual e </w:t>
      </w:r>
      <w:r w:rsidR="00534053" w:rsidRPr="00FD7B48">
        <w:t xml:space="preserve">os custos </w:t>
      </w:r>
      <w:r w:rsidR="002010E3" w:rsidRPr="00FD7B48">
        <w:t xml:space="preserve">dos ativos </w:t>
      </w:r>
      <w:r w:rsidR="00534053" w:rsidRPr="00FD7B48">
        <w:t>durante a vida útil estimada</w:t>
      </w:r>
      <w:r w:rsidR="002010E3" w:rsidRPr="00FD7B48">
        <w:t xml:space="preserve"> dos mesmos</w:t>
      </w:r>
      <w:r w:rsidR="00534053" w:rsidRPr="00FD7B48">
        <w:t>.</w:t>
      </w:r>
    </w:p>
    <w:p w:rsidR="00A34325" w:rsidRDefault="00A34325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85"/>
        <w:gridCol w:w="1246"/>
        <w:gridCol w:w="219"/>
        <w:gridCol w:w="1139"/>
        <w:gridCol w:w="185"/>
        <w:gridCol w:w="1290"/>
        <w:gridCol w:w="185"/>
        <w:gridCol w:w="1255"/>
        <w:gridCol w:w="185"/>
        <w:gridCol w:w="1155"/>
      </w:tblGrid>
      <w:tr w:rsidR="002A6B4D" w:rsidRPr="002A6B4D" w:rsidTr="00B23A2A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6B175B" w:rsidRDefault="002A6B4D" w:rsidP="00B23A2A">
            <w:pPr>
              <w:rPr>
                <w:color w:val="000000"/>
                <w:sz w:val="18"/>
                <w:szCs w:val="18"/>
              </w:rPr>
            </w:pPr>
            <w:r w:rsidRPr="006B17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6B175B" w:rsidRDefault="002A6B4D" w:rsidP="00B23A2A">
            <w:pPr>
              <w:rPr>
                <w:color w:val="000000"/>
                <w:sz w:val="18"/>
                <w:szCs w:val="18"/>
              </w:rPr>
            </w:pPr>
            <w:r w:rsidRPr="006B17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Custo 01/01/2020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Aquisições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Transf</w:t>
            </w:r>
            <w:r>
              <w:rPr>
                <w:b/>
                <w:bCs/>
                <w:color w:val="000000"/>
                <w:sz w:val="18"/>
                <w:szCs w:val="18"/>
              </w:rPr>
              <w:t>erências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Baixas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Custo 31/03/2020</w:t>
            </w:r>
          </w:p>
        </w:tc>
      </w:tr>
      <w:tr w:rsidR="002A6B4D" w:rsidRPr="002A6B4D" w:rsidTr="00E42BC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Edifícios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220.044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220.044 </w:t>
            </w:r>
          </w:p>
        </w:tc>
      </w:tr>
      <w:tr w:rsidR="002A6B4D" w:rsidRPr="002A6B4D" w:rsidTr="00E42BC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Terrenos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68.786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68.786 </w:t>
            </w:r>
          </w:p>
        </w:tc>
      </w:tr>
      <w:tr w:rsidR="002A6B4D" w:rsidRPr="002A6B4D" w:rsidTr="00E42BC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Obras em Andamento</w:t>
            </w:r>
            <w:r w:rsidRPr="002A6B4D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E42BC3" w:rsidP="00E42B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="002A6B4D" w:rsidRPr="002A6B4D">
              <w:rPr>
                <w:color w:val="000000"/>
                <w:sz w:val="18"/>
                <w:szCs w:val="18"/>
              </w:rPr>
              <w:t xml:space="preserve">603.508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3.042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606.550 </w:t>
            </w:r>
          </w:p>
        </w:tc>
      </w:tr>
      <w:tr w:rsidR="002A6B4D" w:rsidRPr="002A6B4D" w:rsidTr="00E42BC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F90478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Móveis e</w:t>
            </w:r>
            <w:r w:rsidR="00F90478">
              <w:rPr>
                <w:color w:val="000000"/>
                <w:sz w:val="18"/>
                <w:szCs w:val="18"/>
              </w:rPr>
              <w:t xml:space="preserve"> Máquinas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218.480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1.029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219.509 </w:t>
            </w:r>
          </w:p>
        </w:tc>
      </w:tr>
      <w:tr w:rsidR="002A6B4D" w:rsidRPr="002A6B4D" w:rsidTr="00E42BC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26.314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80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(24)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26.370 </w:t>
            </w:r>
          </w:p>
        </w:tc>
      </w:tr>
      <w:tr w:rsidR="002A6B4D" w:rsidRPr="002A6B4D" w:rsidTr="00E42BC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Veículos Diversos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1.031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            1.031 </w:t>
            </w:r>
          </w:p>
        </w:tc>
      </w:tr>
      <w:tr w:rsidR="002A6B4D" w:rsidRPr="002A6B4D" w:rsidTr="00E42BC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Total Imobilizado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 xml:space="preserve">       1.138.163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 xml:space="preserve">            4.151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 xml:space="preserve">               (24)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 xml:space="preserve">      1.142.290 </w:t>
            </w:r>
          </w:p>
        </w:tc>
      </w:tr>
    </w:tbl>
    <w:p w:rsidR="002A6B4D" w:rsidRPr="00A34325" w:rsidRDefault="002A6B4D" w:rsidP="002A6B4D"/>
    <w:p w:rsidR="002A6B4D" w:rsidRPr="00A34325" w:rsidRDefault="002A6B4D" w:rsidP="002A6B4D"/>
    <w:p w:rsidR="002A6B4D" w:rsidRPr="002A6B4D" w:rsidRDefault="002A6B4D" w:rsidP="002A6B4D">
      <w:pPr>
        <w:pStyle w:val="Ttulo"/>
        <w:ind w:left="0"/>
        <w:outlineLvl w:val="0"/>
      </w:pPr>
      <w:bookmarkStart w:id="20" w:name="_Toc31373361"/>
      <w:bookmarkStart w:id="21" w:name="_Toc40804094"/>
      <w:r w:rsidRPr="002A6B4D">
        <w:t>Intangível</w:t>
      </w:r>
      <w:bookmarkEnd w:id="20"/>
      <w:bookmarkEnd w:id="21"/>
    </w:p>
    <w:p w:rsidR="002A6B4D" w:rsidRPr="002A6B4D" w:rsidRDefault="002A6B4D" w:rsidP="002A6B4D">
      <w:pPr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8"/>
        <w:gridCol w:w="241"/>
        <w:gridCol w:w="1159"/>
        <w:gridCol w:w="190"/>
        <w:gridCol w:w="1161"/>
        <w:gridCol w:w="190"/>
        <w:gridCol w:w="1288"/>
        <w:gridCol w:w="190"/>
        <w:gridCol w:w="1175"/>
      </w:tblGrid>
      <w:tr w:rsidR="002A6B4D" w:rsidRPr="002A6B4D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Tx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0E069E" w:rsidP="00B23A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31/03/2020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2A6B4D" w:rsidRPr="002A6B4D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sz w:val="18"/>
                <w:szCs w:val="18"/>
              </w:rPr>
            </w:pPr>
            <w:r w:rsidRPr="002A6B4D">
              <w:rPr>
                <w:sz w:val="18"/>
                <w:szCs w:val="18"/>
              </w:rPr>
              <w:t>8.494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sz w:val="18"/>
                <w:szCs w:val="18"/>
              </w:rPr>
            </w:pPr>
            <w:r w:rsidRPr="002A6B4D">
              <w:rPr>
                <w:sz w:val="18"/>
                <w:szCs w:val="18"/>
              </w:rPr>
              <w:t>(6.384)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sz w:val="18"/>
                <w:szCs w:val="18"/>
              </w:rPr>
            </w:pPr>
            <w:r w:rsidRPr="002A6B4D">
              <w:rPr>
                <w:sz w:val="18"/>
                <w:szCs w:val="18"/>
              </w:rPr>
              <w:t>2.110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sz w:val="18"/>
                <w:szCs w:val="18"/>
              </w:rPr>
            </w:pPr>
            <w:r w:rsidRPr="002A6B4D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sz w:val="18"/>
                <w:szCs w:val="18"/>
              </w:rPr>
            </w:pPr>
            <w:r w:rsidRPr="002A6B4D">
              <w:rPr>
                <w:sz w:val="18"/>
                <w:szCs w:val="18"/>
              </w:rPr>
              <w:t xml:space="preserve">    2.194 </w:t>
            </w:r>
          </w:p>
        </w:tc>
      </w:tr>
      <w:tr w:rsidR="002A6B4D" w:rsidRPr="002A6B4D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A6B4D">
              <w:rPr>
                <w:b/>
                <w:bCs/>
                <w:sz w:val="18"/>
                <w:szCs w:val="18"/>
              </w:rPr>
              <w:t>8.494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A6B4D">
              <w:rPr>
                <w:b/>
                <w:bCs/>
                <w:sz w:val="18"/>
                <w:szCs w:val="18"/>
              </w:rPr>
              <w:t>(6.384)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A6B4D">
              <w:rPr>
                <w:b/>
                <w:bCs/>
                <w:sz w:val="18"/>
                <w:szCs w:val="18"/>
              </w:rPr>
              <w:t>2.110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A6B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A6B4D">
              <w:rPr>
                <w:b/>
                <w:bCs/>
                <w:sz w:val="18"/>
                <w:szCs w:val="18"/>
              </w:rPr>
              <w:t xml:space="preserve">             2.194 </w:t>
            </w:r>
          </w:p>
        </w:tc>
      </w:tr>
    </w:tbl>
    <w:p w:rsidR="002A6B4D" w:rsidRPr="00FD7B48" w:rsidRDefault="002A6B4D" w:rsidP="002A6B4D">
      <w:pPr>
        <w:jc w:val="both"/>
      </w:pPr>
      <w:r w:rsidRPr="002A6B4D">
        <w:rPr>
          <w:b/>
        </w:rPr>
        <w:br w:type="textWrapping" w:clear="all"/>
      </w:r>
      <w:r w:rsidRPr="002A6B4D">
        <w:t>O Intangível é mensurado pelo seu custo histórico, menos a amortização acumulada. A amortização está</w:t>
      </w:r>
      <w:r w:rsidRPr="00FD7B48">
        <w:t xml:space="preserve"> demonstrada pelo valor acumulado desde a data do início de operação na Instituição</w:t>
      </w:r>
      <w:r>
        <w:t>,</w:t>
      </w:r>
      <w:r w:rsidRPr="00FD7B48">
        <w:t xml:space="preserve"> acrescido da amortização do custo atribuído a partir do exercício de 2010. As amortizações são calculadas usando o método linear, considerando os custos dos ativos durante a vida útil estimada dos mesmos.</w:t>
      </w:r>
    </w:p>
    <w:p w:rsidR="002A6B4D" w:rsidRPr="00A34325" w:rsidRDefault="000E069E" w:rsidP="000E069E">
      <w:pPr>
        <w:tabs>
          <w:tab w:val="left" w:pos="7974"/>
        </w:tabs>
        <w:rPr>
          <w:b/>
        </w:rPr>
      </w:pPr>
      <w:r>
        <w:rPr>
          <w:b/>
        </w:rPr>
        <w:tab/>
      </w:r>
    </w:p>
    <w:p w:rsidR="002A6B4D" w:rsidRPr="00A34325" w:rsidRDefault="002A6B4D" w:rsidP="002A6B4D">
      <w:pPr>
        <w:rPr>
          <w:b/>
        </w:rPr>
      </w:pPr>
    </w:p>
    <w:p w:rsidR="002A6B4D" w:rsidRPr="001F5825" w:rsidRDefault="002A6B4D" w:rsidP="002A6B4D">
      <w:pPr>
        <w:pStyle w:val="Ttulo"/>
        <w:ind w:left="0"/>
        <w:outlineLvl w:val="0"/>
      </w:pPr>
      <w:bookmarkStart w:id="22" w:name="_Toc31373362"/>
      <w:bookmarkStart w:id="23" w:name="_Toc40804095"/>
      <w:r w:rsidRPr="001F5825">
        <w:t>Fornecedores</w:t>
      </w:r>
      <w:bookmarkEnd w:id="22"/>
      <w:bookmarkEnd w:id="23"/>
      <w:r w:rsidRPr="001F58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1728"/>
        <w:gridCol w:w="426"/>
        <w:gridCol w:w="1726"/>
      </w:tblGrid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4D" w:rsidRPr="000B3410" w:rsidRDefault="002A6B4D" w:rsidP="00B23A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E05DD0" w:rsidRDefault="002A6B4D" w:rsidP="00B23A2A">
            <w:pPr>
              <w:jc w:val="right"/>
              <w:rPr>
                <w:b/>
                <w:bCs/>
                <w:color w:val="000000"/>
              </w:rPr>
            </w:pPr>
            <w:r w:rsidRPr="00E05DD0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E05DD0" w:rsidRDefault="002A6B4D" w:rsidP="00B23A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E05DD0" w:rsidRDefault="002A6B4D" w:rsidP="00B23A2A">
            <w:pPr>
              <w:jc w:val="right"/>
              <w:rPr>
                <w:b/>
                <w:bCs/>
                <w:color w:val="000000"/>
              </w:rPr>
            </w:pPr>
            <w:r w:rsidRPr="00E05DD0">
              <w:rPr>
                <w:b/>
                <w:bCs/>
                <w:color w:val="000000"/>
              </w:rPr>
              <w:t>31/12/2019</w:t>
            </w:r>
          </w:p>
        </w:tc>
      </w:tr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1748E6" w:rsidRDefault="002A6B4D" w:rsidP="00B23A2A">
            <w:pPr>
              <w:rPr>
                <w:color w:val="000000"/>
              </w:rPr>
            </w:pPr>
            <w:r w:rsidRPr="001748E6">
              <w:rPr>
                <w:color w:val="000000"/>
              </w:rPr>
              <w:t>Barrfab Industria Comercio Importação E Exportação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1.542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1.542</w:t>
            </w:r>
          </w:p>
        </w:tc>
      </w:tr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1748E6" w:rsidRDefault="002A6B4D" w:rsidP="00B23A2A">
            <w:pPr>
              <w:rPr>
                <w:color w:val="000000"/>
              </w:rPr>
            </w:pPr>
            <w:r w:rsidRPr="001748E6">
              <w:rPr>
                <w:color w:val="000000"/>
              </w:rPr>
              <w:t>Alminhana Comercio E Representação Ltda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1.145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205</w:t>
            </w:r>
          </w:p>
        </w:tc>
      </w:tr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1748E6" w:rsidRDefault="002A6B4D" w:rsidP="00B23A2A">
            <w:pPr>
              <w:rPr>
                <w:color w:val="000000"/>
              </w:rPr>
            </w:pPr>
            <w:r w:rsidRPr="001748E6">
              <w:rPr>
                <w:color w:val="000000"/>
              </w:rPr>
              <w:t>Cristália Produtos Químicos Farmacêuticos Ltda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809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385</w:t>
            </w:r>
          </w:p>
        </w:tc>
      </w:tr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1748E6" w:rsidRDefault="002A6B4D" w:rsidP="00B23A2A">
            <w:pPr>
              <w:rPr>
                <w:color w:val="000000"/>
              </w:rPr>
            </w:pPr>
            <w:r w:rsidRPr="001748E6">
              <w:rPr>
                <w:color w:val="000000"/>
              </w:rPr>
              <w:t>Capgemini Brasil S/A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562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676</w:t>
            </w:r>
          </w:p>
        </w:tc>
      </w:tr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1748E6" w:rsidRDefault="002A6B4D" w:rsidP="00B23A2A">
            <w:pPr>
              <w:rPr>
                <w:color w:val="000000"/>
              </w:rPr>
            </w:pPr>
            <w:r w:rsidRPr="001748E6">
              <w:rPr>
                <w:color w:val="000000"/>
              </w:rPr>
              <w:t>Fresenius Kabi Brasil Ltda.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368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174</w:t>
            </w:r>
          </w:p>
        </w:tc>
      </w:tr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4D" w:rsidRPr="001748E6" w:rsidRDefault="002A6B4D" w:rsidP="00B23A2A">
            <w:pPr>
              <w:rPr>
                <w:color w:val="000000"/>
              </w:rPr>
            </w:pPr>
            <w:r w:rsidRPr="001748E6">
              <w:rPr>
                <w:color w:val="000000"/>
              </w:rPr>
              <w:t>Seltec Vigilancia Especializada Ltda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362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316</w:t>
            </w:r>
          </w:p>
        </w:tc>
      </w:tr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1748E6" w:rsidRDefault="002A6B4D" w:rsidP="00B23A2A">
            <w:pPr>
              <w:rPr>
                <w:color w:val="000000"/>
              </w:rPr>
            </w:pPr>
            <w:r w:rsidRPr="001748E6">
              <w:rPr>
                <w:color w:val="000000"/>
              </w:rPr>
              <w:t>Demais Fornecedores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18.869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20.964</w:t>
            </w:r>
          </w:p>
        </w:tc>
      </w:tr>
      <w:tr w:rsidR="002A6B4D" w:rsidRPr="000B341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B23A2A">
            <w:pPr>
              <w:rPr>
                <w:b/>
                <w:bCs/>
                <w:color w:val="000000"/>
              </w:rPr>
            </w:pPr>
            <w:r w:rsidRPr="00E05DD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B23A2A">
            <w:pPr>
              <w:jc w:val="right"/>
              <w:rPr>
                <w:b/>
                <w:bCs/>
                <w:color w:val="000000"/>
              </w:rPr>
            </w:pPr>
            <w:r w:rsidRPr="00E05DD0">
              <w:rPr>
                <w:b/>
                <w:bCs/>
                <w:color w:val="000000"/>
              </w:rPr>
              <w:t>23.657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B23A2A">
            <w:pPr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0B3410" w:rsidRDefault="002A6B4D" w:rsidP="00B23A2A">
            <w:pPr>
              <w:jc w:val="right"/>
              <w:rPr>
                <w:b/>
                <w:bCs/>
                <w:color w:val="000000"/>
              </w:rPr>
            </w:pPr>
            <w:r w:rsidRPr="00E05DD0">
              <w:rPr>
                <w:b/>
                <w:bCs/>
                <w:color w:val="000000"/>
              </w:rPr>
              <w:t>24.262</w:t>
            </w:r>
          </w:p>
        </w:tc>
      </w:tr>
    </w:tbl>
    <w:p w:rsidR="002A6B4D" w:rsidRPr="00A34325" w:rsidRDefault="002A6B4D" w:rsidP="00C00515">
      <w:pPr>
        <w:tabs>
          <w:tab w:val="left" w:pos="851"/>
        </w:tabs>
        <w:jc w:val="both"/>
      </w:pPr>
    </w:p>
    <w:p w:rsidR="00D66EF8" w:rsidRPr="00A34325" w:rsidRDefault="00D66EF8" w:rsidP="005F51DD"/>
    <w:p w:rsidR="00B20F98" w:rsidRPr="001F5825" w:rsidRDefault="00FE0281" w:rsidP="00B670FD">
      <w:pPr>
        <w:pStyle w:val="Ttulo"/>
        <w:ind w:left="0"/>
        <w:outlineLvl w:val="0"/>
      </w:pPr>
      <w:bookmarkStart w:id="24" w:name="_Ref466465991"/>
      <w:bookmarkStart w:id="25" w:name="_Ref466472218"/>
      <w:bookmarkStart w:id="26" w:name="_Toc40804096"/>
      <w:r w:rsidRPr="001F5825">
        <w:t>Obrigações Tributárias e Sociais</w:t>
      </w:r>
      <w:bookmarkEnd w:id="24"/>
      <w:bookmarkEnd w:id="25"/>
      <w:bookmarkEnd w:id="26"/>
      <w:r w:rsidR="00A35EF4" w:rsidRPr="001F5825">
        <w:t xml:space="preserve"> </w:t>
      </w:r>
    </w:p>
    <w:p w:rsidR="00AA303E" w:rsidRDefault="00AA303E" w:rsidP="00AA303E">
      <w:pPr>
        <w:rPr>
          <w:b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1702"/>
        <w:gridCol w:w="428"/>
        <w:gridCol w:w="1699"/>
      </w:tblGrid>
      <w:tr w:rsidR="00F84870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1F5825" w:rsidP="005918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/</w:t>
            </w:r>
            <w:r w:rsidR="005918F6"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</w:rPr>
              <w:t>/20</w:t>
            </w:r>
            <w:r w:rsidR="005918F6">
              <w:rPr>
                <w:b/>
                <w:bCs/>
                <w:color w:val="000000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5918F6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 xml:space="preserve">        31/12/201</w:t>
            </w:r>
            <w:r w:rsidR="005918F6">
              <w:rPr>
                <w:b/>
                <w:bCs/>
                <w:color w:val="000000"/>
              </w:rPr>
              <w:t>9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Tributos Federais e Municipais retidos de Fornecedores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8F6" w:rsidRPr="00342BC4" w:rsidRDefault="004A7DF5" w:rsidP="00342BC4">
            <w:pPr>
              <w:jc w:val="right"/>
            </w:pPr>
            <w:r w:rsidRPr="00342BC4">
              <w:t>98</w:t>
            </w:r>
            <w:r w:rsidR="00342BC4" w:rsidRPr="00342BC4"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8F6" w:rsidRPr="00BD5B6C" w:rsidRDefault="005918F6" w:rsidP="008A1483">
            <w:pPr>
              <w:jc w:val="right"/>
            </w:pPr>
            <w:r w:rsidRPr="00BD5B6C">
              <w:t>912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342BC4" w:rsidP="00F84870">
            <w:pPr>
              <w:rPr>
                <w:color w:val="000000"/>
              </w:rPr>
            </w:pPr>
            <w:r>
              <w:rPr>
                <w:color w:val="000000"/>
              </w:rPr>
              <w:t>COFINS</w:t>
            </w:r>
            <w:r w:rsidR="005918F6" w:rsidRPr="00F84870">
              <w:rPr>
                <w:color w:val="000000"/>
              </w:rPr>
              <w:t xml:space="preserve"> sobre Faturamento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8F6" w:rsidRPr="00342BC4" w:rsidRDefault="001D0B0A" w:rsidP="004A7DF5">
            <w:pPr>
              <w:jc w:val="right"/>
            </w:pPr>
            <w:r w:rsidRPr="00342BC4">
              <w:t>1</w:t>
            </w:r>
            <w:r w:rsidR="00342BC4" w:rsidRPr="00342BC4">
              <w:t>49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8F6" w:rsidRPr="00BD5B6C" w:rsidRDefault="005918F6" w:rsidP="008A1483">
            <w:pPr>
              <w:jc w:val="right"/>
            </w:pPr>
            <w:r w:rsidRPr="00BD5B6C">
              <w:t>157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342BC4" w:rsidP="00F84870">
            <w:pPr>
              <w:rPr>
                <w:color w:val="000000"/>
              </w:rPr>
            </w:pPr>
            <w:r>
              <w:rPr>
                <w:color w:val="000000"/>
              </w:rPr>
              <w:t>PIS</w:t>
            </w:r>
            <w:r w:rsidR="005918F6" w:rsidRPr="00F84870">
              <w:rPr>
                <w:color w:val="000000"/>
              </w:rPr>
              <w:t xml:space="preserve"> sobre Faturamento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18F6" w:rsidRPr="00342BC4" w:rsidRDefault="004A7DF5" w:rsidP="00342BC4">
            <w:pPr>
              <w:jc w:val="right"/>
            </w:pPr>
            <w:r w:rsidRPr="00342BC4">
              <w:t>3</w:t>
            </w:r>
            <w:r w:rsidR="00342BC4" w:rsidRPr="00342BC4"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18F6" w:rsidRDefault="005918F6" w:rsidP="008A1483">
            <w:pPr>
              <w:jc w:val="right"/>
            </w:pPr>
            <w:r w:rsidRPr="00BD5B6C">
              <w:t>36</w:t>
            </w:r>
          </w:p>
        </w:tc>
      </w:tr>
      <w:tr w:rsidR="005918F6" w:rsidRPr="00355234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F84870">
            <w:pPr>
              <w:rPr>
                <w:b/>
                <w:bCs/>
              </w:rPr>
            </w:pPr>
            <w:r w:rsidRPr="00355234">
              <w:rPr>
                <w:b/>
                <w:bCs/>
              </w:rPr>
              <w:t>Obrigações Tributárias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8F6" w:rsidRPr="00355234" w:rsidRDefault="001748E6" w:rsidP="003552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1.162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1.105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Obrigações Sociais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8F6" w:rsidRPr="00355234" w:rsidRDefault="00730568" w:rsidP="00F84870">
            <w:pPr>
              <w:jc w:val="right"/>
            </w:pPr>
            <w:r>
              <w:t>82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</w:pPr>
            <w:r w:rsidRPr="00355234">
              <w:t>152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Obrigações Sociais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918F6" w:rsidRPr="00355234" w:rsidRDefault="001748E6" w:rsidP="003552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152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918F6" w:rsidRPr="00355234" w:rsidRDefault="001748E6" w:rsidP="003552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1.244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1.257</w:t>
            </w:r>
          </w:p>
        </w:tc>
      </w:tr>
    </w:tbl>
    <w:p w:rsidR="009A289D" w:rsidRDefault="009A289D" w:rsidP="00AA303E">
      <w:pPr>
        <w:rPr>
          <w:b/>
        </w:rPr>
      </w:pPr>
    </w:p>
    <w:p w:rsidR="00D56E5A" w:rsidRDefault="00ED5B2D" w:rsidP="00116BD5">
      <w:pPr>
        <w:tabs>
          <w:tab w:val="left" w:pos="851"/>
        </w:tabs>
        <w:jc w:val="both"/>
      </w:pPr>
      <w:r>
        <w:t>Na conta Obrigações Tributárias</w:t>
      </w:r>
      <w:r w:rsidR="00B20F98" w:rsidRPr="00FF46E7">
        <w:t xml:space="preserve"> são registrados os impostos federais PIS e</w:t>
      </w:r>
      <w:r w:rsidR="00B72E90" w:rsidRPr="00FF46E7">
        <w:t xml:space="preserve"> COFINS e os valores retidos de</w:t>
      </w:r>
      <w:r w:rsidR="00B20F98" w:rsidRPr="00FF46E7">
        <w:t xml:space="preserve"> fornecedores, conforme Lei Complementar Municipal n° 306/93 e 07/73 e </w:t>
      </w:r>
      <w:r w:rsidR="00B72E90" w:rsidRPr="00FF46E7">
        <w:t>IN/RFB n° 1</w:t>
      </w:r>
      <w:r w:rsidR="00916468">
        <w:t>.</w:t>
      </w:r>
      <w:r w:rsidR="00B72E90" w:rsidRPr="00FF46E7">
        <w:t>23</w:t>
      </w:r>
      <w:r w:rsidR="00B20F98" w:rsidRPr="00FF46E7">
        <w:t>4</w:t>
      </w:r>
      <w:r w:rsidR="003349E3">
        <w:t xml:space="preserve"> ou</w:t>
      </w:r>
      <w:r w:rsidR="00B20F98" w:rsidRPr="00FF46E7">
        <w:t xml:space="preserve"> de 30/01/2012 e IN/RFB n° 971 de 2009. Todos os valores retidos dos fornecedores são recolhidos aos cofres públicos por ocasião do pagamento ao fornecedor. A Instituição goza de isenção de </w:t>
      </w:r>
      <w:r w:rsidR="00610AA6" w:rsidRPr="00FF46E7">
        <w:t>impostos</w:t>
      </w:r>
      <w:r w:rsidR="00B20F98" w:rsidRPr="00FF46E7">
        <w:t xml:space="preserve"> federais conforme artigo n° 15 da Lei 5.604 de 02 de setembro de 1970</w:t>
      </w:r>
      <w:r w:rsidR="00116BD5" w:rsidRPr="00FF46E7">
        <w:t>.</w:t>
      </w:r>
      <w:r w:rsidR="00D10B2E" w:rsidRPr="00FF46E7">
        <w:t xml:space="preserve"> </w:t>
      </w:r>
    </w:p>
    <w:p w:rsidR="00FC1079" w:rsidRDefault="00FC1079">
      <w:bookmarkStart w:id="27" w:name="_Toc40804097"/>
      <w:r>
        <w:rPr>
          <w:b/>
        </w:rPr>
        <w:br w:type="page"/>
      </w:r>
    </w:p>
    <w:p w:rsidR="00B85AF2" w:rsidRPr="00BF6941" w:rsidRDefault="006110E4" w:rsidP="00B670FD">
      <w:pPr>
        <w:pStyle w:val="Ttulo"/>
        <w:ind w:left="0"/>
        <w:outlineLvl w:val="0"/>
      </w:pPr>
      <w:r w:rsidRPr="00BF6941">
        <w:lastRenderedPageBreak/>
        <w:t>Obrigações com Pessoal</w:t>
      </w:r>
      <w:bookmarkEnd w:id="27"/>
      <w:r w:rsidRPr="00BF694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5D29A2" w:rsidRPr="00BF6941" w:rsidTr="005D29A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  <w:sz w:val="22"/>
                <w:szCs w:val="22"/>
              </w:rPr>
            </w:pPr>
            <w:r w:rsidRPr="00BF69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417A59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BF6941">
              <w:rPr>
                <w:b/>
                <w:bCs/>
                <w:color w:val="000000"/>
              </w:rPr>
              <w:t>/</w:t>
            </w:r>
            <w:r w:rsidR="005918F6">
              <w:rPr>
                <w:b/>
                <w:bCs/>
                <w:color w:val="000000"/>
              </w:rPr>
              <w:t>03</w:t>
            </w:r>
            <w:r w:rsidRPr="00BF6941">
              <w:rPr>
                <w:b/>
                <w:bCs/>
                <w:color w:val="000000"/>
              </w:rPr>
              <w:t>/20</w:t>
            </w:r>
            <w:r w:rsidR="005918F6">
              <w:rPr>
                <w:b/>
                <w:bCs/>
                <w:color w:val="000000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31/12/201</w:t>
            </w:r>
            <w:r w:rsidR="005918F6">
              <w:rPr>
                <w:b/>
                <w:bCs/>
                <w:color w:val="000000"/>
              </w:rPr>
              <w:t>9</w:t>
            </w:r>
          </w:p>
        </w:tc>
      </w:tr>
      <w:tr w:rsidR="002943F4" w:rsidRPr="00BF6941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995B92">
            <w:pPr>
              <w:rPr>
                <w:color w:val="000000"/>
              </w:rPr>
            </w:pPr>
            <w:r w:rsidRPr="00BF6941">
              <w:rPr>
                <w:color w:val="000000"/>
              </w:rPr>
              <w:t>Salários, Remuneração e Benefícios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FF7D81" w:rsidRDefault="002943F4" w:rsidP="002943F4">
            <w:pPr>
              <w:jc w:val="right"/>
            </w:pPr>
            <w:r w:rsidRPr="00FF7D81">
              <w:t>38.281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B92F3D" w:rsidRDefault="002943F4" w:rsidP="008A1483">
            <w:pPr>
              <w:jc w:val="right"/>
            </w:pPr>
            <w:r w:rsidRPr="00B92F3D">
              <w:t>51.529</w:t>
            </w:r>
          </w:p>
        </w:tc>
      </w:tr>
      <w:tr w:rsidR="002943F4" w:rsidRPr="00BF6941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995B92">
            <w:pPr>
              <w:rPr>
                <w:color w:val="000000"/>
              </w:rPr>
            </w:pPr>
            <w:r w:rsidRPr="00BF6941">
              <w:rPr>
                <w:color w:val="000000"/>
              </w:rPr>
              <w:t>Previdência e Assistência Médica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FF7D81" w:rsidRDefault="002943F4" w:rsidP="002943F4">
            <w:pPr>
              <w:jc w:val="right"/>
            </w:pPr>
            <w:r w:rsidRPr="00FF7D81">
              <w:t>7.560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B92F3D" w:rsidRDefault="002943F4" w:rsidP="008A1483">
            <w:pPr>
              <w:jc w:val="right"/>
            </w:pPr>
            <w:r w:rsidRPr="00B92F3D">
              <w:t>7.488</w:t>
            </w:r>
          </w:p>
        </w:tc>
      </w:tr>
      <w:tr w:rsidR="002943F4" w:rsidRPr="00BF6941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>Empréstimos e Financiamentos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FF7D81" w:rsidRDefault="002943F4" w:rsidP="002943F4">
            <w:pPr>
              <w:jc w:val="right"/>
            </w:pPr>
            <w:r w:rsidRPr="00FF7D81">
              <w:t>3.187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B92F3D" w:rsidRDefault="002943F4" w:rsidP="008A1483">
            <w:pPr>
              <w:jc w:val="right"/>
            </w:pPr>
            <w:r w:rsidRPr="00B92F3D">
              <w:t>3.192</w:t>
            </w:r>
          </w:p>
        </w:tc>
      </w:tr>
      <w:tr w:rsidR="002943F4" w:rsidRPr="00BF6941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>Outras Despesas de Pessoal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943F4" w:rsidRDefault="002943F4" w:rsidP="002943F4">
            <w:pPr>
              <w:jc w:val="right"/>
            </w:pPr>
            <w:r w:rsidRPr="00FF7D81">
              <w:t>1.309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BF6941" w:rsidRDefault="002943F4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943F4" w:rsidRDefault="002943F4" w:rsidP="008A1483">
            <w:pPr>
              <w:jc w:val="right"/>
            </w:pPr>
            <w:r w:rsidRPr="00B92F3D">
              <w:t>1.370</w:t>
            </w:r>
          </w:p>
        </w:tc>
      </w:tr>
      <w:tr w:rsidR="005918F6" w:rsidRPr="005D29A2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8F6" w:rsidRPr="00BF6941" w:rsidRDefault="005918F6" w:rsidP="005D29A2">
            <w:pPr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918F6" w:rsidRPr="00417A59" w:rsidRDefault="002843F1" w:rsidP="005D29A2">
            <w:pPr>
              <w:jc w:val="right"/>
              <w:rPr>
                <w:b/>
                <w:bCs/>
                <w:color w:val="FF0000"/>
              </w:rPr>
            </w:pPr>
            <w:r w:rsidRPr="00097191">
              <w:rPr>
                <w:b/>
                <w:bCs/>
              </w:rPr>
              <w:t>50.337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F6" w:rsidRPr="00BF6941" w:rsidRDefault="005918F6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417A59" w:rsidRDefault="005918F6" w:rsidP="008A1483">
            <w:pPr>
              <w:jc w:val="right"/>
              <w:rPr>
                <w:b/>
                <w:bCs/>
                <w:color w:val="FF0000"/>
              </w:rPr>
            </w:pPr>
            <w:r w:rsidRPr="0041607A">
              <w:rPr>
                <w:b/>
                <w:bCs/>
              </w:rPr>
              <w:t>63.579</w:t>
            </w:r>
          </w:p>
        </w:tc>
      </w:tr>
    </w:tbl>
    <w:p w:rsidR="005D29A2" w:rsidRDefault="005D29A2" w:rsidP="00B20F98">
      <w:pPr>
        <w:jc w:val="both"/>
      </w:pPr>
    </w:p>
    <w:p w:rsidR="00162BC0" w:rsidRDefault="00CF1F80" w:rsidP="00B20F98">
      <w:pPr>
        <w:jc w:val="both"/>
      </w:pPr>
      <w:r>
        <w:t>C</w:t>
      </w:r>
      <w:r w:rsidR="00385F14">
        <w:t>ompõe o saldo</w:t>
      </w:r>
      <w:r>
        <w:t xml:space="preserve"> de obrigações</w:t>
      </w:r>
      <w:r w:rsidR="002A2DA7">
        <w:t xml:space="preserve"> com pessoal o valor referente à</w:t>
      </w:r>
      <w:r>
        <w:t xml:space="preserve"> folha de pagamento de </w:t>
      </w:r>
      <w:r w:rsidR="006051D0">
        <w:t>março</w:t>
      </w:r>
      <w:r>
        <w:t xml:space="preserve"> de 20</w:t>
      </w:r>
      <w:r w:rsidR="006051D0">
        <w:t>20</w:t>
      </w:r>
      <w:r>
        <w:t>. Em contrapartida</w:t>
      </w:r>
      <w:r w:rsidR="003349E3">
        <w:t>,</w:t>
      </w:r>
      <w:r>
        <w:t xml:space="preserve"> encontram-se depositados na c</w:t>
      </w:r>
      <w:r w:rsidR="00385F14">
        <w:t xml:space="preserve">onta única os </w:t>
      </w:r>
      <w:r w:rsidR="00D27736">
        <w:t>recurso</w:t>
      </w:r>
      <w:r w:rsidR="00385F14">
        <w:t>s</w:t>
      </w:r>
      <w:r w:rsidR="00D27736">
        <w:t xml:space="preserve"> financeiro</w:t>
      </w:r>
      <w:r w:rsidR="00385F14">
        <w:t xml:space="preserve">s para </w:t>
      </w:r>
      <w:r>
        <w:t>o seu pagamento. Isso se deve à</w:t>
      </w:r>
      <w:r w:rsidR="00DE00EF">
        <w:t xml:space="preserve"> mudança de critério nos pagamentos via SIAFI, </w:t>
      </w:r>
      <w:r w:rsidR="003349E3">
        <w:t>uma vez</w:t>
      </w:r>
      <w:r w:rsidR="00DE00EF">
        <w:t xml:space="preserve"> que ocorreu </w:t>
      </w:r>
      <w:r w:rsidR="00D27736">
        <w:t xml:space="preserve">a migração para o novo sistema </w:t>
      </w:r>
      <w:r w:rsidR="00DE00EF">
        <w:t>em que as</w:t>
      </w:r>
      <w:r w:rsidR="00D27736">
        <w:t xml:space="preserve"> Ordens Bancárias</w:t>
      </w:r>
      <w:r w:rsidR="00DE00EF">
        <w:t xml:space="preserve"> são efetivadas quando </w:t>
      </w:r>
      <w:r w:rsidR="00DE00EF" w:rsidRPr="00360EFC">
        <w:t xml:space="preserve">da sua assinatura pelo ordenador de despesa, ou seja, </w:t>
      </w:r>
      <w:r w:rsidR="006343BA" w:rsidRPr="00360EFC">
        <w:t xml:space="preserve">a </w:t>
      </w:r>
      <w:r w:rsidR="0000094D" w:rsidRPr="00360EFC">
        <w:t>compensação</w:t>
      </w:r>
      <w:r w:rsidR="00E53603">
        <w:t xml:space="preserve"> ocorreu no primeiro </w:t>
      </w:r>
      <w:r w:rsidR="006343BA" w:rsidRPr="00360EFC">
        <w:t xml:space="preserve">dia útil de </w:t>
      </w:r>
      <w:r w:rsidR="00085D04">
        <w:t>abril</w:t>
      </w:r>
      <w:r w:rsidR="006343BA" w:rsidRPr="00360EFC">
        <w:t xml:space="preserve"> </w:t>
      </w:r>
      <w:r w:rsidR="006343BA" w:rsidRPr="006F24C5">
        <w:t>de 20</w:t>
      </w:r>
      <w:r w:rsidR="001465DD">
        <w:t>20</w:t>
      </w:r>
      <w:r w:rsidR="00DE00EF" w:rsidRPr="006F24C5">
        <w:t>.</w:t>
      </w:r>
    </w:p>
    <w:p w:rsidR="006110E4" w:rsidRDefault="006110E4" w:rsidP="00B20F98">
      <w:pPr>
        <w:jc w:val="both"/>
      </w:pPr>
    </w:p>
    <w:p w:rsidR="000B743D" w:rsidRDefault="000B743D" w:rsidP="00B20F98">
      <w:pPr>
        <w:jc w:val="both"/>
      </w:pPr>
    </w:p>
    <w:p w:rsidR="0021705F" w:rsidRPr="00692C3A" w:rsidRDefault="0021705F" w:rsidP="0021705F">
      <w:pPr>
        <w:pStyle w:val="Ttulo"/>
        <w:ind w:left="0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40804098"/>
      <w:r w:rsidRPr="00692C3A">
        <w:t>Contingências Passivas e Apropriações de Despesas de Pessoal 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21705F" w:rsidRDefault="0021705F" w:rsidP="0021705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1395"/>
        <w:gridCol w:w="173"/>
        <w:gridCol w:w="1546"/>
        <w:gridCol w:w="175"/>
        <w:gridCol w:w="1225"/>
        <w:gridCol w:w="175"/>
        <w:gridCol w:w="1347"/>
      </w:tblGrid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DA5673" w:rsidRDefault="00407390" w:rsidP="00C104FD">
            <w:pPr>
              <w:rPr>
                <w:color w:val="000000"/>
              </w:rPr>
            </w:pPr>
          </w:p>
        </w:tc>
        <w:tc>
          <w:tcPr>
            <w:tcW w:w="245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31/12/2019</w:t>
            </w: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Total</w:t>
            </w: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Contingências (a)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13.164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416.157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429.321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423.957 </w:t>
            </w: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Férias a Pagar (b)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90.608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          - 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90.608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103.398 </w:t>
            </w: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Décimo Terceiro a Pagar (c)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15.693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          - 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15.693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- </w:t>
            </w: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Licença Especial (c)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58.828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          - 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58.828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54.693 </w:t>
            </w: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Tempo de Serviço Passado TSP (e)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3.850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E446A2" w:rsidP="00C104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13.541</w:t>
            </w:r>
            <w:r w:rsidR="00407390" w:rsidRPr="00FB6C8E">
              <w:rPr>
                <w:color w:val="000000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3A37B2" w:rsidP="00C104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17.391</w:t>
            </w:r>
            <w:r w:rsidR="00407390" w:rsidRPr="00FB6C8E">
              <w:rPr>
                <w:color w:val="000000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18.524 </w:t>
            </w:r>
          </w:p>
        </w:tc>
      </w:tr>
      <w:tr w:rsidR="00407390" w:rsidRPr="00FB6C8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7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 xml:space="preserve">         182.143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E446A2" w:rsidP="00C104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429.698</w:t>
            </w:r>
            <w:r w:rsidR="00407390" w:rsidRPr="00FB6C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3A37B2" w:rsidP="00C104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611.841</w:t>
            </w:r>
            <w:r w:rsidR="00407390" w:rsidRPr="00FB6C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600.572</w:t>
            </w:r>
          </w:p>
        </w:tc>
      </w:tr>
    </w:tbl>
    <w:p w:rsidR="00407390" w:rsidRPr="00FB6C8E" w:rsidRDefault="00407390" w:rsidP="00407390">
      <w:pPr>
        <w:rPr>
          <w:b/>
        </w:rPr>
      </w:pPr>
    </w:p>
    <w:p w:rsidR="00407390" w:rsidRPr="0021705F" w:rsidRDefault="00407390" w:rsidP="00407390">
      <w:pPr>
        <w:jc w:val="both"/>
      </w:pPr>
      <w:r w:rsidRPr="00FB6C8E">
        <w:t>A Instituição registra no ativo o direito a receber relativo aos recursos para cobertura das provisões de despesas</w:t>
      </w:r>
      <w:r w:rsidRPr="0021705F">
        <w:t xml:space="preserve"> com pessoal e contingências passivas, recursos que provêm do Tesouro Nacional.</w:t>
      </w:r>
    </w:p>
    <w:p w:rsidR="00407390" w:rsidRPr="0021705F" w:rsidRDefault="00407390" w:rsidP="00407390">
      <w:pPr>
        <w:jc w:val="both"/>
      </w:pPr>
    </w:p>
    <w:p w:rsidR="00407390" w:rsidRPr="0021705F" w:rsidRDefault="00407390" w:rsidP="00407390">
      <w:pPr>
        <w:jc w:val="both"/>
      </w:pPr>
      <w:r w:rsidRPr="0021705F">
        <w:t>Os recursos a receber, bem como os valores a pagar e provisões relacionadas estão mensurados pelo valor presente dos gastos, conforme segue:</w:t>
      </w:r>
    </w:p>
    <w:p w:rsidR="00407390" w:rsidRPr="0021705F" w:rsidRDefault="00407390" w:rsidP="00407390">
      <w:pPr>
        <w:jc w:val="both"/>
      </w:pPr>
    </w:p>
    <w:p w:rsidR="00407390" w:rsidRDefault="00FB6C8E" w:rsidP="00407390">
      <w:pPr>
        <w:pStyle w:val="Subttulo"/>
        <w:numPr>
          <w:ilvl w:val="0"/>
          <w:numId w:val="5"/>
        </w:numPr>
        <w:jc w:val="both"/>
      </w:pPr>
      <w:r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1391"/>
        <w:gridCol w:w="164"/>
        <w:gridCol w:w="1783"/>
        <w:gridCol w:w="164"/>
        <w:gridCol w:w="1393"/>
        <w:gridCol w:w="164"/>
        <w:gridCol w:w="1559"/>
      </w:tblGrid>
      <w:tr w:rsidR="00407390" w:rsidRPr="00FB6C8E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BD0D27" w:rsidRDefault="00407390" w:rsidP="00C104FD">
            <w:pPr>
              <w:rPr>
                <w:color w:val="000000"/>
              </w:rPr>
            </w:pPr>
          </w:p>
        </w:tc>
        <w:tc>
          <w:tcPr>
            <w:tcW w:w="265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31/12/2019</w:t>
            </w:r>
          </w:p>
        </w:tc>
      </w:tr>
      <w:tr w:rsidR="00407390" w:rsidRPr="00FB6C8E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Total</w:t>
            </w:r>
          </w:p>
        </w:tc>
      </w:tr>
      <w:tr w:rsidR="00407390" w:rsidRPr="00FB6C8E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Contingências Trabalhistas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13.164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395.610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E446A2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408.774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402.069 </w:t>
            </w:r>
          </w:p>
        </w:tc>
      </w:tr>
      <w:tr w:rsidR="00407390" w:rsidRPr="00FB6C8E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Contingências Cíveis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  - 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  19.362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E446A2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19.362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20.715 </w:t>
            </w:r>
          </w:p>
        </w:tc>
      </w:tr>
      <w:tr w:rsidR="00407390" w:rsidRPr="00FB6C8E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  <w:r w:rsidRPr="00FB6C8E">
              <w:rPr>
                <w:color w:val="000000"/>
              </w:rPr>
              <w:t>Contingências Tributárias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  - 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    1.185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E446A2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1.185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color w:val="000000"/>
              </w:rPr>
            </w:pPr>
            <w:r w:rsidRPr="00FB6C8E">
              <w:rPr>
                <w:color w:val="000000"/>
              </w:rPr>
              <w:t xml:space="preserve">                1.173 </w:t>
            </w:r>
          </w:p>
        </w:tc>
      </w:tr>
      <w:tr w:rsidR="00407390" w:rsidRPr="00BD0D27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7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 xml:space="preserve">         13.164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 xml:space="preserve">              416.157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 xml:space="preserve">       429.321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FB6C8E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BD0D27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FB6C8E">
              <w:rPr>
                <w:b/>
                <w:bCs/>
                <w:color w:val="000000"/>
              </w:rPr>
              <w:t xml:space="preserve">          423.957</w:t>
            </w:r>
            <w:r w:rsidRPr="00BD0D27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407390" w:rsidRDefault="00407390" w:rsidP="0021705F">
      <w:pPr>
        <w:jc w:val="both"/>
      </w:pPr>
    </w:p>
    <w:p w:rsidR="00852127" w:rsidRPr="00AB4517" w:rsidRDefault="000A6A29" w:rsidP="00852127">
      <w:pPr>
        <w:jc w:val="both"/>
      </w:pPr>
      <w:r w:rsidRPr="00AB4517">
        <w:t>São reconhecidas como contingências</w:t>
      </w:r>
      <w:r w:rsidR="00E82794" w:rsidRPr="00AB4517">
        <w:t xml:space="preserve"> </w:t>
      </w:r>
      <w:r w:rsidRPr="00AB4517">
        <w:t>a</w:t>
      </w:r>
      <w:r w:rsidR="007E750D" w:rsidRPr="00AB4517">
        <w:t>s ações judiciais, classificadas como perdas prováveis</w:t>
      </w:r>
      <w:r w:rsidR="001B1787" w:rsidRPr="00AB4517">
        <w:t>. D</w:t>
      </w:r>
      <w:r w:rsidR="004A0DE1" w:rsidRPr="00AB4517">
        <w:t>esta forma</w:t>
      </w:r>
      <w:r w:rsidR="00780D14" w:rsidRPr="00AB4517">
        <w:t>,</w:t>
      </w:r>
      <w:r w:rsidR="004A0DE1" w:rsidRPr="00AB4517">
        <w:t xml:space="preserve"> </w:t>
      </w:r>
      <w:r w:rsidR="0025677A" w:rsidRPr="00AB4517">
        <w:t>as con</w:t>
      </w:r>
      <w:r w:rsidRPr="00AB4517">
        <w:t>tingências</w:t>
      </w:r>
      <w:r w:rsidR="00852127" w:rsidRPr="00AB4517">
        <w:t xml:space="preserve"> (trabalhistas, cíveis e tributárias) </w:t>
      </w:r>
      <w:r w:rsidR="0025677A" w:rsidRPr="00AB4517">
        <w:t>seguem os seguintes critérios</w:t>
      </w:r>
      <w:r w:rsidR="001B1787" w:rsidRPr="00AB4517">
        <w:t xml:space="preserve"> para contabilização</w:t>
      </w:r>
      <w:r w:rsidR="00852127" w:rsidRPr="00AB4517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:rsidR="00852127" w:rsidRPr="00AB4517" w:rsidRDefault="00852127" w:rsidP="00852127">
      <w:pPr>
        <w:jc w:val="both"/>
      </w:pPr>
    </w:p>
    <w:p w:rsidR="00852127" w:rsidRPr="00AB4517" w:rsidRDefault="00852127" w:rsidP="00852127">
      <w:pPr>
        <w:jc w:val="both"/>
      </w:pPr>
      <w:r w:rsidRPr="00AB4517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C372AC" w:rsidRDefault="00C372AC">
      <w:r>
        <w:rPr>
          <w:b/>
        </w:rPr>
        <w:br w:type="page"/>
      </w:r>
    </w:p>
    <w:p w:rsidR="00F71BF5" w:rsidRPr="00F71BF5" w:rsidRDefault="00F71BF5" w:rsidP="00F71BF5">
      <w:pPr>
        <w:pStyle w:val="Subttulo"/>
        <w:numPr>
          <w:ilvl w:val="0"/>
          <w:numId w:val="5"/>
        </w:numPr>
      </w:pPr>
      <w:r w:rsidRPr="00AB4517">
        <w:lastRenderedPageBreak/>
        <w:tab/>
      </w:r>
      <w:bookmarkStart w:id="36" w:name="_Ref466467866"/>
      <w:r w:rsidRPr="00F71BF5">
        <w:t>Férias a Pagar</w:t>
      </w:r>
      <w:bookmarkEnd w:id="36"/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2097"/>
        <w:gridCol w:w="331"/>
        <w:gridCol w:w="2134"/>
      </w:tblGrid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31/12/2019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>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75.298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71.962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(27.797)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(71.178)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18.478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74.514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Total de Férias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65.979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       75.298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>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28.100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25.537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(10.368)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(25.771)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6.897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28.334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Total de 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24.629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       28.100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90.608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     103.398 </w:t>
            </w:r>
          </w:p>
        </w:tc>
      </w:tr>
    </w:tbl>
    <w:p w:rsidR="00F71BF5" w:rsidRDefault="00F71BF5" w:rsidP="00F71BF5">
      <w:pPr>
        <w:pStyle w:val="Subttulo"/>
        <w:ind w:left="-4" w:firstLine="0"/>
      </w:pPr>
    </w:p>
    <w:p w:rsidR="009C3374" w:rsidRPr="009C3374" w:rsidRDefault="009C3374" w:rsidP="009C3374"/>
    <w:p w:rsidR="00F71BF5" w:rsidRPr="00F71BF5" w:rsidRDefault="00F71BF5" w:rsidP="00F71BF5">
      <w:pPr>
        <w:pStyle w:val="Subttulo"/>
        <w:numPr>
          <w:ilvl w:val="0"/>
          <w:numId w:val="5"/>
        </w:numPr>
      </w:pPr>
      <w:r w:rsidRPr="00F71BF5">
        <w:t>Décimo Terceiro a Pagar</w:t>
      </w: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2097"/>
        <w:gridCol w:w="331"/>
        <w:gridCol w:w="2134"/>
      </w:tblGrid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31/12/2019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>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9C3374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 w:rsidR="009C3374"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(99)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9C3374" w:rsidP="00C104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71BF5" w:rsidRPr="00F71BF5">
              <w:rPr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11.527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9C3374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 w:rsidR="009C3374"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Total de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11.428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9C3374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       </w:t>
            </w:r>
            <w:r w:rsidR="009C3374">
              <w:rPr>
                <w:b/>
                <w:bCs/>
                <w:color w:val="000000"/>
              </w:rPr>
              <w:t>-</w:t>
            </w:r>
            <w:r w:rsidRPr="00F71BF5">
              <w:rPr>
                <w:b/>
                <w:bCs/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>Encargos Sobre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9C3374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 w:rsidR="009C3374"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(37)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9C3374" w:rsidP="00C104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71BF5" w:rsidRPr="00F71BF5">
              <w:rPr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4.302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9C3374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 w:rsidR="009C3374"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Total de Encargos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  4.265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9C3374" w:rsidP="00C104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F71BF5" w:rsidRPr="00F71BF5">
              <w:rPr>
                <w:b/>
                <w:bCs/>
                <w:color w:val="000000"/>
              </w:rPr>
              <w:t xml:space="preserve"> </w:t>
            </w:r>
          </w:p>
        </w:tc>
      </w:tr>
      <w:tr w:rsidR="00F71BF5" w:rsidRPr="00F71BF5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Saldo de Décimo Terceiro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F3563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15.693</w:t>
            </w:r>
            <w:r w:rsidRPr="007F356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F71BF5" w:rsidRDefault="00F71BF5" w:rsidP="009C3374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 xml:space="preserve">              </w:t>
            </w:r>
            <w:r w:rsidR="009C3374">
              <w:rPr>
                <w:b/>
                <w:bCs/>
                <w:color w:val="000000"/>
              </w:rPr>
              <w:t>-</w:t>
            </w:r>
            <w:r w:rsidRPr="00F71BF5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F71BF5" w:rsidRDefault="00F71BF5" w:rsidP="00F71BF5"/>
    <w:p w:rsidR="009C3374" w:rsidRDefault="009C3374" w:rsidP="00F71BF5"/>
    <w:p w:rsidR="00F71BF5" w:rsidRPr="0092352C" w:rsidRDefault="00F71BF5" w:rsidP="00F71BF5">
      <w:pPr>
        <w:pStyle w:val="Subttulo"/>
        <w:numPr>
          <w:ilvl w:val="0"/>
          <w:numId w:val="5"/>
        </w:numPr>
      </w:pPr>
      <w:r w:rsidRPr="0092352C">
        <w:t>Licença Especial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2114"/>
        <w:gridCol w:w="283"/>
        <w:gridCol w:w="2168"/>
      </w:tblGrid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>31/12/2019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>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 xml:space="preserve">           39.850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>38.324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 xml:space="preserve">(1.294)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>(6.453)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 xml:space="preserve">             4.306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>7.979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 xml:space="preserve">Total de Licença Especial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 xml:space="preserve">         42.862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>39.850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FF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>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FF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 xml:space="preserve">           14.843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>14.190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 xml:space="preserve">(482)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>(2.396)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color w:val="000000"/>
              </w:rPr>
            </w:pPr>
            <w:r w:rsidRPr="0092352C">
              <w:rPr>
                <w:color w:val="000000"/>
              </w:rPr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 xml:space="preserve">             1.605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color w:val="000000"/>
              </w:rPr>
            </w:pPr>
            <w:r w:rsidRPr="0092352C">
              <w:rPr>
                <w:color w:val="000000"/>
              </w:rPr>
              <w:t>3.049</w:t>
            </w:r>
          </w:p>
        </w:tc>
      </w:tr>
      <w:tr w:rsidR="0092352C" w:rsidRPr="0092352C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>Total de 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 xml:space="preserve">         15.966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>14.843</w:t>
            </w:r>
          </w:p>
        </w:tc>
      </w:tr>
      <w:tr w:rsidR="0092352C" w:rsidRPr="004E2DC5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>Total de Licença Especial a Pagar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92352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 xml:space="preserve">         58.828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92352C" w:rsidRDefault="00F71BF5" w:rsidP="00C10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4E2DC5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92352C">
              <w:rPr>
                <w:b/>
                <w:bCs/>
                <w:color w:val="000000"/>
              </w:rPr>
              <w:t>54.693</w:t>
            </w:r>
          </w:p>
        </w:tc>
      </w:tr>
    </w:tbl>
    <w:p w:rsidR="00116BD5" w:rsidRDefault="00116BD5" w:rsidP="00F71BF5">
      <w:pPr>
        <w:pStyle w:val="Subttulo"/>
        <w:ind w:firstLine="0"/>
      </w:pPr>
    </w:p>
    <w:p w:rsidR="00020F28" w:rsidRDefault="00020F28">
      <w:bookmarkStart w:id="37" w:name="_Ref466467744"/>
      <w:r>
        <w:rPr>
          <w:b/>
        </w:rPr>
        <w:br w:type="page"/>
      </w:r>
    </w:p>
    <w:p w:rsidR="00C44995" w:rsidRPr="000F6A4B" w:rsidRDefault="00A902F7" w:rsidP="005A2E85">
      <w:pPr>
        <w:pStyle w:val="Subttulo"/>
        <w:numPr>
          <w:ilvl w:val="0"/>
          <w:numId w:val="5"/>
        </w:numPr>
      </w:pPr>
      <w:r w:rsidRPr="000F6A4B">
        <w:lastRenderedPageBreak/>
        <w:t>Tempo de Serviço Passado</w:t>
      </w:r>
      <w:bookmarkEnd w:id="37"/>
      <w:r w:rsidR="00A60300" w:rsidRPr="000F6A4B">
        <w:t xml:space="preserve"> (TSP) </w:t>
      </w:r>
    </w:p>
    <w:p w:rsidR="00A902F7" w:rsidRPr="000F6A4B" w:rsidRDefault="00A902F7" w:rsidP="00A902F7"/>
    <w:p w:rsidR="00095C30" w:rsidRPr="00AB4517" w:rsidRDefault="00095C30" w:rsidP="00095C30">
      <w:pPr>
        <w:jc w:val="both"/>
      </w:pPr>
      <w:r w:rsidRPr="000F6A4B">
        <w:t>O HCPA possui financiamento com o Banco do Brasil para</w:t>
      </w:r>
      <w:r w:rsidR="00D40200" w:rsidRPr="000F6A4B">
        <w:t xml:space="preserve"> pagamento do plano de</w:t>
      </w:r>
      <w:r w:rsidRPr="000F6A4B">
        <w:t xml:space="preserve"> Previdência Privada</w:t>
      </w:r>
      <w:r w:rsidR="00921282" w:rsidRPr="000F6A4B">
        <w:t xml:space="preserve"> </w:t>
      </w:r>
      <w:r w:rsidR="00A60300" w:rsidRPr="000F6A4B">
        <w:t>- T</w:t>
      </w:r>
      <w:r w:rsidRPr="000F6A4B">
        <w:t>SP</w:t>
      </w:r>
      <w:r w:rsidR="00A60300" w:rsidRPr="000F6A4B">
        <w:t xml:space="preserve"> -</w:t>
      </w:r>
      <w:r w:rsidRPr="000F6A4B">
        <w:t xml:space="preserve"> a ser amortizado em 164 parcelas mensais a partir de 01 de junho de 2010</w:t>
      </w:r>
      <w:r w:rsidR="00D133D9" w:rsidRPr="000F6A4B">
        <w:t>,</w:t>
      </w:r>
      <w:r w:rsidRPr="000F6A4B">
        <w:t xml:space="preserve"> atualizadas pelo INPC</w:t>
      </w:r>
      <w:r w:rsidR="00D133D9" w:rsidRPr="000F6A4B">
        <w:t xml:space="preserve"> com</w:t>
      </w:r>
      <w:r w:rsidRPr="000F6A4B">
        <w:t xml:space="preserve"> juros mensais de 0,4868%. </w:t>
      </w:r>
      <w:r w:rsidR="00BC462F" w:rsidRPr="000F6A4B">
        <w:t xml:space="preserve"> </w:t>
      </w:r>
      <w:r w:rsidR="001666B8" w:rsidRPr="000F6A4B">
        <w:t>Por ser, este valor,</w:t>
      </w:r>
      <w:r w:rsidRPr="000F6A4B">
        <w:t xml:space="preserve"> pago c</w:t>
      </w:r>
      <w:r w:rsidR="001666B8" w:rsidRPr="000F6A4B">
        <w:t>om Recursos do Tesouro Nacional possui, também, registro em Direitos a Receber no Ativo</w:t>
      </w:r>
      <w:r w:rsidR="006F24C5" w:rsidRPr="000F6A4B">
        <w:t>.</w:t>
      </w:r>
      <w:r w:rsidR="008C5DF8" w:rsidRPr="000F6A4B">
        <w:t xml:space="preserve"> </w:t>
      </w:r>
      <w:r w:rsidR="001666B8" w:rsidRPr="000F6A4B">
        <w:t>O valor correspondente a</w:t>
      </w:r>
      <w:r w:rsidR="00BB6753" w:rsidRPr="000F6A4B">
        <w:t xml:space="preserve"> doze prestações</w:t>
      </w:r>
      <w:r w:rsidR="00836818" w:rsidRPr="000F6A4B">
        <w:t xml:space="preserve"> está </w:t>
      </w:r>
      <w:r w:rsidR="00BB6753" w:rsidRPr="000F6A4B">
        <w:t>registrado no Ativo e Passivo Circulante</w:t>
      </w:r>
      <w:r w:rsidR="005A64EA" w:rsidRPr="000F6A4B">
        <w:t xml:space="preserve"> e as demais prestações estão registradas n</w:t>
      </w:r>
      <w:r w:rsidRPr="000F6A4B">
        <w:t xml:space="preserve">o Ativo </w:t>
      </w:r>
      <w:r w:rsidR="002900D5" w:rsidRPr="000F6A4B">
        <w:t xml:space="preserve">e Passivo </w:t>
      </w:r>
      <w:r w:rsidR="00BB6753" w:rsidRPr="000F6A4B">
        <w:t>N</w:t>
      </w:r>
      <w:r w:rsidRPr="000F6A4B">
        <w:t>ão Circulante</w:t>
      </w:r>
      <w:r w:rsidR="002900D5" w:rsidRPr="000F6A4B">
        <w:t>.</w:t>
      </w:r>
      <w:r w:rsidRPr="00AB4517">
        <w:t xml:space="preserve"> </w:t>
      </w:r>
    </w:p>
    <w:p w:rsidR="002A650F" w:rsidRPr="00AB4517" w:rsidRDefault="002A650F" w:rsidP="002A650F"/>
    <w:p w:rsidR="00407FFA" w:rsidRPr="00AB4517" w:rsidRDefault="00407FFA" w:rsidP="002A650F"/>
    <w:p w:rsidR="00247020" w:rsidRPr="00AB4517" w:rsidRDefault="00247020" w:rsidP="00247020">
      <w:pPr>
        <w:pStyle w:val="Ttulo"/>
        <w:ind w:left="0"/>
        <w:outlineLvl w:val="0"/>
      </w:pPr>
      <w:bookmarkStart w:id="38" w:name="_Toc40804099"/>
      <w:r w:rsidRPr="00AB4517">
        <w:t>Ajuste de Avaliação Patrimonial</w:t>
      </w:r>
      <w:bookmarkEnd w:id="38"/>
    </w:p>
    <w:p w:rsidR="00247020" w:rsidRPr="00AB4517" w:rsidRDefault="00247020" w:rsidP="00247020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AB4517">
        <w:t xml:space="preserve">  </w:t>
      </w:r>
    </w:p>
    <w:p w:rsidR="00247020" w:rsidRPr="00AB4517" w:rsidRDefault="00247020" w:rsidP="00247020">
      <w:pPr>
        <w:jc w:val="both"/>
      </w:pPr>
      <w:r w:rsidRPr="00AB4517">
        <w:t>A partir da competência 2010, na medida em que o valor dos bens, objetos do ajuste de avaliação patrimonial, são depreciados, amortizados ou baixados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4B5A89" w:rsidRPr="004B5A89" w:rsidTr="004B5A89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247020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</w:rPr>
            </w:pPr>
            <w:r w:rsidRPr="004B5A89">
              <w:rPr>
                <w:b/>
                <w:bCs/>
              </w:rPr>
              <w:t>31/03/2020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</w:rPr>
            </w:pPr>
            <w:r w:rsidRPr="004B5A89">
              <w:rPr>
                <w:b/>
                <w:bCs/>
              </w:rPr>
              <w:t>31/12/2019</w:t>
            </w:r>
          </w:p>
        </w:tc>
      </w:tr>
      <w:tr w:rsidR="004B5A89" w:rsidRPr="004B5A89" w:rsidTr="004B5A89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4B5A89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</w:rPr>
            </w:pPr>
          </w:p>
        </w:tc>
      </w:tr>
      <w:tr w:rsidR="004B5A89" w:rsidRPr="004B5A89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703EB1" w:rsidP="00703EB1">
            <w:pPr>
              <w:jc w:val="both"/>
            </w:pPr>
            <w:r>
              <w:t xml:space="preserve">   Saldo i</w:t>
            </w:r>
            <w:r w:rsidR="004B5A89" w:rsidRPr="004B5A89">
              <w:t>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4B5A89" w:rsidRDefault="004B5A89" w:rsidP="00C104FD">
            <w:pPr>
              <w:jc w:val="right"/>
            </w:pPr>
            <w:r w:rsidRPr="004B5A89">
              <w:t>(16.030)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</w:pPr>
            <w:r w:rsidRPr="004B5A89">
              <w:t>(15.329)</w:t>
            </w:r>
          </w:p>
        </w:tc>
      </w:tr>
      <w:tr w:rsidR="004B5A89" w:rsidRPr="004B5A89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both"/>
            </w:pPr>
            <w:r w:rsidRPr="004B5A89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4B5A89" w:rsidRDefault="004B5A89" w:rsidP="00C104FD">
            <w:pPr>
              <w:jc w:val="right"/>
            </w:pPr>
            <w:r w:rsidRPr="004B5A89">
              <w:t>(212)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</w:pPr>
            <w:r w:rsidRPr="004B5A89">
              <w:t>(1.191)</w:t>
            </w:r>
          </w:p>
        </w:tc>
      </w:tr>
      <w:tr w:rsidR="004B5A89" w:rsidRPr="004B5A89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both"/>
            </w:pPr>
            <w:r w:rsidRPr="004B5A89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4B5A89" w:rsidRDefault="004B5A89" w:rsidP="00C104FD">
            <w:pPr>
              <w:jc w:val="right"/>
            </w:pPr>
            <w:r w:rsidRPr="004B5A89">
              <w:t>7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</w:pPr>
            <w:r w:rsidRPr="004B5A89">
              <w:t>490</w:t>
            </w:r>
          </w:p>
        </w:tc>
      </w:tr>
      <w:tr w:rsidR="004B5A89" w:rsidRPr="0024702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703EB1">
            <w:pPr>
              <w:jc w:val="both"/>
            </w:pPr>
            <w:r w:rsidRPr="004B5A89">
              <w:t xml:space="preserve">   Saldo </w:t>
            </w:r>
            <w:r w:rsidR="00703EB1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B5A89" w:rsidRPr="004B5A89" w:rsidRDefault="004B5A89" w:rsidP="00C104FD">
            <w:pPr>
              <w:jc w:val="right"/>
              <w:rPr>
                <w:b/>
              </w:rPr>
            </w:pPr>
            <w:r w:rsidRPr="004B5A89">
              <w:rPr>
                <w:b/>
              </w:rPr>
              <w:t>(16.235)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B5A89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B5A89" w:rsidRPr="00247020" w:rsidRDefault="004B5A89" w:rsidP="00C104FD">
            <w:pPr>
              <w:jc w:val="right"/>
              <w:rPr>
                <w:b/>
              </w:rPr>
            </w:pPr>
            <w:r w:rsidRPr="004B5A89">
              <w:rPr>
                <w:b/>
              </w:rPr>
              <w:t>(16.030)</w:t>
            </w:r>
          </w:p>
        </w:tc>
      </w:tr>
    </w:tbl>
    <w:p w:rsidR="004B5A89" w:rsidRDefault="004B5A89" w:rsidP="004B5A89">
      <w:pPr>
        <w:jc w:val="both"/>
      </w:pPr>
    </w:p>
    <w:p w:rsidR="004B5A89" w:rsidRPr="00247020" w:rsidRDefault="004B5A89" w:rsidP="004B5A89">
      <w:pPr>
        <w:jc w:val="both"/>
      </w:pPr>
      <w:r w:rsidRPr="00247020">
        <w:t>Os valores revertidos de M</w:t>
      </w:r>
      <w:r>
        <w:t>enos-Valia, de R$ 7 e R$ 490</w:t>
      </w:r>
      <w:r w:rsidRPr="00247020">
        <w:t xml:space="preserve"> (respect</w:t>
      </w:r>
      <w:r>
        <w:t>ivamente 31/03/2020 e 31/12/2019</w:t>
      </w:r>
      <w:r w:rsidRPr="00247020">
        <w:t>), referem-se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</w:p>
    <w:p w:rsidR="004B5A89" w:rsidRDefault="004B5A89" w:rsidP="004B5A89">
      <w:pPr>
        <w:jc w:val="both"/>
      </w:pPr>
    </w:p>
    <w:p w:rsidR="004B5A89" w:rsidRDefault="004B5A89" w:rsidP="004B5A89">
      <w:pPr>
        <w:jc w:val="both"/>
      </w:pPr>
    </w:p>
    <w:p w:rsidR="004B5A89" w:rsidRPr="00E33F19" w:rsidRDefault="004B5A89" w:rsidP="004B5A89">
      <w:pPr>
        <w:pStyle w:val="Ttulo"/>
        <w:ind w:left="0"/>
        <w:outlineLvl w:val="0"/>
      </w:pPr>
      <w:bookmarkStart w:id="39" w:name="_Toc31373369"/>
      <w:bookmarkStart w:id="40" w:name="_Toc40804100"/>
      <w:r w:rsidRPr="00E33F19">
        <w:t>Receita Operacional Líquida</w:t>
      </w:r>
      <w:bookmarkEnd w:id="39"/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298"/>
        <w:gridCol w:w="1660"/>
        <w:gridCol w:w="374"/>
        <w:gridCol w:w="1660"/>
      </w:tblGrid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A779D" w:rsidRDefault="004B5A89" w:rsidP="00C104FD">
            <w:pPr>
              <w:rPr>
                <w:color w:val="000000"/>
              </w:rPr>
            </w:pPr>
            <w:r w:rsidRPr="004A779D">
              <w:rPr>
                <w:color w:val="00000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A779D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7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31/03/2020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31/03/2019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>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 xml:space="preserve">   Sistema Único de Saúde - SUS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43.779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43.496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 xml:space="preserve">   Convênios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12.982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12.748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 xml:space="preserve">   Particulares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1.403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1.468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 xml:space="preserve">   Pesquisas e Analises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1.274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1.028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 xml:space="preserve">   Ensino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   148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208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Total de 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 xml:space="preserve">        59.586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58.948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>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 xml:space="preserve">   PIS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(111)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(103)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color w:val="000000"/>
              </w:rPr>
            </w:pPr>
            <w:r w:rsidRPr="004B5A89">
              <w:rPr>
                <w:color w:val="000000"/>
              </w:rPr>
              <w:t xml:space="preserve">   COFINS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3D75F2" w:rsidP="00C104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(510</w:t>
            </w:r>
            <w:r w:rsidR="004B5A89" w:rsidRPr="004B5A89">
              <w:rPr>
                <w:color w:val="000000"/>
              </w:rPr>
              <w:t xml:space="preserve">)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>(474)</w:t>
            </w:r>
          </w:p>
        </w:tc>
      </w:tr>
      <w:tr w:rsidR="004B5A89" w:rsidRPr="004B5A89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Total das 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3D75F2" w:rsidP="00C104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(621</w:t>
            </w:r>
            <w:r w:rsidR="004B5A89" w:rsidRPr="004B5A89"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(577)</w:t>
            </w:r>
          </w:p>
        </w:tc>
      </w:tr>
      <w:tr w:rsidR="004B5A89" w:rsidRPr="004A779D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Receita Líquida Operacional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4B5A89" w:rsidRDefault="004B5A89" w:rsidP="00C104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B5A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3D75F2" w:rsidP="00C104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58.965</w:t>
            </w:r>
            <w:r w:rsidR="004B5A89" w:rsidRPr="004B5A8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4B5A89" w:rsidRDefault="004B5A89" w:rsidP="00C104FD">
            <w:pPr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4A779D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58.371</w:t>
            </w:r>
          </w:p>
        </w:tc>
      </w:tr>
    </w:tbl>
    <w:p w:rsidR="004B5A89" w:rsidRPr="00247020" w:rsidRDefault="004B5A89" w:rsidP="00247020">
      <w:pPr>
        <w:jc w:val="both"/>
      </w:pPr>
    </w:p>
    <w:p w:rsidR="005D2C53" w:rsidRPr="00692C3A" w:rsidRDefault="002858D8" w:rsidP="00205C9B">
      <w:pPr>
        <w:jc w:val="both"/>
      </w:pPr>
      <w:r w:rsidRPr="00692C3A">
        <w:t>A apresentação</w:t>
      </w:r>
      <w:r w:rsidR="005518A4" w:rsidRPr="00692C3A">
        <w:t xml:space="preserve"> do Demonstrat</w:t>
      </w:r>
      <w:r w:rsidR="00692C3A">
        <w:t>ivo de Resultado do Exercício está</w:t>
      </w:r>
      <w:r w:rsidR="005518A4" w:rsidRPr="00692C3A">
        <w:t xml:space="preserve"> adequada </w:t>
      </w:r>
      <w:r w:rsidR="00167D19" w:rsidRPr="00692C3A">
        <w:t xml:space="preserve">à estrutura </w:t>
      </w:r>
      <w:r w:rsidR="0098715D" w:rsidRPr="00692C3A">
        <w:t xml:space="preserve">da Secretaria </w:t>
      </w:r>
      <w:r w:rsidR="00167D19" w:rsidRPr="00692C3A">
        <w:t>de Coordenação e Gov</w:t>
      </w:r>
      <w:r w:rsidR="0098715D" w:rsidRPr="00692C3A">
        <w:t>ernança das Empresas Estatais (S</w:t>
      </w:r>
      <w:r w:rsidR="00167D19" w:rsidRPr="00692C3A">
        <w:t>EST)</w:t>
      </w:r>
      <w:r w:rsidR="0052271A" w:rsidRPr="00692C3A">
        <w:t>. D</w:t>
      </w:r>
      <w:r w:rsidR="007E1D17" w:rsidRPr="00692C3A">
        <w:t>esta forma</w:t>
      </w:r>
      <w:r w:rsidRPr="00692C3A">
        <w:t>,</w:t>
      </w:r>
      <w:r w:rsidR="00167D19" w:rsidRPr="00692C3A">
        <w:t xml:space="preserve"> os repasses recebidos </w:t>
      </w:r>
      <w:r w:rsidR="00692C3A">
        <w:t>não</w:t>
      </w:r>
      <w:r w:rsidR="00205C9B" w:rsidRPr="00692C3A">
        <w:t xml:space="preserve"> comp</w:t>
      </w:r>
      <w:r w:rsidR="00692C3A">
        <w:t>õem</w:t>
      </w:r>
      <w:r w:rsidRPr="00692C3A">
        <w:t xml:space="preserve"> o grupo de</w:t>
      </w:r>
      <w:r w:rsidR="00205C9B" w:rsidRPr="00692C3A">
        <w:t xml:space="preserve"> receitas operacionais</w:t>
      </w:r>
      <w:r w:rsidRPr="00692C3A">
        <w:t>,</w:t>
      </w:r>
      <w:r w:rsidR="00692C3A">
        <w:t xml:space="preserve"> sendo apresentados</w:t>
      </w:r>
      <w:r w:rsidR="003E4760" w:rsidRPr="00692C3A">
        <w:t xml:space="preserve"> </w:t>
      </w:r>
      <w:r w:rsidR="00205C9B" w:rsidRPr="00692C3A">
        <w:t>separadamente</w:t>
      </w:r>
      <w:r w:rsidR="00A33B83">
        <w:t xml:space="preserve"> na</w:t>
      </w:r>
      <w:r w:rsidR="007325ED">
        <w:t xml:space="preserve"> Demonstra</w:t>
      </w:r>
      <w:r w:rsidR="00A33B83">
        <w:t>ção do Resultado do Exercício</w:t>
      </w:r>
      <w:r w:rsidR="007325ED">
        <w:t>.</w:t>
      </w:r>
    </w:p>
    <w:p w:rsidR="007E1D17" w:rsidRDefault="007E1D17" w:rsidP="007108BE">
      <w:pPr>
        <w:jc w:val="right"/>
      </w:pPr>
    </w:p>
    <w:p w:rsidR="00020F28" w:rsidRDefault="00020F28">
      <w:bookmarkStart w:id="41" w:name="_Ref466466536"/>
      <w:bookmarkStart w:id="42" w:name="_Ref466466548"/>
      <w:bookmarkStart w:id="43" w:name="_Ref466472624"/>
      <w:bookmarkStart w:id="44" w:name="_Ref476905318"/>
      <w:bookmarkStart w:id="45" w:name="_Toc1120457"/>
      <w:bookmarkStart w:id="46" w:name="_Toc40804101"/>
      <w:r>
        <w:rPr>
          <w:b/>
        </w:rPr>
        <w:br w:type="page"/>
      </w:r>
    </w:p>
    <w:p w:rsidR="00940536" w:rsidRPr="009165B5" w:rsidRDefault="00940536" w:rsidP="005A2E85">
      <w:pPr>
        <w:pStyle w:val="Ttulo"/>
        <w:ind w:left="0"/>
        <w:outlineLvl w:val="0"/>
      </w:pPr>
      <w:r w:rsidRPr="009165B5">
        <w:lastRenderedPageBreak/>
        <w:t xml:space="preserve">Custos dos Serviços e Despesas </w:t>
      </w:r>
      <w:r w:rsidR="00D45A90" w:rsidRPr="009165B5">
        <w:t>Operacionais</w:t>
      </w:r>
      <w:r w:rsidRPr="009165B5">
        <w:t xml:space="preserve"> por Natureza</w:t>
      </w:r>
      <w:bookmarkEnd w:id="41"/>
      <w:bookmarkEnd w:id="42"/>
      <w:bookmarkEnd w:id="43"/>
      <w:bookmarkEnd w:id="44"/>
      <w:bookmarkEnd w:id="45"/>
      <w:bookmarkEnd w:id="46"/>
    </w:p>
    <w:p w:rsidR="00940536" w:rsidRPr="009165B5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2"/>
        <w:gridCol w:w="1109"/>
        <w:gridCol w:w="206"/>
        <w:gridCol w:w="1514"/>
        <w:gridCol w:w="190"/>
        <w:gridCol w:w="1116"/>
        <w:gridCol w:w="190"/>
        <w:gridCol w:w="1115"/>
      </w:tblGrid>
      <w:tr w:rsidR="00DA782A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rPr>
                <w:b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</w:rPr>
            </w:pPr>
            <w:r w:rsidRPr="009165B5">
              <w:rPr>
                <w:b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</w:rPr>
            </w:pPr>
            <w:r w:rsidRPr="009165B5">
              <w:rPr>
                <w:b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</w:rPr>
            </w:pPr>
            <w:r w:rsidRPr="009165B5">
              <w:rPr>
                <w:b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</w:rPr>
            </w:pPr>
            <w:r w:rsidRPr="009165B5">
              <w:rPr>
                <w:b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</w:rPr>
            </w:pPr>
            <w:r w:rsidRPr="009165B5">
              <w:rPr>
                <w:b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DB57E4" w:rsidP="00470E5C">
            <w:pPr>
              <w:jc w:val="right"/>
              <w:rPr>
                <w:b/>
                <w:bCs/>
              </w:rPr>
            </w:pPr>
            <w:r w:rsidRPr="009165B5">
              <w:rPr>
                <w:b/>
                <w:bCs/>
              </w:rPr>
              <w:t>31/03/2020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rPr>
                <w:b/>
                <w:bCs/>
              </w:rPr>
            </w:pPr>
            <w:r w:rsidRPr="009165B5">
              <w:rPr>
                <w:b/>
                <w:bCs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B00AF" w:rsidRPr="009165B5" w:rsidRDefault="00DB57E4" w:rsidP="009B00AF">
            <w:pPr>
              <w:jc w:val="right"/>
              <w:rPr>
                <w:b/>
              </w:rPr>
            </w:pPr>
            <w:r w:rsidRPr="009165B5">
              <w:rPr>
                <w:b/>
              </w:rPr>
              <w:t>31/03/</w:t>
            </w:r>
            <w:r w:rsidR="009B00AF" w:rsidRPr="009165B5">
              <w:rPr>
                <w:b/>
              </w:rPr>
              <w:t>20</w:t>
            </w:r>
            <w:r w:rsidRPr="009165B5">
              <w:rPr>
                <w:b/>
              </w:rPr>
              <w:t>19</w:t>
            </w:r>
          </w:p>
        </w:tc>
      </w:tr>
      <w:tr w:rsidR="00DA782A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r w:rsidRPr="009165B5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</w:pPr>
            <w:r w:rsidRPr="009165B5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  <w:bCs/>
              </w:rPr>
            </w:pPr>
            <w:r w:rsidRPr="009165B5">
              <w:rPr>
                <w:b/>
                <w:bCs/>
              </w:rPr>
              <w:t>Custo dos Serviços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  <w:bCs/>
              </w:rPr>
            </w:pPr>
            <w:r w:rsidRPr="009165B5">
              <w:rPr>
                <w:b/>
                <w:bCs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D45A90">
            <w:pPr>
              <w:jc w:val="right"/>
              <w:rPr>
                <w:b/>
                <w:bCs/>
              </w:rPr>
            </w:pPr>
            <w:r w:rsidRPr="009165B5">
              <w:rPr>
                <w:b/>
                <w:bCs/>
              </w:rPr>
              <w:t xml:space="preserve">Despesas </w:t>
            </w:r>
            <w:r w:rsidR="00D45A90" w:rsidRPr="009165B5">
              <w:rPr>
                <w:b/>
                <w:bCs/>
              </w:rPr>
              <w:t>Operacionais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  <w:bCs/>
              </w:rPr>
            </w:pPr>
            <w:r w:rsidRPr="009165B5">
              <w:rPr>
                <w:b/>
                <w:bCs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  <w:bCs/>
              </w:rPr>
            </w:pPr>
            <w:r w:rsidRPr="009165B5">
              <w:rPr>
                <w:b/>
                <w:bCs/>
              </w:rPr>
              <w:t>Total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b/>
                <w:bCs/>
                <w:sz w:val="16"/>
                <w:szCs w:val="16"/>
              </w:rPr>
            </w:pPr>
            <w:r w:rsidRPr="009165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D7032B">
            <w:pPr>
              <w:jc w:val="right"/>
              <w:rPr>
                <w:b/>
              </w:rPr>
            </w:pPr>
            <w:r w:rsidRPr="009165B5">
              <w:rPr>
                <w:b/>
              </w:rPr>
              <w:t>Total</w:t>
            </w:r>
          </w:p>
        </w:tc>
      </w:tr>
      <w:tr w:rsidR="00DA782A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9165B5" w:rsidRDefault="009B00AF" w:rsidP="00470E5C">
            <w:pPr>
              <w:jc w:val="right"/>
              <w:rPr>
                <w:sz w:val="16"/>
                <w:szCs w:val="16"/>
              </w:rPr>
            </w:pPr>
            <w:r w:rsidRPr="009165B5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0AF" w:rsidRPr="009165B5" w:rsidRDefault="009B00AF" w:rsidP="009B00AF">
            <w:pPr>
              <w:jc w:val="right"/>
              <w:rPr>
                <w:b/>
                <w:sz w:val="16"/>
                <w:szCs w:val="16"/>
              </w:rPr>
            </w:pPr>
            <w:r w:rsidRPr="009165B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165B5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r w:rsidRPr="009165B5">
              <w:t>Salários e Encargos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pPr>
              <w:jc w:val="right"/>
            </w:pPr>
            <w:r w:rsidRPr="009165B5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217.902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35.935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253.837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165B5" w:rsidRPr="009165B5" w:rsidRDefault="009165B5" w:rsidP="00DA782A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5B5" w:rsidRPr="009165B5" w:rsidRDefault="009165B5" w:rsidP="009165B5">
            <w:pPr>
              <w:jc w:val="right"/>
            </w:pPr>
            <w:r w:rsidRPr="009165B5">
              <w:t xml:space="preserve"> 241.881 </w:t>
            </w:r>
          </w:p>
        </w:tc>
      </w:tr>
      <w:tr w:rsidR="009165B5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r w:rsidRPr="009165B5">
              <w:t>Benefícios de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pPr>
              <w:jc w:val="right"/>
            </w:pPr>
            <w:r w:rsidRPr="009165B5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17.252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2.843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20.095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165B5" w:rsidRPr="009165B5" w:rsidRDefault="009165B5" w:rsidP="00DA782A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5B5" w:rsidRPr="009165B5" w:rsidRDefault="009165B5" w:rsidP="009165B5">
            <w:pPr>
              <w:jc w:val="right"/>
            </w:pPr>
            <w:r w:rsidRPr="009165B5">
              <w:t xml:space="preserve"> 19.406 </w:t>
            </w:r>
          </w:p>
        </w:tc>
      </w:tr>
      <w:tr w:rsidR="009165B5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r w:rsidRPr="009165B5">
              <w:t>Consumo de Materiais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pPr>
              <w:jc w:val="right"/>
            </w:pPr>
            <w:r w:rsidRPr="009165B5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30.612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5.040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35.652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165B5" w:rsidRPr="009165B5" w:rsidRDefault="009165B5" w:rsidP="00DA782A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5B5" w:rsidRPr="009165B5" w:rsidRDefault="009165B5" w:rsidP="009165B5">
            <w:pPr>
              <w:jc w:val="right"/>
            </w:pPr>
            <w:r w:rsidRPr="009165B5">
              <w:t xml:space="preserve"> 36.043 </w:t>
            </w:r>
          </w:p>
        </w:tc>
      </w:tr>
      <w:tr w:rsidR="009165B5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r w:rsidRPr="009165B5">
              <w:t>Depreciações/Amortizações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pPr>
              <w:jc w:val="right"/>
            </w:pPr>
            <w:r w:rsidRPr="009165B5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5.141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847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5.988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165B5" w:rsidRPr="009165B5" w:rsidRDefault="009165B5" w:rsidP="00DA782A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165B5" w:rsidRPr="009165B5" w:rsidRDefault="009165B5" w:rsidP="009165B5">
            <w:pPr>
              <w:jc w:val="right"/>
            </w:pPr>
            <w:r w:rsidRPr="009165B5">
              <w:t xml:space="preserve"> 5.715 </w:t>
            </w:r>
          </w:p>
        </w:tc>
      </w:tr>
      <w:tr w:rsidR="009165B5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r w:rsidRPr="009165B5">
              <w:t>Despesas com Serviços PF e PJ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B5" w:rsidRPr="009165B5" w:rsidRDefault="009165B5" w:rsidP="00470E5C">
            <w:pPr>
              <w:jc w:val="right"/>
            </w:pPr>
            <w:r w:rsidRPr="009165B5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28.440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4.687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65B5" w:rsidRPr="009165B5" w:rsidRDefault="009165B5" w:rsidP="00C47FDF">
            <w:pPr>
              <w:jc w:val="right"/>
            </w:pPr>
            <w:r w:rsidRPr="009165B5">
              <w:t xml:space="preserve"> 33.127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165B5" w:rsidRPr="009165B5" w:rsidRDefault="009165B5" w:rsidP="00DA782A">
            <w:pPr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65B5" w:rsidRPr="009165B5" w:rsidRDefault="009165B5" w:rsidP="009165B5">
            <w:pPr>
              <w:jc w:val="right"/>
            </w:pPr>
            <w:r w:rsidRPr="009165B5">
              <w:t xml:space="preserve"> 31.751 </w:t>
            </w:r>
          </w:p>
        </w:tc>
      </w:tr>
      <w:tr w:rsidR="00C47FDF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9165B5" w:rsidRDefault="00C47FDF" w:rsidP="00470E5C">
            <w:pPr>
              <w:rPr>
                <w:b/>
                <w:bCs/>
              </w:rPr>
            </w:pPr>
            <w:r w:rsidRPr="009165B5">
              <w:rPr>
                <w:b/>
                <w:bCs/>
              </w:rPr>
              <w:t>Subtotais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9165B5" w:rsidRDefault="00C47FDF" w:rsidP="00470E5C">
            <w:pPr>
              <w:jc w:val="right"/>
              <w:rPr>
                <w:b/>
                <w:bCs/>
              </w:rPr>
            </w:pPr>
            <w:r w:rsidRPr="009165B5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  <w:r w:rsidRPr="009165B5">
              <w:rPr>
                <w:b/>
              </w:rPr>
              <w:t xml:space="preserve"> 299.347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  <w:r w:rsidRPr="009165B5">
              <w:rPr>
                <w:b/>
              </w:rPr>
              <w:t xml:space="preserve"> 49.352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  <w:r w:rsidRPr="009165B5">
              <w:rPr>
                <w:b/>
              </w:rPr>
              <w:t xml:space="preserve"> 348.699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7FDF" w:rsidRPr="009165B5" w:rsidRDefault="00C47FDF" w:rsidP="00DA782A">
            <w:pPr>
              <w:jc w:val="right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47FDF" w:rsidRPr="009165B5" w:rsidRDefault="00C47FDF" w:rsidP="00D45A90">
            <w:pPr>
              <w:jc w:val="right"/>
              <w:rPr>
                <w:b/>
              </w:rPr>
            </w:pPr>
            <w:r w:rsidRPr="009165B5">
              <w:rPr>
                <w:b/>
              </w:rPr>
              <w:t>334.796</w:t>
            </w:r>
          </w:p>
        </w:tc>
      </w:tr>
      <w:tr w:rsidR="00C47FDF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9165B5" w:rsidRDefault="00C47FDF" w:rsidP="00470E5C">
            <w:pPr>
              <w:rPr>
                <w:bCs/>
              </w:rPr>
            </w:pPr>
            <w:r w:rsidRPr="009165B5">
              <w:rPr>
                <w:bCs/>
              </w:rPr>
              <w:t>Provisões de Contingências 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9165B5" w:rsidRDefault="00C47FDF" w:rsidP="00470E5C">
            <w:pPr>
              <w:jc w:val="right"/>
              <w:rPr>
                <w:bCs/>
              </w:rPr>
            </w:pPr>
            <w:r w:rsidRPr="009165B5">
              <w:rPr>
                <w:bCs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</w:pPr>
            <w:r w:rsidRPr="009165B5">
              <w:t xml:space="preserve"> - 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</w:pPr>
            <w:r w:rsidRPr="009165B5">
              <w:t xml:space="preserve"> 5.363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</w:pPr>
            <w:r w:rsidRPr="009165B5">
              <w:t xml:space="preserve"> 5.363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7FDF" w:rsidRPr="009165B5" w:rsidRDefault="00C47FDF" w:rsidP="00DA782A">
            <w:pPr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9165B5" w:rsidRDefault="00C47FDF" w:rsidP="00D45A90">
            <w:pPr>
              <w:jc w:val="right"/>
            </w:pPr>
            <w:r w:rsidRPr="009165B5">
              <w:t>3.081</w:t>
            </w:r>
          </w:p>
        </w:tc>
      </w:tr>
      <w:tr w:rsidR="00C47FDF" w:rsidRPr="009165B5" w:rsidTr="009165B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9165B5" w:rsidRDefault="00C47FDF" w:rsidP="00470E5C">
            <w:pPr>
              <w:rPr>
                <w:b/>
                <w:bCs/>
              </w:rPr>
            </w:pPr>
            <w:r w:rsidRPr="009165B5">
              <w:rPr>
                <w:b/>
                <w:bCs/>
              </w:rPr>
              <w:t>Saldo Contábil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9165B5" w:rsidRDefault="00C47FDF" w:rsidP="00470E5C">
            <w:pPr>
              <w:jc w:val="right"/>
              <w:rPr>
                <w:b/>
              </w:rPr>
            </w:pPr>
            <w:r w:rsidRPr="009165B5">
              <w:rPr>
                <w:b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  <w:r w:rsidRPr="009165B5">
              <w:rPr>
                <w:b/>
              </w:rPr>
              <w:t xml:space="preserve"> 299.347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rPr>
                <w:b/>
              </w:rPr>
            </w:pPr>
            <w:r w:rsidRPr="009165B5">
              <w:rPr>
                <w:b/>
              </w:rPr>
              <w:t xml:space="preserve">  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  <w:r w:rsidRPr="009165B5">
              <w:rPr>
                <w:b/>
              </w:rPr>
              <w:t xml:space="preserve"> 54.715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C47FDF" w:rsidRPr="009165B5" w:rsidRDefault="00C47FDF" w:rsidP="00C47FDF">
            <w:pPr>
              <w:jc w:val="right"/>
              <w:rPr>
                <w:b/>
              </w:rPr>
            </w:pPr>
            <w:r w:rsidRPr="009165B5">
              <w:rPr>
                <w:b/>
              </w:rPr>
              <w:t xml:space="preserve"> 354.062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7FDF" w:rsidRPr="009165B5" w:rsidRDefault="00C47FDF" w:rsidP="00DA782A">
            <w:pPr>
              <w:jc w:val="right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C47FDF" w:rsidRPr="009165B5" w:rsidRDefault="00C47FDF" w:rsidP="00D45A90">
            <w:pPr>
              <w:jc w:val="right"/>
              <w:rPr>
                <w:b/>
              </w:rPr>
            </w:pPr>
            <w:r w:rsidRPr="009165B5">
              <w:rPr>
                <w:b/>
              </w:rPr>
              <w:t>337.877</w:t>
            </w:r>
          </w:p>
        </w:tc>
      </w:tr>
    </w:tbl>
    <w:p w:rsidR="00A17D31" w:rsidRPr="009165B5" w:rsidRDefault="00A17D31" w:rsidP="00DA782A">
      <w:pPr>
        <w:jc w:val="both"/>
      </w:pPr>
    </w:p>
    <w:p w:rsidR="00DA782A" w:rsidRPr="009165B5" w:rsidRDefault="00DA782A" w:rsidP="00DA782A">
      <w:pPr>
        <w:jc w:val="both"/>
      </w:pPr>
      <w:r w:rsidRPr="009165B5">
        <w:t>Os</w:t>
      </w:r>
      <w:r w:rsidR="00204A30" w:rsidRPr="009165B5">
        <w:t xml:space="preserve"> </w:t>
      </w:r>
      <w:r w:rsidRPr="009165B5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:rsidR="00DA782A" w:rsidRPr="000F6A4B" w:rsidRDefault="00DA782A" w:rsidP="00DA782A">
      <w:pPr>
        <w:jc w:val="both"/>
        <w:rPr>
          <w:highlight w:val="yellow"/>
        </w:rPr>
      </w:pPr>
    </w:p>
    <w:p w:rsidR="00940536" w:rsidRPr="00DA782A" w:rsidRDefault="00940536" w:rsidP="00940536">
      <w:pPr>
        <w:jc w:val="both"/>
      </w:pPr>
      <w:r w:rsidRPr="002D26E3">
        <w:t>Na determinação do resultado do exercício foram computados os custos e despesas pagos ou incorridos os quais correspondem às receitas de serviços reconhecidas no exercício.</w:t>
      </w:r>
    </w:p>
    <w:p w:rsidR="00AB4517" w:rsidRPr="00A34325" w:rsidRDefault="00AB4517">
      <w:bookmarkStart w:id="47" w:name="_Ref466472278"/>
      <w:bookmarkStart w:id="48" w:name="_Toc529341297"/>
    </w:p>
    <w:p w:rsidR="000F6A4B" w:rsidRPr="00A34325" w:rsidRDefault="000F6A4B"/>
    <w:p w:rsidR="00056B52" w:rsidRPr="002D26E3" w:rsidRDefault="00056B52" w:rsidP="00204A30">
      <w:pPr>
        <w:pStyle w:val="Ttulo"/>
        <w:ind w:left="0"/>
        <w:outlineLvl w:val="0"/>
      </w:pPr>
      <w:bookmarkStart w:id="49" w:name="_Toc40804102"/>
      <w:r w:rsidRPr="002D26E3">
        <w:t>Despesas de Benefícios a Empregados</w:t>
      </w:r>
      <w:bookmarkEnd w:id="47"/>
      <w:bookmarkEnd w:id="48"/>
      <w:bookmarkEnd w:id="49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5763DF" w:rsidRPr="002D26E3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03" w:rsidRPr="002D26E3" w:rsidRDefault="001F5C03" w:rsidP="00A21AA7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C03" w:rsidRPr="002D26E3" w:rsidRDefault="001F5C03" w:rsidP="000F6A4B">
            <w:pPr>
              <w:jc w:val="right"/>
              <w:rPr>
                <w:b/>
                <w:bCs/>
              </w:rPr>
            </w:pPr>
            <w:r w:rsidRPr="002D26E3">
              <w:rPr>
                <w:b/>
                <w:bCs/>
              </w:rPr>
              <w:t>3</w:t>
            </w:r>
            <w:r w:rsidR="001E2D56" w:rsidRPr="002D26E3">
              <w:rPr>
                <w:b/>
                <w:bCs/>
              </w:rPr>
              <w:t>1</w:t>
            </w:r>
            <w:r w:rsidRPr="002D26E3">
              <w:rPr>
                <w:b/>
                <w:bCs/>
              </w:rPr>
              <w:t>/</w:t>
            </w:r>
            <w:r w:rsidR="000F6A4B" w:rsidRPr="002D26E3">
              <w:rPr>
                <w:b/>
                <w:bCs/>
              </w:rPr>
              <w:t>03</w:t>
            </w:r>
            <w:r w:rsidRPr="002D26E3">
              <w:rPr>
                <w:b/>
                <w:bCs/>
              </w:rPr>
              <w:t>/20</w:t>
            </w:r>
            <w:r w:rsidR="000F6A4B" w:rsidRPr="002D26E3">
              <w:rPr>
                <w:b/>
                <w:bCs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C03" w:rsidRPr="002D26E3" w:rsidRDefault="001F5C03" w:rsidP="00A21AA7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2D26E3" w:rsidRDefault="001E2D56" w:rsidP="000F6A4B">
            <w:pPr>
              <w:jc w:val="right"/>
              <w:rPr>
                <w:b/>
                <w:bCs/>
              </w:rPr>
            </w:pPr>
            <w:r w:rsidRPr="002D26E3">
              <w:rPr>
                <w:b/>
                <w:bCs/>
              </w:rPr>
              <w:t>31</w:t>
            </w:r>
            <w:r w:rsidR="001F5C03" w:rsidRPr="002D26E3">
              <w:rPr>
                <w:b/>
                <w:bCs/>
              </w:rPr>
              <w:t>/</w:t>
            </w:r>
            <w:r w:rsidR="00187357" w:rsidRPr="002D26E3">
              <w:rPr>
                <w:b/>
                <w:bCs/>
              </w:rPr>
              <w:t>03</w:t>
            </w:r>
            <w:r w:rsidR="001F5C03" w:rsidRPr="002D26E3">
              <w:rPr>
                <w:b/>
                <w:bCs/>
              </w:rPr>
              <w:t>/201</w:t>
            </w:r>
            <w:r w:rsidR="000F6A4B" w:rsidRPr="002D26E3">
              <w:rPr>
                <w:b/>
                <w:bCs/>
              </w:rPr>
              <w:t>9</w:t>
            </w:r>
          </w:p>
        </w:tc>
      </w:tr>
      <w:tr w:rsidR="00C77BA9" w:rsidRPr="002D26E3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7BA9" w:rsidRPr="002D26E3" w:rsidRDefault="00C77BA9" w:rsidP="003A7111">
            <w:r w:rsidRPr="002D26E3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2D26E3" w:rsidRDefault="00C77BA9" w:rsidP="005763DF">
            <w:pPr>
              <w:jc w:val="right"/>
            </w:pPr>
            <w:r w:rsidRPr="002D26E3">
              <w:t>2.709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BA9" w:rsidRPr="002D26E3" w:rsidRDefault="00C77BA9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3566CB" w:rsidRDefault="00C77BA9" w:rsidP="00C77BA9">
            <w:pPr>
              <w:jc w:val="right"/>
            </w:pPr>
            <w:r w:rsidRPr="003566CB">
              <w:t>2.765</w:t>
            </w:r>
          </w:p>
        </w:tc>
      </w:tr>
      <w:tr w:rsidR="00C77BA9" w:rsidRPr="002D26E3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7BA9" w:rsidRPr="002D26E3" w:rsidRDefault="00C77BA9" w:rsidP="003A7111">
            <w:r w:rsidRPr="002D26E3">
              <w:t>Vale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2D26E3" w:rsidRDefault="00C77BA9" w:rsidP="005763DF">
            <w:pPr>
              <w:jc w:val="right"/>
            </w:pPr>
            <w:r w:rsidRPr="002D26E3">
              <w:t>964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BA9" w:rsidRPr="002D26E3" w:rsidRDefault="00C77BA9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3566CB" w:rsidRDefault="00C77BA9" w:rsidP="00C77BA9">
            <w:pPr>
              <w:jc w:val="right"/>
            </w:pPr>
            <w:r w:rsidRPr="003566CB">
              <w:t>932</w:t>
            </w:r>
          </w:p>
        </w:tc>
      </w:tr>
      <w:tr w:rsidR="00C77BA9" w:rsidRPr="002D26E3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7BA9" w:rsidRPr="002D26E3" w:rsidRDefault="00C77BA9" w:rsidP="003A7111">
            <w:r w:rsidRPr="002D26E3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2D26E3" w:rsidRDefault="00C77BA9" w:rsidP="005763DF">
            <w:pPr>
              <w:jc w:val="right"/>
            </w:pPr>
            <w:r w:rsidRPr="002D26E3">
              <w:t>344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BA9" w:rsidRPr="002D26E3" w:rsidRDefault="00C77BA9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3566CB" w:rsidRDefault="00C77BA9" w:rsidP="00C77BA9">
            <w:pPr>
              <w:jc w:val="right"/>
            </w:pPr>
            <w:r w:rsidRPr="003566CB">
              <w:t>353</w:t>
            </w:r>
          </w:p>
        </w:tc>
      </w:tr>
      <w:tr w:rsidR="00C77BA9" w:rsidRPr="002D26E3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7BA9" w:rsidRPr="002D26E3" w:rsidRDefault="00C77BA9" w:rsidP="003A7111">
            <w:r w:rsidRPr="002D26E3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2D26E3" w:rsidRDefault="00C77BA9" w:rsidP="005763DF">
            <w:pPr>
              <w:jc w:val="right"/>
            </w:pPr>
            <w:r w:rsidRPr="002D26E3">
              <w:t>8.560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BA9" w:rsidRPr="002D26E3" w:rsidRDefault="00C77BA9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7BA9" w:rsidRPr="003566CB" w:rsidRDefault="00C77BA9" w:rsidP="00C77BA9">
            <w:pPr>
              <w:jc w:val="right"/>
            </w:pPr>
            <w:r w:rsidRPr="003566CB">
              <w:t>8.306</w:t>
            </w:r>
          </w:p>
        </w:tc>
      </w:tr>
      <w:tr w:rsidR="00C77BA9" w:rsidRPr="002D26E3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7BA9" w:rsidRPr="002D26E3" w:rsidRDefault="00C77BA9" w:rsidP="003A7111">
            <w:r w:rsidRPr="002D26E3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77BA9" w:rsidRPr="002D26E3" w:rsidRDefault="00C77BA9" w:rsidP="005763DF">
            <w:pPr>
              <w:jc w:val="right"/>
            </w:pPr>
            <w:r w:rsidRPr="002D26E3">
              <w:t>7.517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BA9" w:rsidRPr="002D26E3" w:rsidRDefault="00C77BA9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77BA9" w:rsidRPr="003566CB" w:rsidRDefault="00C77BA9" w:rsidP="00C77BA9">
            <w:pPr>
              <w:jc w:val="right"/>
            </w:pPr>
            <w:r w:rsidRPr="003566CB">
              <w:t>7.050</w:t>
            </w:r>
          </w:p>
        </w:tc>
      </w:tr>
      <w:tr w:rsidR="00C77BA9" w:rsidRPr="00C77BA9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BA9" w:rsidRPr="00C77BA9" w:rsidRDefault="00C77BA9" w:rsidP="00A21AA7">
            <w:pPr>
              <w:rPr>
                <w:b/>
                <w:bCs/>
              </w:rPr>
            </w:pPr>
            <w:r w:rsidRPr="00C77BA9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C77BA9" w:rsidRPr="00C77BA9" w:rsidRDefault="00C77BA9" w:rsidP="00126EC4">
            <w:pPr>
              <w:jc w:val="right"/>
              <w:rPr>
                <w:b/>
                <w:bCs/>
              </w:rPr>
            </w:pPr>
            <w:r w:rsidRPr="00C77BA9">
              <w:rPr>
                <w:b/>
                <w:bCs/>
              </w:rPr>
              <w:t>20.094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7BA9" w:rsidRPr="00C77BA9" w:rsidRDefault="00C77BA9" w:rsidP="00A21AA7">
            <w:pPr>
              <w:rPr>
                <w:b/>
                <w:bCs/>
              </w:rPr>
            </w:pPr>
            <w:r w:rsidRPr="00C77BA9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:rsidR="00C77BA9" w:rsidRPr="00C77BA9" w:rsidRDefault="00C77BA9" w:rsidP="00C77BA9">
            <w:pPr>
              <w:jc w:val="right"/>
              <w:rPr>
                <w:b/>
              </w:rPr>
            </w:pPr>
            <w:r w:rsidRPr="00C77BA9">
              <w:rPr>
                <w:b/>
              </w:rPr>
              <w:t>19.406</w:t>
            </w:r>
          </w:p>
        </w:tc>
      </w:tr>
    </w:tbl>
    <w:p w:rsidR="00056B52" w:rsidRPr="002D26E3" w:rsidRDefault="00056B52" w:rsidP="00A21AA7">
      <w:pPr>
        <w:tabs>
          <w:tab w:val="left" w:pos="993"/>
        </w:tabs>
        <w:jc w:val="both"/>
        <w:rPr>
          <w:b/>
          <w:sz w:val="16"/>
          <w:szCs w:val="16"/>
        </w:rPr>
      </w:pPr>
    </w:p>
    <w:p w:rsidR="00056B52" w:rsidRPr="005763DF" w:rsidRDefault="00056B52" w:rsidP="00A21AA7">
      <w:pPr>
        <w:ind w:left="-100"/>
        <w:jc w:val="both"/>
      </w:pPr>
      <w:r w:rsidRPr="002D26E3">
        <w:t>Representa os benefícios a empregados, que são reconhecidos no resultado do período em que ocorre a prestação do serviço do empregado. Como benefício pós-emprego a Instituição oferece plano de previdência privada de aposentadoria complementar.</w:t>
      </w:r>
      <w:r w:rsidRPr="005763DF">
        <w:t xml:space="preserve"> </w:t>
      </w:r>
    </w:p>
    <w:p w:rsidR="009962C3" w:rsidRDefault="009962C3" w:rsidP="00A21AA7">
      <w:pPr>
        <w:rPr>
          <w:b/>
          <w:sz w:val="16"/>
          <w:szCs w:val="16"/>
          <w:u w:val="single"/>
        </w:rPr>
      </w:pPr>
    </w:p>
    <w:p w:rsidR="00187357" w:rsidRPr="00187357" w:rsidRDefault="00187357" w:rsidP="00187357">
      <w:bookmarkStart w:id="50" w:name="_Ref466466697"/>
    </w:p>
    <w:p w:rsidR="00DD7ADA" w:rsidRPr="005A2E85" w:rsidRDefault="00DD7ADA" w:rsidP="00DD7ADA">
      <w:pPr>
        <w:pStyle w:val="Ttulo"/>
        <w:ind w:left="0"/>
        <w:outlineLvl w:val="0"/>
      </w:pPr>
      <w:bookmarkStart w:id="51" w:name="_Toc40804103"/>
      <w:r w:rsidRPr="005A2E85">
        <w:t>Outras Receitas e Despesas</w:t>
      </w:r>
      <w:bookmarkEnd w:id="51"/>
      <w:r w:rsidRPr="005A2E8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DD7ADA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ADA" w:rsidRPr="00DD7ADA" w:rsidRDefault="00DD7ADA" w:rsidP="000F6A4B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</w:t>
            </w:r>
            <w:r w:rsidR="000F6A4B">
              <w:rPr>
                <w:b/>
                <w:bCs/>
              </w:rPr>
              <w:t>03</w:t>
            </w:r>
            <w:r w:rsidRPr="00DD7ADA">
              <w:rPr>
                <w:b/>
                <w:bCs/>
              </w:rPr>
              <w:t>/20</w:t>
            </w:r>
            <w:r w:rsidR="000F6A4B">
              <w:rPr>
                <w:b/>
                <w:bCs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DD7ADA" w:rsidRDefault="00DD7ADA" w:rsidP="001424C2">
            <w:pPr>
              <w:rPr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ADA" w:rsidRPr="00DD7ADA" w:rsidRDefault="00DD7ADA" w:rsidP="000F6A4B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</w:t>
            </w:r>
            <w:r w:rsidR="000F6A4B">
              <w:rPr>
                <w:b/>
                <w:bCs/>
              </w:rPr>
              <w:t>03</w:t>
            </w:r>
            <w:r w:rsidRPr="00DD7ADA">
              <w:rPr>
                <w:b/>
                <w:bCs/>
              </w:rPr>
              <w:t>/201</w:t>
            </w:r>
            <w:r w:rsidR="000F6A4B">
              <w:rPr>
                <w:b/>
                <w:bCs/>
              </w:rPr>
              <w:t>9</w:t>
            </w:r>
          </w:p>
        </w:tc>
      </w:tr>
      <w:tr w:rsidR="00DD7ADA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5B4B06" w:rsidRDefault="00BC5AB6" w:rsidP="005679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1.441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5B4B06" w:rsidRDefault="00187357" w:rsidP="005679CA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1.107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5B4B06" w:rsidRDefault="00BC5AB6" w:rsidP="005679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5B4B06" w:rsidRDefault="00187357" w:rsidP="005679CA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 xml:space="preserve">                 -   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87357">
            <w:r w:rsidRPr="00DD7ADA">
              <w:t xml:space="preserve">   </w:t>
            </w:r>
            <w:r w:rsidRPr="00573785">
              <w:rPr>
                <w:color w:val="000000"/>
              </w:rPr>
              <w:t>Reversão de PECLD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</w:pPr>
            <w:r>
              <w:t>159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</w:pPr>
            <w:r>
              <w:t>4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</w:pPr>
            <w:r>
              <w:t>577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</w:pPr>
            <w:r>
              <w:t>623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 xml:space="preserve">   </w:t>
            </w:r>
            <w:r w:rsidRPr="00573785">
              <w:rPr>
                <w:color w:val="000000"/>
              </w:rPr>
              <w:t>Indenizações e Restituições (Previdência)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</w:pPr>
            <w:r>
              <w:t>2.063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</w:pPr>
            <w:r>
              <w:t>1.512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>Total de Outras Receitas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4.265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/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3.246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pPr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rPr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  <w:rPr>
                <w:b/>
                <w:bCs/>
              </w:rPr>
            </w:pP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87357">
            <w:r w:rsidRPr="00DD7ADA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</w:pPr>
            <w:r>
              <w:t>(53)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</w:pPr>
            <w:r>
              <w:t>(117)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pPr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  <w:rPr>
                <w:sz w:val="16"/>
                <w:szCs w:val="16"/>
              </w:rPr>
            </w:pP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</w:pP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</w:pPr>
            <w:r>
              <w:t>(5)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rPr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</w:pPr>
            <w:r>
              <w:t>(66)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r w:rsidRPr="00DD7ADA">
              <w:t>Baixa de Bens e 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(58)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rPr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(183)</w:t>
            </w:r>
          </w:p>
        </w:tc>
      </w:tr>
      <w:tr w:rsidR="00187357" w:rsidRPr="00DD7ADA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357" w:rsidRPr="00DD7ADA" w:rsidRDefault="00187357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58268C" w:rsidP="001424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4.207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1424C2">
            <w:pPr>
              <w:rPr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87357" w:rsidRPr="00DD7ADA" w:rsidRDefault="00187357" w:rsidP="005679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3.063</w:t>
            </w:r>
          </w:p>
        </w:tc>
      </w:tr>
    </w:tbl>
    <w:p w:rsidR="00DD7ADA" w:rsidRPr="00692C3A" w:rsidRDefault="00DD7ADA" w:rsidP="00DD7ADA">
      <w:pPr>
        <w:pStyle w:val="Ttulo"/>
        <w:ind w:left="0"/>
        <w:outlineLvl w:val="0"/>
      </w:pPr>
      <w:bookmarkStart w:id="52" w:name="_Toc40804104"/>
      <w:bookmarkEnd w:id="50"/>
      <w:r w:rsidRPr="00692C3A">
        <w:lastRenderedPageBreak/>
        <w:t>Resultado Financeiro</w:t>
      </w:r>
      <w:bookmarkEnd w:id="52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0F6A4B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4B" w:rsidRPr="00DD7ADA" w:rsidRDefault="000F6A4B" w:rsidP="001424C2">
            <w:pPr>
              <w:rPr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6A4B" w:rsidRPr="00DD7ADA" w:rsidRDefault="000F6A4B" w:rsidP="008A1483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DD7ADA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4B" w:rsidRPr="00DD7ADA" w:rsidRDefault="000F6A4B" w:rsidP="008A1483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A4B" w:rsidRPr="00DD7ADA" w:rsidRDefault="000F6A4B" w:rsidP="008A1483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DD7ADA">
              <w:rPr>
                <w:b/>
                <w:bCs/>
              </w:rPr>
              <w:t>/201</w:t>
            </w:r>
            <w:r>
              <w:rPr>
                <w:b/>
                <w:bCs/>
              </w:rPr>
              <w:t>9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r w:rsidRPr="00DD7ADA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7C2E" w:rsidP="005679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403</w:t>
            </w: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r w:rsidRPr="00DD7ADA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7C2E" w:rsidP="005679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61</w:t>
            </w: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r w:rsidRPr="00DD7ADA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7C2E" w:rsidP="005679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2.296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135</w:t>
            </w: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E556FE" w:rsidRDefault="0058268C" w:rsidP="005679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2.569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599</w:t>
            </w:r>
          </w:p>
        </w:tc>
      </w:tr>
      <w:tr w:rsidR="0030671A" w:rsidRPr="001128A4" w:rsidTr="000F6A4B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1128A4" w:rsidRDefault="0030671A" w:rsidP="001424C2">
            <w:pPr>
              <w:rPr>
                <w:sz w:val="16"/>
                <w:szCs w:val="16"/>
              </w:rPr>
            </w:pPr>
            <w:r w:rsidRPr="001128A4">
              <w:rPr>
                <w:sz w:val="16"/>
                <w:szCs w:val="16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1128A4" w:rsidRDefault="0030671A" w:rsidP="001424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1128A4" w:rsidRDefault="0030671A" w:rsidP="001424C2">
            <w:pPr>
              <w:rPr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1128A4" w:rsidRDefault="0030671A" w:rsidP="001424C2">
            <w:pPr>
              <w:jc w:val="right"/>
              <w:rPr>
                <w:sz w:val="16"/>
                <w:szCs w:val="16"/>
              </w:rPr>
            </w:pPr>
          </w:p>
        </w:tc>
      </w:tr>
      <w:tr w:rsidR="0030671A" w:rsidRPr="00DD7ADA" w:rsidTr="000F6A4B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r w:rsidRPr="00DD7ADA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jc w:val="right"/>
            </w:pP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r w:rsidRPr="00DD7ADA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7C2E" w:rsidP="001424C2">
            <w:pPr>
              <w:jc w:val="right"/>
            </w:pPr>
            <w:r>
              <w:t>(275)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(585)</w:t>
            </w: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r w:rsidRPr="00DD7ADA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7C2E" w:rsidP="00307C2E">
            <w:pPr>
              <w:jc w:val="right"/>
            </w:pPr>
            <w:r>
              <w:t>(294)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(276)</w:t>
            </w: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DD7ADA" w:rsidRDefault="0058268C" w:rsidP="001424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(569)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(861)</w:t>
            </w:r>
          </w:p>
        </w:tc>
      </w:tr>
      <w:tr w:rsidR="0030671A" w:rsidRPr="00DD7ADA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DD7ADA" w:rsidRDefault="0030671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0671A" w:rsidRPr="00DD7ADA" w:rsidRDefault="0058268C" w:rsidP="001424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DD7ADA" w:rsidRDefault="0030671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0671A" w:rsidRPr="00E556FE" w:rsidRDefault="0030671A" w:rsidP="005679CA">
            <w:pPr>
              <w:jc w:val="right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262</w:t>
            </w:r>
            <w:r w:rsidRPr="005B4B06">
              <w:rPr>
                <w:b/>
                <w:bCs/>
                <w:color w:val="000000"/>
              </w:rPr>
              <w:t>)</w:t>
            </w:r>
          </w:p>
        </w:tc>
      </w:tr>
    </w:tbl>
    <w:p w:rsidR="00A17D31" w:rsidRDefault="00A17D31" w:rsidP="00DD7ADA">
      <w:pPr>
        <w:tabs>
          <w:tab w:val="left" w:pos="851"/>
        </w:tabs>
        <w:jc w:val="both"/>
      </w:pPr>
    </w:p>
    <w:p w:rsidR="00DD7ADA" w:rsidRPr="00DD7ADA" w:rsidRDefault="00DD7ADA" w:rsidP="00DD7ADA">
      <w:pPr>
        <w:tabs>
          <w:tab w:val="left" w:pos="851"/>
        </w:tabs>
        <w:jc w:val="both"/>
      </w:pPr>
      <w:r w:rsidRPr="00DD7ADA">
        <w:t xml:space="preserve">A receita financeira é reconhecida conforme o prazo decorrido pelo regime de competência, usando o método da taxa efetiva de juros. </w:t>
      </w:r>
    </w:p>
    <w:p w:rsidR="00DD7ADA" w:rsidRDefault="00DD7ADA" w:rsidP="00DD7ADA">
      <w:pPr>
        <w:tabs>
          <w:tab w:val="left" w:pos="851"/>
        </w:tabs>
        <w:jc w:val="both"/>
      </w:pPr>
    </w:p>
    <w:p w:rsidR="0030671A" w:rsidRPr="00DD7ADA" w:rsidRDefault="0030671A" w:rsidP="00DD7ADA">
      <w:pPr>
        <w:tabs>
          <w:tab w:val="left" w:pos="851"/>
        </w:tabs>
        <w:jc w:val="both"/>
      </w:pPr>
    </w:p>
    <w:p w:rsidR="001045BD" w:rsidRPr="005679CA" w:rsidRDefault="001045BD" w:rsidP="005A2E85">
      <w:pPr>
        <w:pStyle w:val="Ttulo"/>
        <w:ind w:left="0"/>
        <w:outlineLvl w:val="0"/>
      </w:pPr>
      <w:bookmarkStart w:id="53" w:name="_Toc40804105"/>
      <w:r w:rsidRPr="005679CA">
        <w:t>Seguros de Riscos</w:t>
      </w:r>
      <w:bookmarkEnd w:id="53"/>
      <w:r w:rsidR="00923D20" w:rsidRPr="005679CA">
        <w:t xml:space="preserve"> </w:t>
      </w:r>
    </w:p>
    <w:p w:rsidR="001045BD" w:rsidRPr="005679CA" w:rsidRDefault="001045BD" w:rsidP="001045BD">
      <w:pPr>
        <w:tabs>
          <w:tab w:val="left" w:pos="851"/>
        </w:tabs>
        <w:jc w:val="both"/>
        <w:rPr>
          <w:b/>
        </w:rPr>
      </w:pPr>
    </w:p>
    <w:p w:rsidR="008602D8" w:rsidRPr="005679CA" w:rsidRDefault="008602D8" w:rsidP="008602D8">
      <w:pPr>
        <w:tabs>
          <w:tab w:val="left" w:pos="851"/>
        </w:tabs>
        <w:jc w:val="both"/>
      </w:pPr>
      <w:r w:rsidRPr="005679CA">
        <w:t>Incêndio Vultoso e Riscos Nomeados:</w:t>
      </w:r>
    </w:p>
    <w:p w:rsidR="008602D8" w:rsidRPr="005679CA" w:rsidRDefault="008602D8" w:rsidP="008602D8">
      <w:pPr>
        <w:tabs>
          <w:tab w:val="left" w:pos="851"/>
        </w:tabs>
        <w:jc w:val="both"/>
      </w:pPr>
      <w:r w:rsidRPr="005679CA">
        <w:t xml:space="preserve"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 é de R$ </w:t>
      </w:r>
      <w:r w:rsidR="00455F3E" w:rsidRPr="005679CA">
        <w:t>729</w:t>
      </w:r>
      <w:r w:rsidR="007663E4" w:rsidRPr="005679CA">
        <w:t>.4</w:t>
      </w:r>
      <w:r w:rsidR="00455F3E" w:rsidRPr="005679CA">
        <w:t>27</w:t>
      </w:r>
      <w:r w:rsidRPr="005679CA">
        <w:t xml:space="preserve"> e a vigência da apólice é de 01 de junho de </w:t>
      </w:r>
      <w:r w:rsidR="00C96BA3" w:rsidRPr="005679CA">
        <w:t>201</w:t>
      </w:r>
      <w:r w:rsidR="00B14B0D" w:rsidRPr="005679CA">
        <w:t>9</w:t>
      </w:r>
      <w:r w:rsidRPr="005679CA">
        <w:t xml:space="preserve"> a 01 de junho de 20</w:t>
      </w:r>
      <w:r w:rsidR="00B14B0D" w:rsidRPr="005679CA">
        <w:t>20</w:t>
      </w:r>
      <w:r w:rsidRPr="005679CA">
        <w:t>.</w:t>
      </w:r>
    </w:p>
    <w:p w:rsidR="008602D8" w:rsidRPr="005679CA" w:rsidRDefault="008602D8" w:rsidP="008602D8">
      <w:pPr>
        <w:tabs>
          <w:tab w:val="left" w:pos="851"/>
        </w:tabs>
        <w:jc w:val="both"/>
      </w:pPr>
    </w:p>
    <w:p w:rsidR="008602D8" w:rsidRPr="005679CA" w:rsidRDefault="008602D8" w:rsidP="008602D8">
      <w:pPr>
        <w:tabs>
          <w:tab w:val="left" w:pos="851"/>
        </w:tabs>
        <w:jc w:val="both"/>
      </w:pPr>
      <w:r w:rsidRPr="005679CA">
        <w:t>Responsabilidade Civil:</w:t>
      </w:r>
    </w:p>
    <w:p w:rsidR="000361F7" w:rsidRDefault="008602D8" w:rsidP="000361F7">
      <w:pPr>
        <w:tabs>
          <w:tab w:val="left" w:pos="851"/>
        </w:tabs>
        <w:jc w:val="both"/>
      </w:pPr>
      <w:r w:rsidRPr="005679CA">
        <w:t xml:space="preserve">Cobertura garantindo pagamento de indenização de Responsabilidade Civil com vigência de 01 de </w:t>
      </w:r>
      <w:r w:rsidR="009234CF" w:rsidRPr="005679CA">
        <w:t>setembro</w:t>
      </w:r>
      <w:r w:rsidRPr="005679CA">
        <w:t xml:space="preserve"> de </w:t>
      </w:r>
      <w:r w:rsidR="00C96BA3" w:rsidRPr="005679CA">
        <w:t>201</w:t>
      </w:r>
      <w:r w:rsidR="00B14B0D" w:rsidRPr="005679CA">
        <w:t>9</w:t>
      </w:r>
      <w:r w:rsidRPr="005679CA">
        <w:t xml:space="preserve"> a 01 de </w:t>
      </w:r>
      <w:r w:rsidR="009234CF" w:rsidRPr="005679CA">
        <w:t>setembro</w:t>
      </w:r>
      <w:r w:rsidRPr="005679CA">
        <w:t xml:space="preserve"> de 20</w:t>
      </w:r>
      <w:r w:rsidR="00B14B0D" w:rsidRPr="005679CA">
        <w:t>20</w:t>
      </w:r>
      <w:r w:rsidRPr="005679CA">
        <w:t>. A importância segurada é de R$ 13.277</w:t>
      </w:r>
      <w:r w:rsidR="00534046" w:rsidRPr="005679CA">
        <w:t>.</w:t>
      </w:r>
    </w:p>
    <w:p w:rsidR="002879B5" w:rsidRDefault="002879B5" w:rsidP="000361F7">
      <w:pPr>
        <w:tabs>
          <w:tab w:val="left" w:pos="851"/>
        </w:tabs>
        <w:jc w:val="both"/>
      </w:pPr>
    </w:p>
    <w:p w:rsidR="005518AF" w:rsidRDefault="005518AF" w:rsidP="000361F7">
      <w:pPr>
        <w:tabs>
          <w:tab w:val="left" w:pos="851"/>
        </w:tabs>
        <w:jc w:val="both"/>
      </w:pPr>
    </w:p>
    <w:p w:rsidR="002879B5" w:rsidRDefault="002879B5" w:rsidP="002879B5">
      <w:pPr>
        <w:pStyle w:val="Ttulo"/>
        <w:ind w:left="0"/>
        <w:outlineLvl w:val="0"/>
      </w:pPr>
      <w:bookmarkStart w:id="54" w:name="_Toc40804106"/>
      <w:r>
        <w:t>Impactos – COVID 19</w:t>
      </w:r>
      <w:bookmarkEnd w:id="54"/>
    </w:p>
    <w:p w:rsidR="005518AF" w:rsidRPr="005518AF" w:rsidRDefault="005518AF" w:rsidP="005518AF"/>
    <w:p w:rsidR="002879B5" w:rsidRDefault="002879B5" w:rsidP="002879B5">
      <w:pPr>
        <w:jc w:val="both"/>
      </w:pPr>
      <w:r>
        <w:t>Em função da pandemia do novo Coronavírus, declarada em 11 de março de 2020 pela Organização Mundial da Saúde, em 13 de março de 2020 o HCPA recebeu através da Medida Provisória nº 924 (</w:t>
      </w:r>
      <w:r w:rsidRPr="001522DD">
        <w:t>Enfrentamento da Emergência de Saúde Pública de Importância Internacional Decorrente do Coronavírus</w:t>
      </w:r>
      <w:r>
        <w:t>) crédito extraordinário no valor de R$ 57 milhões para custeio e investimento, com o objetivo de instalação de 105 leitos de terapia intensiva.</w:t>
      </w:r>
    </w:p>
    <w:p w:rsidR="002879B5" w:rsidRDefault="002879B5" w:rsidP="002879B5">
      <w:pPr>
        <w:jc w:val="both"/>
      </w:pPr>
    </w:p>
    <w:p w:rsidR="002879B5" w:rsidRDefault="004D646F" w:rsidP="002879B5">
      <w:pPr>
        <w:jc w:val="both"/>
      </w:pPr>
      <w:r>
        <w:t>A</w:t>
      </w:r>
      <w:r w:rsidR="002879B5">
        <w:t>té 31</w:t>
      </w:r>
      <w:r>
        <w:t xml:space="preserve"> de março de 2020</w:t>
      </w:r>
      <w:r w:rsidR="002879B5">
        <w:t xml:space="preserve"> a i</w:t>
      </w:r>
      <w:r>
        <w:t xml:space="preserve">nstituição empenhou </w:t>
      </w:r>
      <w:r w:rsidR="002879B5">
        <w:t xml:space="preserve">R$ 39.004 mil. </w:t>
      </w:r>
      <w:r>
        <w:t>D</w:t>
      </w:r>
      <w:r w:rsidR="002879B5">
        <w:t>este</w:t>
      </w:r>
      <w:r>
        <w:t xml:space="preserve"> montante, </w:t>
      </w:r>
      <w:r w:rsidR="002879B5">
        <w:t>R$ 1.12</w:t>
      </w:r>
      <w:r>
        <w:t>9</w:t>
      </w:r>
      <w:r w:rsidR="002879B5">
        <w:t xml:space="preserve"> </w:t>
      </w:r>
      <w:r>
        <w:t xml:space="preserve">mil </w:t>
      </w:r>
      <w:r w:rsidR="002879B5">
        <w:t>já e</w:t>
      </w:r>
      <w:r>
        <w:t xml:space="preserve">stavam liquidados </w:t>
      </w:r>
      <w:r w:rsidR="002879B5">
        <w:t>e R$ 250</w:t>
      </w:r>
      <w:r>
        <w:t xml:space="preserve"> mil</w:t>
      </w:r>
      <w:r w:rsidR="002879B5">
        <w:t xml:space="preserve"> já </w:t>
      </w:r>
      <w:r>
        <w:t>havia sido pago</w:t>
      </w:r>
      <w:r w:rsidR="002879B5">
        <w:t xml:space="preserve"> a fornecedores.</w:t>
      </w:r>
    </w:p>
    <w:p w:rsidR="004D646F" w:rsidRDefault="004D646F" w:rsidP="002879B5">
      <w:pPr>
        <w:jc w:val="both"/>
      </w:pPr>
    </w:p>
    <w:p w:rsidR="004D646F" w:rsidRDefault="004D646F" w:rsidP="004D646F">
      <w:pPr>
        <w:jc w:val="both"/>
      </w:pPr>
      <w:r>
        <w:t>Adicionalmente, por meio da Portaria do Ministério da Economia nº 8767, de 30 de março de 2020, foi autorizada a contratação temporária por 2 anos de 775 profissionais para atendimento dos leitos criados para pacientes da Covid-19.</w:t>
      </w:r>
    </w:p>
    <w:p w:rsidR="004D646F" w:rsidRDefault="004D646F" w:rsidP="002879B5">
      <w:pPr>
        <w:jc w:val="both"/>
      </w:pPr>
    </w:p>
    <w:p w:rsidR="002879B5" w:rsidRDefault="002879B5" w:rsidP="002879B5">
      <w:pPr>
        <w:jc w:val="both"/>
      </w:pPr>
      <w:r>
        <w:t>Até 3</w:t>
      </w:r>
      <w:r w:rsidR="004D646F">
        <w:t>1</w:t>
      </w:r>
      <w:r>
        <w:t xml:space="preserve"> de março de 2020</w:t>
      </w:r>
      <w:r w:rsidR="004D646F">
        <w:t>,</w:t>
      </w:r>
      <w:r>
        <w:t xml:space="preserve"> o</w:t>
      </w:r>
      <w:r w:rsidR="004D646F">
        <w:t>s principais</w:t>
      </w:r>
      <w:r>
        <w:t xml:space="preserve"> impacto</w:t>
      </w:r>
      <w:r w:rsidR="004D646F">
        <w:t>s</w:t>
      </w:r>
      <w:r>
        <w:t xml:space="preserve"> nas contas contábeis da instituição </w:t>
      </w:r>
      <w:r w:rsidR="004D646F">
        <w:t xml:space="preserve">foram </w:t>
      </w:r>
      <w:r>
        <w:t>nos</w:t>
      </w:r>
      <w:r w:rsidR="004D646F">
        <w:t xml:space="preserve"> saldos dos seguintes grupos</w:t>
      </w:r>
      <w:r>
        <w:t>:</w:t>
      </w:r>
    </w:p>
    <w:p w:rsidR="008D396B" w:rsidRDefault="008D396B" w:rsidP="002879B5">
      <w:pPr>
        <w:jc w:val="both"/>
      </w:pPr>
    </w:p>
    <w:p w:rsidR="002879B5" w:rsidRDefault="0055019B" w:rsidP="002879B5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</w:pPr>
      <w:r>
        <w:t>Conta Única – N</w:t>
      </w:r>
      <w:r w:rsidR="002879B5">
        <w:t>ota nº 5;</w:t>
      </w:r>
    </w:p>
    <w:p w:rsidR="002879B5" w:rsidRDefault="002879B5" w:rsidP="002879B5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</w:pPr>
      <w:r>
        <w:t xml:space="preserve">Estoques – Material de Consumo – </w:t>
      </w:r>
      <w:r w:rsidR="0055019B">
        <w:t>N</w:t>
      </w:r>
      <w:r>
        <w:t>ota nº 8;</w:t>
      </w:r>
    </w:p>
    <w:p w:rsidR="002879B5" w:rsidRDefault="002879B5" w:rsidP="002879B5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</w:pPr>
      <w:r>
        <w:t>Imobilizado –</w:t>
      </w:r>
      <w:r w:rsidR="008D396B">
        <w:t xml:space="preserve"> </w:t>
      </w:r>
      <w:r w:rsidR="0055019B">
        <w:t xml:space="preserve">Nota </w:t>
      </w:r>
      <w:r>
        <w:t>nº 9;</w:t>
      </w:r>
    </w:p>
    <w:p w:rsidR="002879B5" w:rsidRDefault="002879B5" w:rsidP="002879B5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</w:pPr>
      <w:r>
        <w:t xml:space="preserve">Fornecedores – </w:t>
      </w:r>
      <w:r w:rsidR="0055019B">
        <w:t>N</w:t>
      </w:r>
      <w:r>
        <w:t xml:space="preserve">ota nº </w:t>
      </w:r>
      <w:r w:rsidR="0055019B">
        <w:t>11</w:t>
      </w:r>
      <w:r>
        <w:t>;</w:t>
      </w:r>
    </w:p>
    <w:p w:rsidR="002879B5" w:rsidRDefault="002879B5" w:rsidP="002879B5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</w:pPr>
      <w:r>
        <w:t xml:space="preserve">Consumo de materiais – </w:t>
      </w:r>
      <w:r w:rsidR="0055019B">
        <w:t>N</w:t>
      </w:r>
      <w:r>
        <w:t xml:space="preserve">ota nº </w:t>
      </w:r>
      <w:r w:rsidR="0055019B">
        <w:t>17.</w:t>
      </w:r>
    </w:p>
    <w:p w:rsidR="002879B5" w:rsidRDefault="008D396B" w:rsidP="002879B5">
      <w:pPr>
        <w:jc w:val="both"/>
      </w:pPr>
      <w:r>
        <w:lastRenderedPageBreak/>
        <w:t xml:space="preserve">Os </w:t>
      </w:r>
      <w:r w:rsidR="002879B5">
        <w:t xml:space="preserve">impactos já mensurados </w:t>
      </w:r>
      <w:r>
        <w:t>se referem</w:t>
      </w:r>
      <w:r w:rsidR="002879B5">
        <w:t xml:space="preserve"> à redução na taxa de ocupação dos leitos, </w:t>
      </w:r>
      <w:r>
        <w:t xml:space="preserve">a qual gerará </w:t>
      </w:r>
      <w:r w:rsidR="002879B5">
        <w:t xml:space="preserve">redução prevista de 35% </w:t>
      </w:r>
      <w:r>
        <w:t>n</w:t>
      </w:r>
      <w:r w:rsidR="002879B5">
        <w:t xml:space="preserve">o faturamento de contas hospitalares para convênios e particulares, aumento do consumo de materiais e gastos com prestação de serviços de terceiros não </w:t>
      </w:r>
      <w:r>
        <w:t xml:space="preserve">previstos no fluxo </w:t>
      </w:r>
      <w:r w:rsidR="002879B5">
        <w:t>orçamentário financeiro de 2020.</w:t>
      </w:r>
    </w:p>
    <w:p w:rsidR="002879B5" w:rsidRPr="005679CA" w:rsidRDefault="002879B5" w:rsidP="000361F7">
      <w:pPr>
        <w:tabs>
          <w:tab w:val="left" w:pos="851"/>
        </w:tabs>
        <w:jc w:val="both"/>
      </w:pPr>
    </w:p>
    <w:p w:rsidR="005679CA" w:rsidRPr="005679CA" w:rsidRDefault="005679CA" w:rsidP="000361F7">
      <w:pPr>
        <w:tabs>
          <w:tab w:val="left" w:pos="851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AB07CD" w:rsidRPr="00B13EAB" w:rsidTr="004D6936">
        <w:trPr>
          <w:trHeight w:val="70"/>
        </w:trPr>
        <w:tc>
          <w:tcPr>
            <w:tcW w:w="8613" w:type="dxa"/>
          </w:tcPr>
          <w:p w:rsidR="002E09ED" w:rsidRPr="00B13EAB" w:rsidRDefault="002E09ED" w:rsidP="004D6936">
            <w:pPr>
              <w:jc w:val="center"/>
            </w:pPr>
            <w:bookmarkStart w:id="55" w:name="_Toc457909667"/>
            <w:bookmarkStart w:id="56" w:name="_Toc457910655"/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r w:rsidRPr="00B13EAB">
              <w:t>Prof</w:t>
            </w:r>
            <w:r>
              <w:t>ª</w:t>
            </w:r>
            <w:r w:rsidRPr="00B13EAB">
              <w:t xml:space="preserve">. </w:t>
            </w:r>
            <w:bookmarkEnd w:id="55"/>
            <w:bookmarkEnd w:id="56"/>
            <w:r w:rsidRPr="00B13EAB">
              <w:t>Nadine Oliveira Clausell</w:t>
            </w: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33B83" w:rsidRDefault="00A33B83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72"/>
              <w:gridCol w:w="4225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 w:rsidRPr="00B13EAB">
                    <w:t>Me. Jorge Luis Bajerski</w:t>
                  </w:r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ED09EB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08"/>
              <w:gridCol w:w="4189"/>
            </w:tblGrid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E39A8" w:rsidP="000D0348">
                  <w:pPr>
                    <w:jc w:val="center"/>
                  </w:pPr>
                  <w:r w:rsidRPr="00746F84">
                    <w:t>Luciana Raupp Rios Wohlgemuth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E39A8" w:rsidP="000D0348">
                  <w:pPr>
                    <w:jc w:val="center"/>
                  </w:pPr>
                  <w:r>
                    <w:t>Juliana Zwetsch</w:t>
                  </w:r>
                </w:p>
              </w:tc>
            </w:tr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44110A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6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5A" w:rsidRDefault="005F5B5A">
      <w:r>
        <w:separator/>
      </w:r>
    </w:p>
  </w:endnote>
  <w:endnote w:type="continuationSeparator" w:id="0">
    <w:p w:rsidR="005F5B5A" w:rsidRDefault="005F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961672"/>
      <w:docPartObj>
        <w:docPartGallery w:val="Page Numbers (Bottom of Page)"/>
        <w:docPartUnique/>
      </w:docPartObj>
    </w:sdtPr>
    <w:sdtEndPr/>
    <w:sdtContent>
      <w:p w:rsidR="005F5B5A" w:rsidRDefault="005F5B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CE">
          <w:rPr>
            <w:noProof/>
          </w:rPr>
          <w:t>5</w:t>
        </w:r>
        <w:r>
          <w:fldChar w:fldCharType="end"/>
        </w:r>
      </w:p>
    </w:sdtContent>
  </w:sdt>
  <w:p w:rsidR="005F5B5A" w:rsidRDefault="005F5B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5F5B5A" w:rsidP="000C0BDC">
    <w:pPr>
      <w:pStyle w:val="Rodap"/>
      <w:jc w:val="right"/>
    </w:pPr>
  </w:p>
  <w:p w:rsidR="005F5B5A" w:rsidRDefault="005F5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5A" w:rsidRDefault="005F5B5A">
      <w:r>
        <w:separator/>
      </w:r>
    </w:p>
  </w:footnote>
  <w:footnote w:type="continuationSeparator" w:id="0">
    <w:p w:rsidR="005F5B5A" w:rsidRDefault="005F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5F5B5A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3BC2AAC8" wp14:editId="361E8822">
          <wp:simplePos x="0" y="0"/>
          <wp:positionH relativeFrom="column">
            <wp:posOffset>-889000</wp:posOffset>
          </wp:positionH>
          <wp:positionV relativeFrom="paragraph">
            <wp:posOffset>-121920</wp:posOffset>
          </wp:positionV>
          <wp:extent cx="6974840" cy="1131570"/>
          <wp:effectExtent l="0" t="0" r="0" b="0"/>
          <wp:wrapThrough wrapText="bothSides">
            <wp:wrapPolygon edited="0">
              <wp:start x="0" y="0"/>
              <wp:lineTo x="0" y="21091"/>
              <wp:lineTo x="21533" y="21091"/>
              <wp:lineTo x="21533" y="0"/>
              <wp:lineTo x="0" y="0"/>
            </wp:wrapPolygon>
          </wp:wrapThrough>
          <wp:docPr id="8" name="Imagem 8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4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5B5A" w:rsidRDefault="005F5B5A" w:rsidP="009F4A48">
    <w:pPr>
      <w:pStyle w:val="Cabealho"/>
    </w:pPr>
  </w:p>
  <w:p w:rsidR="005F5B5A" w:rsidRDefault="005F5B5A" w:rsidP="002A4D93">
    <w:pPr>
      <w:pStyle w:val="Ttulo2"/>
      <w:jc w:val="left"/>
      <w:rPr>
        <w:b w:val="0"/>
        <w:sz w:val="20"/>
      </w:rPr>
    </w:pPr>
  </w:p>
  <w:p w:rsidR="005F5B5A" w:rsidRDefault="005F5B5A" w:rsidP="002A4D93">
    <w:pPr>
      <w:pStyle w:val="Ttulo2"/>
      <w:jc w:val="left"/>
      <w:rPr>
        <w:b w:val="0"/>
        <w:sz w:val="20"/>
      </w:rPr>
    </w:pPr>
  </w:p>
  <w:p w:rsidR="005F5B5A" w:rsidRDefault="005F5B5A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5F5B5A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4C595326" wp14:editId="19D7A7A2">
          <wp:simplePos x="0" y="0"/>
          <wp:positionH relativeFrom="column">
            <wp:posOffset>-751840</wp:posOffset>
          </wp:positionH>
          <wp:positionV relativeFrom="paragraph">
            <wp:posOffset>-38735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9" name="Imagem 9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F5B5A" w:rsidRDefault="005F5B5A" w:rsidP="00E44829">
    <w:pPr>
      <w:pStyle w:val="Cabealho"/>
    </w:pPr>
  </w:p>
  <w:p w:rsidR="005F5B5A" w:rsidRDefault="005F5B5A" w:rsidP="00E44829">
    <w:pPr>
      <w:pStyle w:val="Cabealho"/>
    </w:pPr>
  </w:p>
  <w:p w:rsidR="005F5B5A" w:rsidRDefault="005F5B5A" w:rsidP="00E44829">
    <w:pPr>
      <w:pStyle w:val="Cabealho"/>
    </w:pPr>
  </w:p>
  <w:p w:rsidR="005F5B5A" w:rsidRDefault="000224CE" w:rsidP="00E44829">
    <w:pPr>
      <w:pStyle w:val="Cabealho"/>
    </w:pPr>
    <w:sdt>
      <w:sdtPr>
        <w:id w:val="-1784036474"/>
        <w:docPartObj>
          <w:docPartGallery w:val="Page Numbers (Margins)"/>
          <w:docPartUnique/>
        </w:docPartObj>
      </w:sdtPr>
      <w:sdtEndPr/>
      <w:sdtContent>
        <w:r w:rsidR="005F5B5A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0146A8A1" wp14:editId="0EBFD38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B5A" w:rsidRDefault="005F5B5A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46A8A1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5F5B5A" w:rsidRDefault="005F5B5A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F5B5A" w:rsidRDefault="005F5B5A" w:rsidP="00E44829">
    <w:pPr>
      <w:pStyle w:val="Cabealho"/>
    </w:pPr>
  </w:p>
  <w:p w:rsidR="005F5B5A" w:rsidRDefault="005F5B5A" w:rsidP="00E448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5F5B5A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219304" wp14:editId="5311EAA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1" name="Imagem 1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5B5A" w:rsidRDefault="005F5B5A" w:rsidP="009F4A48">
    <w:pPr>
      <w:pStyle w:val="Cabealho"/>
    </w:pPr>
  </w:p>
  <w:p w:rsidR="005F5B5A" w:rsidRDefault="005F5B5A" w:rsidP="002A4D93">
    <w:pPr>
      <w:pStyle w:val="Ttulo2"/>
      <w:jc w:val="left"/>
      <w:rPr>
        <w:b w:val="0"/>
        <w:sz w:val="20"/>
      </w:rPr>
    </w:pPr>
  </w:p>
  <w:p w:rsidR="005F5B5A" w:rsidRDefault="005F5B5A" w:rsidP="002A4D93">
    <w:pPr>
      <w:pStyle w:val="Ttulo2"/>
      <w:jc w:val="left"/>
      <w:rPr>
        <w:b w:val="0"/>
        <w:sz w:val="20"/>
      </w:rPr>
    </w:pPr>
  </w:p>
  <w:p w:rsidR="005F5B5A" w:rsidRDefault="005F5B5A" w:rsidP="004A62B9">
    <w:pPr>
      <w:pStyle w:val="Ttulo2"/>
      <w:jc w:val="left"/>
      <w:rPr>
        <w:sz w:val="20"/>
      </w:rPr>
    </w:pPr>
  </w:p>
  <w:p w:rsidR="005F5B5A" w:rsidRDefault="005F5B5A" w:rsidP="00DC261B">
    <w:pPr>
      <w:pStyle w:val="Ttulo1"/>
      <w:jc w:val="left"/>
    </w:pPr>
    <w:r>
      <w:t>Demonstrações Financeiras</w:t>
    </w:r>
  </w:p>
  <w:p w:rsidR="005F5B5A" w:rsidRPr="00F44460" w:rsidRDefault="005F5B5A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31 de março</w:t>
    </w:r>
    <w:r w:rsidRPr="00F44460">
      <w:rPr>
        <w:sz w:val="20"/>
      </w:rPr>
      <w:t xml:space="preserve"> </w:t>
    </w:r>
    <w:r>
      <w:rPr>
        <w:sz w:val="20"/>
      </w:rPr>
      <w:t>de 2020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:rsidR="005F5B5A" w:rsidRPr="009F4A48" w:rsidRDefault="005F5B5A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0224CE" w:rsidP="00E44829">
    <w:pPr>
      <w:pStyle w:val="Cabealho"/>
    </w:pPr>
    <w:sdt>
      <w:sdtPr>
        <w:id w:val="1564522561"/>
        <w:docPartObj>
          <w:docPartGallery w:val="Page Numbers (Margins)"/>
          <w:docPartUnique/>
        </w:docPartObj>
      </w:sdtPr>
      <w:sdtEndPr/>
      <w:sdtContent>
        <w:r w:rsidR="005F5B5A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716454B2" wp14:editId="311221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B5A" w:rsidRPr="009D32C1" w:rsidRDefault="005F5B5A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6454B2"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5F5B5A" w:rsidRPr="009D32C1" w:rsidRDefault="005F5B5A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B5A">
      <w:rPr>
        <w:noProof/>
      </w:rPr>
      <w:drawing>
        <wp:anchor distT="0" distB="0" distL="114300" distR="114300" simplePos="0" relativeHeight="251655168" behindDoc="1" locked="0" layoutInCell="1" allowOverlap="1" wp14:anchorId="1FA7C078" wp14:editId="018F6CE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2" name="Imagem 1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5B5A" w:rsidRDefault="005F5B5A" w:rsidP="00E44829">
    <w:pPr>
      <w:pStyle w:val="Cabealho"/>
    </w:pPr>
  </w:p>
  <w:p w:rsidR="005F5B5A" w:rsidRDefault="005F5B5A" w:rsidP="00E44829">
    <w:pPr>
      <w:pStyle w:val="Cabealho"/>
    </w:pPr>
  </w:p>
  <w:p w:rsidR="005F5B5A" w:rsidRDefault="005F5B5A" w:rsidP="00E44829">
    <w:pPr>
      <w:pStyle w:val="Ttulo2"/>
      <w:jc w:val="left"/>
      <w:rPr>
        <w:b w:val="0"/>
        <w:sz w:val="20"/>
      </w:rPr>
    </w:pPr>
  </w:p>
  <w:p w:rsidR="005F5B5A" w:rsidRDefault="005F5B5A" w:rsidP="00E44829">
    <w:pPr>
      <w:pStyle w:val="Ttulo2"/>
      <w:jc w:val="left"/>
      <w:rPr>
        <w:b w:val="0"/>
        <w:sz w:val="20"/>
      </w:rPr>
    </w:pPr>
  </w:p>
  <w:p w:rsidR="005F5B5A" w:rsidRPr="00CD7310" w:rsidRDefault="005F5B5A" w:rsidP="00DC261B">
    <w:pPr>
      <w:pStyle w:val="Ttulo1"/>
      <w:jc w:val="left"/>
    </w:pPr>
    <w:r>
      <w:t>Demonstrações Financeiras</w:t>
    </w:r>
  </w:p>
  <w:p w:rsidR="005F5B5A" w:rsidRDefault="005F5B5A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5F5B5A" w:rsidRPr="00A82EFE" w:rsidRDefault="005F5B5A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0224CE" w:rsidP="00E44829">
    <w:pPr>
      <w:pStyle w:val="Cabealho"/>
    </w:pPr>
    <w:sdt>
      <w:sdtPr>
        <w:id w:val="108561137"/>
        <w:docPartObj>
          <w:docPartGallery w:val="Page Numbers (Margins)"/>
          <w:docPartUnique/>
        </w:docPartObj>
      </w:sdtPr>
      <w:sdtEndPr/>
      <w:sdtContent>
        <w:r w:rsidR="005F5B5A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76517AF5" wp14:editId="2EE70D2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B5A" w:rsidRPr="009D32C1" w:rsidRDefault="005F5B5A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517AF5"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5F5B5A" w:rsidRPr="009D32C1" w:rsidRDefault="005F5B5A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B5A">
      <w:rPr>
        <w:noProof/>
      </w:rPr>
      <w:drawing>
        <wp:anchor distT="0" distB="0" distL="114300" distR="114300" simplePos="0" relativeHeight="251663360" behindDoc="1" locked="0" layoutInCell="1" allowOverlap="1" wp14:anchorId="70F16C9C" wp14:editId="78E080C6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3" name="Imagem 1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5B5A" w:rsidRDefault="005F5B5A" w:rsidP="00E44829">
    <w:pPr>
      <w:pStyle w:val="Cabealho"/>
    </w:pPr>
  </w:p>
  <w:p w:rsidR="005F5B5A" w:rsidRDefault="005F5B5A" w:rsidP="00E44829">
    <w:pPr>
      <w:pStyle w:val="Cabealho"/>
    </w:pPr>
  </w:p>
  <w:p w:rsidR="005F5B5A" w:rsidRDefault="005F5B5A" w:rsidP="00E44829">
    <w:pPr>
      <w:pStyle w:val="Ttulo2"/>
      <w:jc w:val="left"/>
      <w:rPr>
        <w:b w:val="0"/>
        <w:sz w:val="20"/>
      </w:rPr>
    </w:pPr>
  </w:p>
  <w:p w:rsidR="005F5B5A" w:rsidRDefault="005F5B5A" w:rsidP="00E44829">
    <w:pPr>
      <w:pStyle w:val="Ttulo2"/>
      <w:jc w:val="left"/>
      <w:rPr>
        <w:b w:val="0"/>
        <w:sz w:val="20"/>
      </w:rPr>
    </w:pPr>
  </w:p>
  <w:p w:rsidR="005F5B5A" w:rsidRPr="00CD7310" w:rsidRDefault="005F5B5A" w:rsidP="00DC261B">
    <w:pPr>
      <w:pStyle w:val="Ttulo1"/>
      <w:jc w:val="left"/>
    </w:pPr>
    <w:r>
      <w:t>Demonstrações Financeiras</w:t>
    </w:r>
  </w:p>
  <w:p w:rsidR="005F5B5A" w:rsidRPr="00F44460" w:rsidRDefault="005F5B5A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5F5B5A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4B199C50" wp14:editId="308E901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6" name="Imagem 6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5B5A" w:rsidRDefault="005F5B5A" w:rsidP="00E44829">
    <w:pPr>
      <w:pStyle w:val="Cabealho"/>
    </w:pPr>
  </w:p>
  <w:p w:rsidR="005F5B5A" w:rsidRDefault="005F5B5A" w:rsidP="00E44829">
    <w:pPr>
      <w:pStyle w:val="Cabealho"/>
    </w:pPr>
  </w:p>
  <w:p w:rsidR="005F5B5A" w:rsidRDefault="005F5B5A" w:rsidP="00E44829">
    <w:pPr>
      <w:pStyle w:val="Ttulo2"/>
      <w:jc w:val="left"/>
      <w:rPr>
        <w:b w:val="0"/>
        <w:sz w:val="20"/>
      </w:rPr>
    </w:pPr>
  </w:p>
  <w:p w:rsidR="005F5B5A" w:rsidRDefault="005F5B5A" w:rsidP="00E44829">
    <w:pPr>
      <w:pStyle w:val="Ttulo2"/>
      <w:jc w:val="left"/>
      <w:rPr>
        <w:b w:val="0"/>
        <w:sz w:val="20"/>
      </w:rPr>
    </w:pPr>
  </w:p>
  <w:p w:rsidR="005F5B5A" w:rsidRDefault="005F5B5A" w:rsidP="00CD7310">
    <w:pPr>
      <w:pStyle w:val="Ttulo1"/>
      <w:jc w:val="left"/>
    </w:pPr>
    <w:r>
      <w:t xml:space="preserve">Demonstrações Financeiras </w:t>
    </w:r>
  </w:p>
  <w:p w:rsidR="005F5B5A" w:rsidRDefault="005F5B5A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B5B0C5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8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FDF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0F28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4CE"/>
    <w:rsid w:val="00022734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962"/>
    <w:rsid w:val="00050EB8"/>
    <w:rsid w:val="00051164"/>
    <w:rsid w:val="0005119E"/>
    <w:rsid w:val="000525D3"/>
    <w:rsid w:val="00052924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6181"/>
    <w:rsid w:val="0005629C"/>
    <w:rsid w:val="00056513"/>
    <w:rsid w:val="00056948"/>
    <w:rsid w:val="00056B52"/>
    <w:rsid w:val="00056EC4"/>
    <w:rsid w:val="00056F6E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537F"/>
    <w:rsid w:val="00075754"/>
    <w:rsid w:val="00075C79"/>
    <w:rsid w:val="00076374"/>
    <w:rsid w:val="000769AF"/>
    <w:rsid w:val="00076C3A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5D04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2F4"/>
    <w:rsid w:val="000904B1"/>
    <w:rsid w:val="00090784"/>
    <w:rsid w:val="00090C52"/>
    <w:rsid w:val="00090D2C"/>
    <w:rsid w:val="000910A9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BED"/>
    <w:rsid w:val="00096CF3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7AA"/>
    <w:rsid w:val="000A585F"/>
    <w:rsid w:val="000A5870"/>
    <w:rsid w:val="000A5ADD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EC5"/>
    <w:rsid w:val="000C594B"/>
    <w:rsid w:val="000C594E"/>
    <w:rsid w:val="000C5ABB"/>
    <w:rsid w:val="000C5CE1"/>
    <w:rsid w:val="000C614B"/>
    <w:rsid w:val="000C620F"/>
    <w:rsid w:val="000C668A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DF5"/>
    <w:rsid w:val="000C7EFA"/>
    <w:rsid w:val="000D0161"/>
    <w:rsid w:val="000D0348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4DD"/>
    <w:rsid w:val="000D3571"/>
    <w:rsid w:val="000D371E"/>
    <w:rsid w:val="000D3E9E"/>
    <w:rsid w:val="000D416A"/>
    <w:rsid w:val="000D51BF"/>
    <w:rsid w:val="000D54A8"/>
    <w:rsid w:val="000D5A64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69E"/>
    <w:rsid w:val="000E08AA"/>
    <w:rsid w:val="000E0F7E"/>
    <w:rsid w:val="000E1039"/>
    <w:rsid w:val="000E10ED"/>
    <w:rsid w:val="000E151B"/>
    <w:rsid w:val="000E16A3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A9A"/>
    <w:rsid w:val="000F2106"/>
    <w:rsid w:val="000F2351"/>
    <w:rsid w:val="000F24A1"/>
    <w:rsid w:val="000F2629"/>
    <w:rsid w:val="000F2FF5"/>
    <w:rsid w:val="000F30DA"/>
    <w:rsid w:val="000F3263"/>
    <w:rsid w:val="000F35FF"/>
    <w:rsid w:val="000F3C99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A4B"/>
    <w:rsid w:val="000F6B4D"/>
    <w:rsid w:val="000F7413"/>
    <w:rsid w:val="000F7502"/>
    <w:rsid w:val="000F7767"/>
    <w:rsid w:val="000F77D8"/>
    <w:rsid w:val="000F7A06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D7"/>
    <w:rsid w:val="001017FF"/>
    <w:rsid w:val="00101816"/>
    <w:rsid w:val="00101A3A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37C"/>
    <w:rsid w:val="001045BD"/>
    <w:rsid w:val="00104EE1"/>
    <w:rsid w:val="0010502D"/>
    <w:rsid w:val="00105F81"/>
    <w:rsid w:val="001063F2"/>
    <w:rsid w:val="0010641F"/>
    <w:rsid w:val="0010643A"/>
    <w:rsid w:val="001074A4"/>
    <w:rsid w:val="001079A8"/>
    <w:rsid w:val="00107E5A"/>
    <w:rsid w:val="00110230"/>
    <w:rsid w:val="00110653"/>
    <w:rsid w:val="00110962"/>
    <w:rsid w:val="00110C3E"/>
    <w:rsid w:val="001110B2"/>
    <w:rsid w:val="0011126B"/>
    <w:rsid w:val="0011175F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DC0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756"/>
    <w:rsid w:val="00135999"/>
    <w:rsid w:val="00135E1C"/>
    <w:rsid w:val="00137510"/>
    <w:rsid w:val="001375DC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DC"/>
    <w:rsid w:val="00151002"/>
    <w:rsid w:val="001510FA"/>
    <w:rsid w:val="001515CF"/>
    <w:rsid w:val="001518B9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A11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96C"/>
    <w:rsid w:val="00171DB4"/>
    <w:rsid w:val="00171F9C"/>
    <w:rsid w:val="00172578"/>
    <w:rsid w:val="00172D13"/>
    <w:rsid w:val="0017331B"/>
    <w:rsid w:val="0017372C"/>
    <w:rsid w:val="0017398B"/>
    <w:rsid w:val="00173B50"/>
    <w:rsid w:val="00173D8E"/>
    <w:rsid w:val="001748E6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3E2"/>
    <w:rsid w:val="001765C8"/>
    <w:rsid w:val="00176B18"/>
    <w:rsid w:val="00176C34"/>
    <w:rsid w:val="00176C71"/>
    <w:rsid w:val="001772E2"/>
    <w:rsid w:val="0017738F"/>
    <w:rsid w:val="001773E9"/>
    <w:rsid w:val="0017782F"/>
    <w:rsid w:val="0017788C"/>
    <w:rsid w:val="00177A68"/>
    <w:rsid w:val="00177B1E"/>
    <w:rsid w:val="0018037E"/>
    <w:rsid w:val="0018096F"/>
    <w:rsid w:val="00180A7B"/>
    <w:rsid w:val="00180D86"/>
    <w:rsid w:val="00180DC3"/>
    <w:rsid w:val="00180DE8"/>
    <w:rsid w:val="00180E54"/>
    <w:rsid w:val="00181455"/>
    <w:rsid w:val="00181787"/>
    <w:rsid w:val="0018194B"/>
    <w:rsid w:val="00181E11"/>
    <w:rsid w:val="00182341"/>
    <w:rsid w:val="00182AAF"/>
    <w:rsid w:val="00182BAA"/>
    <w:rsid w:val="00183CA7"/>
    <w:rsid w:val="00183E24"/>
    <w:rsid w:val="00184019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83"/>
    <w:rsid w:val="001A08EB"/>
    <w:rsid w:val="001A0B13"/>
    <w:rsid w:val="001A10F6"/>
    <w:rsid w:val="001A13E1"/>
    <w:rsid w:val="001A17B9"/>
    <w:rsid w:val="001A1DC1"/>
    <w:rsid w:val="001A22E4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1014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779"/>
    <w:rsid w:val="001B67BC"/>
    <w:rsid w:val="001B688F"/>
    <w:rsid w:val="001B6A34"/>
    <w:rsid w:val="001B6B40"/>
    <w:rsid w:val="001B6F84"/>
    <w:rsid w:val="001B7081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1113"/>
    <w:rsid w:val="001D156C"/>
    <w:rsid w:val="001D1793"/>
    <w:rsid w:val="001D1E33"/>
    <w:rsid w:val="001D23F8"/>
    <w:rsid w:val="001D25EC"/>
    <w:rsid w:val="001D2CC2"/>
    <w:rsid w:val="001D2F26"/>
    <w:rsid w:val="001D3479"/>
    <w:rsid w:val="001D3718"/>
    <w:rsid w:val="001D385B"/>
    <w:rsid w:val="001D4202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E01B8"/>
    <w:rsid w:val="001E0C2C"/>
    <w:rsid w:val="001E0C4F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F4"/>
    <w:rsid w:val="001E5063"/>
    <w:rsid w:val="001E534E"/>
    <w:rsid w:val="001E56E7"/>
    <w:rsid w:val="001E580B"/>
    <w:rsid w:val="001E5915"/>
    <w:rsid w:val="001E5D1C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C6"/>
    <w:rsid w:val="0020388C"/>
    <w:rsid w:val="00203B6A"/>
    <w:rsid w:val="00203C29"/>
    <w:rsid w:val="00203FBC"/>
    <w:rsid w:val="002044CC"/>
    <w:rsid w:val="0020454D"/>
    <w:rsid w:val="00204619"/>
    <w:rsid w:val="00204A30"/>
    <w:rsid w:val="00204BF1"/>
    <w:rsid w:val="00204C3E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18A"/>
    <w:rsid w:val="002171ED"/>
    <w:rsid w:val="0021724A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E8A"/>
    <w:rsid w:val="00223444"/>
    <w:rsid w:val="00223C95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2457"/>
    <w:rsid w:val="0023262B"/>
    <w:rsid w:val="002326B7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5233"/>
    <w:rsid w:val="00235304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69A"/>
    <w:rsid w:val="002523BC"/>
    <w:rsid w:val="002537D5"/>
    <w:rsid w:val="00253D4A"/>
    <w:rsid w:val="00253DFB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A29"/>
    <w:rsid w:val="00260B18"/>
    <w:rsid w:val="00260B77"/>
    <w:rsid w:val="00260E10"/>
    <w:rsid w:val="0026103B"/>
    <w:rsid w:val="00261113"/>
    <w:rsid w:val="002611D2"/>
    <w:rsid w:val="00261933"/>
    <w:rsid w:val="00261BB7"/>
    <w:rsid w:val="00261CAC"/>
    <w:rsid w:val="002627D3"/>
    <w:rsid w:val="002628D1"/>
    <w:rsid w:val="00262B6C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88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900D5"/>
    <w:rsid w:val="002906B6"/>
    <w:rsid w:val="002907FE"/>
    <w:rsid w:val="00290C2E"/>
    <w:rsid w:val="00290FDB"/>
    <w:rsid w:val="00290FE3"/>
    <w:rsid w:val="00291065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E15"/>
    <w:rsid w:val="002A1ED9"/>
    <w:rsid w:val="002A1FD0"/>
    <w:rsid w:val="002A1FD2"/>
    <w:rsid w:val="002A20F2"/>
    <w:rsid w:val="002A23EF"/>
    <w:rsid w:val="002A27D7"/>
    <w:rsid w:val="002A2B0A"/>
    <w:rsid w:val="002A2DA7"/>
    <w:rsid w:val="002A3ACB"/>
    <w:rsid w:val="002A3D59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A3D"/>
    <w:rsid w:val="002A6AD0"/>
    <w:rsid w:val="002A6B4D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63"/>
    <w:rsid w:val="002B77B4"/>
    <w:rsid w:val="002B788E"/>
    <w:rsid w:val="002B7AA1"/>
    <w:rsid w:val="002C0362"/>
    <w:rsid w:val="002C07C8"/>
    <w:rsid w:val="002C092D"/>
    <w:rsid w:val="002C09ED"/>
    <w:rsid w:val="002C0DFF"/>
    <w:rsid w:val="002C0E31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DE5"/>
    <w:rsid w:val="002C3FAF"/>
    <w:rsid w:val="002C40A0"/>
    <w:rsid w:val="002C463E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9ED"/>
    <w:rsid w:val="002E0E32"/>
    <w:rsid w:val="002E1675"/>
    <w:rsid w:val="002E17EB"/>
    <w:rsid w:val="002E1939"/>
    <w:rsid w:val="002E1B1B"/>
    <w:rsid w:val="002E1C25"/>
    <w:rsid w:val="002E1F78"/>
    <w:rsid w:val="002E2531"/>
    <w:rsid w:val="002E271A"/>
    <w:rsid w:val="002E297E"/>
    <w:rsid w:val="002E2A54"/>
    <w:rsid w:val="002E2D0D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9A"/>
    <w:rsid w:val="002F3301"/>
    <w:rsid w:val="002F351C"/>
    <w:rsid w:val="002F371B"/>
    <w:rsid w:val="002F3AF1"/>
    <w:rsid w:val="002F3CAF"/>
    <w:rsid w:val="002F4410"/>
    <w:rsid w:val="002F4796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70C6"/>
    <w:rsid w:val="002F760C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671A"/>
    <w:rsid w:val="00306798"/>
    <w:rsid w:val="003068E3"/>
    <w:rsid w:val="003069F3"/>
    <w:rsid w:val="00306FEE"/>
    <w:rsid w:val="00307192"/>
    <w:rsid w:val="00307508"/>
    <w:rsid w:val="0030774F"/>
    <w:rsid w:val="003079A9"/>
    <w:rsid w:val="00307C2E"/>
    <w:rsid w:val="003104B2"/>
    <w:rsid w:val="003104B3"/>
    <w:rsid w:val="00310540"/>
    <w:rsid w:val="0031059B"/>
    <w:rsid w:val="00310823"/>
    <w:rsid w:val="0031134A"/>
    <w:rsid w:val="00311434"/>
    <w:rsid w:val="003118CE"/>
    <w:rsid w:val="00311BA1"/>
    <w:rsid w:val="00311C38"/>
    <w:rsid w:val="003120E6"/>
    <w:rsid w:val="0031225D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53C"/>
    <w:rsid w:val="0031468C"/>
    <w:rsid w:val="00314AAC"/>
    <w:rsid w:val="00314CE7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9BA"/>
    <w:rsid w:val="00317C48"/>
    <w:rsid w:val="00317C7A"/>
    <w:rsid w:val="00317D53"/>
    <w:rsid w:val="003200E2"/>
    <w:rsid w:val="00320189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37C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B9C"/>
    <w:rsid w:val="0033605C"/>
    <w:rsid w:val="003360CC"/>
    <w:rsid w:val="00336292"/>
    <w:rsid w:val="003364B5"/>
    <w:rsid w:val="00336503"/>
    <w:rsid w:val="00336814"/>
    <w:rsid w:val="00336937"/>
    <w:rsid w:val="00336ACC"/>
    <w:rsid w:val="0033725F"/>
    <w:rsid w:val="003374A7"/>
    <w:rsid w:val="00337A85"/>
    <w:rsid w:val="00337D32"/>
    <w:rsid w:val="0034048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2BC4"/>
    <w:rsid w:val="0034321F"/>
    <w:rsid w:val="003432DF"/>
    <w:rsid w:val="003433A0"/>
    <w:rsid w:val="003435C7"/>
    <w:rsid w:val="00343AA7"/>
    <w:rsid w:val="00343B10"/>
    <w:rsid w:val="00343EC5"/>
    <w:rsid w:val="00343F1E"/>
    <w:rsid w:val="0034429C"/>
    <w:rsid w:val="00344831"/>
    <w:rsid w:val="00344BEE"/>
    <w:rsid w:val="00344CEE"/>
    <w:rsid w:val="00345080"/>
    <w:rsid w:val="003454D8"/>
    <w:rsid w:val="00345B27"/>
    <w:rsid w:val="00345F80"/>
    <w:rsid w:val="003466AA"/>
    <w:rsid w:val="00346800"/>
    <w:rsid w:val="0034705D"/>
    <w:rsid w:val="00347231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AF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870"/>
    <w:rsid w:val="00381C14"/>
    <w:rsid w:val="00381CF1"/>
    <w:rsid w:val="00381FA4"/>
    <w:rsid w:val="0038230E"/>
    <w:rsid w:val="003827DC"/>
    <w:rsid w:val="00382AB8"/>
    <w:rsid w:val="00383389"/>
    <w:rsid w:val="0038392F"/>
    <w:rsid w:val="003839B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E8E"/>
    <w:rsid w:val="00385F14"/>
    <w:rsid w:val="00386295"/>
    <w:rsid w:val="003862B9"/>
    <w:rsid w:val="003863ED"/>
    <w:rsid w:val="00386765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465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7B2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8AC"/>
    <w:rsid w:val="003A78B2"/>
    <w:rsid w:val="003A7B27"/>
    <w:rsid w:val="003A7CE2"/>
    <w:rsid w:val="003A7E59"/>
    <w:rsid w:val="003B0399"/>
    <w:rsid w:val="003B0D2E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447B"/>
    <w:rsid w:val="003B4900"/>
    <w:rsid w:val="003B4DE3"/>
    <w:rsid w:val="003B4FE4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B7C56"/>
    <w:rsid w:val="003C04E3"/>
    <w:rsid w:val="003C09D2"/>
    <w:rsid w:val="003C0C1B"/>
    <w:rsid w:val="003C0CB1"/>
    <w:rsid w:val="003C132B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5C8"/>
    <w:rsid w:val="003D19B4"/>
    <w:rsid w:val="003D1A20"/>
    <w:rsid w:val="003D1F50"/>
    <w:rsid w:val="003D1FA4"/>
    <w:rsid w:val="003D2A0E"/>
    <w:rsid w:val="003D2C7F"/>
    <w:rsid w:val="003D2E35"/>
    <w:rsid w:val="003D2EA6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6A6D"/>
    <w:rsid w:val="003D70B1"/>
    <w:rsid w:val="003D7104"/>
    <w:rsid w:val="003D7188"/>
    <w:rsid w:val="003D75F2"/>
    <w:rsid w:val="003D7682"/>
    <w:rsid w:val="003D7CAE"/>
    <w:rsid w:val="003D7D0F"/>
    <w:rsid w:val="003D7D31"/>
    <w:rsid w:val="003D7FC3"/>
    <w:rsid w:val="003E0290"/>
    <w:rsid w:val="003E0441"/>
    <w:rsid w:val="003E0886"/>
    <w:rsid w:val="003E1790"/>
    <w:rsid w:val="003E180D"/>
    <w:rsid w:val="003E1BD4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F96"/>
    <w:rsid w:val="00401097"/>
    <w:rsid w:val="004010FB"/>
    <w:rsid w:val="004011F5"/>
    <w:rsid w:val="00401407"/>
    <w:rsid w:val="004016A0"/>
    <w:rsid w:val="00401A22"/>
    <w:rsid w:val="00401D8D"/>
    <w:rsid w:val="00401F20"/>
    <w:rsid w:val="0040221C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DC5"/>
    <w:rsid w:val="00405E24"/>
    <w:rsid w:val="00406461"/>
    <w:rsid w:val="00406549"/>
    <w:rsid w:val="00406743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902"/>
    <w:rsid w:val="00411AFE"/>
    <w:rsid w:val="00411B2E"/>
    <w:rsid w:val="0041207C"/>
    <w:rsid w:val="004121D2"/>
    <w:rsid w:val="004125AA"/>
    <w:rsid w:val="004128EB"/>
    <w:rsid w:val="0041338D"/>
    <w:rsid w:val="00414029"/>
    <w:rsid w:val="0041456E"/>
    <w:rsid w:val="00414AD5"/>
    <w:rsid w:val="00414B3C"/>
    <w:rsid w:val="0041510E"/>
    <w:rsid w:val="00415358"/>
    <w:rsid w:val="00415A2F"/>
    <w:rsid w:val="00415C3C"/>
    <w:rsid w:val="00415CC5"/>
    <w:rsid w:val="0041607A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A59"/>
    <w:rsid w:val="00417C5F"/>
    <w:rsid w:val="00417CD0"/>
    <w:rsid w:val="00417DF5"/>
    <w:rsid w:val="004203BE"/>
    <w:rsid w:val="004206F5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C12"/>
    <w:rsid w:val="00432C80"/>
    <w:rsid w:val="00432E2F"/>
    <w:rsid w:val="00433307"/>
    <w:rsid w:val="0043346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A89"/>
    <w:rsid w:val="00435195"/>
    <w:rsid w:val="00435B68"/>
    <w:rsid w:val="0043614B"/>
    <w:rsid w:val="0043623E"/>
    <w:rsid w:val="004362AC"/>
    <w:rsid w:val="00436AA2"/>
    <w:rsid w:val="00436DD1"/>
    <w:rsid w:val="00437EDE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49F"/>
    <w:rsid w:val="00441987"/>
    <w:rsid w:val="00441ACA"/>
    <w:rsid w:val="00441EFF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256"/>
    <w:rsid w:val="004443FD"/>
    <w:rsid w:val="0044463C"/>
    <w:rsid w:val="004448F6"/>
    <w:rsid w:val="00444BD0"/>
    <w:rsid w:val="00444E64"/>
    <w:rsid w:val="00444EE9"/>
    <w:rsid w:val="00445036"/>
    <w:rsid w:val="0044505C"/>
    <w:rsid w:val="004453D0"/>
    <w:rsid w:val="00445670"/>
    <w:rsid w:val="004458CC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D07"/>
    <w:rsid w:val="00452E05"/>
    <w:rsid w:val="00453049"/>
    <w:rsid w:val="004535F5"/>
    <w:rsid w:val="0045398B"/>
    <w:rsid w:val="00453D06"/>
    <w:rsid w:val="0045428B"/>
    <w:rsid w:val="00454371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6D4"/>
    <w:rsid w:val="00456AFE"/>
    <w:rsid w:val="00456C57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2B3"/>
    <w:rsid w:val="0046656B"/>
    <w:rsid w:val="004665DE"/>
    <w:rsid w:val="00466726"/>
    <w:rsid w:val="00467099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0E5C"/>
    <w:rsid w:val="0047104F"/>
    <w:rsid w:val="0047131B"/>
    <w:rsid w:val="00471435"/>
    <w:rsid w:val="00471B9D"/>
    <w:rsid w:val="004725C8"/>
    <w:rsid w:val="0047293A"/>
    <w:rsid w:val="00472BAD"/>
    <w:rsid w:val="00472E3D"/>
    <w:rsid w:val="004730C7"/>
    <w:rsid w:val="004731BB"/>
    <w:rsid w:val="004736FF"/>
    <w:rsid w:val="00473714"/>
    <w:rsid w:val="004740B2"/>
    <w:rsid w:val="00474158"/>
    <w:rsid w:val="00474309"/>
    <w:rsid w:val="00474325"/>
    <w:rsid w:val="0047475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10CE"/>
    <w:rsid w:val="004813FD"/>
    <w:rsid w:val="00481498"/>
    <w:rsid w:val="004821CF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27D"/>
    <w:rsid w:val="004843A4"/>
    <w:rsid w:val="004843CA"/>
    <w:rsid w:val="00484485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EE9"/>
    <w:rsid w:val="004A0212"/>
    <w:rsid w:val="004A0964"/>
    <w:rsid w:val="004A0CED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6FD"/>
    <w:rsid w:val="004A7A6B"/>
    <w:rsid w:val="004A7DF5"/>
    <w:rsid w:val="004B0037"/>
    <w:rsid w:val="004B047E"/>
    <w:rsid w:val="004B08EE"/>
    <w:rsid w:val="004B0A1A"/>
    <w:rsid w:val="004B0AC9"/>
    <w:rsid w:val="004B0C24"/>
    <w:rsid w:val="004B129B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968"/>
    <w:rsid w:val="004C7D2C"/>
    <w:rsid w:val="004C7DC5"/>
    <w:rsid w:val="004D00B3"/>
    <w:rsid w:val="004D027F"/>
    <w:rsid w:val="004D060F"/>
    <w:rsid w:val="004D09C8"/>
    <w:rsid w:val="004D0D8D"/>
    <w:rsid w:val="004D0DFC"/>
    <w:rsid w:val="004D0F4B"/>
    <w:rsid w:val="004D0FBA"/>
    <w:rsid w:val="004D1043"/>
    <w:rsid w:val="004D111C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37"/>
    <w:rsid w:val="004F6C31"/>
    <w:rsid w:val="004F706B"/>
    <w:rsid w:val="004F7504"/>
    <w:rsid w:val="0050034D"/>
    <w:rsid w:val="0050043E"/>
    <w:rsid w:val="005005D7"/>
    <w:rsid w:val="005006A5"/>
    <w:rsid w:val="00500836"/>
    <w:rsid w:val="00500AA1"/>
    <w:rsid w:val="00500EEB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3F9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4143"/>
    <w:rsid w:val="00514427"/>
    <w:rsid w:val="005145F7"/>
    <w:rsid w:val="00514B60"/>
    <w:rsid w:val="005150C0"/>
    <w:rsid w:val="0051541C"/>
    <w:rsid w:val="00515452"/>
    <w:rsid w:val="005155B8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250"/>
    <w:rsid w:val="0052337A"/>
    <w:rsid w:val="005233E6"/>
    <w:rsid w:val="00523535"/>
    <w:rsid w:val="00523966"/>
    <w:rsid w:val="00523A96"/>
    <w:rsid w:val="00523AB3"/>
    <w:rsid w:val="00523EDE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3F0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AED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500C5"/>
    <w:rsid w:val="0055013C"/>
    <w:rsid w:val="0055016F"/>
    <w:rsid w:val="0055019B"/>
    <w:rsid w:val="00550337"/>
    <w:rsid w:val="005509DC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EAE"/>
    <w:rsid w:val="00557F21"/>
    <w:rsid w:val="0056045B"/>
    <w:rsid w:val="005607ED"/>
    <w:rsid w:val="0056083A"/>
    <w:rsid w:val="00560ADA"/>
    <w:rsid w:val="00561261"/>
    <w:rsid w:val="005612C7"/>
    <w:rsid w:val="005614E4"/>
    <w:rsid w:val="00561782"/>
    <w:rsid w:val="00561866"/>
    <w:rsid w:val="005619B7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7CD"/>
    <w:rsid w:val="00565BD0"/>
    <w:rsid w:val="00565C79"/>
    <w:rsid w:val="00565D4F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9CA"/>
    <w:rsid w:val="00567CEA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4080"/>
    <w:rsid w:val="005747A7"/>
    <w:rsid w:val="00574AA8"/>
    <w:rsid w:val="00574CF7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BDA"/>
    <w:rsid w:val="00580E85"/>
    <w:rsid w:val="0058178A"/>
    <w:rsid w:val="0058268C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348"/>
    <w:rsid w:val="00585983"/>
    <w:rsid w:val="00585DAD"/>
    <w:rsid w:val="00585F8B"/>
    <w:rsid w:val="00586046"/>
    <w:rsid w:val="0058635D"/>
    <w:rsid w:val="00586B8C"/>
    <w:rsid w:val="00586F46"/>
    <w:rsid w:val="00586F6C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E6C"/>
    <w:rsid w:val="00590FEC"/>
    <w:rsid w:val="0059147F"/>
    <w:rsid w:val="005918F6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7200"/>
    <w:rsid w:val="00597670"/>
    <w:rsid w:val="00597C42"/>
    <w:rsid w:val="005A018C"/>
    <w:rsid w:val="005A0AD7"/>
    <w:rsid w:val="005A0BF1"/>
    <w:rsid w:val="005A0E34"/>
    <w:rsid w:val="005A0F86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644"/>
    <w:rsid w:val="005A3844"/>
    <w:rsid w:val="005A3B12"/>
    <w:rsid w:val="005A3C60"/>
    <w:rsid w:val="005A4400"/>
    <w:rsid w:val="005A4566"/>
    <w:rsid w:val="005A4787"/>
    <w:rsid w:val="005A4D63"/>
    <w:rsid w:val="005A4DBB"/>
    <w:rsid w:val="005A4E69"/>
    <w:rsid w:val="005A563E"/>
    <w:rsid w:val="005A604E"/>
    <w:rsid w:val="005A627F"/>
    <w:rsid w:val="005A64EA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967"/>
    <w:rsid w:val="005B1E86"/>
    <w:rsid w:val="005B1F83"/>
    <w:rsid w:val="005B2358"/>
    <w:rsid w:val="005B256E"/>
    <w:rsid w:val="005B25F8"/>
    <w:rsid w:val="005B284F"/>
    <w:rsid w:val="005B2CD9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52E"/>
    <w:rsid w:val="005B47CC"/>
    <w:rsid w:val="005B4B01"/>
    <w:rsid w:val="005B4B06"/>
    <w:rsid w:val="005B4D0C"/>
    <w:rsid w:val="005B4F71"/>
    <w:rsid w:val="005B50C8"/>
    <w:rsid w:val="005B51ED"/>
    <w:rsid w:val="005B5407"/>
    <w:rsid w:val="005B56C4"/>
    <w:rsid w:val="005B5D6E"/>
    <w:rsid w:val="005B5E00"/>
    <w:rsid w:val="005B60FF"/>
    <w:rsid w:val="005B6200"/>
    <w:rsid w:val="005B643D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728D"/>
    <w:rsid w:val="005C73B0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31FC"/>
    <w:rsid w:val="005D3523"/>
    <w:rsid w:val="005D3961"/>
    <w:rsid w:val="005D3A6A"/>
    <w:rsid w:val="005D3C26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A8F"/>
    <w:rsid w:val="005E0D92"/>
    <w:rsid w:val="005E13B9"/>
    <w:rsid w:val="005E199C"/>
    <w:rsid w:val="005E1B16"/>
    <w:rsid w:val="005E1D6A"/>
    <w:rsid w:val="005E1E74"/>
    <w:rsid w:val="005E2192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FDF"/>
    <w:rsid w:val="005E46F3"/>
    <w:rsid w:val="005E49FF"/>
    <w:rsid w:val="005E5012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59E2"/>
    <w:rsid w:val="005F5B5A"/>
    <w:rsid w:val="005F60EA"/>
    <w:rsid w:val="005F6465"/>
    <w:rsid w:val="005F6C0D"/>
    <w:rsid w:val="005F6CD5"/>
    <w:rsid w:val="005F6FEC"/>
    <w:rsid w:val="005F732F"/>
    <w:rsid w:val="005F75D9"/>
    <w:rsid w:val="005F7A3E"/>
    <w:rsid w:val="005F7B98"/>
    <w:rsid w:val="005F7D2D"/>
    <w:rsid w:val="00600273"/>
    <w:rsid w:val="0060042F"/>
    <w:rsid w:val="00601415"/>
    <w:rsid w:val="0060150D"/>
    <w:rsid w:val="00601581"/>
    <w:rsid w:val="00601702"/>
    <w:rsid w:val="00601A5E"/>
    <w:rsid w:val="00601CE7"/>
    <w:rsid w:val="00601CED"/>
    <w:rsid w:val="00602034"/>
    <w:rsid w:val="00602360"/>
    <w:rsid w:val="0060239C"/>
    <w:rsid w:val="0060253F"/>
    <w:rsid w:val="00602DF4"/>
    <w:rsid w:val="006031E6"/>
    <w:rsid w:val="00603911"/>
    <w:rsid w:val="00603BCB"/>
    <w:rsid w:val="00603C77"/>
    <w:rsid w:val="00604172"/>
    <w:rsid w:val="0060461B"/>
    <w:rsid w:val="00604B6B"/>
    <w:rsid w:val="00604C10"/>
    <w:rsid w:val="006050BF"/>
    <w:rsid w:val="0060519C"/>
    <w:rsid w:val="006051C8"/>
    <w:rsid w:val="006051D0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AC"/>
    <w:rsid w:val="00606533"/>
    <w:rsid w:val="006069CB"/>
    <w:rsid w:val="006069E9"/>
    <w:rsid w:val="00606AAD"/>
    <w:rsid w:val="00606EFF"/>
    <w:rsid w:val="0060715E"/>
    <w:rsid w:val="006071F8"/>
    <w:rsid w:val="006079A8"/>
    <w:rsid w:val="00607B71"/>
    <w:rsid w:val="00607C4E"/>
    <w:rsid w:val="00607D25"/>
    <w:rsid w:val="00607DB2"/>
    <w:rsid w:val="00610001"/>
    <w:rsid w:val="00610183"/>
    <w:rsid w:val="006102BD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22F9"/>
    <w:rsid w:val="0063284C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A90"/>
    <w:rsid w:val="00642BD3"/>
    <w:rsid w:val="00642DDB"/>
    <w:rsid w:val="00642F2C"/>
    <w:rsid w:val="00642FA9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18F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337"/>
    <w:rsid w:val="00654822"/>
    <w:rsid w:val="00654EEB"/>
    <w:rsid w:val="00655848"/>
    <w:rsid w:val="006558E0"/>
    <w:rsid w:val="00655A5E"/>
    <w:rsid w:val="00655B1A"/>
    <w:rsid w:val="00655CC4"/>
    <w:rsid w:val="00655DF9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F59"/>
    <w:rsid w:val="00672281"/>
    <w:rsid w:val="00672333"/>
    <w:rsid w:val="00672C7F"/>
    <w:rsid w:val="00672D1C"/>
    <w:rsid w:val="0067320F"/>
    <w:rsid w:val="00673379"/>
    <w:rsid w:val="0067446E"/>
    <w:rsid w:val="00674ADD"/>
    <w:rsid w:val="00674D48"/>
    <w:rsid w:val="00674E6B"/>
    <w:rsid w:val="006758BD"/>
    <w:rsid w:val="00675963"/>
    <w:rsid w:val="0067636F"/>
    <w:rsid w:val="00676C2B"/>
    <w:rsid w:val="00677571"/>
    <w:rsid w:val="00677CCE"/>
    <w:rsid w:val="0068035F"/>
    <w:rsid w:val="00680474"/>
    <w:rsid w:val="006808C8"/>
    <w:rsid w:val="00680A93"/>
    <w:rsid w:val="00680BAD"/>
    <w:rsid w:val="00680CD5"/>
    <w:rsid w:val="00680E9B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40C"/>
    <w:rsid w:val="006845C1"/>
    <w:rsid w:val="00684684"/>
    <w:rsid w:val="00684767"/>
    <w:rsid w:val="006848E6"/>
    <w:rsid w:val="00685431"/>
    <w:rsid w:val="0068552B"/>
    <w:rsid w:val="00685968"/>
    <w:rsid w:val="00685DFF"/>
    <w:rsid w:val="00686466"/>
    <w:rsid w:val="00686629"/>
    <w:rsid w:val="00686766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76B"/>
    <w:rsid w:val="006A3635"/>
    <w:rsid w:val="006A4ABB"/>
    <w:rsid w:val="006A4B67"/>
    <w:rsid w:val="006A4BE8"/>
    <w:rsid w:val="006A4D4B"/>
    <w:rsid w:val="006A565B"/>
    <w:rsid w:val="006A56C8"/>
    <w:rsid w:val="006A5C72"/>
    <w:rsid w:val="006A5E15"/>
    <w:rsid w:val="006A6256"/>
    <w:rsid w:val="006A6437"/>
    <w:rsid w:val="006A6805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F1"/>
    <w:rsid w:val="006E306B"/>
    <w:rsid w:val="006E3221"/>
    <w:rsid w:val="006E39DD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5E2"/>
    <w:rsid w:val="007016DD"/>
    <w:rsid w:val="00701745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EDB"/>
    <w:rsid w:val="007210F0"/>
    <w:rsid w:val="0072248E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C53"/>
    <w:rsid w:val="00731006"/>
    <w:rsid w:val="00731154"/>
    <w:rsid w:val="00731843"/>
    <w:rsid w:val="00731A10"/>
    <w:rsid w:val="00731A7E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BB5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443"/>
    <w:rsid w:val="0075666F"/>
    <w:rsid w:val="00756A9F"/>
    <w:rsid w:val="00756E77"/>
    <w:rsid w:val="00757329"/>
    <w:rsid w:val="00760413"/>
    <w:rsid w:val="00760550"/>
    <w:rsid w:val="00760570"/>
    <w:rsid w:val="00760930"/>
    <w:rsid w:val="00760AA2"/>
    <w:rsid w:val="007612BA"/>
    <w:rsid w:val="007612C6"/>
    <w:rsid w:val="0076134C"/>
    <w:rsid w:val="00761B3F"/>
    <w:rsid w:val="00761B55"/>
    <w:rsid w:val="00761C53"/>
    <w:rsid w:val="00762C69"/>
    <w:rsid w:val="0076334B"/>
    <w:rsid w:val="0076367D"/>
    <w:rsid w:val="0076389A"/>
    <w:rsid w:val="00763E5B"/>
    <w:rsid w:val="00764017"/>
    <w:rsid w:val="00764032"/>
    <w:rsid w:val="007641F5"/>
    <w:rsid w:val="00764373"/>
    <w:rsid w:val="0076452D"/>
    <w:rsid w:val="00764F13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D14"/>
    <w:rsid w:val="007811D7"/>
    <w:rsid w:val="0078128E"/>
    <w:rsid w:val="007812D6"/>
    <w:rsid w:val="007815B3"/>
    <w:rsid w:val="007818C8"/>
    <w:rsid w:val="0078190D"/>
    <w:rsid w:val="0078210C"/>
    <w:rsid w:val="00782201"/>
    <w:rsid w:val="007822DC"/>
    <w:rsid w:val="00782CDE"/>
    <w:rsid w:val="00783004"/>
    <w:rsid w:val="007832DE"/>
    <w:rsid w:val="00783380"/>
    <w:rsid w:val="007833C0"/>
    <w:rsid w:val="0078376D"/>
    <w:rsid w:val="007844C5"/>
    <w:rsid w:val="00785156"/>
    <w:rsid w:val="007853B9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737"/>
    <w:rsid w:val="00787845"/>
    <w:rsid w:val="007878D8"/>
    <w:rsid w:val="00787A13"/>
    <w:rsid w:val="00787A49"/>
    <w:rsid w:val="00787CE6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707"/>
    <w:rsid w:val="007A1873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666"/>
    <w:rsid w:val="007B06E1"/>
    <w:rsid w:val="007B0DBB"/>
    <w:rsid w:val="007B1080"/>
    <w:rsid w:val="007B12E1"/>
    <w:rsid w:val="007B1B99"/>
    <w:rsid w:val="007B1FC1"/>
    <w:rsid w:val="007B2064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857"/>
    <w:rsid w:val="007C0F62"/>
    <w:rsid w:val="007C164F"/>
    <w:rsid w:val="007C197F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A4A"/>
    <w:rsid w:val="007E1343"/>
    <w:rsid w:val="007E15E1"/>
    <w:rsid w:val="007E180D"/>
    <w:rsid w:val="007E1A26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103A1"/>
    <w:rsid w:val="00810E25"/>
    <w:rsid w:val="00810E7D"/>
    <w:rsid w:val="0081107A"/>
    <w:rsid w:val="008110D5"/>
    <w:rsid w:val="00811866"/>
    <w:rsid w:val="00811B7D"/>
    <w:rsid w:val="00811D3A"/>
    <w:rsid w:val="008120B6"/>
    <w:rsid w:val="00812583"/>
    <w:rsid w:val="00812665"/>
    <w:rsid w:val="00812AE3"/>
    <w:rsid w:val="00812C8E"/>
    <w:rsid w:val="008130BE"/>
    <w:rsid w:val="008131AC"/>
    <w:rsid w:val="0081346B"/>
    <w:rsid w:val="008138D6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BB2"/>
    <w:rsid w:val="00820E4B"/>
    <w:rsid w:val="008218F7"/>
    <w:rsid w:val="00821AF8"/>
    <w:rsid w:val="00821FE3"/>
    <w:rsid w:val="008221A3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675"/>
    <w:rsid w:val="008329C6"/>
    <w:rsid w:val="00832CDB"/>
    <w:rsid w:val="00833025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D8B"/>
    <w:rsid w:val="00836EBD"/>
    <w:rsid w:val="0083704F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0F09"/>
    <w:rsid w:val="0089109F"/>
    <w:rsid w:val="008921CF"/>
    <w:rsid w:val="0089234C"/>
    <w:rsid w:val="00892896"/>
    <w:rsid w:val="00892A66"/>
    <w:rsid w:val="00893566"/>
    <w:rsid w:val="00893D40"/>
    <w:rsid w:val="00893F76"/>
    <w:rsid w:val="00894315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76FF"/>
    <w:rsid w:val="00897968"/>
    <w:rsid w:val="00897977"/>
    <w:rsid w:val="00897C9D"/>
    <w:rsid w:val="008A00E0"/>
    <w:rsid w:val="008A06F4"/>
    <w:rsid w:val="008A0AF5"/>
    <w:rsid w:val="008A1032"/>
    <w:rsid w:val="008A1483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E2"/>
    <w:rsid w:val="008A78DD"/>
    <w:rsid w:val="008A7D87"/>
    <w:rsid w:val="008A7DFC"/>
    <w:rsid w:val="008A7EE8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EE3"/>
    <w:rsid w:val="008B209A"/>
    <w:rsid w:val="008B22E5"/>
    <w:rsid w:val="008B2D2A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209A"/>
    <w:rsid w:val="008C263C"/>
    <w:rsid w:val="008C2D49"/>
    <w:rsid w:val="008C3015"/>
    <w:rsid w:val="008C301A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4E0"/>
    <w:rsid w:val="008C65B4"/>
    <w:rsid w:val="008C65EC"/>
    <w:rsid w:val="008C6748"/>
    <w:rsid w:val="008C6BD2"/>
    <w:rsid w:val="008C710E"/>
    <w:rsid w:val="008C7553"/>
    <w:rsid w:val="008C7C06"/>
    <w:rsid w:val="008C7CE0"/>
    <w:rsid w:val="008D006E"/>
    <w:rsid w:val="008D011E"/>
    <w:rsid w:val="008D0122"/>
    <w:rsid w:val="008D0340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538"/>
    <w:rsid w:val="008D2804"/>
    <w:rsid w:val="008D2A30"/>
    <w:rsid w:val="008D2D02"/>
    <w:rsid w:val="008D2D37"/>
    <w:rsid w:val="008D3747"/>
    <w:rsid w:val="008D396B"/>
    <w:rsid w:val="008D3B79"/>
    <w:rsid w:val="008D3ECA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C1C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D32"/>
    <w:rsid w:val="008F70DC"/>
    <w:rsid w:val="008F79BF"/>
    <w:rsid w:val="0090002E"/>
    <w:rsid w:val="009003DB"/>
    <w:rsid w:val="009004F9"/>
    <w:rsid w:val="0090064C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93"/>
    <w:rsid w:val="00902DD0"/>
    <w:rsid w:val="009035DB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744C"/>
    <w:rsid w:val="009079DE"/>
    <w:rsid w:val="00907CC7"/>
    <w:rsid w:val="00907D17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742"/>
    <w:rsid w:val="009150D0"/>
    <w:rsid w:val="00915343"/>
    <w:rsid w:val="00915366"/>
    <w:rsid w:val="009155FD"/>
    <w:rsid w:val="009158CE"/>
    <w:rsid w:val="00915DC6"/>
    <w:rsid w:val="009160FF"/>
    <w:rsid w:val="00916468"/>
    <w:rsid w:val="009165B5"/>
    <w:rsid w:val="009167BB"/>
    <w:rsid w:val="009167BF"/>
    <w:rsid w:val="009169C7"/>
    <w:rsid w:val="009169F8"/>
    <w:rsid w:val="00916B10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A26"/>
    <w:rsid w:val="00921CED"/>
    <w:rsid w:val="00921E67"/>
    <w:rsid w:val="00922108"/>
    <w:rsid w:val="00922240"/>
    <w:rsid w:val="00922B14"/>
    <w:rsid w:val="00922BEB"/>
    <w:rsid w:val="00922CF7"/>
    <w:rsid w:val="00922E14"/>
    <w:rsid w:val="00923248"/>
    <w:rsid w:val="009234CF"/>
    <w:rsid w:val="0092352C"/>
    <w:rsid w:val="00923BA8"/>
    <w:rsid w:val="00923D20"/>
    <w:rsid w:val="009245EF"/>
    <w:rsid w:val="00924686"/>
    <w:rsid w:val="00924721"/>
    <w:rsid w:val="0092479B"/>
    <w:rsid w:val="00924885"/>
    <w:rsid w:val="00924A3F"/>
    <w:rsid w:val="00924C1C"/>
    <w:rsid w:val="00924CBF"/>
    <w:rsid w:val="009256DF"/>
    <w:rsid w:val="0092574F"/>
    <w:rsid w:val="00925888"/>
    <w:rsid w:val="0092590D"/>
    <w:rsid w:val="00926750"/>
    <w:rsid w:val="00927154"/>
    <w:rsid w:val="00927C0C"/>
    <w:rsid w:val="00927F1F"/>
    <w:rsid w:val="00930948"/>
    <w:rsid w:val="009309E7"/>
    <w:rsid w:val="00930CC2"/>
    <w:rsid w:val="0093136A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505C"/>
    <w:rsid w:val="00935A31"/>
    <w:rsid w:val="00935AE9"/>
    <w:rsid w:val="00935C4F"/>
    <w:rsid w:val="0093605B"/>
    <w:rsid w:val="00936B31"/>
    <w:rsid w:val="00936EDD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B7B"/>
    <w:rsid w:val="00942C07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611"/>
    <w:rsid w:val="00950A47"/>
    <w:rsid w:val="00950C8B"/>
    <w:rsid w:val="00950CB2"/>
    <w:rsid w:val="00950E40"/>
    <w:rsid w:val="00950E97"/>
    <w:rsid w:val="009512EB"/>
    <w:rsid w:val="0095165C"/>
    <w:rsid w:val="00951C10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70091"/>
    <w:rsid w:val="00970467"/>
    <w:rsid w:val="0097059C"/>
    <w:rsid w:val="009706B7"/>
    <w:rsid w:val="00970A46"/>
    <w:rsid w:val="00970A48"/>
    <w:rsid w:val="00970D58"/>
    <w:rsid w:val="00970FD3"/>
    <w:rsid w:val="00972488"/>
    <w:rsid w:val="00972863"/>
    <w:rsid w:val="00972B3B"/>
    <w:rsid w:val="00972F13"/>
    <w:rsid w:val="0097306A"/>
    <w:rsid w:val="00973C57"/>
    <w:rsid w:val="00973F82"/>
    <w:rsid w:val="00974311"/>
    <w:rsid w:val="0097466C"/>
    <w:rsid w:val="00974CE4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901FA"/>
    <w:rsid w:val="0099021F"/>
    <w:rsid w:val="00990A77"/>
    <w:rsid w:val="00991A12"/>
    <w:rsid w:val="00991BDF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499B"/>
    <w:rsid w:val="00994F1A"/>
    <w:rsid w:val="0099506A"/>
    <w:rsid w:val="00995524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275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B1"/>
    <w:rsid w:val="009A5CD5"/>
    <w:rsid w:val="009A609A"/>
    <w:rsid w:val="009A65B8"/>
    <w:rsid w:val="009A69F3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459"/>
    <w:rsid w:val="009C14F3"/>
    <w:rsid w:val="009C16A4"/>
    <w:rsid w:val="009C17B1"/>
    <w:rsid w:val="009C1A82"/>
    <w:rsid w:val="009C232E"/>
    <w:rsid w:val="009C23A1"/>
    <w:rsid w:val="009C249F"/>
    <w:rsid w:val="009C2685"/>
    <w:rsid w:val="009C2738"/>
    <w:rsid w:val="009C3165"/>
    <w:rsid w:val="009C3374"/>
    <w:rsid w:val="009C33B8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85A"/>
    <w:rsid w:val="009D3A6F"/>
    <w:rsid w:val="009D3AE4"/>
    <w:rsid w:val="009D48BE"/>
    <w:rsid w:val="009D4909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813"/>
    <w:rsid w:val="009D6C22"/>
    <w:rsid w:val="009D6EC0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C9D"/>
    <w:rsid w:val="009E7DC9"/>
    <w:rsid w:val="009F078F"/>
    <w:rsid w:val="009F102A"/>
    <w:rsid w:val="009F1608"/>
    <w:rsid w:val="009F1747"/>
    <w:rsid w:val="009F1855"/>
    <w:rsid w:val="009F1D19"/>
    <w:rsid w:val="009F201C"/>
    <w:rsid w:val="009F2ED6"/>
    <w:rsid w:val="009F3757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93"/>
    <w:rsid w:val="009F7CE4"/>
    <w:rsid w:val="00A0014A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1017C"/>
    <w:rsid w:val="00A105B7"/>
    <w:rsid w:val="00A109E5"/>
    <w:rsid w:val="00A10AD3"/>
    <w:rsid w:val="00A10F7C"/>
    <w:rsid w:val="00A11615"/>
    <w:rsid w:val="00A11701"/>
    <w:rsid w:val="00A11770"/>
    <w:rsid w:val="00A11A5A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AA7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5000"/>
    <w:rsid w:val="00A252CC"/>
    <w:rsid w:val="00A256A1"/>
    <w:rsid w:val="00A25884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25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600EF"/>
    <w:rsid w:val="00A6021F"/>
    <w:rsid w:val="00A60300"/>
    <w:rsid w:val="00A60438"/>
    <w:rsid w:val="00A60714"/>
    <w:rsid w:val="00A60D72"/>
    <w:rsid w:val="00A60DC0"/>
    <w:rsid w:val="00A61376"/>
    <w:rsid w:val="00A61645"/>
    <w:rsid w:val="00A61C49"/>
    <w:rsid w:val="00A61D3C"/>
    <w:rsid w:val="00A61D9F"/>
    <w:rsid w:val="00A61F69"/>
    <w:rsid w:val="00A621A7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2A1A"/>
    <w:rsid w:val="00A72DA9"/>
    <w:rsid w:val="00A73AC2"/>
    <w:rsid w:val="00A73B1D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C13"/>
    <w:rsid w:val="00A76036"/>
    <w:rsid w:val="00A76111"/>
    <w:rsid w:val="00A76508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510"/>
    <w:rsid w:val="00AA0769"/>
    <w:rsid w:val="00AA09E4"/>
    <w:rsid w:val="00AA1194"/>
    <w:rsid w:val="00AA1966"/>
    <w:rsid w:val="00AA1BFE"/>
    <w:rsid w:val="00AA1C5C"/>
    <w:rsid w:val="00AA1D46"/>
    <w:rsid w:val="00AA21E9"/>
    <w:rsid w:val="00AA2531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99D"/>
    <w:rsid w:val="00AB3B24"/>
    <w:rsid w:val="00AB3B75"/>
    <w:rsid w:val="00AB4053"/>
    <w:rsid w:val="00AB4517"/>
    <w:rsid w:val="00AB460F"/>
    <w:rsid w:val="00AB4807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77F"/>
    <w:rsid w:val="00AC3848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914"/>
    <w:rsid w:val="00AD19DA"/>
    <w:rsid w:val="00AD1EFF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AA"/>
    <w:rsid w:val="00B07E19"/>
    <w:rsid w:val="00B07FCD"/>
    <w:rsid w:val="00B07FD6"/>
    <w:rsid w:val="00B10197"/>
    <w:rsid w:val="00B1033F"/>
    <w:rsid w:val="00B1046A"/>
    <w:rsid w:val="00B10605"/>
    <w:rsid w:val="00B10ACF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7124"/>
    <w:rsid w:val="00B172A1"/>
    <w:rsid w:val="00B17DFA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79C"/>
    <w:rsid w:val="00B22C9A"/>
    <w:rsid w:val="00B22DAF"/>
    <w:rsid w:val="00B22E07"/>
    <w:rsid w:val="00B22FFB"/>
    <w:rsid w:val="00B23279"/>
    <w:rsid w:val="00B2356A"/>
    <w:rsid w:val="00B23588"/>
    <w:rsid w:val="00B23A2A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71F8"/>
    <w:rsid w:val="00B27380"/>
    <w:rsid w:val="00B27444"/>
    <w:rsid w:val="00B27A38"/>
    <w:rsid w:val="00B27C44"/>
    <w:rsid w:val="00B30CD2"/>
    <w:rsid w:val="00B310A0"/>
    <w:rsid w:val="00B313D1"/>
    <w:rsid w:val="00B3153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EE3"/>
    <w:rsid w:val="00B35F85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D3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4FA8"/>
    <w:rsid w:val="00B45274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47EC4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9C"/>
    <w:rsid w:val="00B670FD"/>
    <w:rsid w:val="00B6714B"/>
    <w:rsid w:val="00B67191"/>
    <w:rsid w:val="00B67614"/>
    <w:rsid w:val="00B67A1F"/>
    <w:rsid w:val="00B708F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778"/>
    <w:rsid w:val="00B83931"/>
    <w:rsid w:val="00B84CF1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4"/>
    <w:rsid w:val="00BC0BA3"/>
    <w:rsid w:val="00BC0D02"/>
    <w:rsid w:val="00BC0F5D"/>
    <w:rsid w:val="00BC1767"/>
    <w:rsid w:val="00BC202C"/>
    <w:rsid w:val="00BC20A1"/>
    <w:rsid w:val="00BC20A7"/>
    <w:rsid w:val="00BC2124"/>
    <w:rsid w:val="00BC2942"/>
    <w:rsid w:val="00BC2A30"/>
    <w:rsid w:val="00BC2A71"/>
    <w:rsid w:val="00BC3258"/>
    <w:rsid w:val="00BC32F4"/>
    <w:rsid w:val="00BC3484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22C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9F2"/>
    <w:rsid w:val="00BE4A42"/>
    <w:rsid w:val="00BE4DDE"/>
    <w:rsid w:val="00BE52FA"/>
    <w:rsid w:val="00BE5920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73B"/>
    <w:rsid w:val="00BF5742"/>
    <w:rsid w:val="00BF5C47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04FD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CFA"/>
    <w:rsid w:val="00C12FF0"/>
    <w:rsid w:val="00C13198"/>
    <w:rsid w:val="00C13383"/>
    <w:rsid w:val="00C133BC"/>
    <w:rsid w:val="00C14614"/>
    <w:rsid w:val="00C147DE"/>
    <w:rsid w:val="00C1498B"/>
    <w:rsid w:val="00C14C13"/>
    <w:rsid w:val="00C14F20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F70"/>
    <w:rsid w:val="00C203C0"/>
    <w:rsid w:val="00C2041D"/>
    <w:rsid w:val="00C20526"/>
    <w:rsid w:val="00C20795"/>
    <w:rsid w:val="00C20B6B"/>
    <w:rsid w:val="00C20B6D"/>
    <w:rsid w:val="00C20DD0"/>
    <w:rsid w:val="00C214BE"/>
    <w:rsid w:val="00C2172F"/>
    <w:rsid w:val="00C218FD"/>
    <w:rsid w:val="00C21908"/>
    <w:rsid w:val="00C21D61"/>
    <w:rsid w:val="00C22131"/>
    <w:rsid w:val="00C2245F"/>
    <w:rsid w:val="00C2260E"/>
    <w:rsid w:val="00C22EED"/>
    <w:rsid w:val="00C2362C"/>
    <w:rsid w:val="00C23663"/>
    <w:rsid w:val="00C23906"/>
    <w:rsid w:val="00C239ED"/>
    <w:rsid w:val="00C23B0A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D7C"/>
    <w:rsid w:val="00C27E3D"/>
    <w:rsid w:val="00C3003D"/>
    <w:rsid w:val="00C30096"/>
    <w:rsid w:val="00C30280"/>
    <w:rsid w:val="00C303F4"/>
    <w:rsid w:val="00C30627"/>
    <w:rsid w:val="00C3085D"/>
    <w:rsid w:val="00C30C34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B84"/>
    <w:rsid w:val="00C5329D"/>
    <w:rsid w:val="00C536A8"/>
    <w:rsid w:val="00C5376A"/>
    <w:rsid w:val="00C537AA"/>
    <w:rsid w:val="00C53BAE"/>
    <w:rsid w:val="00C54635"/>
    <w:rsid w:val="00C54864"/>
    <w:rsid w:val="00C548EE"/>
    <w:rsid w:val="00C54FDE"/>
    <w:rsid w:val="00C556BE"/>
    <w:rsid w:val="00C55949"/>
    <w:rsid w:val="00C55B4E"/>
    <w:rsid w:val="00C55C69"/>
    <w:rsid w:val="00C55FF5"/>
    <w:rsid w:val="00C56098"/>
    <w:rsid w:val="00C57087"/>
    <w:rsid w:val="00C57478"/>
    <w:rsid w:val="00C575FA"/>
    <w:rsid w:val="00C57CEE"/>
    <w:rsid w:val="00C6015A"/>
    <w:rsid w:val="00C60794"/>
    <w:rsid w:val="00C6140E"/>
    <w:rsid w:val="00C61887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9CB"/>
    <w:rsid w:val="00C66A8F"/>
    <w:rsid w:val="00C66BEE"/>
    <w:rsid w:val="00C67029"/>
    <w:rsid w:val="00C67154"/>
    <w:rsid w:val="00C67233"/>
    <w:rsid w:val="00C67B3E"/>
    <w:rsid w:val="00C67C86"/>
    <w:rsid w:val="00C67DBE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80225"/>
    <w:rsid w:val="00C804C8"/>
    <w:rsid w:val="00C80A18"/>
    <w:rsid w:val="00C80B8A"/>
    <w:rsid w:val="00C812DB"/>
    <w:rsid w:val="00C81505"/>
    <w:rsid w:val="00C8176C"/>
    <w:rsid w:val="00C81A18"/>
    <w:rsid w:val="00C821DB"/>
    <w:rsid w:val="00C82519"/>
    <w:rsid w:val="00C825E8"/>
    <w:rsid w:val="00C8265F"/>
    <w:rsid w:val="00C827E9"/>
    <w:rsid w:val="00C82AB6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B52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901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23F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E16"/>
    <w:rsid w:val="00CD526B"/>
    <w:rsid w:val="00CD56B0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D16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7003"/>
    <w:rsid w:val="00CF74FD"/>
    <w:rsid w:val="00CF79DB"/>
    <w:rsid w:val="00CF7B58"/>
    <w:rsid w:val="00CF7C7C"/>
    <w:rsid w:val="00D0024E"/>
    <w:rsid w:val="00D0063F"/>
    <w:rsid w:val="00D00E25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8DA"/>
    <w:rsid w:val="00D129D0"/>
    <w:rsid w:val="00D13396"/>
    <w:rsid w:val="00D133D9"/>
    <w:rsid w:val="00D133E5"/>
    <w:rsid w:val="00D13459"/>
    <w:rsid w:val="00D13B42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3254"/>
    <w:rsid w:val="00D23406"/>
    <w:rsid w:val="00D2384C"/>
    <w:rsid w:val="00D23AFD"/>
    <w:rsid w:val="00D23B65"/>
    <w:rsid w:val="00D23DFC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36"/>
    <w:rsid w:val="00D314D7"/>
    <w:rsid w:val="00D317FB"/>
    <w:rsid w:val="00D32BC1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73"/>
    <w:rsid w:val="00D36DDC"/>
    <w:rsid w:val="00D373F5"/>
    <w:rsid w:val="00D37571"/>
    <w:rsid w:val="00D377E5"/>
    <w:rsid w:val="00D37A3C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89B"/>
    <w:rsid w:val="00D648E7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DC0"/>
    <w:rsid w:val="00D87EA4"/>
    <w:rsid w:val="00D90020"/>
    <w:rsid w:val="00D901AA"/>
    <w:rsid w:val="00D90CE0"/>
    <w:rsid w:val="00D91313"/>
    <w:rsid w:val="00D91622"/>
    <w:rsid w:val="00D91A71"/>
    <w:rsid w:val="00D91AEB"/>
    <w:rsid w:val="00D91BEE"/>
    <w:rsid w:val="00D91E8F"/>
    <w:rsid w:val="00D922B9"/>
    <w:rsid w:val="00D922BD"/>
    <w:rsid w:val="00D923C7"/>
    <w:rsid w:val="00D92809"/>
    <w:rsid w:val="00D9286B"/>
    <w:rsid w:val="00D92A4D"/>
    <w:rsid w:val="00D92F32"/>
    <w:rsid w:val="00D92F5B"/>
    <w:rsid w:val="00D935CC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6331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9CB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E1C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B000B"/>
    <w:rsid w:val="00DB01B8"/>
    <w:rsid w:val="00DB01B9"/>
    <w:rsid w:val="00DB07B8"/>
    <w:rsid w:val="00DB0ABE"/>
    <w:rsid w:val="00DB0CE8"/>
    <w:rsid w:val="00DB1385"/>
    <w:rsid w:val="00DB13CC"/>
    <w:rsid w:val="00DB16D1"/>
    <w:rsid w:val="00DB1749"/>
    <w:rsid w:val="00DB17B3"/>
    <w:rsid w:val="00DB1A8E"/>
    <w:rsid w:val="00DB2C45"/>
    <w:rsid w:val="00DB3607"/>
    <w:rsid w:val="00DB3BBC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B59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4D4"/>
    <w:rsid w:val="00DD66B3"/>
    <w:rsid w:val="00DD6AB9"/>
    <w:rsid w:val="00DD6B76"/>
    <w:rsid w:val="00DD6BE4"/>
    <w:rsid w:val="00DD7271"/>
    <w:rsid w:val="00DD7448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A79"/>
    <w:rsid w:val="00DE5AE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0DA8"/>
    <w:rsid w:val="00DF1118"/>
    <w:rsid w:val="00DF11D3"/>
    <w:rsid w:val="00DF1363"/>
    <w:rsid w:val="00DF15DB"/>
    <w:rsid w:val="00DF16F7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B72"/>
    <w:rsid w:val="00DF4ED9"/>
    <w:rsid w:val="00DF5225"/>
    <w:rsid w:val="00DF5430"/>
    <w:rsid w:val="00DF55BD"/>
    <w:rsid w:val="00DF56A9"/>
    <w:rsid w:val="00DF58DD"/>
    <w:rsid w:val="00DF5940"/>
    <w:rsid w:val="00DF5EDB"/>
    <w:rsid w:val="00DF60BE"/>
    <w:rsid w:val="00DF6390"/>
    <w:rsid w:val="00DF65D3"/>
    <w:rsid w:val="00DF6603"/>
    <w:rsid w:val="00DF67FA"/>
    <w:rsid w:val="00DF6E1C"/>
    <w:rsid w:val="00DF6ECF"/>
    <w:rsid w:val="00DF7235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4D"/>
    <w:rsid w:val="00E13B8D"/>
    <w:rsid w:val="00E13C72"/>
    <w:rsid w:val="00E13F80"/>
    <w:rsid w:val="00E142B3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EE0"/>
    <w:rsid w:val="00E17F93"/>
    <w:rsid w:val="00E17F9E"/>
    <w:rsid w:val="00E17FE2"/>
    <w:rsid w:val="00E2099D"/>
    <w:rsid w:val="00E20B1B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6437"/>
    <w:rsid w:val="00E27725"/>
    <w:rsid w:val="00E27913"/>
    <w:rsid w:val="00E27A0D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BC3"/>
    <w:rsid w:val="00E42D72"/>
    <w:rsid w:val="00E43092"/>
    <w:rsid w:val="00E4323C"/>
    <w:rsid w:val="00E432EC"/>
    <w:rsid w:val="00E433DF"/>
    <w:rsid w:val="00E439D2"/>
    <w:rsid w:val="00E43A43"/>
    <w:rsid w:val="00E43D74"/>
    <w:rsid w:val="00E440A1"/>
    <w:rsid w:val="00E440B4"/>
    <w:rsid w:val="00E4439F"/>
    <w:rsid w:val="00E446A2"/>
    <w:rsid w:val="00E44829"/>
    <w:rsid w:val="00E44A40"/>
    <w:rsid w:val="00E44C48"/>
    <w:rsid w:val="00E44C52"/>
    <w:rsid w:val="00E44EAC"/>
    <w:rsid w:val="00E455AD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505"/>
    <w:rsid w:val="00E556FE"/>
    <w:rsid w:val="00E55AB6"/>
    <w:rsid w:val="00E55B49"/>
    <w:rsid w:val="00E56B52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991"/>
    <w:rsid w:val="00E61BCE"/>
    <w:rsid w:val="00E61C83"/>
    <w:rsid w:val="00E61D89"/>
    <w:rsid w:val="00E61EFF"/>
    <w:rsid w:val="00E621C6"/>
    <w:rsid w:val="00E62A7C"/>
    <w:rsid w:val="00E62C98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0CF4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819"/>
    <w:rsid w:val="00E8216D"/>
    <w:rsid w:val="00E82549"/>
    <w:rsid w:val="00E82794"/>
    <w:rsid w:val="00E828B1"/>
    <w:rsid w:val="00E82A62"/>
    <w:rsid w:val="00E82B23"/>
    <w:rsid w:val="00E82EC3"/>
    <w:rsid w:val="00E8324A"/>
    <w:rsid w:val="00E84314"/>
    <w:rsid w:val="00E84611"/>
    <w:rsid w:val="00E8463F"/>
    <w:rsid w:val="00E84700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7205"/>
    <w:rsid w:val="00E872D5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125"/>
    <w:rsid w:val="00EA3170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F5E"/>
    <w:rsid w:val="00EB75D4"/>
    <w:rsid w:val="00EB77AE"/>
    <w:rsid w:val="00EB78D0"/>
    <w:rsid w:val="00EC011C"/>
    <w:rsid w:val="00EC05E8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B6"/>
    <w:rsid w:val="00EC557F"/>
    <w:rsid w:val="00EC5641"/>
    <w:rsid w:val="00EC56A3"/>
    <w:rsid w:val="00EC59A9"/>
    <w:rsid w:val="00EC5C3E"/>
    <w:rsid w:val="00EC5CEB"/>
    <w:rsid w:val="00EC5D2E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9AD"/>
    <w:rsid w:val="00ED09EB"/>
    <w:rsid w:val="00ED0BE8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422"/>
    <w:rsid w:val="00EF09A6"/>
    <w:rsid w:val="00EF128B"/>
    <w:rsid w:val="00EF16FB"/>
    <w:rsid w:val="00EF1BF2"/>
    <w:rsid w:val="00EF1D59"/>
    <w:rsid w:val="00EF1DDD"/>
    <w:rsid w:val="00EF263B"/>
    <w:rsid w:val="00EF283C"/>
    <w:rsid w:val="00EF2CDD"/>
    <w:rsid w:val="00EF2FB3"/>
    <w:rsid w:val="00EF33FD"/>
    <w:rsid w:val="00EF3496"/>
    <w:rsid w:val="00EF3626"/>
    <w:rsid w:val="00EF38DB"/>
    <w:rsid w:val="00EF3A0E"/>
    <w:rsid w:val="00EF3A53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2335"/>
    <w:rsid w:val="00F0233C"/>
    <w:rsid w:val="00F02346"/>
    <w:rsid w:val="00F02D4D"/>
    <w:rsid w:val="00F02E58"/>
    <w:rsid w:val="00F02EC0"/>
    <w:rsid w:val="00F03250"/>
    <w:rsid w:val="00F0340E"/>
    <w:rsid w:val="00F036C3"/>
    <w:rsid w:val="00F03FC7"/>
    <w:rsid w:val="00F04052"/>
    <w:rsid w:val="00F0495D"/>
    <w:rsid w:val="00F04A50"/>
    <w:rsid w:val="00F04FCB"/>
    <w:rsid w:val="00F055B8"/>
    <w:rsid w:val="00F05775"/>
    <w:rsid w:val="00F05BBC"/>
    <w:rsid w:val="00F05C9F"/>
    <w:rsid w:val="00F06581"/>
    <w:rsid w:val="00F068B7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3072"/>
    <w:rsid w:val="00F13494"/>
    <w:rsid w:val="00F135F5"/>
    <w:rsid w:val="00F13D62"/>
    <w:rsid w:val="00F1415D"/>
    <w:rsid w:val="00F147F1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688"/>
    <w:rsid w:val="00F34882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4A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56F2"/>
    <w:rsid w:val="00F457F8"/>
    <w:rsid w:val="00F457FC"/>
    <w:rsid w:val="00F45A5D"/>
    <w:rsid w:val="00F45B68"/>
    <w:rsid w:val="00F45BBB"/>
    <w:rsid w:val="00F45C36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F8F"/>
    <w:rsid w:val="00F630D3"/>
    <w:rsid w:val="00F6349A"/>
    <w:rsid w:val="00F63579"/>
    <w:rsid w:val="00F637DD"/>
    <w:rsid w:val="00F6382C"/>
    <w:rsid w:val="00F639A8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DF9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478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532E"/>
    <w:rsid w:val="00FA53F3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D6F"/>
    <w:rsid w:val="00FB0119"/>
    <w:rsid w:val="00FB0485"/>
    <w:rsid w:val="00FB05DE"/>
    <w:rsid w:val="00FB07C7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C02"/>
    <w:rsid w:val="00FB59D0"/>
    <w:rsid w:val="00FB5CC3"/>
    <w:rsid w:val="00FB6636"/>
    <w:rsid w:val="00FB6A72"/>
    <w:rsid w:val="00FB6B10"/>
    <w:rsid w:val="00FB6C8E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079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9E2"/>
    <w:rsid w:val="00FD2B5D"/>
    <w:rsid w:val="00FD2C14"/>
    <w:rsid w:val="00FD348F"/>
    <w:rsid w:val="00FD39DE"/>
    <w:rsid w:val="00FD3AB3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724E"/>
    <w:rsid w:val="00FD73EB"/>
    <w:rsid w:val="00FD73FB"/>
    <w:rsid w:val="00FD7617"/>
    <w:rsid w:val="00FD7B48"/>
    <w:rsid w:val="00FD7D54"/>
    <w:rsid w:val="00FE0281"/>
    <w:rsid w:val="00FE0394"/>
    <w:rsid w:val="00FE06CD"/>
    <w:rsid w:val="00FE0982"/>
    <w:rsid w:val="00FE09C1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5:docId w15:val="{8ED8A7DA-C8DB-43DC-896B-9FFA3B5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C9FF-F450-42B4-8823-8312DD41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7957</Words>
  <Characters>42971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Rochele Benedet Rodrigues</cp:lastModifiedBy>
  <cp:revision>2</cp:revision>
  <cp:lastPrinted>2020-02-21T18:51:00Z</cp:lastPrinted>
  <dcterms:created xsi:type="dcterms:W3CDTF">2021-08-02T12:18:00Z</dcterms:created>
  <dcterms:modified xsi:type="dcterms:W3CDTF">2021-08-02T12:18:00Z</dcterms:modified>
</cp:coreProperties>
</file>